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一、糕点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GB 2760-2014《食品安全国家标准 食品添加剂使用标准》，</w:t>
      </w:r>
      <w:r>
        <w:rPr>
          <w:rFonts w:hint="eastAsia" w:ascii="仿宋_GB2312" w:hAnsi="Calibri" w:eastAsia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（以Pb计）、铝的残留量（干样品、以Al计）、苯甲酸及其钠盐（以苯甲酸计）、山梨酸及其钾盐（以山梨酸计）、糖精钠（以糖精计）、甜蜜素（以环己基氨基磺酸计）、安赛蜜、脱氢乙酸及其钠盐(以脱氢乙酸计)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抽检依据是整顿办函[2011]1号《食品中可能违法添加的非食用物质和易滥用的食品添加剂品种名单(第五批)》，GB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酱卤肉制品监督抽检项目包括铅（以 Pb 计）、镉（以 Cd 计）、铬（以Cr计）、总砷（以As计）、亚硝酸盐（以亚硝酸钠计）、苯甲酸及其钠盐（以苯甲酸计）、山梨酸及其钾盐（以山梨酸计）、脱氢乙酸及其钠盐（以脱氢乙酸计）、苏丹红 I-IV。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三、调味品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整顿办函[2011]1号《食品中可能违法添加的非食用物质和易滥用的食品添加剂品种名单(第五批)》，食品整治办[2008]3号《食品中可能违法添加的非食用物质和易滥用的食品添加剂品种名单(第一批)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香辛料类调味品监督抽检项目包括铅（以 Pb 计）、罗丹明 B、苏丹红 I-IV。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谷物粉类制成品监督抽检项目包括苯甲酸及其钠盐（以苯甲酸计） 、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山梨酸及其钾盐（以山梨酸计）、脱氢乙酸及其钠盐（以脱氢乙酸计）、糖精钠（以糖精计）。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抽检依据是整顿办函[2011]1号《食品中可能违法添加的非食用物质和易滥用的食品添加剂品种名单(第五批)》，食品整治办[2008]3号《食品中可能违法添加的非食用物质和易滥用的食品添加剂品种名单(第一批)》，GB 2760-2014《食品安全国家标准 食品添加剂使用标准》，GB 2716-2018《食品安全国家标准 植物油》，GB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米面及其制品（餐饮）监督抽检项目包括铅（以 Pb 计）、苯甲酸及其钠盐（以苯甲酸计）、山梨酸及其钾盐（以山梨酸计）、二氧化钛、甲醛、硼砂。</w:t>
      </w:r>
    </w:p>
    <w:p>
      <w:pPr>
        <w:numPr>
          <w:ilvl w:val="0"/>
          <w:numId w:val="2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调味品（餐饮）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监督抽检项目包括罂粟碱、吗啡、可待因、那可丁、蒂巴因、罗丹明B、苏丹红Ⅰ-Ⅳ、苯甲酸及其钠盐（以苯甲酸计）、山梨酸及其钾盐（以山梨酸计）、脱氢乙酸及其钠盐（以脱氢乙酸计）。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3.小麦粉制品（自制）监督抽检项目包括甲醛次硫酸氢钠（以甲醛计）、甜蜜素、苯甲酸及其钠盐（以苯甲酸计）、山梨酸及其钠盐（以山梨酸计）。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4.熟肉制品(自制)监督抽检项目包括铬（以Cr计）、胭脂红、苏丹红Ⅰ-Ⅳ、亚硝酸盐、苯甲酸及其钠盐（以苯甲酸计）、山梨酸及其钾盐（以山梨酸计）。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D24F6"/>
    <w:multiLevelType w:val="singleLevel"/>
    <w:tmpl w:val="813D24F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1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D907C01"/>
    <w:rsid w:val="106574EE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3641B39"/>
    <w:rsid w:val="344E4CB7"/>
    <w:rsid w:val="37930F49"/>
    <w:rsid w:val="3F186754"/>
    <w:rsid w:val="414A16ED"/>
    <w:rsid w:val="41E56383"/>
    <w:rsid w:val="43497B5F"/>
    <w:rsid w:val="439279C8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7CA410C"/>
    <w:rsid w:val="69CC0812"/>
    <w:rsid w:val="6D1A7097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12B57CE713014612927CF7F96844EC1C</vt:lpwstr>
  </property>
</Properties>
</file>