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rPr>
          <w:rFonts w:hint="eastAsia" w:ascii="黑体" w:hAnsi="ˎ̥" w:eastAsia="黑体" w:cs="Arial"/>
          <w:kern w:val="0"/>
          <w:sz w:val="32"/>
          <w:szCs w:val="32"/>
        </w:rPr>
      </w:pPr>
      <w:r>
        <w:rPr>
          <w:rFonts w:hint="eastAsia" w:ascii="黑体" w:hAnsi="ˎ̥" w:eastAsia="黑体" w:cs="Arial"/>
          <w:kern w:val="0"/>
          <w:sz w:val="32"/>
          <w:szCs w:val="32"/>
        </w:rPr>
        <w:t>附件1</w:t>
      </w:r>
    </w:p>
    <w:p>
      <w:pPr>
        <w:widowControl/>
        <w:spacing w:line="640" w:lineRule="exact"/>
        <w:ind w:firstLine="3420" w:firstLineChars="950"/>
        <w:rPr>
          <w:rFonts w:hint="eastAsia" w:ascii="黑体" w:hAnsi="ˎ̥" w:eastAsia="黑体" w:cs="Arial"/>
          <w:kern w:val="0"/>
          <w:sz w:val="36"/>
          <w:szCs w:val="36"/>
        </w:rPr>
      </w:pPr>
      <w:r>
        <w:rPr>
          <w:rFonts w:hint="eastAsia" w:ascii="黑体" w:hAnsi="ˎ̥" w:eastAsia="黑体" w:cs="Arial"/>
          <w:kern w:val="0"/>
          <w:sz w:val="36"/>
          <w:szCs w:val="36"/>
        </w:rPr>
        <w:t>本次检验项目</w:t>
      </w:r>
    </w:p>
    <w:p>
      <w:pPr>
        <w:ind w:left="640"/>
        <w:rPr>
          <w:rFonts w:hint="eastAsia" w:ascii="黑体" w:eastAsia="黑体"/>
          <w:bCs/>
          <w:color w:val="000000"/>
          <w:sz w:val="32"/>
          <w:szCs w:val="32"/>
        </w:rPr>
      </w:pPr>
      <w:r>
        <w:rPr>
          <w:rFonts w:hint="eastAsia" w:ascii="黑体" w:eastAsia="黑体"/>
          <w:bCs/>
          <w:color w:val="000000"/>
          <w:sz w:val="32"/>
          <w:szCs w:val="32"/>
          <w:lang w:val="en-US" w:eastAsia="zh-CN"/>
        </w:rPr>
        <w:t>一、粮食加工品</w:t>
      </w:r>
    </w:p>
    <w:p>
      <w:pPr>
        <w:spacing w:line="580" w:lineRule="exact"/>
        <w:ind w:firstLine="64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（一）</w:t>
      </w:r>
      <w:r>
        <w:rPr>
          <w:rFonts w:hint="eastAsia" w:ascii="楷体_GB2312" w:hAnsi="Calibri" w:eastAsia="楷体_GB2312"/>
          <w:sz w:val="32"/>
          <w:szCs w:val="32"/>
        </w:rPr>
        <w:tab/>
      </w:r>
      <w:r>
        <w:rPr>
          <w:rFonts w:hint="eastAsia" w:ascii="楷体_GB2312" w:hAnsi="Calibri" w:eastAsia="楷体_GB2312"/>
          <w:sz w:val="32"/>
          <w:szCs w:val="32"/>
        </w:rPr>
        <w:t>抽检依据</w:t>
      </w:r>
    </w:p>
    <w:p>
      <w:pPr>
        <w:spacing w:line="58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抽检依据是GB 2760-2014《食品安全国家标准 食品添加剂使用标准》，GB 2761-2017《食品安全国家标准 食品中真菌毒素限量》，卫生部公告[2011]第4号 卫生部等7部门《关于撤销食品添加剂过氧化苯甲酰、过氧化钙的公告》等标准及产品明示标准和指标的要求。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default"/>
          <w:lang w:val="en-US" w:eastAsia="zh-CN"/>
        </w:rPr>
      </w:pPr>
      <w:r>
        <w:rPr>
          <w:rFonts w:hint="eastAsia" w:ascii="楷体_GB2312" w:hAnsi="Calibri" w:eastAsia="楷体_GB2312"/>
          <w:sz w:val="32"/>
          <w:szCs w:val="32"/>
          <w:lang w:eastAsia="zh-CN"/>
        </w:rPr>
        <w:t>（</w:t>
      </w:r>
      <w:r>
        <w:rPr>
          <w:rFonts w:hint="eastAsia" w:ascii="楷体_GB2312" w:hAnsi="Calibri" w:eastAsia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Calibri" w:eastAsia="楷体_GB2312"/>
          <w:sz w:val="32"/>
          <w:szCs w:val="32"/>
          <w:lang w:eastAsia="zh-CN"/>
        </w:rPr>
        <w:t>）</w:t>
      </w:r>
      <w:r>
        <w:rPr>
          <w:rFonts w:hint="eastAsia" w:ascii="楷体_GB2312" w:hAnsi="Calibri" w:eastAsia="楷体_GB2312"/>
          <w:sz w:val="32"/>
          <w:szCs w:val="32"/>
        </w:rPr>
        <w:t>抽检项目</w:t>
      </w:r>
    </w:p>
    <w:p>
      <w:pPr>
        <w:spacing w:line="580" w:lineRule="exact"/>
        <w:ind w:firstLine="640"/>
        <w:rPr>
          <w:rFonts w:hint="default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小麦粉监督抽检项目包括二氧化钛、滑石粉、脱氧雪腐镰刀菌烯醇、过氧化苯甲酰、铅（以 Pb计）。</w:t>
      </w:r>
    </w:p>
    <w:p>
      <w:pPr>
        <w:ind w:left="640"/>
        <w:rPr>
          <w:rFonts w:hint="default" w:ascii="黑体" w:eastAsia="黑体"/>
          <w:bCs/>
          <w:color w:val="000000"/>
          <w:sz w:val="32"/>
          <w:szCs w:val="32"/>
          <w:lang w:val="en-US"/>
        </w:rPr>
      </w:pPr>
      <w:r>
        <w:rPr>
          <w:rFonts w:hint="eastAsia" w:ascii="黑体" w:eastAsia="黑体"/>
          <w:bCs/>
          <w:color w:val="000000"/>
          <w:sz w:val="32"/>
          <w:szCs w:val="32"/>
          <w:lang w:val="en-US" w:eastAsia="zh-CN"/>
        </w:rPr>
        <w:t>二、餐饮食品</w:t>
      </w:r>
    </w:p>
    <w:p>
      <w:pPr>
        <w:spacing w:line="580" w:lineRule="exact"/>
        <w:ind w:firstLine="64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（一）</w:t>
      </w:r>
      <w:r>
        <w:rPr>
          <w:rFonts w:hint="eastAsia" w:ascii="楷体_GB2312" w:hAnsi="Calibri" w:eastAsia="楷体_GB2312"/>
          <w:sz w:val="32"/>
          <w:szCs w:val="32"/>
        </w:rPr>
        <w:tab/>
      </w:r>
      <w:r>
        <w:rPr>
          <w:rFonts w:hint="eastAsia" w:ascii="楷体_GB2312" w:hAnsi="Calibri" w:eastAsia="楷体_GB2312"/>
          <w:sz w:val="32"/>
          <w:szCs w:val="32"/>
        </w:rPr>
        <w:t>抽检依据</w:t>
      </w:r>
    </w:p>
    <w:p>
      <w:pPr>
        <w:spacing w:line="58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抽检依据是整顿办函[2011]1号《食品中可能违法添加的非食用物质和易滥用的食品添加剂品种名</w:t>
      </w:r>
      <w:bookmarkStart w:id="0" w:name="_GoBack"/>
      <w:bookmarkEnd w:id="0"/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单(第五批)》，GB 2760-2014《食品安全国家标准 食品添加剂使用标准》，食品整治办[2008]3号《食品中可能违法添加的非食用物质和易滥用的食品添加剂品种名单(第一批)》，GB 2762-2017《食品安全国家标准 食品中污染物限量》，中华人民共和国卫生部、国家食品药品监督管理局公告2012年第10号，GB 2716-2018《食品安全国家标准 植物油》，GB 16565-2003《油炸小食品卫生标准》，GB 2761-2017《食品安全国家标准 食品中真菌毒素限量》，卫生部公告2012年第10号《卫生部、国家食药监管局关于禁止餐饮服务单位采购、贮存、使用食品添加剂亚硝酸盐的公告》等标准及产品明示标准和指标的要求。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  <w:lang w:eastAsia="zh-CN"/>
        </w:rPr>
        <w:t>（</w:t>
      </w:r>
      <w:r>
        <w:rPr>
          <w:rFonts w:hint="eastAsia" w:ascii="楷体_GB2312" w:hAnsi="Calibri" w:eastAsia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Calibri" w:eastAsia="楷体_GB2312"/>
          <w:sz w:val="32"/>
          <w:szCs w:val="32"/>
          <w:lang w:eastAsia="zh-CN"/>
        </w:rPr>
        <w:t>）</w:t>
      </w:r>
      <w:r>
        <w:rPr>
          <w:rFonts w:hint="eastAsia" w:ascii="楷体_GB2312" w:hAnsi="Calibri" w:eastAsia="楷体_GB2312"/>
          <w:sz w:val="32"/>
          <w:szCs w:val="32"/>
        </w:rPr>
        <w:t>抽检项目</w:t>
      </w:r>
    </w:p>
    <w:p>
      <w:pPr>
        <w:spacing w:line="580" w:lineRule="exact"/>
        <w:ind w:firstLine="640"/>
        <w:rPr>
          <w:rFonts w:hint="eastAsia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1. 米面及其制品（餐饮）监督抽检项目包括铅（以 Pb 计）、苯甲酸及其钠盐（以苯甲酸计）、山梨酸及其钾盐（以山梨酸计）、二氧化钛、甲醛、硼砂。</w:t>
      </w:r>
    </w:p>
    <w:p>
      <w:pPr>
        <w:numPr>
          <w:ilvl w:val="0"/>
          <w:numId w:val="1"/>
        </w:numPr>
        <w:spacing w:line="580" w:lineRule="exact"/>
        <w:ind w:left="-10" w:leftChars="0" w:firstLine="640" w:firstLineChars="0"/>
        <w:rPr>
          <w:rFonts w:hint="eastAsia" w:ascii="仿宋_GB2312" w:hAnsi="Calibri" w:eastAsia="仿宋_GB2312"/>
          <w:sz w:val="32"/>
          <w:szCs w:val="32"/>
          <w:lang w:val="en-US" w:eastAsia="zh-CN"/>
        </w:rPr>
      </w:pPr>
      <w:r>
        <w:rPr>
          <w:rFonts w:hint="default" w:ascii="仿宋_GB2312" w:hAnsi="Calibri" w:eastAsia="仿宋_GB2312"/>
          <w:sz w:val="32"/>
          <w:szCs w:val="32"/>
          <w:lang w:val="en-US" w:eastAsia="zh-CN"/>
        </w:rPr>
        <w:t>调味品（餐饮）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监督抽检项目包括罂粟碱、吗啡、可待因、那可丁、蒂巴因、罗丹明B、苏丹红Ⅰ-Ⅳ、苯甲酸及其钠盐（以苯甲酸计）、山梨酸及其钾盐（以山梨酸计）、脱氢乙酸及其钠盐（以脱氢乙酸计）。</w:t>
      </w:r>
    </w:p>
    <w:p>
      <w:pPr>
        <w:numPr>
          <w:ilvl w:val="0"/>
          <w:numId w:val="1"/>
        </w:numPr>
        <w:spacing w:line="580" w:lineRule="exact"/>
        <w:ind w:left="-10" w:leftChars="0" w:firstLine="640" w:firstLineChars="0"/>
        <w:rPr>
          <w:rFonts w:hint="eastAsia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食用油、油脂及其制品(餐饮)监督抽检项目包括酸价、极性组分。</w:t>
      </w:r>
    </w:p>
    <w:p>
      <w:pPr>
        <w:spacing w:line="580" w:lineRule="exact"/>
        <w:ind w:firstLine="640"/>
        <w:rPr>
          <w:rFonts w:hint="default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4.蔬菜制品(餐饮)监督抽检项目包括亚硝酸盐（以亚硝酸钠计）、糖精钠、甜蜜素。</w:t>
      </w:r>
    </w:p>
    <w:p>
      <w:pPr>
        <w:spacing w:line="580" w:lineRule="exact"/>
        <w:ind w:firstLine="640"/>
        <w:rPr>
          <w:rFonts w:hint="eastAsia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5.坚果与籽类食品（餐饮）监督抽检项目包括酸价（以脂肪计）、过氧化值（以脂肪计）、黄曲霉毒素B1。</w:t>
      </w:r>
    </w:p>
    <w:p>
      <w:pPr>
        <w:spacing w:line="580" w:lineRule="exact"/>
        <w:ind w:firstLine="640"/>
        <w:rPr>
          <w:rFonts w:hint="default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6.熟肉制品(自制)监督抽检项目包括铬（以Cr计）、胭脂红、苏丹红Ⅰ-Ⅳ、亚硝酸盐、苯甲酸及其钠盐（以苯甲酸计）、山梨酸及其钾盐（以山梨酸计）。</w:t>
      </w:r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3D24F6"/>
    <w:multiLevelType w:val="singleLevel"/>
    <w:tmpl w:val="813D24F6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-1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BC7BA1"/>
    <w:rsid w:val="02532EC0"/>
    <w:rsid w:val="03EB19D5"/>
    <w:rsid w:val="05035FFF"/>
    <w:rsid w:val="05672A68"/>
    <w:rsid w:val="060C61A5"/>
    <w:rsid w:val="0749107B"/>
    <w:rsid w:val="0D907C01"/>
    <w:rsid w:val="106574EE"/>
    <w:rsid w:val="1248624C"/>
    <w:rsid w:val="143D5DDD"/>
    <w:rsid w:val="1E3436CC"/>
    <w:rsid w:val="225336DD"/>
    <w:rsid w:val="22882F0A"/>
    <w:rsid w:val="25A617BA"/>
    <w:rsid w:val="2ABC7BA1"/>
    <w:rsid w:val="2B964BA4"/>
    <w:rsid w:val="2C1A4DF8"/>
    <w:rsid w:val="2C2938A4"/>
    <w:rsid w:val="3009370C"/>
    <w:rsid w:val="32195E5C"/>
    <w:rsid w:val="33641B39"/>
    <w:rsid w:val="344E4CB7"/>
    <w:rsid w:val="37930F49"/>
    <w:rsid w:val="3F186754"/>
    <w:rsid w:val="3F43528F"/>
    <w:rsid w:val="414A16ED"/>
    <w:rsid w:val="41E56383"/>
    <w:rsid w:val="43497B5F"/>
    <w:rsid w:val="43B0618F"/>
    <w:rsid w:val="4441796A"/>
    <w:rsid w:val="44AB1593"/>
    <w:rsid w:val="484C0403"/>
    <w:rsid w:val="4B1753A2"/>
    <w:rsid w:val="4BF10142"/>
    <w:rsid w:val="4C4B6C19"/>
    <w:rsid w:val="4E5700B7"/>
    <w:rsid w:val="51611095"/>
    <w:rsid w:val="524611DC"/>
    <w:rsid w:val="553F7255"/>
    <w:rsid w:val="57C04B43"/>
    <w:rsid w:val="58671522"/>
    <w:rsid w:val="5BEA7FCB"/>
    <w:rsid w:val="5D994645"/>
    <w:rsid w:val="5EE34DCA"/>
    <w:rsid w:val="5F08123D"/>
    <w:rsid w:val="5F414350"/>
    <w:rsid w:val="60411D19"/>
    <w:rsid w:val="61052AE4"/>
    <w:rsid w:val="62AB6F5D"/>
    <w:rsid w:val="62D2358A"/>
    <w:rsid w:val="69CC0812"/>
    <w:rsid w:val="6D1A7097"/>
    <w:rsid w:val="6DBD6BBB"/>
    <w:rsid w:val="6EC27FC3"/>
    <w:rsid w:val="6F573323"/>
    <w:rsid w:val="6FA140F0"/>
    <w:rsid w:val="7234037E"/>
    <w:rsid w:val="783420D4"/>
    <w:rsid w:val="78F82295"/>
    <w:rsid w:val="7B8A7560"/>
    <w:rsid w:val="7E5D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ascii="Times New Roman" w:hAnsi="Times New Roman" w:eastAsia="宋体"/>
      <w:b/>
      <w:kern w:val="44"/>
      <w:sz w:val="36"/>
    </w:rPr>
  </w:style>
  <w:style w:type="paragraph" w:styleId="4">
    <w:name w:val="heading 2"/>
    <w:basedOn w:val="1"/>
    <w:next w:val="5"/>
    <w:link w:val="13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left"/>
      <w:outlineLvl w:val="1"/>
    </w:pPr>
    <w:rPr>
      <w:b/>
      <w:sz w:val="32"/>
    </w:rPr>
  </w:style>
  <w:style w:type="paragraph" w:styleId="6">
    <w:name w:val="heading 3"/>
    <w:basedOn w:val="1"/>
    <w:next w:val="1"/>
    <w:link w:val="14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left"/>
      <w:outlineLvl w:val="2"/>
    </w:pPr>
    <w:rPr>
      <w:b/>
      <w:sz w:val="30"/>
    </w:rPr>
  </w:style>
  <w:style w:type="paragraph" w:styleId="7">
    <w:name w:val="heading 4"/>
    <w:basedOn w:val="1"/>
    <w:next w:val="1"/>
    <w:link w:val="15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left"/>
      <w:outlineLvl w:val="3"/>
    </w:pPr>
    <w:rPr>
      <w:b/>
    </w:rPr>
  </w:style>
  <w:style w:type="paragraph" w:styleId="8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outlineLvl w:val="4"/>
    </w:pPr>
    <w:rPr>
      <w:rFonts w:ascii="Times New Roman" w:hAnsi="Times New Roman"/>
      <w:b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9">
    <w:name w:val="Body Text"/>
    <w:basedOn w:val="1"/>
    <w:qFormat/>
    <w:uiPriority w:val="0"/>
    <w:pPr>
      <w:spacing w:after="120" w:afterLines="0" w:afterAutospacing="0"/>
    </w:pPr>
  </w:style>
  <w:style w:type="paragraph" w:styleId="10">
    <w:name w:val="Body Text First Indent"/>
    <w:basedOn w:val="9"/>
    <w:qFormat/>
    <w:uiPriority w:val="0"/>
    <w:pPr>
      <w:ind w:firstLine="420" w:firstLineChars="100"/>
    </w:pPr>
  </w:style>
  <w:style w:type="character" w:customStyle="1" w:styleId="13">
    <w:name w:val="标题 2 Char1"/>
    <w:link w:val="4"/>
    <w:qFormat/>
    <w:uiPriority w:val="0"/>
    <w:rPr>
      <w:rFonts w:ascii="Times New Roman" w:hAnsi="Times New Roman" w:eastAsia="宋体"/>
      <w:b/>
      <w:sz w:val="32"/>
    </w:rPr>
  </w:style>
  <w:style w:type="character" w:customStyle="1" w:styleId="14">
    <w:name w:val="标题 3 Char"/>
    <w:link w:val="6"/>
    <w:qFormat/>
    <w:uiPriority w:val="0"/>
    <w:rPr>
      <w:rFonts w:ascii="Times New Roman" w:hAnsi="Times New Roman" w:eastAsia="宋体"/>
      <w:b/>
      <w:sz w:val="30"/>
    </w:rPr>
  </w:style>
  <w:style w:type="character" w:customStyle="1" w:styleId="15">
    <w:name w:val="标题 4 Char"/>
    <w:basedOn w:val="12"/>
    <w:link w:val="7"/>
    <w:qFormat/>
    <w:uiPriority w:val="0"/>
    <w:rPr>
      <w:rFonts w:ascii="Times New Roman" w:hAnsi="Times New Roman" w:eastAsia="宋体"/>
      <w:b/>
      <w:sz w:val="24"/>
    </w:rPr>
  </w:style>
  <w:style w:type="character" w:customStyle="1" w:styleId="16">
    <w:name w:val="标题 1 Char"/>
    <w:link w:val="3"/>
    <w:qFormat/>
    <w:uiPriority w:val="0"/>
    <w:rPr>
      <w:rFonts w:ascii="Times New Roman" w:hAnsi="Times New Roman" w:eastAsia="宋体"/>
      <w:b/>
      <w:kern w:val="44"/>
      <w:sz w:val="36"/>
    </w:rPr>
  </w:style>
  <w:style w:type="paragraph" w:customStyle="1" w:styleId="17">
    <w:name w:val="标题4"/>
    <w:basedOn w:val="1"/>
    <w:next w:val="1"/>
    <w:qFormat/>
    <w:uiPriority w:val="0"/>
    <w:pPr>
      <w:outlineLvl w:val="3"/>
    </w:pPr>
    <w:rPr>
      <w:rFonts w:ascii="Times New Roman" w:hAnsi="Times New Roman" w:eastAsia="宋体" w:cstheme="majorBidi"/>
      <w:b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2020-08-19T07:51:00Z</dcterms:created>
  <dc:creator>GrowζGlow</dc:creator>
  <cp:lastModifiedBy>GrowζGlow</cp:lastModifiedBy>
  <dcterms:modified xsi:type="dcterms:W3CDTF">2021-10-14T08:51:47Z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87C5623FFC844C31AFDB905979D991FD</vt:lpwstr>
  </property>
</Properties>
</file>