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val="0"/>
        <w:snapToGrid/>
        <w:ind w:left="0" w:right="0" w:firstLineChars="200" w:firstLine="640"/>
        <w:jc w:val="left"/>
        <w:textAlignment w:val="auto"/>
        <w:outlineLvl w:val="9"/>
        <w:rPr>
          <w:rFonts w:ascii="黑体" w:eastAsia="黑体" w:cs="黑体" w:hint="eastAsia"/>
          <w:color w:val="000000"/>
          <w:sz w:val="32"/>
          <w:szCs w:val="32"/>
          <w14:textFill>
            <w14:solidFill>
              <w14:srgbClr w14:val="000000"/>
            </w14:solidFill>
          </w14:textFill>
          <w:lang w:val="en-US" w:eastAsia="zh-CN"/>
          <w:highlight w:val="auto"/>
        </w:rPr>
      </w:pPr>
      <w:r>
        <w:rPr>
          <w:rFonts w:ascii="黑体" w:eastAsia="黑体" w:cs="黑体" w:hint="eastAsia"/>
          <w:color w:val="000000"/>
          <w:sz w:val="32"/>
          <w:szCs w:val="32"/>
          <w14:textFill>
            <w14:solidFill>
              <w14:srgbClr w14:val="000000"/>
            </w14:solidFill>
          </w14:textFill>
          <w:highlight w:val="auto"/>
        </w:rPr>
        <w:t>附件</w:t>
      </w:r>
      <w:r>
        <w:rPr>
          <w:rFonts w:ascii="黑体" w:eastAsia="黑体" w:cs="黑体" w:hint="eastAsia"/>
          <w:color w:val="000000"/>
          <w:sz w:val="32"/>
          <w:szCs w:val="32"/>
          <w14:textFill>
            <w14:solidFill>
              <w14:srgbClr w14:val="000000"/>
            </w14:solidFill>
          </w14:textFill>
          <w:lang w:val="en-US" w:eastAsia="zh-CN"/>
          <w:highlight w:val="auto"/>
        </w:rPr>
        <w:t>1:</w:t>
      </w:r>
    </w:p>
    <w:p>
      <w:pPr>
        <w:keepNext w:val="0"/>
        <w:keepLines w:val="0"/>
        <w:pageBreakBefore w:val="0"/>
        <w:widowControl w:val="0"/>
        <w:kinsoku/>
        <w:wordWrap/>
        <w:overflowPunct/>
        <w:topLinePunct w:val="0"/>
        <w:autoSpaceDE/>
        <w:autoSpaceDN/>
        <w:bidi w:val="0"/>
        <w:adjustRightInd w:val="0"/>
        <w:snapToGrid/>
        <w:spacing w:line="640" w:lineRule="exact"/>
        <w:ind w:left="0" w:right="0" w:firstLineChars="200" w:firstLine="640"/>
        <w:textAlignment w:val="auto"/>
        <w:outlineLvl w:val="9"/>
        <w:rPr>
          <w:rFonts w:ascii="仿宋_GB2312" w:eastAsia="仿宋_GB2312"/>
          <w:color w:val="000000"/>
          <w:sz w:val="32"/>
          <w:szCs w:val="32"/>
          <w14:textFill>
            <w14:solidFill>
              <w14:srgbClr w14:val="000000"/>
            </w14:solidFill>
          </w14:textFill>
          <w:highlight w:val="auto"/>
        </w:rPr>
      </w:pPr>
    </w:p>
    <w:p>
      <w:pPr>
        <w:keepNext w:val="0"/>
        <w:keepLines w:val="0"/>
        <w:pageBreakBefore w:val="0"/>
        <w:widowControl w:val="0"/>
        <w:kinsoku/>
        <w:wordWrap/>
        <w:overflowPunct/>
        <w:topLinePunct w:val="0"/>
        <w:autoSpaceDE/>
        <w:autoSpaceDN/>
        <w:bidi w:val="0"/>
        <w:adjustRightInd w:val="0"/>
        <w:snapToGrid/>
        <w:spacing w:line="640" w:lineRule="exact"/>
        <w:ind w:left="0" w:right="0" w:firstLineChars="200" w:firstLine="880"/>
        <w:jc w:val="center"/>
        <w:textAlignment w:val="auto"/>
        <w:outlineLvl w:val="9"/>
        <w:rPr>
          <w:rFonts w:ascii="方正小标宋简体" w:eastAsia="方正小标宋简体" w:cs="方正小标宋简体" w:hint="eastAsia"/>
          <w:b/>
          <w:bCs/>
          <w:color w:val="000000"/>
          <w:sz w:val="44"/>
          <w:szCs w:val="44"/>
          <w14:textFill>
            <w14:solidFill>
              <w14:srgbClr w14:val="000000"/>
            </w14:solidFill>
          </w14:textFill>
          <w:highlight w:val="auto"/>
        </w:rPr>
      </w:pPr>
      <w:r>
        <w:rPr>
          <w:rFonts w:ascii="方正小标宋简体" w:eastAsia="方正小标宋简体" w:cs="方正小标宋简体" w:hint="eastAsia"/>
          <w:b/>
          <w:bCs/>
          <w:color w:val="000000"/>
          <w:sz w:val="44"/>
          <w:szCs w:val="44"/>
          <w14:textFill>
            <w14:solidFill>
              <w14:srgbClr w14:val="000000"/>
            </w14:solidFill>
          </w14:textFill>
          <w:highlight w:val="auto"/>
        </w:rPr>
        <w:t>本次检验项目</w:t>
      </w:r>
    </w:p>
    <w:p>
      <w:pPr>
        <w:keepNext w:val="0"/>
        <w:keepLines w:val="0"/>
        <w:pageBreakBefore w:val="0"/>
        <w:widowControl w:val="0"/>
        <w:kinsoku/>
        <w:wordWrap/>
        <w:overflowPunct/>
        <w:topLinePunct w:val="0"/>
        <w:autoSpaceDE/>
        <w:autoSpaceDN/>
        <w:bidi w:val="0"/>
        <w:adjustRightInd w:val="0"/>
        <w:snapToGrid/>
        <w:spacing w:line="640" w:lineRule="exact"/>
        <w:ind w:left="0" w:right="0" w:firstLineChars="200" w:firstLine="640"/>
        <w:textAlignment w:val="auto"/>
        <w:outlineLvl w:val="9"/>
        <w:rPr>
          <w:rFonts w:ascii="黑体" w:eastAsia="黑体" w:cs="黑体" w:hint="eastAsia"/>
          <w:b/>
          <w:bCs/>
          <w:color w:val="000000"/>
          <w:sz w:val="32"/>
          <w:szCs w:val="32"/>
          <w14:textFill>
            <w14:solidFill>
              <w14:srgbClr w14:val="000000"/>
            </w14:solidFill>
          </w14:textFill>
          <w:lang w:val="en-US" w:eastAsia="zh-CN"/>
          <w:highlight w:val="auto"/>
        </w:rPr>
      </w:pPr>
      <w:r>
        <w:rPr>
          <w:rFonts w:ascii="黑体" w:eastAsia="黑体" w:cs="黑体" w:hint="eastAsia"/>
          <w:b/>
          <w:bCs/>
          <w:color w:val="000000"/>
          <w:sz w:val="32"/>
          <w:szCs w:val="32"/>
          <w14:textFill>
            <w14:solidFill>
              <w14:srgbClr w14:val="000000"/>
            </w14:solidFill>
          </w14:textFill>
          <w:lang w:val="en-US" w:eastAsia="zh-CN"/>
          <w:highlight w:val="auto"/>
        </w:rPr>
        <w:t>食用农产品</w:t>
      </w:r>
    </w:p>
    <w:p>
      <w:pPr>
        <w:keepNext w:val="0"/>
        <w:keepLines w:val="0"/>
        <w:pageBreakBefore w:val="0"/>
        <w:widowControl w:val="0"/>
        <w:kinsoku/>
        <w:wordWrap/>
        <w:overflowPunct/>
        <w:topLinePunct w:val="0"/>
        <w:autoSpaceDE/>
        <w:autoSpaceDN/>
        <w:bidi w:val="0"/>
        <w:adjustRightInd w:val="0"/>
        <w:snapToGrid/>
        <w:spacing w:line="640" w:lineRule="exact"/>
        <w:ind w:left="0" w:right="0" w:firstLineChars="200" w:firstLine="640"/>
        <w:textAlignment w:val="auto"/>
        <w:outlineLvl w:val="9"/>
        <w:rPr>
          <w:rFonts w:ascii="楷体_GB2312" w:eastAsia="楷体_GB2312" w:cs="楷体_GB2312" w:hint="eastAsia"/>
          <w:b/>
          <w:bCs/>
          <w:color w:val="000000"/>
          <w:sz w:val="32"/>
          <w:szCs w:val="32"/>
          <w14:textFill>
            <w14:solidFill>
              <w14:srgbClr w14:val="000000"/>
            </w14:solidFill>
          </w14:textFill>
          <w:lang w:val="en-US" w:eastAsia="zh-CN"/>
          <w:highlight w:val="auto"/>
        </w:rPr>
      </w:pPr>
      <w:r>
        <w:rPr>
          <w:rFonts w:ascii="楷体_GB2312" w:eastAsia="楷体_GB2312" w:cs="楷体_GB2312" w:hint="eastAsia"/>
          <w:b/>
          <w:bCs/>
          <w:color w:val="000000"/>
          <w:sz w:val="32"/>
          <w:szCs w:val="32"/>
          <w14:textFill>
            <w14:solidFill>
              <w14:srgbClr w14:val="000000"/>
            </w14:solidFill>
          </w14:textFill>
          <w:lang w:eastAsia="zh-CN"/>
          <w:highlight w:val="auto"/>
        </w:rPr>
        <w:t>（</w:t>
      </w:r>
      <w:r>
        <w:rPr>
          <w:rFonts w:ascii="楷体_GB2312" w:eastAsia="楷体_GB2312" w:cs="楷体_GB2312" w:hint="eastAsia"/>
          <w:b/>
          <w:bCs/>
          <w:color w:val="000000"/>
          <w:sz w:val="32"/>
          <w:szCs w:val="32"/>
          <w14:textFill>
            <w14:solidFill>
              <w14:srgbClr w14:val="000000"/>
            </w14:solidFill>
          </w14:textFill>
          <w:lang w:val="en-US" w:eastAsia="zh-CN"/>
          <w:highlight w:val="auto"/>
        </w:rPr>
        <w:t>一）抽检依据</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抽检依据GB 2762-2017《食品安全国家标准 食品中污染物限量》、GB 2763-2019《食品安全国家标准 食品中农药最大残留限量》、国家食品药品监督管理总局农业部国家卫生和计划生育委员会关于豆芽生产过程中禁止使用6-苄基腺嘌呤等物质的公告(2015年第11号)、整顿办函〔2010〕50 号 《食品中可能违法添加的非食用物质和易滥用的食品添加剂名单（第四批）》、农业农村部公告 第250号《食品动物中禁止使用的药品及其他化合物清单》、GB 31650-2019《食品安全国家标准 食品中兽药最大残留限量》等标准和指标的要求。</w:t>
      </w:r>
    </w:p>
    <w:p>
      <w:pPr>
        <w:keepNext w:val="0"/>
        <w:keepLines w:val="0"/>
        <w:pageBreakBefore w:val="0"/>
        <w:widowControl w:val="0"/>
        <w:kinsoku/>
        <w:wordWrap/>
        <w:overflowPunct/>
        <w:topLinePunct w:val="0"/>
        <w:autoSpaceDE/>
        <w:autoSpaceDN/>
        <w:bidi w:val="0"/>
        <w:adjustRightInd w:val="0"/>
        <w:snapToGrid/>
        <w:spacing w:line="640" w:lineRule="exact"/>
        <w:ind w:left="0" w:right="0" w:firstLineChars="200" w:firstLine="640"/>
        <w:textAlignment w:val="auto"/>
        <w:outlineLvl w:val="9"/>
        <w:rPr>
          <w:rFonts w:ascii="楷体_GB2312" w:eastAsia="楷体_GB2312" w:cs="楷体_GB2312" w:hint="eastAsia"/>
          <w:b/>
          <w:bCs/>
          <w:color w:val="000000"/>
          <w:sz w:val="32"/>
          <w:szCs w:val="32"/>
          <w14:textFill>
            <w14:solidFill>
              <w14:srgbClr w14:val="000000"/>
            </w14:solidFill>
          </w14:textFill>
          <w:lang w:eastAsia="zh-CN"/>
          <w:highlight w:val="auto"/>
        </w:rPr>
      </w:pPr>
      <w:r>
        <w:rPr>
          <w:rFonts w:ascii="楷体_GB2312" w:eastAsia="楷体_GB2312" w:cs="楷体_GB2312" w:hint="eastAsia"/>
          <w:b/>
          <w:bCs/>
          <w:color w:val="000000"/>
          <w:sz w:val="32"/>
          <w:szCs w:val="32"/>
          <w14:textFill>
            <w14:solidFill>
              <w14:srgbClr w14:val="000000"/>
            </w14:solidFill>
          </w14:textFill>
          <w:lang w:eastAsia="zh-CN"/>
          <w:highlight w:val="auto"/>
        </w:rPr>
        <w:t>（二）检验项目</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1.辣椒的抽检项目包括镉（以 Cr 计）、克百威、氧乐果、多菌灵、氟虫腈。</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2.芹菜的抽检项目包括毒死蜱、甲拌磷、氯氟氰菊酯和高效氯氟氰菊酯、克百威、氧乐果、甲胺磷、氟虫腈。</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3.豆芽的抽检项目包括4-氯苯氧乙酸钠（以 4-氯苯氧乙酸计）、6-苄基腺嘌呤（6-BA)、铅（以 Pb 计）、镉（以 Cr 计）。</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4.韭菜的抽检项目包括镉（以 Cr 计）、腐霉利、毒死蜱、氧乐果、克百威、氯氟氰菊酯和高效氯氟氰菊酯、多菌灵、水胺硫磷。</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5.大白菜的抽检项目包括镉、毒死蜱、甲拌磷、氧乐果、涕灭威。</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6.豇豆的抽检项目包括克百威、灭蝇胺、氧乐果、水胺硫酸、氟虫腈、甲拌磷。</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7.油麦菜的抽检项目包括氟虫腈、氧乐果、克百威、水胺硫磷、甲基异柳磷。</w:t>
      </w:r>
    </w:p>
    <w:p>
      <w:pPr>
        <w:pStyle w:val="15"/>
        <w:ind w:left="0" w:firstLineChars="200" w:firstLine="560"/>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8.甜椒的抽检项目包括氧乐果、敌敌畏、克百威、水胺硫磷、甲胺磷。</w:t>
      </w:r>
    </w:p>
    <w:p>
      <w:pPr>
        <w:pStyle w:val="15"/>
        <w:ind w:left="0" w:firstLineChars="200" w:firstLine="560"/>
        <w:rPr>
          <w:rFonts w:ascii="仿宋_GB2312" w:eastAsia="仿宋_GB2312" w:cs="仿宋_GB2312"/>
          <w:color w:val="000000"/>
          <w:kern w:val="2"/>
          <w:sz w:val="28"/>
          <w:szCs w:val="28"/>
          <w14:textFill>
            <w14:solidFill>
              <w14:srgbClr w14:val="000000"/>
            </w14:solidFill>
          </w14:textFill>
          <w:lang w:val="en-US" w:eastAsia="zh-CN" w:bidi="ar-SA"/>
          <w:highlight w:val="auto"/>
        </w:rPr>
      </w:pPr>
      <w:r>
        <w:rPr>
          <w:rFonts w:ascii="仿宋_GB2312" w:eastAsia="仿宋_GB2312" w:cs="仿宋_GB2312" w:hint="eastAsia"/>
          <w:color w:val="000000"/>
          <w:kern w:val="2"/>
          <w:sz w:val="28"/>
          <w:szCs w:val="28"/>
          <w14:textFill>
            <w14:solidFill>
              <w14:srgbClr w14:val="000000"/>
            </w14:solidFill>
          </w14:textFill>
          <w:lang w:val="en-US" w:eastAsia="zh-CN" w:bidi="ar-SA"/>
          <w:highlight w:val="auto"/>
        </w:rPr>
        <w:t>9.猪肝的抽检项目包括克伦特罗、五氯酚酸钠（以五氯酚计）、莱克多巴胺、沙丁胺醇、土霉素。</w:t>
      </w:r>
    </w:p>
    <w:p>
      <w:pPr>
        <w:pStyle w:val="15"/>
        <w:ind w:left="0" w:firstLineChars="200" w:firstLine="560"/>
        <w:rPr>
          <w:rFonts w:ascii="仿宋_GB2312" w:eastAsia="仿宋_GB2312" w:cs="仿宋_GB2312"/>
          <w:color w:val="000000"/>
          <w:kern w:val="2"/>
          <w:sz w:val="28"/>
          <w:szCs w:val="28"/>
          <w14:textFill>
            <w14:solidFill>
              <w14:srgbClr w14:val="000000"/>
            </w14:solidFill>
          </w14:textFill>
          <w:lang w:val="en-US" w:eastAsia="zh-CN" w:bidi="ar-SA"/>
          <w:highlight w:val="auto"/>
        </w:rPr>
      </w:pP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altName w:val="微软雅黑"/>
    <w:panose1 w:val="03000509000000000000"/>
    <w:charset w:val="86"/>
    <w:family w:val="auto"/>
    <w:pitch w:val="variable"/>
    <w:sig w:usb0="00000000" w:usb1="00000000" w:usb2="0000000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Arial" w:hAnsi="Times New Roman"/>
      <w:kern w:val="2"/>
      <w:sz w:val="21"/>
      <w:szCs w:val="21"/>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ody Text"/>
    <w:qFormat/>
    <w:basedOn w:val="0"/>
    <w:pPr>
      <w:spacing w:after="120" w:afterAutospacing="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Yozo_Office27021597764231180</Application>
  <Pages>2</Pages>
  <Words>0</Words>
  <Characters>526</Characters>
  <Lines>0</Lines>
  <Paragraphs>17</Paragraphs>
  <CharactersWithSpaces>702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dcterms:created xsi:type="dcterms:W3CDTF">2019-04-12T02:08:00Z</dcterms:created>
  <dcterms:modified xsi:type="dcterms:W3CDTF">2021-09-08T02:29:34Z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2052-11.1.0.10700</vt:lpwstr>
  </property>
  <property fmtid="{D5CDD505-2E9C-101B-9397-08002B2CF9AE}" pid="3" name="ICV">
    <vt:lpwstr>5BDDA03EC1924EA298E32852C1464795</vt:lpwstr>
  </property>
</Properties>
</file>