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关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于凤阁岭镇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2021年中央提前批财政专项资金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毛家庄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村股份经济合作社果蔬种植设施农业项目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凤阁岭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</w:rPr>
        <w:t>毛家庄村股份经济合作社果蔬种植设施农业项目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实施方案的报告》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(凤镇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经3月12日宝鸡市陈仓区2021年产业扶贫项目评审会公开质询评审，该项目符合扶贫项目管理规定，同意你镇实施</w:t>
      </w:r>
      <w:r>
        <w:rPr>
          <w:rFonts w:hint="eastAsia" w:ascii="仿宋_GB2312" w:eastAsia="仿宋_GB2312"/>
          <w:sz w:val="32"/>
          <w:szCs w:val="32"/>
        </w:rPr>
        <w:t>毛家庄村股份经济合作社果蔬种植设施农业项目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一、项目建设规模及内容：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该项目建设地点位于毛家庄村三组，项目建设占地面积</w:t>
      </w:r>
      <w:r>
        <w:rPr>
          <w:rFonts w:ascii="仿宋_GB2312" w:eastAsia="仿宋_GB2312"/>
          <w:sz w:val="32"/>
          <w:szCs w:val="32"/>
        </w:rPr>
        <w:t>1501.5</w:t>
      </w:r>
      <w:r>
        <w:rPr>
          <w:rFonts w:hint="eastAsia" w:ascii="仿宋_GB2312" w:eastAsia="仿宋_GB2312"/>
          <w:sz w:val="32"/>
          <w:szCs w:val="32"/>
        </w:rPr>
        <w:t>平方米。建设内容：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、制冷保鲜库</w:t>
      </w:r>
      <w:r>
        <w:rPr>
          <w:rFonts w:ascii="仿宋_GB2312" w:eastAsia="仿宋_GB2312"/>
          <w:sz w:val="32"/>
          <w:szCs w:val="32"/>
        </w:rPr>
        <w:t>955.5</w:t>
      </w:r>
      <w:r>
        <w:rPr>
          <w:rFonts w:hint="eastAsia" w:ascii="仿宋_GB2312" w:eastAsia="仿宋_GB2312"/>
          <w:sz w:val="32"/>
          <w:szCs w:val="32"/>
        </w:rPr>
        <w:t>平方米（长</w:t>
      </w:r>
      <w:r>
        <w:rPr>
          <w:rFonts w:ascii="仿宋_GB2312" w:eastAsia="仿宋_GB2312"/>
          <w:sz w:val="32"/>
          <w:szCs w:val="32"/>
        </w:rPr>
        <w:t>45.5</w:t>
      </w:r>
      <w:r>
        <w:rPr>
          <w:rFonts w:hint="eastAsia" w:ascii="仿宋_GB2312" w:eastAsia="仿宋_GB2312"/>
          <w:sz w:val="32"/>
          <w:szCs w:val="32"/>
        </w:rPr>
        <w:t>米、宽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米、高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米）；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、分拣包装库</w:t>
      </w:r>
      <w:r>
        <w:rPr>
          <w:rFonts w:ascii="仿宋_GB2312" w:eastAsia="仿宋_GB2312"/>
          <w:sz w:val="32"/>
          <w:szCs w:val="32"/>
        </w:rPr>
        <w:t>546</w:t>
      </w:r>
      <w:r>
        <w:rPr>
          <w:rFonts w:hint="eastAsia" w:ascii="仿宋_GB2312" w:eastAsia="仿宋_GB2312"/>
          <w:sz w:val="32"/>
          <w:szCs w:val="32"/>
        </w:rPr>
        <w:t>平方米（长</w:t>
      </w:r>
      <w:r>
        <w:rPr>
          <w:rFonts w:ascii="仿宋_GB2312" w:eastAsia="仿宋_GB2312"/>
          <w:sz w:val="32"/>
          <w:szCs w:val="32"/>
        </w:rPr>
        <w:t>45.5</w:t>
      </w:r>
      <w:r>
        <w:rPr>
          <w:rFonts w:hint="eastAsia" w:ascii="仿宋_GB2312" w:eastAsia="仿宋_GB2312"/>
          <w:sz w:val="32"/>
          <w:szCs w:val="32"/>
        </w:rPr>
        <w:t>米、宽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米、高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米）；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、制冷（风冷）设备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套；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、叉车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台；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、冷库箱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个；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、监控设备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套。</w:t>
      </w:r>
    </w:p>
    <w:p>
      <w:p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二、项目资金来源：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该项目总投资</w:t>
      </w:r>
      <w:r>
        <w:rPr>
          <w:rFonts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中央提前批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财政专项扶贫资金</w:t>
      </w:r>
      <w:r>
        <w:rPr>
          <w:rFonts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tbl>
      <w:tblPr>
        <w:tblStyle w:val="2"/>
        <w:tblW w:w="94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236"/>
        <w:gridCol w:w="1033"/>
        <w:gridCol w:w="2012"/>
        <w:gridCol w:w="1744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9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概算表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0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长×宽×高（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7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制冷保鲜库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955.5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45.5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分拣包装库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546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平方米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45.5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491400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制冷设备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小型叉车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冷库箱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1.2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监控设备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27600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合计（元）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300</w:t>
            </w:r>
            <w:r>
              <w:rPr>
                <w:rFonts w:ascii="宋体" w:cs="宋体"/>
                <w:kern w:val="0"/>
                <w:sz w:val="24"/>
              </w:rPr>
              <w:t>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三、项目管理要求：项目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四、项目实施要求：加强领导，落实责任，抓好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；严格扶贫资金管控，做好公示公告工作，增强资金使用透明度；加强</w:t>
      </w:r>
      <w:r>
        <w:rPr>
          <w:rFonts w:hint="eastAsia" w:ascii="仿宋" w:hAnsi="仿宋" w:eastAsia="仿宋" w:cs="仿宋"/>
          <w:sz w:val="32"/>
          <w:szCs w:val="32"/>
        </w:rPr>
        <w:t>项目档案资料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2.5pt;height:0pt;width:441pt;z-index:251660288;mso-width-relative:page;mso-height-relative:page;" filled="f" stroked="t" coordsize="21600,21600" o:gfxdata="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LS5D1QAAAAkBAAAPAAAAAAAAAAEAIAAAACIAAABkcnMvZG93bnJldi54bWxQ&#10;SwECFAAUAAAACACHTuJArzXzZPoBAADy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233680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18.4pt;height:0pt;width:442.5pt;z-index:251659264;mso-width-relative:page;mso-height-relative:page;" filled="f" stroked="t" coordsize="21600,21600" o:gfxdata="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PigXNcAAAAJAQAADwAAAAAAAAABACAAAAAiAAAAZHJzL2Rvd25yZXYueG1s&#10;UEsBAhQAFAAAAAgAh07iQKkCdl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706"/>
    <w:rsid w:val="015964E2"/>
    <w:rsid w:val="038434DD"/>
    <w:rsid w:val="04355933"/>
    <w:rsid w:val="04AD2DA1"/>
    <w:rsid w:val="04BF1E96"/>
    <w:rsid w:val="0557256A"/>
    <w:rsid w:val="06946C7E"/>
    <w:rsid w:val="07904C7F"/>
    <w:rsid w:val="07E65812"/>
    <w:rsid w:val="08403094"/>
    <w:rsid w:val="087A565A"/>
    <w:rsid w:val="08E170E1"/>
    <w:rsid w:val="0AE01D6D"/>
    <w:rsid w:val="0B427524"/>
    <w:rsid w:val="0BBB1B0F"/>
    <w:rsid w:val="0D9151F5"/>
    <w:rsid w:val="0D9F0966"/>
    <w:rsid w:val="0EF7144D"/>
    <w:rsid w:val="115A1959"/>
    <w:rsid w:val="143026E8"/>
    <w:rsid w:val="15AA2E0F"/>
    <w:rsid w:val="19A23990"/>
    <w:rsid w:val="1ACD68AD"/>
    <w:rsid w:val="1EAA0FA1"/>
    <w:rsid w:val="1EC13B04"/>
    <w:rsid w:val="1F9E2848"/>
    <w:rsid w:val="211C634F"/>
    <w:rsid w:val="21F7049F"/>
    <w:rsid w:val="227E36A6"/>
    <w:rsid w:val="22CB64FD"/>
    <w:rsid w:val="232B1B13"/>
    <w:rsid w:val="240F5891"/>
    <w:rsid w:val="24DE4884"/>
    <w:rsid w:val="25B92DD3"/>
    <w:rsid w:val="2640091C"/>
    <w:rsid w:val="29AC3A74"/>
    <w:rsid w:val="2A3A65A0"/>
    <w:rsid w:val="2BE24CCF"/>
    <w:rsid w:val="2DFD3C46"/>
    <w:rsid w:val="2F302676"/>
    <w:rsid w:val="2F920BC1"/>
    <w:rsid w:val="338318B1"/>
    <w:rsid w:val="34460513"/>
    <w:rsid w:val="34762254"/>
    <w:rsid w:val="34B862B9"/>
    <w:rsid w:val="34DF1DA8"/>
    <w:rsid w:val="37045B49"/>
    <w:rsid w:val="38C851BF"/>
    <w:rsid w:val="3B18707B"/>
    <w:rsid w:val="3BED577A"/>
    <w:rsid w:val="3C8D7A66"/>
    <w:rsid w:val="3E7A03FD"/>
    <w:rsid w:val="411B506A"/>
    <w:rsid w:val="41AD65C8"/>
    <w:rsid w:val="461E1B7D"/>
    <w:rsid w:val="480D7AA0"/>
    <w:rsid w:val="49F761D8"/>
    <w:rsid w:val="4A036184"/>
    <w:rsid w:val="4A582188"/>
    <w:rsid w:val="4CC67718"/>
    <w:rsid w:val="4FFF0E90"/>
    <w:rsid w:val="510434A7"/>
    <w:rsid w:val="52082081"/>
    <w:rsid w:val="5365394D"/>
    <w:rsid w:val="55946C04"/>
    <w:rsid w:val="569A02A3"/>
    <w:rsid w:val="5A6F5374"/>
    <w:rsid w:val="5B4A2270"/>
    <w:rsid w:val="5C46762F"/>
    <w:rsid w:val="5E844B1F"/>
    <w:rsid w:val="5F3A0169"/>
    <w:rsid w:val="5F910EC3"/>
    <w:rsid w:val="5FE838A6"/>
    <w:rsid w:val="61096C1C"/>
    <w:rsid w:val="62B76A8C"/>
    <w:rsid w:val="642632E3"/>
    <w:rsid w:val="64B75FF3"/>
    <w:rsid w:val="65B407BD"/>
    <w:rsid w:val="65D117B2"/>
    <w:rsid w:val="66550844"/>
    <w:rsid w:val="667C054B"/>
    <w:rsid w:val="66F57B61"/>
    <w:rsid w:val="676C7FAA"/>
    <w:rsid w:val="681A6806"/>
    <w:rsid w:val="69031739"/>
    <w:rsid w:val="69615E07"/>
    <w:rsid w:val="69F81074"/>
    <w:rsid w:val="6B1A10E9"/>
    <w:rsid w:val="6C737673"/>
    <w:rsid w:val="6DE2009F"/>
    <w:rsid w:val="6E0531F0"/>
    <w:rsid w:val="6E776C39"/>
    <w:rsid w:val="701F1725"/>
    <w:rsid w:val="71DE7B57"/>
    <w:rsid w:val="748550CF"/>
    <w:rsid w:val="75E90D44"/>
    <w:rsid w:val="7A703437"/>
    <w:rsid w:val="7CA9548B"/>
    <w:rsid w:val="7F6E5418"/>
    <w:rsid w:val="7FA0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2020-05-12T05:49:00Z</cp:lastPrinted>
  <dcterms:modified xsi:type="dcterms:W3CDTF">2021-04-01T01:39:37Z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65C6326A39BC41EBA3C0E9A105556EE9</vt:lpwstr>
  </property>
</Properties>
</file>