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firstLine="2240" w:firstLineChars="7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firstLine="2240" w:firstLineChars="7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firstLine="2240" w:firstLineChars="7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firstLine="2240" w:firstLineChars="7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firstLine="2240" w:firstLineChars="7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firstLine="2240" w:firstLineChars="7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firstLine="2240" w:firstLineChars="7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宝陈农字〔2020〕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napToGrid w:val="0"/>
        <w:spacing w:line="440" w:lineRule="exact"/>
        <w:ind w:firstLine="2400" w:firstLineChars="500"/>
        <w:jc w:val="center"/>
        <w:rPr>
          <w:rFonts w:ascii="黑体" w:hAnsi="黑体" w:eastAsia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rPr>
          <w:rFonts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坪头</w:t>
      </w:r>
      <w:r>
        <w:rPr>
          <w:rFonts w:hint="eastAsia" w:ascii="黑体" w:hAnsi="黑体" w:eastAsia="黑体" w:cs="黑体"/>
          <w:sz w:val="36"/>
          <w:szCs w:val="36"/>
        </w:rPr>
        <w:t>镇2020年贫困户巩固提升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项目实施方案报告的批复</w:t>
      </w:r>
    </w:p>
    <w:p>
      <w:pPr>
        <w:snapToGrid w:val="0"/>
        <w:spacing w:line="500" w:lineRule="exact"/>
        <w:ind w:firstLine="0" w:firstLineChars="0"/>
        <w:rPr>
          <w:rFonts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坪头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你镇《关于上报2020年省级提前批次财政专项扶贫资金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贫困户产业巩固提升</w:t>
      </w:r>
      <w:r>
        <w:rPr>
          <w:rFonts w:hint="eastAsia" w:ascii="仿宋" w:hAnsi="仿宋" w:eastAsia="仿宋" w:cs="仿宋"/>
          <w:sz w:val="32"/>
          <w:szCs w:val="32"/>
        </w:rPr>
        <w:t>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宝陈坪</w:t>
      </w:r>
      <w:r>
        <w:rPr>
          <w:rFonts w:hint="eastAsia" w:ascii="仿宋" w:hAnsi="仿宋" w:eastAsia="仿宋" w:cs="仿宋"/>
          <w:sz w:val="32"/>
          <w:szCs w:val="32"/>
        </w:rPr>
        <w:t>政发〔2020〕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号)收悉。经3月4日宝鸡市陈仓区2020年产业扶贫项目评审会公开质询评审，该项目符合扶贫项目管理规定，同意你镇实施贫困户巩固提升项目，现批复如下：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项目建设内容及规模：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在全镇庙沟、西庄、石鱼沟、四沟滩、新民、大湾河、王家咀、林光、南山、码头、大坪、营头、庵里等13个行政村实施，参与贫困户419户。该项目主要对</w:t>
      </w:r>
      <w:r>
        <w:rPr>
          <w:rFonts w:hint="eastAsia" w:ascii="仿宋" w:hAnsi="仿宋" w:eastAsia="仿宋" w:cs="仿宋"/>
          <w:kern w:val="0"/>
          <w:sz w:val="32"/>
          <w:szCs w:val="32"/>
        </w:rPr>
        <w:t>2018年、2019年、2020年</w:t>
      </w:r>
      <w:r>
        <w:rPr>
          <w:rFonts w:hint="eastAsia" w:ascii="仿宋" w:hAnsi="仿宋" w:eastAsia="仿宋"/>
          <w:sz w:val="32"/>
          <w:szCs w:val="32"/>
        </w:rPr>
        <w:t>依托政策扶持发展生产且生产正常经营的贫困户给予扶持。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（1）林果产业：对 </w:t>
      </w:r>
      <w:r>
        <w:rPr>
          <w:rFonts w:hint="eastAsia" w:ascii="仿宋" w:hAnsi="仿宋" w:eastAsia="仿宋" w:cs="仿宋"/>
          <w:kern w:val="0"/>
          <w:sz w:val="32"/>
          <w:szCs w:val="32"/>
        </w:rPr>
        <w:t>2018年、2019年、2020年三</w:t>
      </w:r>
      <w:r>
        <w:rPr>
          <w:rFonts w:hint="eastAsia" w:ascii="仿宋" w:hAnsi="仿宋" w:eastAsia="仿宋"/>
          <w:sz w:val="32"/>
          <w:szCs w:val="32"/>
        </w:rPr>
        <w:t>年扶持的13个村的贫困户建成的花椒、核桃产业给予化肥、农药等生产费用补助。巩固提升花椒产业741.22亩，巩固提升核桃产业146.3亩，巩固提升板栗产业11.5亩，巩固提升育苗产业2亩。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（2）中药材产业：对2019年、2020年两年扶持贫困户发展的中药材，给予生产性补助。巩固提升中药材产业259.8亩。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（3）桃产业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对2018年、2019年、2020年三年扶持贫困户发展的桃，给予生产性补助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巩固提升桃产业3亩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以上项目共扶持419户贫困户。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项目资金来源：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11.9082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 w:cs="仿宋"/>
          <w:sz w:val="32"/>
          <w:szCs w:val="32"/>
        </w:rPr>
        <w:t>省级提前批财政专项扶贫资金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</w:rPr>
        <w:t>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项目实施要求：</w:t>
      </w:r>
      <w:r>
        <w:rPr>
          <w:rFonts w:hint="eastAsia" w:ascii="仿宋" w:hAnsi="仿宋" w:eastAsia="仿宋" w:cs="仿宋"/>
          <w:sz w:val="32"/>
          <w:szCs w:val="32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160" w:firstLineChars="13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pict>
          <v:line id="_x0000_s1026" o:spid="_x0000_s1026" o:spt="20" style="position:absolute;left:0pt;margin-left:-9pt;margin-top:14.75pt;height:0pt;width:441pt;z-index:251660288;mso-width-relative:page;mso-height-relative:page;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0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pict>
          <v:line id="_x0000_s1028" o:spid="_x0000_s1028" o:spt="20" style="position:absolute;left:0pt;flip:y;margin-left:-9.85pt;margin-top:24.65pt;height:0.85pt;width:446.7pt;z-index:251661312;mso-width-relative:page;mso-height-relative:page;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8.65pt;margin-top:0.65pt;height:0pt;width:442.5pt;z-index:251658240;mso-width-relative:page;mso-height-relative:page;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>宝鸡市陈仓区农业农村局                  2020年3月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A2FB"/>
    <w:multiLevelType w:val="singleLevel"/>
    <w:tmpl w:val="4015A2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49F"/>
    <w:rsid w:val="00090182"/>
    <w:rsid w:val="002101A6"/>
    <w:rsid w:val="00593166"/>
    <w:rsid w:val="00800B0E"/>
    <w:rsid w:val="008761B0"/>
    <w:rsid w:val="00D542C9"/>
    <w:rsid w:val="00E5349F"/>
    <w:rsid w:val="015964E2"/>
    <w:rsid w:val="03783880"/>
    <w:rsid w:val="04BF1E96"/>
    <w:rsid w:val="06946C7E"/>
    <w:rsid w:val="0B427524"/>
    <w:rsid w:val="0BBB1B0F"/>
    <w:rsid w:val="0D9151F5"/>
    <w:rsid w:val="1ACD68AD"/>
    <w:rsid w:val="211C634F"/>
    <w:rsid w:val="21F7049F"/>
    <w:rsid w:val="240F5891"/>
    <w:rsid w:val="24DE4884"/>
    <w:rsid w:val="25B92DD3"/>
    <w:rsid w:val="2640091C"/>
    <w:rsid w:val="2BE24CCF"/>
    <w:rsid w:val="2F920BC1"/>
    <w:rsid w:val="338318B1"/>
    <w:rsid w:val="34460513"/>
    <w:rsid w:val="34762254"/>
    <w:rsid w:val="3BED577A"/>
    <w:rsid w:val="3E7A03FD"/>
    <w:rsid w:val="3F0A0027"/>
    <w:rsid w:val="41AD65C8"/>
    <w:rsid w:val="4B5A1BE4"/>
    <w:rsid w:val="4CC67718"/>
    <w:rsid w:val="52082081"/>
    <w:rsid w:val="5365394D"/>
    <w:rsid w:val="5B4A2270"/>
    <w:rsid w:val="5C46762F"/>
    <w:rsid w:val="5DFB6A99"/>
    <w:rsid w:val="61096C1C"/>
    <w:rsid w:val="642632E3"/>
    <w:rsid w:val="66550844"/>
    <w:rsid w:val="667C054B"/>
    <w:rsid w:val="66F57B61"/>
    <w:rsid w:val="69031739"/>
    <w:rsid w:val="69615E07"/>
    <w:rsid w:val="69F81074"/>
    <w:rsid w:val="6B1A10E9"/>
    <w:rsid w:val="6DE2009F"/>
    <w:rsid w:val="6E0531F0"/>
    <w:rsid w:val="71536595"/>
    <w:rsid w:val="71826C48"/>
    <w:rsid w:val="71DE7B57"/>
    <w:rsid w:val="72B6390A"/>
    <w:rsid w:val="748550CF"/>
    <w:rsid w:val="75E90D44"/>
    <w:rsid w:val="7A703437"/>
    <w:rsid w:val="7FA07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</Words>
  <Characters>679</Characters>
  <Lines>5</Lines>
  <Paragraphs>1</Paragraphs>
  <TotalTime>9</TotalTime>
  <ScaleCrop>false</ScaleCrop>
  <LinksUpToDate>false</LinksUpToDate>
  <CharactersWithSpaces>796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2020-03-09T10:10:00Z</cp:lastPrinted>
  <dcterms:modified xsi:type="dcterms:W3CDTF">2020-03-16T09:34:09Z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