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香泉镇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2020年贫困村产业路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香泉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财政专项扶贫资金产业扶贫项目实施方案的报告</w:t>
      </w:r>
      <w:r>
        <w:rPr>
          <w:rFonts w:hint="eastAsia" w:ascii="仿宋" w:hAnsi="仿宋" w:eastAsia="仿宋" w:cs="仿宋"/>
          <w:sz w:val="32"/>
          <w:szCs w:val="32"/>
        </w:rPr>
        <w:t>》(</w:t>
      </w:r>
      <w:bookmarkStart w:id="0" w:name="OLE_LINK2"/>
      <w:r>
        <w:rPr>
          <w:rFonts w:hint="eastAsia" w:ascii="仿宋_GB2312" w:eastAsia="仿宋_GB2312"/>
          <w:sz w:val="32"/>
          <w:szCs w:val="32"/>
          <w:lang w:eastAsia="zh-CN"/>
        </w:rPr>
        <w:t>宝陈</w:t>
      </w:r>
      <w:r>
        <w:rPr>
          <w:rFonts w:hint="eastAsia" w:ascii="仿宋_GB2312" w:eastAsia="仿宋_GB2312"/>
          <w:sz w:val="32"/>
          <w:szCs w:val="32"/>
        </w:rPr>
        <w:t>香政发〔20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  <w:r>
        <w:rPr>
          <w:rFonts w:hint="eastAsia" w:ascii="仿宋" w:hAnsi="仿宋" w:eastAsia="仿宋" w:cs="仿宋"/>
          <w:sz w:val="32"/>
          <w:szCs w:val="32"/>
        </w:rPr>
        <w:t>)收悉。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项目建设内容及规模：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泉镇王家庄村（刘家沟后头湾－产业园）道路建设工程。新修水泥产业路1.3公里，项目实施期限40天；基层压实度要求97%，路基挖土方1080立方米，15cm级配砂砾基层总面积6098平方米、宽度4.5米；18cm水泥混凝土路面面层总面积4743平方米、宽度3.5米；路肩总长度2710米，宽度0.5米；钢筋混凝土圆管涵3道，总长14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该项目不仅能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改善本村农业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生产条件，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方便群众生产生活出行，还能使52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户贫困户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投资60万元，全部为省级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提前批次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财政专项扶贫资金。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项目严格按照区脱贫办《关于印发宝鸡市陈仓区产业扶贫政策实施细则》（宝陈脱贫组发〔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）有关产业扶贫项目管理要求组织实施。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月底前完成项目建设任务、资金兑付和报账工作，接受上级检查验收。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ind w:left="0" w:leftChars="0" w:firstLine="0" w:firstLineChars="0"/>
        <w:jc w:val="both"/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AFEB6"/>
    <w:multiLevelType w:val="singleLevel"/>
    <w:tmpl w:val="84EAFE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1B7106F"/>
    <w:rsid w:val="04BF1E96"/>
    <w:rsid w:val="056412FD"/>
    <w:rsid w:val="0B427524"/>
    <w:rsid w:val="0D9151F5"/>
    <w:rsid w:val="12E85031"/>
    <w:rsid w:val="16C775D8"/>
    <w:rsid w:val="1ACD68AD"/>
    <w:rsid w:val="211C634F"/>
    <w:rsid w:val="212E3875"/>
    <w:rsid w:val="240F5891"/>
    <w:rsid w:val="249F6004"/>
    <w:rsid w:val="24DE4884"/>
    <w:rsid w:val="2F920BC1"/>
    <w:rsid w:val="3002590A"/>
    <w:rsid w:val="338318B1"/>
    <w:rsid w:val="34762254"/>
    <w:rsid w:val="36FE3E72"/>
    <w:rsid w:val="37773AD4"/>
    <w:rsid w:val="3A984D80"/>
    <w:rsid w:val="3BED577A"/>
    <w:rsid w:val="3E7A03FD"/>
    <w:rsid w:val="3EC34B32"/>
    <w:rsid w:val="3F8101D4"/>
    <w:rsid w:val="41711E74"/>
    <w:rsid w:val="52082081"/>
    <w:rsid w:val="566A6423"/>
    <w:rsid w:val="5BCA4C2E"/>
    <w:rsid w:val="5CAD7D03"/>
    <w:rsid w:val="61096C1C"/>
    <w:rsid w:val="62226B6A"/>
    <w:rsid w:val="642632E3"/>
    <w:rsid w:val="667C054B"/>
    <w:rsid w:val="66F57B61"/>
    <w:rsid w:val="69031739"/>
    <w:rsid w:val="69615E07"/>
    <w:rsid w:val="6B1A10E9"/>
    <w:rsid w:val="6E945EF0"/>
    <w:rsid w:val="6EE17098"/>
    <w:rsid w:val="74D97A75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2020-03-06T09:28:00Z</cp:lastPrinted>
  <dcterms:modified xsi:type="dcterms:W3CDTF">2020-03-16T09:28:54Z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