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firstLine="0" w:firstLineChars="0"/>
        <w:jc w:val="center"/>
        <w:textAlignment w:val="auto"/>
        <w:rPr>
          <w:rFonts w:ascii="黑体" w:hAnsi="黑体" w:eastAsia="黑体"/>
          <w:spacing w:val="6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宝陈农</w:t>
      </w:r>
      <w:r>
        <w:rPr>
          <w:rFonts w:hint="eastAsia" w:ascii="仿宋" w:hAnsi="仿宋" w:eastAsia="仿宋"/>
          <w:sz w:val="32"/>
          <w:szCs w:val="32"/>
          <w:lang w:eastAsia="zh-CN"/>
        </w:rPr>
        <w:t>发</w:t>
      </w:r>
      <w:r>
        <w:rPr>
          <w:rFonts w:hint="eastAsia" w:ascii="仿宋" w:hAnsi="仿宋" w:eastAsia="仿宋"/>
          <w:sz w:val="32"/>
          <w:szCs w:val="32"/>
        </w:rPr>
        <w:t>〔20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119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2400" w:firstLineChars="500"/>
        <w:jc w:val="center"/>
        <w:textAlignment w:val="auto"/>
        <w:rPr>
          <w:rFonts w:hint="eastAsia" w:ascii="黑体" w:hAnsi="黑体" w:eastAsia="黑体"/>
          <w:spacing w:val="6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pacing w:val="6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宝鸡市陈仓区农业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农村</w:t>
      </w:r>
      <w:r>
        <w:rPr>
          <w:rFonts w:hint="eastAsia" w:ascii="黑体" w:hAnsi="黑体" w:eastAsia="黑体" w:cs="黑体"/>
          <w:sz w:val="36"/>
          <w:szCs w:val="36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关于陈仓区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2021年周原镇消费帮扶交易点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建设项目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实施方案</w:t>
      </w:r>
      <w:r>
        <w:rPr>
          <w:rFonts w:hint="eastAsia" w:ascii="黑体" w:hAnsi="黑体" w:eastAsia="黑体" w:cs="黑体"/>
          <w:sz w:val="36"/>
          <w:szCs w:val="36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周原镇人民政府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镇上报的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《2021年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产业扶贫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项目实施方案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的报告</w:t>
      </w:r>
      <w:r>
        <w:rPr>
          <w:rFonts w:hint="eastAsia" w:ascii="仿宋" w:hAnsi="仿宋" w:eastAsia="仿宋" w:cs="仿宋"/>
          <w:sz w:val="32"/>
          <w:szCs w:val="32"/>
        </w:rPr>
        <w:t>》(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周镇政字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</w:rPr>
        <w:t>2021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205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收悉。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经8月6日宝鸡市陈仓区2021年中省衔接财政专项资金项目评审会公开质询评审，该项目符合项目管理规定，同意你镇实施消费帮扶交易点建设项目，现批复如下：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项目建设内容及规模</w:t>
      </w:r>
    </w:p>
    <w:p>
      <w:pPr>
        <w:ind w:left="160"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1、建设地点及规模</w:t>
      </w:r>
    </w:p>
    <w:p>
      <w:pPr>
        <w:spacing w:line="640" w:lineRule="exact"/>
        <w:ind w:firstLine="560"/>
        <w:outlineLvl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项目选址在宝鸡市陈仓区周原镇中堡村、西刘村、油坊村、张谢村的绿丰源现代农业产业园内，占地面积约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、项目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建设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内容</w:t>
      </w:r>
    </w:p>
    <w:p>
      <w:pPr>
        <w:spacing w:line="640" w:lineRule="exact"/>
        <w:ind w:firstLine="560"/>
        <w:outlineLvl w:val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建设消费帮扶农产品自由交易区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2个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  <w:lang w:eastAsia="zh-CN"/>
        </w:rPr>
        <w:t>对大</w:t>
      </w:r>
      <w:r>
        <w:rPr>
          <w:rFonts w:hint="eastAsia" w:ascii="仿宋_GB2312" w:eastAsia="仿宋_GB2312"/>
          <w:sz w:val="32"/>
          <w:szCs w:val="32"/>
        </w:rPr>
        <w:t>棚</w:t>
      </w:r>
      <w:r>
        <w:rPr>
          <w:rFonts w:hint="eastAsia" w:ascii="仿宋_GB2312" w:eastAsia="仿宋_GB2312"/>
          <w:sz w:val="32"/>
          <w:szCs w:val="32"/>
          <w:lang w:eastAsia="zh-CN"/>
        </w:rPr>
        <w:t>耳房进行</w:t>
      </w:r>
      <w:r>
        <w:rPr>
          <w:rFonts w:hint="eastAsia" w:ascii="仿宋_GB2312" w:eastAsia="仿宋_GB2312"/>
          <w:sz w:val="32"/>
          <w:szCs w:val="32"/>
        </w:rPr>
        <w:t>改造17个；</w:t>
      </w:r>
      <w:r>
        <w:rPr>
          <w:rFonts w:hint="eastAsia" w:ascii="仿宋_GB2312" w:eastAsia="仿宋_GB2312"/>
          <w:sz w:val="32"/>
          <w:szCs w:val="32"/>
          <w:lang w:eastAsia="zh-CN"/>
        </w:rPr>
        <w:t>新建</w:t>
      </w:r>
      <w:r>
        <w:rPr>
          <w:rFonts w:hint="eastAsia" w:ascii="仿宋_GB2312" w:eastAsia="仿宋_GB2312"/>
          <w:sz w:val="32"/>
          <w:szCs w:val="32"/>
        </w:rPr>
        <w:t>彩绘道路1公里；</w:t>
      </w:r>
      <w:r>
        <w:rPr>
          <w:rFonts w:hint="eastAsia" w:ascii="仿宋_GB2312" w:eastAsia="仿宋_GB2312"/>
          <w:sz w:val="32"/>
          <w:szCs w:val="32"/>
          <w:lang w:eastAsia="zh-CN"/>
        </w:rPr>
        <w:t>改造交易点</w:t>
      </w:r>
      <w:r>
        <w:rPr>
          <w:rFonts w:hint="eastAsia" w:ascii="仿宋_GB2312" w:eastAsia="仿宋_GB2312"/>
          <w:sz w:val="32"/>
          <w:szCs w:val="32"/>
        </w:rPr>
        <w:t>周边出入口3处</w:t>
      </w:r>
      <w:r>
        <w:rPr>
          <w:rFonts w:hint="eastAsia" w:ascii="仿宋_GB2312" w:eastAsia="仿宋_GB2312"/>
          <w:sz w:val="32"/>
          <w:szCs w:val="32"/>
          <w:lang w:eastAsia="zh-CN"/>
        </w:rPr>
        <w:t>，方便群众就近销售农产品。</w:t>
      </w:r>
    </w:p>
    <w:p>
      <w:pPr>
        <w:spacing w:line="640" w:lineRule="exact"/>
        <w:ind w:left="0" w:leftChars="0" w:firstLine="640" w:firstLineChars="200"/>
        <w:outlineLvl w:val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⑴建设12000*9500*4500mm原石、铝方通结构农产品自由交易区及4000*5000*3000mm钢木结构消费帮扶农产品自由交易区各1个。</w:t>
      </w:r>
    </w:p>
    <w:p>
      <w:pPr>
        <w:spacing w:line="640" w:lineRule="exact"/>
        <w:ind w:left="0" w:leftChars="0" w:firstLine="640" w:firstLineChars="200"/>
        <w:outlineLvl w:val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⑵对17座大棚耳房门房改成3200*2100mm铝方通改造，对3600*3000mm屋顶进行修建喷灰漆。</w:t>
      </w:r>
    </w:p>
    <w:p>
      <w:pPr>
        <w:spacing w:line="640" w:lineRule="exact"/>
        <w:ind w:left="0" w:leftChars="0" w:firstLine="640" w:firstLineChars="200"/>
        <w:outlineLvl w:val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⑶新建宽5米彩绘道路1公里。</w:t>
      </w:r>
    </w:p>
    <w:p>
      <w:pPr>
        <w:spacing w:line="640" w:lineRule="exact"/>
        <w:ind w:firstLine="560"/>
        <w:outlineLvl w:val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⑷改造交易点周边出入口3处。</w:t>
      </w:r>
    </w:p>
    <w:p>
      <w:pPr>
        <w:spacing w:line="640" w:lineRule="exact"/>
        <w:ind w:firstLine="560"/>
        <w:outlineLvl w:val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①慕仪路绿丰源现代农业园区北门处，对北交易入口改造：门牌改造(含红砖基础、沙灰粉层、外贴文化砖、广告字制作安装、）6000*300*1800mm；北入口景墙15000*1800*300mm（含红砖砌筑、水泥砂浆找平、喷真石漆）；北交易口水景区26000*11000*500mm（含挖水景池、水泥砂浆砌筑、防水、零五碎石）。</w:t>
      </w:r>
    </w:p>
    <w:p>
      <w:pPr>
        <w:spacing w:line="640" w:lineRule="exact"/>
        <w:ind w:firstLine="560"/>
        <w:outlineLvl w:val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②绿丰现代农业园区内农产品展厅交易入口改造（含铝单板、屋檐）铝单板面积：15000*1000*7000mm;钢构尺寸12000*600*6000mm;屋檐尺寸9000*3000*300mm；</w:t>
      </w:r>
    </w:p>
    <w:p>
      <w:pPr>
        <w:spacing w:line="640" w:lineRule="exact"/>
        <w:ind w:firstLine="560"/>
        <w:outlineLvl w:val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③虢凤路绿丰源现代农业园区西门处交易入口改造：西交易入口构架：铝方通6000*5000mm、钢构长度17500mm、构架4000*3700mm；西门交易入口风车：高度为9m、7m、6m、4m.</w:t>
      </w:r>
    </w:p>
    <w:p>
      <w:pPr>
        <w:pStyle w:val="6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3、项目总投资及估算</w:t>
      </w:r>
    </w:p>
    <w:p>
      <w:pPr>
        <w:spacing w:line="640" w:lineRule="exact"/>
        <w:ind w:firstLine="560"/>
        <w:outlineLvl w:val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项目投资总规模128万元。</w:t>
      </w:r>
    </w:p>
    <w:p>
      <w:pPr>
        <w:spacing w:line="700" w:lineRule="exact"/>
        <w:ind w:firstLine="1394" w:firstLineChars="434"/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项目总投资及资金</w:t>
      </w:r>
      <w:r>
        <w:rPr>
          <w:rFonts w:hint="eastAsia" w:ascii="宋体" w:hAnsi="宋体"/>
          <w:b/>
          <w:sz w:val="32"/>
          <w:szCs w:val="32"/>
          <w:lang w:eastAsia="zh-CN"/>
        </w:rPr>
        <w:t>估算</w:t>
      </w:r>
      <w:r>
        <w:rPr>
          <w:rFonts w:hint="eastAsia" w:ascii="宋体" w:hAnsi="宋体"/>
          <w:b/>
          <w:sz w:val="32"/>
          <w:szCs w:val="32"/>
        </w:rPr>
        <w:t>方案明细表</w:t>
      </w:r>
    </w:p>
    <w:tbl>
      <w:tblPr>
        <w:tblStyle w:val="3"/>
        <w:tblW w:w="9082" w:type="dxa"/>
        <w:tblInd w:w="-33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0"/>
        <w:gridCol w:w="1372"/>
        <w:gridCol w:w="1395"/>
        <w:gridCol w:w="12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04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ind w:right="-250" w:rightChars="-119"/>
              <w:jc w:val="center"/>
              <w:rPr>
                <w:rFonts w:hint="eastAsia" w:ascii="仿宋_GB2312" w:hAnsi="宋体" w:eastAsia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</w:rPr>
              <w:t>项目具体内容及规模</w:t>
            </w:r>
          </w:p>
        </w:tc>
        <w:tc>
          <w:tcPr>
            <w:tcW w:w="1372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ind w:left="0" w:leftChars="0" w:right="-250" w:rightChars="-119" w:firstLine="0" w:firstLineChars="0"/>
              <w:jc w:val="both"/>
              <w:rPr>
                <w:rFonts w:hint="eastAsia" w:ascii="仿宋_GB2312" w:hAnsi="宋体" w:eastAsia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</w:rPr>
              <w:t>投资总额</w:t>
            </w:r>
          </w:p>
          <w:p>
            <w:pPr>
              <w:widowControl/>
              <w:spacing w:line="540" w:lineRule="exact"/>
              <w:ind w:left="0" w:leftChars="0" w:right="-250" w:rightChars="-119" w:firstLine="0" w:firstLineChars="0"/>
              <w:jc w:val="both"/>
              <w:rPr>
                <w:rFonts w:hint="eastAsia" w:ascii="仿宋_GB2312" w:hAnsi="宋体" w:eastAsia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</w:rPr>
              <w:t>（万元）</w:t>
            </w:r>
          </w:p>
        </w:tc>
        <w:tc>
          <w:tcPr>
            <w:tcW w:w="267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ind w:left="0" w:leftChars="0" w:firstLine="300" w:firstLineChars="100"/>
              <w:jc w:val="both"/>
              <w:rPr>
                <w:rFonts w:hint="eastAsia" w:ascii="仿宋_GB2312" w:hAnsi="宋体" w:eastAsia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</w:rPr>
              <w:t>资金构成</w:t>
            </w:r>
          </w:p>
          <w:p>
            <w:pPr>
              <w:widowControl/>
              <w:spacing w:line="540" w:lineRule="exact"/>
              <w:ind w:left="0" w:leftChars="0" w:firstLine="300" w:firstLineChars="100"/>
              <w:jc w:val="both"/>
              <w:rPr>
                <w:rFonts w:hint="eastAsia" w:ascii="仿宋_GB2312" w:hAnsi="宋体" w:eastAsia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</w:rPr>
              <w:t>（万元）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50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540" w:lineRule="exact"/>
              <w:ind w:firstLine="645"/>
              <w:jc w:val="center"/>
              <w:rPr>
                <w:rFonts w:hint="eastAsia" w:ascii="仿宋_GB2312" w:hAnsi="宋体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137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540" w:lineRule="exact"/>
              <w:ind w:firstLine="645"/>
              <w:jc w:val="center"/>
              <w:rPr>
                <w:rFonts w:hint="eastAsia" w:ascii="仿宋_GB2312" w:hAnsi="宋体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1395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ind w:left="0" w:leftChars="0" w:right="-250" w:rightChars="-119" w:firstLine="0" w:firstLineChars="0"/>
              <w:jc w:val="center"/>
              <w:rPr>
                <w:rFonts w:hint="eastAsia" w:ascii="仿宋_GB2312" w:hAnsi="宋体" w:eastAsia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</w:rPr>
              <w:t>申请财政资金</w:t>
            </w: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ind w:left="0" w:leftChars="0" w:right="-250" w:rightChars="-119" w:firstLine="0" w:firstLineChars="0"/>
              <w:jc w:val="both"/>
              <w:rPr>
                <w:rFonts w:hint="eastAsia" w:ascii="仿宋_GB2312" w:hAnsi="宋体" w:eastAsia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</w:rPr>
              <w:t>自筹资金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40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ind w:left="0" w:leftChars="0" w:right="-250" w:rightChars="-119" w:firstLine="0" w:firstLineChars="0"/>
              <w:jc w:val="left"/>
              <w:rPr>
                <w:rFonts w:hint="default" w:ascii="仿宋_GB2312" w:hAnsi="宋体" w:eastAsia="仿宋_GB231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</w:rPr>
              <w:t>1、</w:t>
            </w: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  <w:lang w:eastAsia="zh-CN"/>
              </w:rPr>
              <w:t>建设消费帮扶农产品交易区域</w:t>
            </w: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  <w:lang w:val="en-US" w:eastAsia="zh-CN"/>
              </w:rPr>
              <w:t>2个</w:t>
            </w:r>
          </w:p>
        </w:tc>
        <w:tc>
          <w:tcPr>
            <w:tcW w:w="1372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ind w:left="0" w:leftChars="0" w:firstLine="0" w:firstLineChars="0"/>
              <w:jc w:val="both"/>
              <w:rPr>
                <w:rFonts w:hint="default" w:ascii="仿宋_GB2312" w:hAnsi="宋体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  <w:lang w:val="en-US" w:eastAsia="zh-CN"/>
              </w:rPr>
              <w:t>39</w:t>
            </w:r>
          </w:p>
        </w:tc>
        <w:tc>
          <w:tcPr>
            <w:tcW w:w="1395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ind w:left="0" w:leftChars="0" w:firstLine="0" w:firstLineChars="0"/>
              <w:jc w:val="both"/>
              <w:rPr>
                <w:rFonts w:hint="default" w:ascii="仿宋_GB2312" w:hAnsi="宋体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  <w:lang w:val="en-US" w:eastAsia="zh-CN"/>
              </w:rPr>
              <w:t>39</w:t>
            </w: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40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ind w:left="0" w:leftChars="0" w:right="-250" w:rightChars="-119" w:firstLine="0" w:firstLineChars="0"/>
              <w:jc w:val="left"/>
              <w:rPr>
                <w:rFonts w:hint="eastAsia" w:ascii="仿宋_GB2312" w:hAnsi="宋体" w:eastAsia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</w:rPr>
              <w:t>2、</w:t>
            </w: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  <w:lang w:eastAsia="zh-CN"/>
              </w:rPr>
              <w:t>大棚耳房</w:t>
            </w: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</w:rPr>
              <w:t>改造17个</w:t>
            </w:r>
          </w:p>
        </w:tc>
        <w:tc>
          <w:tcPr>
            <w:tcW w:w="1372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ind w:left="0" w:leftChars="0" w:firstLine="0" w:firstLineChars="0"/>
              <w:jc w:val="both"/>
              <w:rPr>
                <w:rFonts w:hint="default" w:ascii="仿宋_GB2312" w:hAnsi="宋体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  <w:lang w:val="en-US" w:eastAsia="zh-CN"/>
              </w:rPr>
              <w:t>11.9</w:t>
            </w:r>
          </w:p>
        </w:tc>
        <w:tc>
          <w:tcPr>
            <w:tcW w:w="1395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ind w:left="0" w:leftChars="0" w:firstLine="0" w:firstLineChars="0"/>
              <w:jc w:val="both"/>
              <w:rPr>
                <w:rFonts w:hint="default" w:ascii="仿宋_GB2312" w:hAnsi="宋体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  <w:lang w:val="en-US" w:eastAsia="zh-CN"/>
              </w:rPr>
              <w:t>11.9</w:t>
            </w: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040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ind w:left="0" w:leftChars="0" w:right="-250" w:rightChars="-119" w:firstLine="0" w:firstLineChars="0"/>
              <w:jc w:val="left"/>
              <w:rPr>
                <w:rFonts w:hint="eastAsia" w:ascii="仿宋_GB2312" w:hAnsi="宋体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  <w:lang w:val="en-US" w:eastAsia="zh-CN"/>
              </w:rPr>
              <w:t>3、</w:t>
            </w: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  <w:lang w:eastAsia="zh-CN"/>
              </w:rPr>
              <w:t>新建</w:t>
            </w: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</w:rPr>
              <w:t>道路1公里</w:t>
            </w:r>
          </w:p>
        </w:tc>
        <w:tc>
          <w:tcPr>
            <w:tcW w:w="1372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ind w:left="0" w:leftChars="0" w:firstLine="0" w:firstLineChars="0"/>
              <w:jc w:val="both"/>
              <w:rPr>
                <w:rFonts w:hint="default" w:ascii="仿宋_GB2312" w:hAnsi="宋体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  <w:lang w:val="en-US" w:eastAsia="zh-CN"/>
              </w:rPr>
              <w:t>28</w:t>
            </w:r>
          </w:p>
        </w:tc>
        <w:tc>
          <w:tcPr>
            <w:tcW w:w="1395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ind w:left="0" w:leftChars="0" w:firstLine="0" w:firstLineChars="0"/>
              <w:jc w:val="both"/>
              <w:rPr>
                <w:rFonts w:hint="default" w:ascii="仿宋_GB2312" w:hAnsi="宋体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  <w:lang w:val="en-US" w:eastAsia="zh-CN"/>
              </w:rPr>
              <w:t>28</w:t>
            </w: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040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ind w:left="0" w:leftChars="0" w:right="-250" w:rightChars="-119" w:firstLine="0" w:firstLineChars="0"/>
              <w:jc w:val="left"/>
              <w:rPr>
                <w:rFonts w:hint="eastAsia" w:ascii="仿宋_GB2312" w:hAnsi="宋体" w:eastAsia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  <w:lang w:val="en-US" w:eastAsia="zh-CN"/>
              </w:rPr>
              <w:t>4、</w:t>
            </w: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  <w:lang w:eastAsia="zh-CN"/>
              </w:rPr>
              <w:t>改造交易点</w:t>
            </w: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</w:rPr>
              <w:t>周边出入口3处</w:t>
            </w:r>
          </w:p>
        </w:tc>
        <w:tc>
          <w:tcPr>
            <w:tcW w:w="1372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ind w:left="0" w:leftChars="0" w:firstLine="0" w:firstLineChars="0"/>
              <w:jc w:val="both"/>
              <w:rPr>
                <w:rFonts w:hint="default" w:ascii="仿宋_GB2312" w:hAnsi="宋体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  <w:lang w:val="en-US" w:eastAsia="zh-CN"/>
              </w:rPr>
              <w:t>49.1</w:t>
            </w:r>
          </w:p>
        </w:tc>
        <w:tc>
          <w:tcPr>
            <w:tcW w:w="1395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ind w:left="0" w:leftChars="0" w:firstLine="0" w:firstLineChars="0"/>
              <w:jc w:val="both"/>
              <w:rPr>
                <w:rFonts w:hint="default" w:ascii="仿宋_GB2312" w:hAnsi="宋体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  <w:lang w:val="en-US" w:eastAsia="zh-CN"/>
              </w:rPr>
              <w:t>49.1</w:t>
            </w: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仿宋_GB2312" w:hAnsi="宋体" w:eastAsia="仿宋_GB2312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040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ind w:right="-250" w:rightChars="-119"/>
              <w:jc w:val="center"/>
              <w:rPr>
                <w:rFonts w:hint="eastAsia" w:ascii="仿宋_GB2312" w:hAnsi="宋体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  <w:lang w:val="en-US" w:eastAsia="zh-CN"/>
              </w:rPr>
              <w:t>合 计</w:t>
            </w:r>
          </w:p>
        </w:tc>
        <w:tc>
          <w:tcPr>
            <w:tcW w:w="1372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ind w:left="0" w:leftChars="0" w:firstLine="0" w:firstLineChars="0"/>
              <w:jc w:val="both"/>
              <w:rPr>
                <w:rFonts w:hint="default" w:ascii="仿宋_GB2312" w:hAnsi="宋体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  <w:lang w:val="en-US" w:eastAsia="zh-CN"/>
              </w:rPr>
              <w:t>128</w:t>
            </w:r>
          </w:p>
        </w:tc>
        <w:tc>
          <w:tcPr>
            <w:tcW w:w="1395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ind w:left="0" w:leftChars="0" w:firstLine="0" w:firstLineChars="0"/>
              <w:jc w:val="both"/>
              <w:rPr>
                <w:rFonts w:hint="default" w:ascii="仿宋_GB2312" w:hAnsi="宋体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  <w:lang w:val="en-US" w:eastAsia="zh-CN"/>
              </w:rPr>
              <w:t>128</w:t>
            </w: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仿宋_GB2312" w:hAnsi="宋体" w:eastAsia="仿宋_GB2312"/>
                <w:sz w:val="30"/>
                <w:szCs w:val="30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二、项目资金来源：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投资128万元，全部为省级财政专项资金。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三、项目实施要求：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夯实责任，加强项目实施管理。项目镇街要切实落实项目实施主体责任，按照省市区财政衔接资金项目管理办法及实施要求，严格落实项目库管理、招投标、公示公告等制度，规范项目事前研究、施工监理、资料整理、验收审计等过程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规范管理，管好用好项目资金。按照区财政局、区乡村振兴局等六部门《关于印发&lt;宝鸡市陈仓区财政衔接推进乡村振兴补助资金管理办法&gt;的通知》（宝陈财农字〔2021〕38号）要求，加强项目资金管理，落实资金报账制度，规范报账审核程序。加强项目绩效目标管理，切实做好项目绩效目标事前申报、事中监控、事后评价等工作，确保充分发挥财政衔接资金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3.加强协调，确保按期完成项目建设任务。项目镇街要加强实施组织协调，充分调动设计、施工、监理及项目村积极性，为项目落实施工提供有力保障，确保</w:t>
      </w:r>
      <w:r>
        <w:rPr>
          <w:rFonts w:hint="eastAsia" w:ascii="仿宋" w:hAnsi="仿宋" w:eastAsia="仿宋" w:cs="仿宋"/>
          <w:sz w:val="32"/>
          <w:szCs w:val="32"/>
        </w:rPr>
        <w:t>2021年11月底前完成项目建设任务、资金兑付和报账工作，接受上级检查验收。同时，提早动手做好项目资产确权移交和后期运维管理等工作。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宝鸡市陈仓区农业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160" w:firstLineChars="13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13日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240" w:lineRule="atLeast"/>
        <w:ind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240" w:lineRule="atLeast"/>
        <w:ind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240" w:lineRule="atLeast"/>
        <w:ind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240" w:lineRule="atLeast"/>
        <w:ind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240" w:lineRule="atLeast"/>
        <w:ind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240" w:lineRule="atLeast"/>
        <w:ind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187325</wp:posOffset>
                </wp:positionV>
                <wp:extent cx="56007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14.75pt;height:0pt;width:441pt;z-index:251660288;mso-width-relative:page;mso-height-relative:page;" filled="f" stroked="t" coordsize="21600,21600" o:gfxdata="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RLHXtYAAAAJAQAADwAAAAAAAAABACAAAAAiAAAAZHJzL2Rvd25yZXYueG1s&#10;UEsBAhQAFAAAAAgAh07iQK8182T6AQAA8g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抄送：局各领导</w:t>
      </w:r>
    </w:p>
    <w:p>
      <w:pPr>
        <w:ind w:firstLine="0" w:firstLineChars="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6985</wp:posOffset>
                </wp:positionV>
                <wp:extent cx="54864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0.55pt;height:0pt;width:432pt;z-index:251659264;mso-width-relative:page;mso-height-relative:page;" filled="f" stroked="t" coordsize="21600,21600" o:gfxdata="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jKZXtMAAAAGAQAADwAAAAAAAAABACAAAAAiAAAAZHJzL2Rvd25yZXYueG1sUEsB&#10;AhQAFAAAAAgAh07iQINfQFr6AQAA8gMAAA4AAAAAAAAAAQAgAAAAI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313055</wp:posOffset>
                </wp:positionV>
                <wp:extent cx="5673090" cy="10795"/>
                <wp:effectExtent l="0" t="4445" r="11430" b="762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3090" cy="107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85pt;margin-top:24.65pt;height:0.85pt;width:446.7pt;z-index:251661312;mso-width-relative:page;mso-height-relative:page;" filled="f" stroked="t" coordsize="21600,21600" o:gfxdata="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mEy2tgAAAAJAQAADwAAAAAAAAABACAAAAAiAAAAZHJz&#10;L2Rvd25yZXYueG1sUEsBAhQAFAAAAAgAh07iQIuhGS8EAgAAAAQAAA4AAAAAAAAAAQAgAAAAJw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宝鸡市陈仓区农业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农村</w:t>
      </w:r>
      <w:r>
        <w:rPr>
          <w:rFonts w:hint="eastAsia" w:ascii="仿宋" w:hAnsi="仿宋" w:eastAsia="仿宋" w:cs="仿宋"/>
          <w:sz w:val="28"/>
          <w:szCs w:val="28"/>
        </w:rPr>
        <w:t>局                  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日印</w:t>
      </w:r>
      <w:r>
        <w:rPr>
          <w:rFonts w:hint="eastAsia" w:ascii="仿宋" w:hAnsi="仿宋" w:eastAsia="仿宋" w:cs="仿宋"/>
          <w:sz w:val="30"/>
          <w:szCs w:val="30"/>
        </w:rPr>
        <w:t>发</w:t>
      </w:r>
      <w:r>
        <w:rPr>
          <w:rFonts w:ascii="??_GB2312" w:eastAsia="Times New Roman"/>
          <w:sz w:val="30"/>
          <w:szCs w:val="30"/>
        </w:rPr>
        <w:t xml:space="preserve"> </w:t>
      </w:r>
      <w:r>
        <w:rPr>
          <w:rFonts w:ascii="??_GB2312" w:eastAsia="Times New Roman"/>
          <w:sz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2A59AF"/>
    <w:multiLevelType w:val="singleLevel"/>
    <w:tmpl w:val="D52A59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C1960"/>
    <w:rsid w:val="015964E2"/>
    <w:rsid w:val="016A71AA"/>
    <w:rsid w:val="01B7106F"/>
    <w:rsid w:val="025020A0"/>
    <w:rsid w:val="041939F1"/>
    <w:rsid w:val="04BA2E5A"/>
    <w:rsid w:val="04BF1E96"/>
    <w:rsid w:val="05466DC0"/>
    <w:rsid w:val="056412FD"/>
    <w:rsid w:val="057A7C5B"/>
    <w:rsid w:val="05B9667F"/>
    <w:rsid w:val="070038A1"/>
    <w:rsid w:val="072C3F89"/>
    <w:rsid w:val="080B69A0"/>
    <w:rsid w:val="089C056F"/>
    <w:rsid w:val="09560185"/>
    <w:rsid w:val="0985240E"/>
    <w:rsid w:val="09CB4464"/>
    <w:rsid w:val="0B3D6714"/>
    <w:rsid w:val="0B427524"/>
    <w:rsid w:val="0BD22140"/>
    <w:rsid w:val="0C4C36FE"/>
    <w:rsid w:val="0D9151F5"/>
    <w:rsid w:val="0F0A795A"/>
    <w:rsid w:val="12E85031"/>
    <w:rsid w:val="15046177"/>
    <w:rsid w:val="16C775D8"/>
    <w:rsid w:val="1828475E"/>
    <w:rsid w:val="18620509"/>
    <w:rsid w:val="19730CD4"/>
    <w:rsid w:val="19815045"/>
    <w:rsid w:val="1ACD68AD"/>
    <w:rsid w:val="1D30319E"/>
    <w:rsid w:val="1F0C0750"/>
    <w:rsid w:val="1F2145E9"/>
    <w:rsid w:val="1F307B53"/>
    <w:rsid w:val="1FB51BA8"/>
    <w:rsid w:val="20406AE2"/>
    <w:rsid w:val="208E5716"/>
    <w:rsid w:val="20B935BA"/>
    <w:rsid w:val="20E47DFA"/>
    <w:rsid w:val="211C634F"/>
    <w:rsid w:val="212E3875"/>
    <w:rsid w:val="240F5891"/>
    <w:rsid w:val="249F6004"/>
    <w:rsid w:val="24DE4884"/>
    <w:rsid w:val="27827809"/>
    <w:rsid w:val="28C12475"/>
    <w:rsid w:val="2A8B5F4F"/>
    <w:rsid w:val="2E241E69"/>
    <w:rsid w:val="2F920BC1"/>
    <w:rsid w:val="3002590A"/>
    <w:rsid w:val="31487804"/>
    <w:rsid w:val="31A2351D"/>
    <w:rsid w:val="32837FE3"/>
    <w:rsid w:val="32CC03D3"/>
    <w:rsid w:val="33131E86"/>
    <w:rsid w:val="33216377"/>
    <w:rsid w:val="334D63D9"/>
    <w:rsid w:val="338318B1"/>
    <w:rsid w:val="33CA43F0"/>
    <w:rsid w:val="34762254"/>
    <w:rsid w:val="3532384A"/>
    <w:rsid w:val="36FE3E72"/>
    <w:rsid w:val="37773AD4"/>
    <w:rsid w:val="38B67E28"/>
    <w:rsid w:val="39543BF7"/>
    <w:rsid w:val="398B4DB2"/>
    <w:rsid w:val="3A984D80"/>
    <w:rsid w:val="3ABC2193"/>
    <w:rsid w:val="3AF464EB"/>
    <w:rsid w:val="3BED577A"/>
    <w:rsid w:val="3E7A03FD"/>
    <w:rsid w:val="3EC34B32"/>
    <w:rsid w:val="3F8101D4"/>
    <w:rsid w:val="40AE0568"/>
    <w:rsid w:val="40AE2759"/>
    <w:rsid w:val="41711E74"/>
    <w:rsid w:val="43032E72"/>
    <w:rsid w:val="449A48D6"/>
    <w:rsid w:val="45B02A52"/>
    <w:rsid w:val="474811FD"/>
    <w:rsid w:val="4CF60FAF"/>
    <w:rsid w:val="4CFA148B"/>
    <w:rsid w:val="4D4F4BC7"/>
    <w:rsid w:val="4E497EF3"/>
    <w:rsid w:val="4FAB13F1"/>
    <w:rsid w:val="52082081"/>
    <w:rsid w:val="5523404F"/>
    <w:rsid w:val="566A6423"/>
    <w:rsid w:val="5A98175F"/>
    <w:rsid w:val="5BCA4C2E"/>
    <w:rsid w:val="5CAD7D03"/>
    <w:rsid w:val="5DD96821"/>
    <w:rsid w:val="5DDE09B4"/>
    <w:rsid w:val="5E160887"/>
    <w:rsid w:val="61096C1C"/>
    <w:rsid w:val="61784244"/>
    <w:rsid w:val="62226B6A"/>
    <w:rsid w:val="62327D01"/>
    <w:rsid w:val="642632E3"/>
    <w:rsid w:val="64FE654E"/>
    <w:rsid w:val="667C054B"/>
    <w:rsid w:val="66F57B61"/>
    <w:rsid w:val="681C6A1C"/>
    <w:rsid w:val="69031739"/>
    <w:rsid w:val="69221AD5"/>
    <w:rsid w:val="69615E07"/>
    <w:rsid w:val="697932C0"/>
    <w:rsid w:val="6B0D09C4"/>
    <w:rsid w:val="6B1A10E9"/>
    <w:rsid w:val="6B966854"/>
    <w:rsid w:val="6BB46DCF"/>
    <w:rsid w:val="6C37445E"/>
    <w:rsid w:val="6DF908E0"/>
    <w:rsid w:val="6E945EF0"/>
    <w:rsid w:val="6EE17098"/>
    <w:rsid w:val="70C95A3E"/>
    <w:rsid w:val="74D97A75"/>
    <w:rsid w:val="762E49EE"/>
    <w:rsid w:val="76682BC7"/>
    <w:rsid w:val="76C2531B"/>
    <w:rsid w:val="79BA420C"/>
    <w:rsid w:val="7A2C01C1"/>
    <w:rsid w:val="7A703437"/>
    <w:rsid w:val="7AA04DB2"/>
    <w:rsid w:val="7CBB698C"/>
    <w:rsid w:val="7D0E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jc w:val="center"/>
    </w:pPr>
    <w:rPr>
      <w:rFonts w:ascii="方正小标宋简体" w:hAnsi="华文中宋" w:eastAsia="方正小标宋简体"/>
      <w:b/>
      <w:sz w:val="44"/>
      <w:szCs w:val="4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缩进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天高云淡</cp:lastModifiedBy>
  <cp:lastPrinted>2021-08-24T08:36:00Z</cp:lastPrinted>
  <dcterms:modified xsi:type="dcterms:W3CDTF">2021-08-25T00:25:45Z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FCB05AD44D384154892198C841974FB6</vt:lpwstr>
  </property>
</Properties>
</file>