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997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14:paraId="1C24DC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kern w:val="0"/>
          <w:sz w:val="30"/>
          <w:szCs w:val="30"/>
        </w:rPr>
      </w:pPr>
      <w:bookmarkStart w:id="0" w:name="_GoBack"/>
      <w:r>
        <w:rPr>
          <w:rFonts w:hint="eastAsia" w:ascii="方正小标宋简体" w:hAnsi="方正小标宋简体" w:eastAsia="方正小标宋简体" w:cs="方正小标宋简体"/>
          <w:color w:val="000000"/>
          <w:kern w:val="0"/>
          <w:sz w:val="30"/>
          <w:szCs w:val="30"/>
        </w:rPr>
        <w:t>202</w:t>
      </w:r>
      <w:r>
        <w:rPr>
          <w:rFonts w:hint="eastAsia" w:ascii="方正小标宋简体" w:hAnsi="方正小标宋简体" w:eastAsia="方正小标宋简体" w:cs="方正小标宋简体"/>
          <w:color w:val="000000"/>
          <w:kern w:val="0"/>
          <w:sz w:val="30"/>
          <w:szCs w:val="30"/>
          <w:lang w:val="en-US" w:eastAsia="zh-CN"/>
        </w:rPr>
        <w:t>3</w:t>
      </w:r>
      <w:r>
        <w:rPr>
          <w:rFonts w:hint="eastAsia" w:ascii="方正小标宋简体" w:hAnsi="方正小标宋简体" w:eastAsia="方正小标宋简体" w:cs="方正小标宋简体"/>
          <w:color w:val="000000"/>
          <w:kern w:val="0"/>
          <w:sz w:val="30"/>
          <w:szCs w:val="30"/>
        </w:rPr>
        <w:t>年度部门整体支出绩效自评表</w:t>
      </w:r>
      <w:bookmarkEnd w:id="0"/>
    </w:p>
    <w:p w14:paraId="308DB88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 w:val="30"/>
          <w:szCs w:val="30"/>
        </w:rPr>
      </w:pPr>
    </w:p>
    <w:tbl>
      <w:tblPr>
        <w:tblStyle w:val="5"/>
        <w:tblW w:w="5186" w:type="pct"/>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3"/>
        <w:gridCol w:w="1108"/>
        <w:gridCol w:w="1186"/>
        <w:gridCol w:w="5118"/>
        <w:gridCol w:w="3636"/>
        <w:gridCol w:w="694"/>
        <w:gridCol w:w="694"/>
        <w:gridCol w:w="1093"/>
      </w:tblGrid>
      <w:tr w14:paraId="21079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000" w:type="pct"/>
            <w:gridSpan w:val="8"/>
            <w:tcBorders>
              <w:top w:val="nil"/>
              <w:left w:val="nil"/>
              <w:bottom w:val="nil"/>
              <w:right w:val="nil"/>
            </w:tcBorders>
            <w:shd w:val="clear" w:color="auto" w:fill="auto"/>
            <w:vAlign w:val="center"/>
          </w:tcPr>
          <w:p w14:paraId="302E83F7">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填报单位（盖章）：</w:t>
            </w:r>
          </w:p>
        </w:tc>
      </w:tr>
      <w:tr w14:paraId="0701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A64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一级指标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172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二级指标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B64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三级指标</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017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评分标准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659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指标解释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491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分值</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67D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自评</w:t>
            </w:r>
          </w:p>
          <w:p w14:paraId="10B6AB3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得分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38B9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扣分原因</w:t>
            </w:r>
          </w:p>
          <w:p w14:paraId="740002E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和其他</w:t>
            </w:r>
          </w:p>
          <w:p w14:paraId="7696E54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说明</w:t>
            </w:r>
          </w:p>
        </w:tc>
      </w:tr>
      <w:tr w14:paraId="319E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A1D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投入</w:t>
            </w:r>
          </w:p>
          <w:p w14:paraId="1A118BCF">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(15分）</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59AE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预算配置</w:t>
            </w:r>
          </w:p>
          <w:p w14:paraId="085A7E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71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财政供养</w:t>
            </w:r>
          </w:p>
          <w:p w14:paraId="68CEDF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人员控制率</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127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以100％为标准，在职人员控制率≤100%，计5分；</w:t>
            </w:r>
          </w:p>
          <w:p w14:paraId="7D04409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每超过一个百分点扣0.5分，扣完为止。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D6C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在职人员控制率＝（在职人员数／编制数）*100%，在职人员数：部门（单位）实际在职人数，以财政部门确定的部门决算编制口径为准。编制数：机构编制部门核定批复的部门（单位）的人员编制数。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5AB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D31F">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0BBB1">
            <w:pPr>
              <w:jc w:val="center"/>
              <w:rPr>
                <w:rFonts w:hint="eastAsia" w:ascii="仿宋_GB2312" w:hAnsi="宋体" w:eastAsia="仿宋_GB2312" w:cs="仿宋_GB2312"/>
                <w:i w:val="0"/>
                <w:iCs w:val="0"/>
                <w:color w:val="000000"/>
                <w:sz w:val="20"/>
                <w:szCs w:val="20"/>
                <w:u w:val="none"/>
              </w:rPr>
            </w:pPr>
          </w:p>
        </w:tc>
      </w:tr>
      <w:tr w14:paraId="28AE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F3BF1">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E51BE">
            <w:pPr>
              <w:jc w:val="center"/>
              <w:rPr>
                <w:rFonts w:hint="eastAsia" w:ascii="仿宋_GB2312" w:hAnsi="宋体" w:eastAsia="仿宋_GB2312" w:cs="仿宋_GB2312"/>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3E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“三公经费”变动率</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36F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“三公经费”变动率≤0，，计5分；</w:t>
            </w:r>
          </w:p>
          <w:p w14:paraId="167BC8F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“三公经费”变动率&gt;0分，每超过一个百分点扣0.5分，扣完为止。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102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“三公经费”变动率＝[（本年度“三公经费”总额</w:t>
            </w:r>
            <w:r>
              <w:rPr>
                <w:rFonts w:hint="eastAsia" w:ascii="宋体" w:hAnsi="宋体" w:eastAsia="宋体" w:cs="宋体"/>
                <w:i w:val="0"/>
                <w:iCs w:val="0"/>
                <w:color w:val="000000"/>
                <w:kern w:val="0"/>
                <w:sz w:val="20"/>
                <w:szCs w:val="20"/>
                <w:u w:val="none"/>
                <w:lang w:val="en-US" w:eastAsia="zh-CN" w:bidi="ar"/>
              </w:rPr>
              <w:t>﹣</w:t>
            </w:r>
            <w:r>
              <w:rPr>
                <w:rFonts w:hint="eastAsia" w:ascii="仿宋_GB2312" w:hAnsi="宋体" w:eastAsia="仿宋_GB2312" w:cs="仿宋_GB2312"/>
                <w:i w:val="0"/>
                <w:iCs w:val="0"/>
                <w:color w:val="000000"/>
                <w:kern w:val="0"/>
                <w:sz w:val="20"/>
                <w:szCs w:val="20"/>
                <w:u w:val="none"/>
                <w:lang w:val="en-US" w:eastAsia="zh-CN" w:bidi="ar"/>
              </w:rPr>
              <w:t>上年度“三公经费”总额）／上年度“三公经费”总额］*100%。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97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217A">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999F8">
            <w:pPr>
              <w:jc w:val="center"/>
              <w:rPr>
                <w:rFonts w:hint="eastAsia" w:ascii="仿宋_GB2312" w:hAnsi="宋体" w:eastAsia="仿宋_GB2312" w:cs="仿宋_GB2312"/>
                <w:i w:val="0"/>
                <w:iCs w:val="0"/>
                <w:color w:val="000000"/>
                <w:sz w:val="20"/>
                <w:szCs w:val="20"/>
                <w:u w:val="none"/>
              </w:rPr>
            </w:pPr>
          </w:p>
        </w:tc>
      </w:tr>
      <w:tr w14:paraId="7565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B65C">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77A57">
            <w:pPr>
              <w:jc w:val="center"/>
              <w:rPr>
                <w:rFonts w:hint="eastAsia" w:ascii="仿宋_GB2312" w:hAnsi="宋体" w:eastAsia="仿宋_GB2312" w:cs="仿宋_GB2312"/>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A6C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重点支出</w:t>
            </w:r>
          </w:p>
          <w:p w14:paraId="1F7371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安排率</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027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重点支出安排率≥90%，计5分；</w:t>
            </w:r>
          </w:p>
          <w:p w14:paraId="2FA5116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80%（含）-90%，计4分；</w:t>
            </w:r>
          </w:p>
          <w:p w14:paraId="71F583C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70%（含）-80%，计3分；60%（含）-70％，计2分；</w:t>
            </w:r>
          </w:p>
          <w:p w14:paraId="5A769A8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低于60%不得分。</w:t>
            </w:r>
          </w:p>
          <w:p w14:paraId="2211FD0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重点支出安排率＝（重点项目支出／项目总支出）*100%。</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715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重点项目支出：单位职能工作，《政府工作报告》目标任务，省市重点工程和重大项目建设等。项目总支出：部门（单位）年度预算安排的项目支出总额。</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51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0A44">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A778E">
            <w:pPr>
              <w:jc w:val="center"/>
              <w:rPr>
                <w:rFonts w:hint="eastAsia" w:ascii="仿宋_GB2312" w:hAnsi="宋体" w:eastAsia="仿宋_GB2312" w:cs="仿宋_GB2312"/>
                <w:i w:val="0"/>
                <w:iCs w:val="0"/>
                <w:color w:val="000000"/>
                <w:sz w:val="20"/>
                <w:szCs w:val="20"/>
                <w:u w:val="none"/>
              </w:rPr>
            </w:pPr>
          </w:p>
        </w:tc>
      </w:tr>
      <w:tr w14:paraId="2ED4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9" w:hRule="atLeast"/>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0BD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过程</w:t>
            </w:r>
          </w:p>
          <w:p w14:paraId="23F758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(40分）</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0BA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预算执行</w:t>
            </w:r>
          </w:p>
          <w:p w14:paraId="5FE600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B2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预算调整率</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05D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预算调整率=0，计3分；</w:t>
            </w:r>
          </w:p>
          <w:p w14:paraId="5889410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0-10%（含），计2分；</w:t>
            </w:r>
          </w:p>
          <w:p w14:paraId="5FCFDD2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10-20%（含），计1分；</w:t>
            </w:r>
          </w:p>
          <w:p w14:paraId="1998AC6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20-30%（含），计0.5分；</w:t>
            </w:r>
          </w:p>
          <w:p w14:paraId="170CD35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大于30％不得分。</w:t>
            </w:r>
          </w:p>
          <w:p w14:paraId="1D3A2006">
            <w:pPr>
              <w:keepNext w:val="0"/>
              <w:keepLines w:val="0"/>
              <w:widowControl/>
              <w:suppressLineNumbers w:val="0"/>
              <w:jc w:val="left"/>
              <w:textAlignment w:val="center"/>
              <w:rPr>
                <w:rFonts w:hint="default"/>
                <w:lang w:val="en-US"/>
              </w:rPr>
            </w:pPr>
            <w:r>
              <w:rPr>
                <w:rFonts w:hint="eastAsia" w:ascii="仿宋_GB2312" w:hAnsi="宋体" w:eastAsia="仿宋_GB2312" w:cs="仿宋_GB2312"/>
                <w:i w:val="0"/>
                <w:iCs w:val="0"/>
                <w:color w:val="000000"/>
                <w:kern w:val="0"/>
                <w:sz w:val="20"/>
                <w:szCs w:val="20"/>
                <w:u w:val="none"/>
                <w:lang w:val="en-US" w:eastAsia="zh-CN" w:bidi="ar"/>
              </w:rPr>
              <w:t>预算调整率=（预算调整数／预算数）*100%。</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B4E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E7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2643">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4EB1">
            <w:pPr>
              <w:jc w:val="center"/>
              <w:rPr>
                <w:rFonts w:hint="eastAsia" w:ascii="仿宋_GB2312" w:hAnsi="宋体" w:eastAsia="仿宋_GB2312" w:cs="仿宋_GB2312"/>
                <w:i w:val="0"/>
                <w:iCs w:val="0"/>
                <w:color w:val="000000"/>
                <w:sz w:val="20"/>
                <w:szCs w:val="20"/>
                <w:u w:val="none"/>
              </w:rPr>
            </w:pPr>
          </w:p>
        </w:tc>
      </w:tr>
      <w:tr w14:paraId="54932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684A0">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A62AD">
            <w:pPr>
              <w:jc w:val="center"/>
              <w:rPr>
                <w:rFonts w:hint="eastAsia" w:ascii="仿宋_GB2312" w:hAnsi="宋体" w:eastAsia="仿宋_GB2312" w:cs="仿宋_GB2312"/>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5F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支付进度</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342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专项资金按相关规定下达</w:t>
            </w:r>
          </w:p>
          <w:p w14:paraId="13FB79A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每出现一个专项未按进度完成资金下达扣0.5分，扣完为止。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432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按照相关规定，及时下达。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62A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9B8F">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3F6C">
            <w:pPr>
              <w:jc w:val="center"/>
              <w:rPr>
                <w:rFonts w:hint="eastAsia" w:ascii="仿宋_GB2312" w:hAnsi="宋体" w:eastAsia="仿宋_GB2312" w:cs="仿宋_GB2312"/>
                <w:i w:val="0"/>
                <w:iCs w:val="0"/>
                <w:color w:val="000000"/>
                <w:sz w:val="20"/>
                <w:szCs w:val="20"/>
                <w:u w:val="none"/>
              </w:rPr>
            </w:pPr>
          </w:p>
        </w:tc>
      </w:tr>
      <w:tr w14:paraId="7921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4F66">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97377">
            <w:pPr>
              <w:jc w:val="center"/>
              <w:rPr>
                <w:rFonts w:hint="eastAsia" w:ascii="仿宋_GB2312" w:hAnsi="宋体" w:eastAsia="仿宋_GB2312" w:cs="仿宋_GB2312"/>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AD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资金结余</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4CB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无结余，得3分；有结余，但不超过上年结转，得2分；结余超过上年结转，不得分。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4C9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按照相关规定，足额下达。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3E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218E">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66FF">
            <w:pPr>
              <w:jc w:val="center"/>
              <w:rPr>
                <w:rFonts w:hint="eastAsia" w:ascii="仿宋_GB2312" w:hAnsi="宋体" w:eastAsia="仿宋_GB2312" w:cs="仿宋_GB2312"/>
                <w:i w:val="0"/>
                <w:iCs w:val="0"/>
                <w:color w:val="000000"/>
                <w:sz w:val="20"/>
                <w:szCs w:val="20"/>
                <w:u w:val="none"/>
              </w:rPr>
            </w:pPr>
          </w:p>
        </w:tc>
      </w:tr>
      <w:tr w14:paraId="4826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39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8AC5B7C">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47E2D08">
            <w:pPr>
              <w:jc w:val="center"/>
              <w:rPr>
                <w:rFonts w:hint="eastAsia" w:ascii="仿宋_GB2312" w:hAnsi="宋体" w:eastAsia="仿宋_GB2312" w:cs="仿宋_GB2312"/>
                <w:i w:val="0"/>
                <w:iCs w:val="0"/>
                <w:color w:val="000000"/>
                <w:sz w:val="20"/>
                <w:szCs w:val="20"/>
                <w:u w:val="none"/>
              </w:rPr>
            </w:pPr>
          </w:p>
        </w:tc>
        <w:tc>
          <w:tcPr>
            <w:tcW w:w="403" w:type="pct"/>
            <w:tcBorders>
              <w:top w:val="single" w:color="000000" w:sz="4" w:space="0"/>
              <w:left w:val="single" w:color="000000" w:sz="4" w:space="0"/>
              <w:bottom w:val="single" w:color="auto" w:sz="4" w:space="0"/>
              <w:right w:val="single" w:color="000000" w:sz="4" w:space="0"/>
            </w:tcBorders>
            <w:shd w:val="clear" w:color="auto" w:fill="auto"/>
            <w:vAlign w:val="center"/>
          </w:tcPr>
          <w:p w14:paraId="1DE887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“三公经费”</w:t>
            </w:r>
          </w:p>
          <w:p w14:paraId="5C23F9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控制率</w:t>
            </w:r>
          </w:p>
        </w:tc>
        <w:tc>
          <w:tcPr>
            <w:tcW w:w="1741" w:type="pct"/>
            <w:tcBorders>
              <w:top w:val="single" w:color="000000" w:sz="4" w:space="0"/>
              <w:left w:val="single" w:color="000000" w:sz="4" w:space="0"/>
              <w:bottom w:val="single" w:color="auto" w:sz="4" w:space="0"/>
              <w:right w:val="single" w:color="000000" w:sz="4" w:space="0"/>
            </w:tcBorders>
            <w:shd w:val="clear" w:color="auto" w:fill="auto"/>
            <w:vAlign w:val="center"/>
          </w:tcPr>
          <w:p w14:paraId="6AB026E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以100％为标准。“三公经费”控制率≤100%，计6分；</w:t>
            </w:r>
          </w:p>
          <w:p w14:paraId="50F4CB0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每超过一个百分点扣1分，扣完为止。</w:t>
            </w:r>
          </w:p>
        </w:tc>
        <w:tc>
          <w:tcPr>
            <w:tcW w:w="1236" w:type="pct"/>
            <w:tcBorders>
              <w:top w:val="single" w:color="000000" w:sz="4" w:space="0"/>
              <w:left w:val="single" w:color="000000" w:sz="4" w:space="0"/>
              <w:bottom w:val="single" w:color="auto" w:sz="4" w:space="0"/>
              <w:right w:val="single" w:color="000000" w:sz="4" w:space="0"/>
            </w:tcBorders>
            <w:shd w:val="clear" w:color="auto" w:fill="auto"/>
            <w:vAlign w:val="center"/>
          </w:tcPr>
          <w:p w14:paraId="2820EE1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“三公经费”控制率=(“三公经费”实际支出数／“三公经费”预算安排数）*100%。</w:t>
            </w:r>
          </w:p>
        </w:tc>
        <w:tc>
          <w:tcPr>
            <w:tcW w:w="236" w:type="pct"/>
            <w:tcBorders>
              <w:top w:val="single" w:color="000000" w:sz="4" w:space="0"/>
              <w:left w:val="single" w:color="000000" w:sz="4" w:space="0"/>
              <w:bottom w:val="single" w:color="auto" w:sz="4" w:space="0"/>
              <w:right w:val="single" w:color="000000" w:sz="4" w:space="0"/>
            </w:tcBorders>
            <w:shd w:val="clear" w:color="auto" w:fill="auto"/>
            <w:vAlign w:val="center"/>
          </w:tcPr>
          <w:p w14:paraId="3F5AF80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235" w:type="pct"/>
            <w:tcBorders>
              <w:top w:val="single" w:color="000000" w:sz="4" w:space="0"/>
              <w:left w:val="single" w:color="000000" w:sz="4" w:space="0"/>
              <w:bottom w:val="single" w:color="auto" w:sz="4" w:space="0"/>
              <w:right w:val="single" w:color="000000" w:sz="4" w:space="0"/>
            </w:tcBorders>
            <w:shd w:val="clear" w:color="auto" w:fill="auto"/>
            <w:vAlign w:val="center"/>
          </w:tcPr>
          <w:p w14:paraId="1A4E9C2D">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6</w:t>
            </w:r>
          </w:p>
        </w:tc>
        <w:tc>
          <w:tcPr>
            <w:tcW w:w="371" w:type="pct"/>
            <w:tcBorders>
              <w:top w:val="single" w:color="000000" w:sz="4" w:space="0"/>
              <w:left w:val="single" w:color="000000" w:sz="4" w:space="0"/>
              <w:bottom w:val="single" w:color="auto" w:sz="4" w:space="0"/>
              <w:right w:val="single" w:color="000000" w:sz="4" w:space="0"/>
            </w:tcBorders>
            <w:shd w:val="clear" w:color="auto" w:fill="auto"/>
            <w:vAlign w:val="center"/>
          </w:tcPr>
          <w:p w14:paraId="7C9CF609">
            <w:pPr>
              <w:jc w:val="center"/>
              <w:rPr>
                <w:rFonts w:hint="eastAsia" w:ascii="仿宋_GB2312" w:hAnsi="宋体" w:eastAsia="仿宋_GB2312" w:cs="仿宋_GB2312"/>
                <w:i w:val="0"/>
                <w:iCs w:val="0"/>
                <w:color w:val="000000"/>
                <w:sz w:val="20"/>
                <w:szCs w:val="20"/>
                <w:u w:val="none"/>
              </w:rPr>
            </w:pPr>
          </w:p>
        </w:tc>
      </w:tr>
      <w:tr w14:paraId="0B05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40E4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3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6F0E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预算管理</w:t>
            </w:r>
          </w:p>
          <w:p w14:paraId="55CF37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(15分）</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454C2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管理制度</w:t>
            </w:r>
          </w:p>
          <w:p w14:paraId="723710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健全性</w:t>
            </w:r>
          </w:p>
        </w:tc>
        <w:tc>
          <w:tcPr>
            <w:tcW w:w="1741" w:type="pct"/>
            <w:tcBorders>
              <w:top w:val="single" w:color="auto" w:sz="4" w:space="0"/>
              <w:left w:val="single" w:color="auto" w:sz="4" w:space="0"/>
              <w:bottom w:val="single" w:color="auto" w:sz="4" w:space="0"/>
              <w:right w:val="single" w:color="auto" w:sz="4" w:space="0"/>
            </w:tcBorders>
            <w:shd w:val="clear" w:color="auto" w:fill="auto"/>
            <w:vAlign w:val="center"/>
          </w:tcPr>
          <w:p w14:paraId="4EAA113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①已制定或具有预算资金管理办法，内部财务管理制度、会计核算制度等管理制度，1分；</w:t>
            </w:r>
          </w:p>
          <w:p w14:paraId="00D0EE8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②相关管理制度合法、合规、完整，1分；</w:t>
            </w:r>
          </w:p>
          <w:p w14:paraId="587AF80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③相关管理制度得到有效执行，1分。</w:t>
            </w:r>
          </w:p>
        </w:tc>
        <w:tc>
          <w:tcPr>
            <w:tcW w:w="1236" w:type="pct"/>
            <w:tcBorders>
              <w:top w:val="single" w:color="auto" w:sz="4" w:space="0"/>
              <w:left w:val="single" w:color="auto" w:sz="4" w:space="0"/>
              <w:bottom w:val="single" w:color="auto" w:sz="4" w:space="0"/>
              <w:right w:val="single" w:color="auto" w:sz="4" w:space="0"/>
            </w:tcBorders>
            <w:shd w:val="clear" w:color="auto" w:fill="auto"/>
            <w:vAlign w:val="center"/>
          </w:tcPr>
          <w:p w14:paraId="611EE69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按照相关文件要求，建立健全管理制度，严格执行相关制度。</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741737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201F385E">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0851D0F4">
            <w:pPr>
              <w:jc w:val="center"/>
              <w:rPr>
                <w:rFonts w:hint="eastAsia" w:ascii="仿宋_GB2312" w:hAnsi="宋体" w:eastAsia="仿宋_GB2312" w:cs="仿宋_GB2312"/>
                <w:i w:val="0"/>
                <w:iCs w:val="0"/>
                <w:color w:val="000000"/>
                <w:sz w:val="20"/>
                <w:szCs w:val="20"/>
                <w:u w:val="none"/>
              </w:rPr>
            </w:pPr>
          </w:p>
        </w:tc>
      </w:tr>
      <w:tr w14:paraId="54D4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95EDD">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2439A">
            <w:pPr>
              <w:jc w:val="center"/>
              <w:rPr>
                <w:rFonts w:hint="eastAsia" w:ascii="仿宋_GB2312" w:hAnsi="宋体" w:eastAsia="仿宋_GB2312" w:cs="仿宋_GB2312"/>
                <w:i w:val="0"/>
                <w:iCs w:val="0"/>
                <w:color w:val="000000"/>
                <w:sz w:val="20"/>
                <w:szCs w:val="20"/>
                <w:u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34DA5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资金使用</w:t>
            </w:r>
          </w:p>
          <w:p w14:paraId="7E54B5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合规性</w:t>
            </w:r>
          </w:p>
        </w:tc>
        <w:tc>
          <w:tcPr>
            <w:tcW w:w="1741" w:type="pct"/>
            <w:tcBorders>
              <w:top w:val="single" w:color="auto" w:sz="4" w:space="0"/>
              <w:left w:val="single" w:color="auto" w:sz="4" w:space="0"/>
              <w:bottom w:val="single" w:color="auto" w:sz="4" w:space="0"/>
              <w:right w:val="single" w:color="auto" w:sz="4" w:space="0"/>
            </w:tcBorders>
            <w:shd w:val="clear" w:color="auto" w:fill="auto"/>
            <w:vAlign w:val="center"/>
          </w:tcPr>
          <w:p w14:paraId="274C6E7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①支出符合国家财经法规和财务管理制度规定以及有关专项资金管理办法的规定；</w:t>
            </w:r>
          </w:p>
          <w:p w14:paraId="18F2301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②资金拨付有完整的审批程序和手续；</w:t>
            </w:r>
          </w:p>
          <w:p w14:paraId="2CC5BF7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③项目支出按规定经过评估论证；</w:t>
            </w:r>
          </w:p>
          <w:p w14:paraId="01D1B14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④支出符合部门预算批复的用途；</w:t>
            </w:r>
          </w:p>
          <w:p w14:paraId="7B09A0D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⑤资金使用无截留、挤占、挪用、虚列支出等情况。</w:t>
            </w:r>
          </w:p>
          <w:p w14:paraId="2115124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以上情况每出现一例不符合要求的扣1分，扣完为止。</w:t>
            </w:r>
          </w:p>
        </w:tc>
        <w:tc>
          <w:tcPr>
            <w:tcW w:w="1236" w:type="pct"/>
            <w:tcBorders>
              <w:top w:val="single" w:color="auto" w:sz="4" w:space="0"/>
              <w:left w:val="single" w:color="auto" w:sz="4" w:space="0"/>
              <w:bottom w:val="single" w:color="auto" w:sz="4" w:space="0"/>
              <w:right w:val="single" w:color="auto" w:sz="4" w:space="0"/>
            </w:tcBorders>
            <w:shd w:val="clear" w:color="auto" w:fill="auto"/>
            <w:vAlign w:val="center"/>
          </w:tcPr>
          <w:p w14:paraId="17B7310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部门（单位）使用预算资金是否符合相关的预算财务管理制度的规定，用以反映和考核部门（单位）预算资金的规范运行情况。</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418E19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2C4DB48F">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0798FD64">
            <w:pPr>
              <w:jc w:val="center"/>
              <w:rPr>
                <w:rFonts w:hint="eastAsia" w:ascii="仿宋_GB2312" w:hAnsi="宋体" w:eastAsia="仿宋_GB2312" w:cs="仿宋_GB2312"/>
                <w:i w:val="0"/>
                <w:iCs w:val="0"/>
                <w:color w:val="000000"/>
                <w:sz w:val="20"/>
                <w:szCs w:val="20"/>
                <w:u w:val="none"/>
              </w:rPr>
            </w:pPr>
          </w:p>
        </w:tc>
      </w:tr>
      <w:tr w14:paraId="46C2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399" w:type="pct"/>
            <w:vMerge w:val="continue"/>
            <w:tcBorders>
              <w:top w:val="single" w:color="auto" w:sz="4" w:space="0"/>
              <w:left w:val="single" w:color="auto" w:sz="4" w:space="0"/>
              <w:bottom w:val="nil"/>
              <w:right w:val="single" w:color="000000" w:sz="4" w:space="0"/>
            </w:tcBorders>
            <w:shd w:val="clear" w:color="auto" w:fill="auto"/>
            <w:vAlign w:val="center"/>
          </w:tcPr>
          <w:p w14:paraId="47045E41">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auto" w:sz="4" w:space="0"/>
              <w:left w:val="single" w:color="000000" w:sz="4" w:space="0"/>
              <w:right w:val="single" w:color="000000" w:sz="4" w:space="0"/>
            </w:tcBorders>
            <w:shd w:val="clear" w:color="auto" w:fill="auto"/>
            <w:vAlign w:val="center"/>
          </w:tcPr>
          <w:p w14:paraId="6D16117A">
            <w:pPr>
              <w:jc w:val="center"/>
              <w:rPr>
                <w:rFonts w:hint="eastAsia" w:ascii="仿宋_GB2312" w:hAnsi="宋体" w:eastAsia="仿宋_GB2312" w:cs="仿宋_GB2312"/>
                <w:i w:val="0"/>
                <w:iCs w:val="0"/>
                <w:color w:val="000000"/>
                <w:sz w:val="20"/>
                <w:szCs w:val="20"/>
                <w:u w:val="none"/>
              </w:rPr>
            </w:pPr>
          </w:p>
        </w:tc>
        <w:tc>
          <w:tcPr>
            <w:tcW w:w="403" w:type="pct"/>
            <w:tcBorders>
              <w:top w:val="single" w:color="auto" w:sz="4" w:space="0"/>
              <w:left w:val="single" w:color="000000" w:sz="4" w:space="0"/>
              <w:bottom w:val="single" w:color="000000" w:sz="4" w:space="0"/>
              <w:right w:val="single" w:color="000000" w:sz="4" w:space="0"/>
            </w:tcBorders>
            <w:shd w:val="clear" w:color="auto" w:fill="auto"/>
            <w:vAlign w:val="center"/>
          </w:tcPr>
          <w:p w14:paraId="157F54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预决算信息公</w:t>
            </w:r>
          </w:p>
          <w:p w14:paraId="45C28E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开性和完善性</w:t>
            </w:r>
          </w:p>
        </w:tc>
        <w:tc>
          <w:tcPr>
            <w:tcW w:w="1741" w:type="pct"/>
            <w:tcBorders>
              <w:top w:val="single" w:color="auto" w:sz="4" w:space="0"/>
              <w:left w:val="single" w:color="000000" w:sz="4" w:space="0"/>
              <w:bottom w:val="single" w:color="000000" w:sz="4" w:space="0"/>
              <w:right w:val="single" w:color="000000" w:sz="4" w:space="0"/>
            </w:tcBorders>
            <w:shd w:val="clear" w:color="auto" w:fill="auto"/>
            <w:vAlign w:val="center"/>
          </w:tcPr>
          <w:p w14:paraId="426BAAD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①按规定内容公开预决算信息，1分；</w:t>
            </w:r>
          </w:p>
          <w:p w14:paraId="45934F3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②按规定时限公开预决算信息，0.5分;</w:t>
            </w:r>
          </w:p>
          <w:p w14:paraId="587334B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③基础数据信息和会计信息资料真实，0.5分；</w:t>
            </w:r>
          </w:p>
          <w:p w14:paraId="46B57E8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④基础数据信息和会计信息资料完整，0.5分；</w:t>
            </w:r>
          </w:p>
          <w:p w14:paraId="7379CED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⑤基础数据信息和会计信息资料准确，0.5分。</w:t>
            </w:r>
          </w:p>
        </w:tc>
        <w:tc>
          <w:tcPr>
            <w:tcW w:w="1236" w:type="pct"/>
            <w:tcBorders>
              <w:top w:val="single" w:color="auto" w:sz="4" w:space="0"/>
              <w:left w:val="single" w:color="000000" w:sz="4" w:space="0"/>
              <w:bottom w:val="single" w:color="000000" w:sz="4" w:space="0"/>
              <w:right w:val="single" w:color="000000" w:sz="4" w:space="0"/>
            </w:tcBorders>
            <w:shd w:val="clear" w:color="auto" w:fill="auto"/>
            <w:vAlign w:val="center"/>
          </w:tcPr>
          <w:p w14:paraId="4BD1523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预决算信息是指与部门预算、执行、决算、监督、绩效等管理相关的信息。</w:t>
            </w:r>
          </w:p>
        </w:tc>
        <w:tc>
          <w:tcPr>
            <w:tcW w:w="236" w:type="pct"/>
            <w:tcBorders>
              <w:top w:val="single" w:color="auto" w:sz="4" w:space="0"/>
              <w:left w:val="single" w:color="000000" w:sz="4" w:space="0"/>
              <w:bottom w:val="single" w:color="000000" w:sz="4" w:space="0"/>
              <w:right w:val="single" w:color="000000" w:sz="4" w:space="0"/>
            </w:tcBorders>
            <w:shd w:val="clear" w:color="auto" w:fill="auto"/>
            <w:vAlign w:val="center"/>
          </w:tcPr>
          <w:p w14:paraId="77C41D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auto" w:sz="4" w:space="0"/>
              <w:left w:val="single" w:color="000000" w:sz="4" w:space="0"/>
              <w:bottom w:val="single" w:color="000000" w:sz="4" w:space="0"/>
              <w:right w:val="single" w:color="000000" w:sz="4" w:space="0"/>
            </w:tcBorders>
            <w:shd w:val="clear" w:color="auto" w:fill="auto"/>
            <w:vAlign w:val="center"/>
          </w:tcPr>
          <w:p w14:paraId="0B12A09B">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371" w:type="pct"/>
            <w:tcBorders>
              <w:top w:val="single" w:color="auto" w:sz="4" w:space="0"/>
              <w:left w:val="single" w:color="000000" w:sz="4" w:space="0"/>
              <w:bottom w:val="single" w:color="000000" w:sz="4" w:space="0"/>
              <w:right w:val="single" w:color="000000" w:sz="4" w:space="0"/>
            </w:tcBorders>
            <w:shd w:val="clear" w:color="auto" w:fill="auto"/>
            <w:vAlign w:val="center"/>
          </w:tcPr>
          <w:p w14:paraId="77F732C6">
            <w:pPr>
              <w:jc w:val="center"/>
              <w:rPr>
                <w:rFonts w:hint="eastAsia" w:ascii="仿宋_GB2312" w:hAnsi="宋体" w:eastAsia="仿宋_GB2312" w:cs="仿宋_GB2312"/>
                <w:i w:val="0"/>
                <w:iCs w:val="0"/>
                <w:color w:val="000000"/>
                <w:sz w:val="20"/>
                <w:szCs w:val="20"/>
                <w:u w:val="none"/>
              </w:rPr>
            </w:pPr>
          </w:p>
        </w:tc>
      </w:tr>
      <w:tr w14:paraId="1F79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399" w:type="pct"/>
            <w:vMerge w:val="continue"/>
            <w:tcBorders>
              <w:top w:val="nil"/>
              <w:left w:val="single" w:color="auto" w:sz="4" w:space="0"/>
              <w:bottom w:val="nil"/>
              <w:right w:val="single" w:color="000000" w:sz="4" w:space="0"/>
            </w:tcBorders>
            <w:shd w:val="clear" w:color="auto" w:fill="auto"/>
            <w:vAlign w:val="center"/>
          </w:tcPr>
          <w:p w14:paraId="5BCE08BE">
            <w:pPr>
              <w:jc w:val="center"/>
              <w:rPr>
                <w:rFonts w:hint="eastAsia" w:ascii="仿宋_GB2312" w:hAnsi="宋体" w:eastAsia="仿宋_GB2312" w:cs="仿宋_GB2312"/>
                <w:i w:val="0"/>
                <w:iCs w:val="0"/>
                <w:color w:val="000000"/>
                <w:sz w:val="20"/>
                <w:szCs w:val="20"/>
                <w:u w:val="none"/>
              </w:rPr>
            </w:pPr>
          </w:p>
        </w:tc>
        <w:tc>
          <w:tcPr>
            <w:tcW w:w="376" w:type="pct"/>
            <w:vMerge w:val="continue"/>
            <w:tcBorders>
              <w:left w:val="single" w:color="000000" w:sz="4" w:space="0"/>
              <w:right w:val="single" w:color="000000" w:sz="4" w:space="0"/>
            </w:tcBorders>
            <w:shd w:val="clear" w:color="auto" w:fill="auto"/>
            <w:vAlign w:val="center"/>
          </w:tcPr>
          <w:p w14:paraId="00684303">
            <w:pPr>
              <w:jc w:val="center"/>
              <w:rPr>
                <w:rFonts w:hint="eastAsia" w:ascii="仿宋_GB2312" w:hAnsi="宋体" w:eastAsia="仿宋_GB2312" w:cs="仿宋_GB2312"/>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43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政府采购执行率</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359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政府采购执行率等于 100％的，得3分；</w:t>
            </w:r>
          </w:p>
          <w:p w14:paraId="713DBF3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每减少一个百分点，扣0.2分，扣完为止。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42D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政府采购执行率＝（实际政府采购预算项目个数／政府采购预算项目个数）*100%。</w:t>
            </w:r>
          </w:p>
          <w:p w14:paraId="4769AD1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政府采购项目中非预算内安排的项目除外。</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FC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008A">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9BE3">
            <w:pPr>
              <w:jc w:val="center"/>
              <w:rPr>
                <w:rFonts w:hint="eastAsia" w:ascii="仿宋_GB2312" w:hAnsi="宋体" w:eastAsia="仿宋_GB2312" w:cs="仿宋_GB2312"/>
                <w:i w:val="0"/>
                <w:iCs w:val="0"/>
                <w:color w:val="000000"/>
                <w:sz w:val="20"/>
                <w:szCs w:val="20"/>
                <w:u w:val="none"/>
              </w:rPr>
            </w:pPr>
          </w:p>
        </w:tc>
      </w:tr>
      <w:tr w14:paraId="0C13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399" w:type="pct"/>
            <w:vMerge w:val="continue"/>
            <w:tcBorders>
              <w:top w:val="nil"/>
              <w:left w:val="single" w:color="auto" w:sz="4" w:space="0"/>
              <w:bottom w:val="single" w:color="auto" w:sz="4" w:space="0"/>
              <w:right w:val="single" w:color="000000" w:sz="4" w:space="0"/>
            </w:tcBorders>
            <w:shd w:val="clear" w:color="auto" w:fill="auto"/>
            <w:vAlign w:val="center"/>
          </w:tcPr>
          <w:p w14:paraId="44C31CD0">
            <w:pPr>
              <w:jc w:val="center"/>
              <w:rPr>
                <w:rFonts w:hint="eastAsia" w:ascii="仿宋_GB2312" w:hAnsi="宋体" w:eastAsia="仿宋_GB2312" w:cs="仿宋_GB2312"/>
                <w:i w:val="0"/>
                <w:iCs w:val="0"/>
                <w:color w:val="000000"/>
                <w:sz w:val="20"/>
                <w:szCs w:val="20"/>
                <w:u w:val="none"/>
              </w:rPr>
            </w:pPr>
          </w:p>
        </w:tc>
        <w:tc>
          <w:tcPr>
            <w:tcW w:w="376" w:type="pct"/>
            <w:vMerge w:val="continue"/>
            <w:tcBorders>
              <w:left w:val="single" w:color="000000" w:sz="4" w:space="0"/>
              <w:bottom w:val="single" w:color="auto" w:sz="4" w:space="0"/>
              <w:right w:val="single" w:color="000000" w:sz="4" w:space="0"/>
            </w:tcBorders>
            <w:shd w:val="clear" w:color="auto" w:fill="auto"/>
            <w:vAlign w:val="center"/>
          </w:tcPr>
          <w:p w14:paraId="7DFD0141">
            <w:pPr>
              <w:jc w:val="center"/>
              <w:rPr>
                <w:rFonts w:hint="eastAsia" w:ascii="仿宋_GB2312" w:hAnsi="宋体" w:eastAsia="仿宋_GB2312" w:cs="仿宋_GB2312"/>
                <w:i w:val="0"/>
                <w:iCs w:val="0"/>
                <w:color w:val="000000"/>
                <w:sz w:val="20"/>
                <w:szCs w:val="20"/>
                <w:u w:val="none"/>
              </w:rPr>
            </w:pPr>
          </w:p>
        </w:tc>
        <w:tc>
          <w:tcPr>
            <w:tcW w:w="403" w:type="pct"/>
            <w:tcBorders>
              <w:top w:val="single" w:color="000000" w:sz="4" w:space="0"/>
              <w:left w:val="single" w:color="000000" w:sz="4" w:space="0"/>
              <w:bottom w:val="single" w:color="auto" w:sz="4" w:space="0"/>
              <w:right w:val="single" w:color="000000" w:sz="4" w:space="0"/>
            </w:tcBorders>
            <w:shd w:val="clear" w:color="auto" w:fill="auto"/>
            <w:vAlign w:val="center"/>
          </w:tcPr>
          <w:p w14:paraId="040D6E8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公务卡刷卡率</w:t>
            </w:r>
          </w:p>
        </w:tc>
        <w:tc>
          <w:tcPr>
            <w:tcW w:w="1741" w:type="pct"/>
            <w:tcBorders>
              <w:top w:val="single" w:color="000000" w:sz="4" w:space="0"/>
              <w:left w:val="single" w:color="000000" w:sz="4" w:space="0"/>
              <w:bottom w:val="single" w:color="auto" w:sz="4" w:space="0"/>
              <w:right w:val="single" w:color="000000" w:sz="4" w:space="0"/>
            </w:tcBorders>
            <w:shd w:val="clear" w:color="auto" w:fill="auto"/>
            <w:vAlign w:val="center"/>
          </w:tcPr>
          <w:p w14:paraId="74373DA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公务卡刷卡率达5％以上的，得3分。</w:t>
            </w:r>
          </w:p>
          <w:p w14:paraId="3F03E75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每减少一个百分点，扣0.2分，扣完为止。</w:t>
            </w:r>
          </w:p>
          <w:p w14:paraId="0AE741F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公务卡刷卡率=公务消费刷卡支出/授权支出*100%。</w:t>
            </w:r>
          </w:p>
        </w:tc>
        <w:tc>
          <w:tcPr>
            <w:tcW w:w="1236" w:type="pct"/>
            <w:tcBorders>
              <w:top w:val="single" w:color="000000" w:sz="4" w:space="0"/>
              <w:left w:val="single" w:color="000000" w:sz="4" w:space="0"/>
              <w:bottom w:val="single" w:color="auto" w:sz="4" w:space="0"/>
              <w:right w:val="single" w:color="000000" w:sz="4" w:space="0"/>
            </w:tcBorders>
            <w:shd w:val="clear" w:color="auto" w:fill="auto"/>
            <w:vAlign w:val="center"/>
          </w:tcPr>
          <w:p w14:paraId="270D60E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部门(单位) 是否按照《宝鸡市陈仓区预算单位公务卡管理结算暂行办法》等规定，加强公务卡的使用和管理。</w:t>
            </w:r>
          </w:p>
        </w:tc>
        <w:tc>
          <w:tcPr>
            <w:tcW w:w="236" w:type="pct"/>
            <w:tcBorders>
              <w:top w:val="single" w:color="000000" w:sz="4" w:space="0"/>
              <w:left w:val="single" w:color="000000" w:sz="4" w:space="0"/>
              <w:bottom w:val="single" w:color="auto" w:sz="4" w:space="0"/>
              <w:right w:val="single" w:color="000000" w:sz="4" w:space="0"/>
            </w:tcBorders>
            <w:shd w:val="clear" w:color="auto" w:fill="auto"/>
            <w:vAlign w:val="center"/>
          </w:tcPr>
          <w:p w14:paraId="547ACF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000000" w:sz="4" w:space="0"/>
              <w:left w:val="single" w:color="000000" w:sz="4" w:space="0"/>
              <w:bottom w:val="single" w:color="auto" w:sz="4" w:space="0"/>
              <w:right w:val="single" w:color="000000" w:sz="4" w:space="0"/>
            </w:tcBorders>
            <w:shd w:val="clear" w:color="auto" w:fill="auto"/>
            <w:vAlign w:val="center"/>
          </w:tcPr>
          <w:p w14:paraId="0FB0D6B7">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w:t>
            </w:r>
          </w:p>
        </w:tc>
        <w:tc>
          <w:tcPr>
            <w:tcW w:w="371" w:type="pct"/>
            <w:tcBorders>
              <w:top w:val="single" w:color="000000" w:sz="4" w:space="0"/>
              <w:left w:val="single" w:color="000000" w:sz="4" w:space="0"/>
              <w:bottom w:val="single" w:color="auto" w:sz="4" w:space="0"/>
              <w:right w:val="single" w:color="000000" w:sz="4" w:space="0"/>
            </w:tcBorders>
            <w:shd w:val="clear" w:color="auto" w:fill="auto"/>
            <w:vAlign w:val="center"/>
          </w:tcPr>
          <w:p w14:paraId="235E89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报销缓慢影响个人征信；网络支付便利不愿刷卡。</w:t>
            </w:r>
          </w:p>
        </w:tc>
      </w:tr>
      <w:tr w14:paraId="410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4452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过程</w:t>
            </w:r>
          </w:p>
        </w:tc>
        <w:tc>
          <w:tcPr>
            <w:tcW w:w="3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8153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资产管理</w:t>
            </w:r>
          </w:p>
          <w:p w14:paraId="1BD907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(10分）</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4F9F7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管理制度</w:t>
            </w:r>
          </w:p>
          <w:p w14:paraId="2A792C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健全性</w:t>
            </w:r>
          </w:p>
        </w:tc>
        <w:tc>
          <w:tcPr>
            <w:tcW w:w="1741" w:type="pct"/>
            <w:tcBorders>
              <w:top w:val="single" w:color="auto" w:sz="4" w:space="0"/>
              <w:left w:val="single" w:color="auto" w:sz="4" w:space="0"/>
              <w:bottom w:val="single" w:color="auto" w:sz="4" w:space="0"/>
              <w:right w:val="single" w:color="auto" w:sz="4" w:space="0"/>
            </w:tcBorders>
            <w:shd w:val="clear" w:color="auto" w:fill="auto"/>
            <w:vAlign w:val="center"/>
          </w:tcPr>
          <w:p w14:paraId="1E69D4F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①有资产管理制度，且管理制度合法、合规、完整，得2分；</w:t>
            </w:r>
          </w:p>
          <w:p w14:paraId="2B308CB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②相关资产管理制度有效执行，得1分。</w:t>
            </w:r>
          </w:p>
        </w:tc>
        <w:tc>
          <w:tcPr>
            <w:tcW w:w="1236" w:type="pct"/>
            <w:tcBorders>
              <w:top w:val="single" w:color="auto" w:sz="4" w:space="0"/>
              <w:left w:val="single" w:color="auto" w:sz="4" w:space="0"/>
              <w:bottom w:val="single" w:color="auto" w:sz="4" w:space="0"/>
              <w:right w:val="single" w:color="auto" w:sz="4" w:space="0"/>
            </w:tcBorders>
            <w:shd w:val="clear" w:color="auto" w:fill="auto"/>
            <w:vAlign w:val="center"/>
          </w:tcPr>
          <w:p w14:paraId="59CA89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部门(单位）为加强资产管理，规范资产管理行为而制定的管理制度是否健全完整、用以反映和考核部门(单位）资产管理制度对完成主要职责或促进社会发展的保障情况。</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539570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3353D72E">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68E6D674">
            <w:pPr>
              <w:jc w:val="center"/>
              <w:rPr>
                <w:rFonts w:hint="eastAsia" w:ascii="仿宋_GB2312" w:hAnsi="宋体" w:eastAsia="仿宋_GB2312" w:cs="仿宋_GB2312"/>
                <w:i w:val="0"/>
                <w:iCs w:val="0"/>
                <w:color w:val="000000"/>
                <w:sz w:val="20"/>
                <w:szCs w:val="20"/>
                <w:u w:val="none"/>
              </w:rPr>
            </w:pPr>
          </w:p>
        </w:tc>
      </w:tr>
      <w:tr w14:paraId="48F3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399"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251C8D0">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36D122">
            <w:pPr>
              <w:jc w:val="center"/>
              <w:rPr>
                <w:rFonts w:hint="eastAsia" w:ascii="仿宋_GB2312" w:hAnsi="宋体" w:eastAsia="仿宋_GB2312" w:cs="仿宋_GB2312"/>
                <w:i w:val="0"/>
                <w:iCs w:val="0"/>
                <w:color w:val="000000"/>
                <w:sz w:val="20"/>
                <w:szCs w:val="20"/>
                <w:u w:val="none"/>
              </w:rPr>
            </w:pPr>
          </w:p>
        </w:tc>
        <w:tc>
          <w:tcPr>
            <w:tcW w:w="403" w:type="pct"/>
            <w:tcBorders>
              <w:top w:val="single" w:color="auto" w:sz="4" w:space="0"/>
              <w:left w:val="single" w:color="000000" w:sz="4" w:space="0"/>
              <w:bottom w:val="single" w:color="auto" w:sz="4" w:space="0"/>
              <w:right w:val="single" w:color="000000" w:sz="4" w:space="0"/>
            </w:tcBorders>
            <w:shd w:val="clear" w:color="auto" w:fill="auto"/>
            <w:vAlign w:val="center"/>
          </w:tcPr>
          <w:p w14:paraId="749C70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资产管理</w:t>
            </w:r>
          </w:p>
          <w:p w14:paraId="0CBF9C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安全性</w:t>
            </w:r>
          </w:p>
        </w:tc>
        <w:tc>
          <w:tcPr>
            <w:tcW w:w="1741" w:type="pct"/>
            <w:tcBorders>
              <w:top w:val="single" w:color="auto" w:sz="4" w:space="0"/>
              <w:left w:val="single" w:color="000000" w:sz="4" w:space="0"/>
              <w:bottom w:val="single" w:color="000000" w:sz="4" w:space="0"/>
              <w:right w:val="single" w:color="000000" w:sz="4" w:space="0"/>
            </w:tcBorders>
            <w:shd w:val="clear" w:color="auto" w:fill="auto"/>
            <w:vAlign w:val="center"/>
          </w:tcPr>
          <w:p w14:paraId="62F7D2C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①资产保存完整；②资产配置合理；③资产处置规范；④资产账务管理合规、账实相符；⑤资产有偿使用及处置收入及时足额上缴。</w:t>
            </w:r>
          </w:p>
          <w:p w14:paraId="25591BB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以上情况每出现一例不符合有关要求的扣1分，扣完为止。</w:t>
            </w:r>
          </w:p>
        </w:tc>
        <w:tc>
          <w:tcPr>
            <w:tcW w:w="1236" w:type="pct"/>
            <w:tcBorders>
              <w:top w:val="single" w:color="auto" w:sz="4" w:space="0"/>
              <w:left w:val="single" w:color="000000" w:sz="4" w:space="0"/>
              <w:bottom w:val="single" w:color="000000" w:sz="4" w:space="0"/>
              <w:right w:val="single" w:color="000000" w:sz="4" w:space="0"/>
            </w:tcBorders>
            <w:shd w:val="clear" w:color="auto" w:fill="auto"/>
            <w:vAlign w:val="center"/>
          </w:tcPr>
          <w:p w14:paraId="7EFAE61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部门(单位)的资产是否保存完整，使用合规、配置合理、处置规范、收入及时足额上缴，用以反映和考核部门(单位) 资产安全运行情况。</w:t>
            </w:r>
          </w:p>
        </w:tc>
        <w:tc>
          <w:tcPr>
            <w:tcW w:w="236" w:type="pct"/>
            <w:tcBorders>
              <w:top w:val="single" w:color="auto" w:sz="4" w:space="0"/>
              <w:left w:val="single" w:color="000000" w:sz="4" w:space="0"/>
              <w:bottom w:val="single" w:color="000000" w:sz="4" w:space="0"/>
              <w:right w:val="single" w:color="000000" w:sz="4" w:space="0"/>
            </w:tcBorders>
            <w:shd w:val="clear" w:color="auto" w:fill="auto"/>
            <w:vAlign w:val="center"/>
          </w:tcPr>
          <w:p w14:paraId="303672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235" w:type="pct"/>
            <w:tcBorders>
              <w:top w:val="single" w:color="auto" w:sz="4" w:space="0"/>
              <w:left w:val="single" w:color="000000" w:sz="4" w:space="0"/>
              <w:bottom w:val="single" w:color="000000" w:sz="4" w:space="0"/>
              <w:right w:val="single" w:color="000000" w:sz="4" w:space="0"/>
            </w:tcBorders>
            <w:shd w:val="clear" w:color="auto" w:fill="auto"/>
            <w:vAlign w:val="center"/>
          </w:tcPr>
          <w:p w14:paraId="7065AB0B">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c>
          <w:tcPr>
            <w:tcW w:w="371" w:type="pct"/>
            <w:tcBorders>
              <w:top w:val="single" w:color="auto" w:sz="4" w:space="0"/>
              <w:left w:val="single" w:color="000000" w:sz="4" w:space="0"/>
              <w:bottom w:val="single" w:color="000000" w:sz="4" w:space="0"/>
              <w:right w:val="single" w:color="000000" w:sz="4" w:space="0"/>
            </w:tcBorders>
            <w:shd w:val="clear" w:color="auto" w:fill="auto"/>
            <w:vAlign w:val="center"/>
          </w:tcPr>
          <w:p w14:paraId="061853BD">
            <w:pPr>
              <w:jc w:val="center"/>
              <w:rPr>
                <w:rFonts w:hint="eastAsia" w:ascii="仿宋_GB2312" w:hAnsi="宋体" w:eastAsia="仿宋_GB2312" w:cs="仿宋_GB2312"/>
                <w:i w:val="0"/>
                <w:iCs w:val="0"/>
                <w:color w:val="000000"/>
                <w:sz w:val="20"/>
                <w:szCs w:val="20"/>
                <w:u w:val="none"/>
              </w:rPr>
            </w:pPr>
          </w:p>
        </w:tc>
      </w:tr>
      <w:tr w14:paraId="1D1A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983DE">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E6256">
            <w:pPr>
              <w:jc w:val="center"/>
              <w:rPr>
                <w:rFonts w:hint="eastAsia" w:ascii="仿宋_GB2312" w:hAnsi="宋体" w:eastAsia="仿宋_GB2312" w:cs="仿宋_GB2312"/>
                <w:i w:val="0"/>
                <w:iCs w:val="0"/>
                <w:color w:val="000000"/>
                <w:sz w:val="20"/>
                <w:szCs w:val="20"/>
                <w:u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C3F34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固定资产</w:t>
            </w:r>
          </w:p>
          <w:p w14:paraId="783F13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利用率</w:t>
            </w:r>
          </w:p>
        </w:tc>
        <w:tc>
          <w:tcPr>
            <w:tcW w:w="1741" w:type="pct"/>
            <w:tcBorders>
              <w:top w:val="single" w:color="000000" w:sz="4" w:space="0"/>
              <w:left w:val="single" w:color="auto" w:sz="4" w:space="0"/>
              <w:bottom w:val="single" w:color="000000" w:sz="4" w:space="0"/>
              <w:right w:val="single" w:color="000000" w:sz="4" w:space="0"/>
            </w:tcBorders>
            <w:shd w:val="clear" w:color="auto" w:fill="auto"/>
            <w:vAlign w:val="center"/>
          </w:tcPr>
          <w:p w14:paraId="09F1DE2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每低于100％一个百分点扣0.1分，扣完为止。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39F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固定资产利用率＝（实际在用固定资产总额／所有固定资产总额）*100%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824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955B">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3E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撤并校现存资产利用率较低。</w:t>
            </w:r>
          </w:p>
        </w:tc>
      </w:tr>
      <w:tr w14:paraId="0126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EAC1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产出</w:t>
            </w:r>
          </w:p>
          <w:p w14:paraId="7785DE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(25分）</w:t>
            </w:r>
          </w:p>
        </w:tc>
        <w:tc>
          <w:tcPr>
            <w:tcW w:w="3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8FDE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职责履行</w:t>
            </w:r>
          </w:p>
          <w:p w14:paraId="5C76DEA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(25分）</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4B753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（政府工作报告）目标任务</w:t>
            </w:r>
          </w:p>
          <w:p w14:paraId="7FA9D9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完成情况</w:t>
            </w:r>
          </w:p>
        </w:tc>
        <w:tc>
          <w:tcPr>
            <w:tcW w:w="1741"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EA5092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此三项指标可根据部门实际并结合部门整体支出绩效目标设立情况有选择的进行设置，并将其细化为相应的个性化指标。</w:t>
            </w:r>
          </w:p>
        </w:tc>
        <w:tc>
          <w:tcPr>
            <w:tcW w:w="1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470A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此三项指标结合部门(单位)实际情况进行细化。</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1B6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60D86">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25</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4DF7D">
            <w:pPr>
              <w:jc w:val="center"/>
              <w:rPr>
                <w:rFonts w:hint="eastAsia" w:ascii="仿宋_GB2312" w:hAnsi="宋体" w:eastAsia="仿宋_GB2312" w:cs="仿宋_GB2312"/>
                <w:i w:val="0"/>
                <w:iCs w:val="0"/>
                <w:color w:val="000000"/>
                <w:sz w:val="20"/>
                <w:szCs w:val="20"/>
                <w:u w:val="none"/>
              </w:rPr>
            </w:pPr>
          </w:p>
        </w:tc>
      </w:tr>
      <w:tr w14:paraId="2A8D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D1511">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6FE03">
            <w:pPr>
              <w:jc w:val="center"/>
              <w:rPr>
                <w:rFonts w:hint="eastAsia" w:ascii="仿宋_GB2312" w:hAnsi="宋体" w:eastAsia="仿宋_GB2312" w:cs="仿宋_GB2312"/>
                <w:i w:val="0"/>
                <w:iCs w:val="0"/>
                <w:color w:val="000000"/>
                <w:sz w:val="20"/>
                <w:szCs w:val="20"/>
                <w:u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19E38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省市区重点工程和重大项目建</w:t>
            </w:r>
          </w:p>
          <w:p w14:paraId="742116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设完成情况</w:t>
            </w:r>
          </w:p>
        </w:tc>
        <w:tc>
          <w:tcPr>
            <w:tcW w:w="174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F43CB26">
            <w:pPr>
              <w:jc w:val="left"/>
              <w:rPr>
                <w:rFonts w:hint="eastAsia" w:ascii="仿宋_GB2312" w:hAnsi="宋体" w:eastAsia="仿宋_GB2312" w:cs="仿宋_GB2312"/>
                <w:i w:val="0"/>
                <w:iCs w:val="0"/>
                <w:color w:val="000000"/>
                <w:sz w:val="20"/>
                <w:szCs w:val="20"/>
                <w:u w:val="none"/>
              </w:rPr>
            </w:pPr>
          </w:p>
        </w:tc>
        <w:tc>
          <w:tcPr>
            <w:tcW w:w="1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9959">
            <w:pPr>
              <w:jc w:val="left"/>
              <w:rPr>
                <w:rFonts w:hint="eastAsia" w:ascii="仿宋_GB2312" w:hAnsi="宋体" w:eastAsia="仿宋_GB2312" w:cs="仿宋_GB2312"/>
                <w:i w:val="0"/>
                <w:iCs w:val="0"/>
                <w:color w:val="000000"/>
                <w:sz w:val="20"/>
                <w:szCs w:val="20"/>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56844">
            <w:pPr>
              <w:jc w:val="center"/>
              <w:rPr>
                <w:rFonts w:hint="eastAsia" w:ascii="仿宋_GB2312" w:hAnsi="宋体" w:eastAsia="仿宋_GB2312" w:cs="仿宋_GB2312"/>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D4A2">
            <w:pPr>
              <w:jc w:val="center"/>
              <w:rPr>
                <w:rFonts w:hint="eastAsia" w:ascii="仿宋_GB2312" w:hAnsi="宋体" w:eastAsia="仿宋_GB2312" w:cs="仿宋_GB2312"/>
                <w:i w:val="0"/>
                <w:iCs w:val="0"/>
                <w:color w:val="000000"/>
                <w:sz w:val="20"/>
                <w:szCs w:val="20"/>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BCD8">
            <w:pPr>
              <w:jc w:val="center"/>
              <w:rPr>
                <w:rFonts w:hint="eastAsia" w:ascii="仿宋_GB2312" w:hAnsi="宋体" w:eastAsia="仿宋_GB2312" w:cs="仿宋_GB2312"/>
                <w:i w:val="0"/>
                <w:iCs w:val="0"/>
                <w:color w:val="000000"/>
                <w:sz w:val="20"/>
                <w:szCs w:val="20"/>
                <w:u w:val="none"/>
              </w:rPr>
            </w:pPr>
          </w:p>
        </w:tc>
      </w:tr>
      <w:tr w14:paraId="29A7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02249">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14D50">
            <w:pPr>
              <w:jc w:val="center"/>
              <w:rPr>
                <w:rFonts w:hint="eastAsia" w:ascii="仿宋_GB2312" w:hAnsi="宋体" w:eastAsia="仿宋_GB2312" w:cs="仿宋_GB2312"/>
                <w:i w:val="0"/>
                <w:iCs w:val="0"/>
                <w:color w:val="000000"/>
                <w:sz w:val="20"/>
                <w:szCs w:val="20"/>
                <w:u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083DC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单位职能工作</w:t>
            </w:r>
          </w:p>
        </w:tc>
        <w:tc>
          <w:tcPr>
            <w:tcW w:w="174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E9BF287">
            <w:pPr>
              <w:jc w:val="left"/>
              <w:rPr>
                <w:rFonts w:hint="eastAsia" w:ascii="仿宋_GB2312" w:hAnsi="宋体" w:eastAsia="仿宋_GB2312" w:cs="仿宋_GB2312"/>
                <w:i w:val="0"/>
                <w:iCs w:val="0"/>
                <w:color w:val="000000"/>
                <w:sz w:val="20"/>
                <w:szCs w:val="20"/>
                <w:u w:val="none"/>
              </w:rPr>
            </w:pPr>
          </w:p>
        </w:tc>
        <w:tc>
          <w:tcPr>
            <w:tcW w:w="1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62760">
            <w:pPr>
              <w:jc w:val="left"/>
              <w:rPr>
                <w:rFonts w:hint="eastAsia" w:ascii="仿宋_GB2312" w:hAnsi="宋体" w:eastAsia="仿宋_GB2312" w:cs="仿宋_GB2312"/>
                <w:i w:val="0"/>
                <w:iCs w:val="0"/>
                <w:color w:val="000000"/>
                <w:sz w:val="20"/>
                <w:szCs w:val="20"/>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76049">
            <w:pPr>
              <w:jc w:val="center"/>
              <w:rPr>
                <w:rFonts w:hint="eastAsia" w:ascii="仿宋_GB2312" w:hAnsi="宋体" w:eastAsia="仿宋_GB2312" w:cs="仿宋_GB2312"/>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780EC">
            <w:pPr>
              <w:jc w:val="center"/>
              <w:rPr>
                <w:rFonts w:hint="eastAsia" w:ascii="仿宋_GB2312" w:hAnsi="宋体" w:eastAsia="仿宋_GB2312" w:cs="仿宋_GB2312"/>
                <w:i w:val="0"/>
                <w:iCs w:val="0"/>
                <w:color w:val="000000"/>
                <w:sz w:val="20"/>
                <w:szCs w:val="20"/>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5650A">
            <w:pPr>
              <w:jc w:val="center"/>
              <w:rPr>
                <w:rFonts w:hint="eastAsia" w:ascii="仿宋_GB2312" w:hAnsi="宋体" w:eastAsia="仿宋_GB2312" w:cs="仿宋_GB2312"/>
                <w:i w:val="0"/>
                <w:iCs w:val="0"/>
                <w:color w:val="000000"/>
                <w:sz w:val="20"/>
                <w:szCs w:val="20"/>
                <w:u w:val="none"/>
              </w:rPr>
            </w:pPr>
          </w:p>
        </w:tc>
      </w:tr>
      <w:tr w14:paraId="1593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4B5A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效果</w:t>
            </w:r>
          </w:p>
          <w:p w14:paraId="3DA975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(20分）</w:t>
            </w:r>
          </w:p>
        </w:tc>
        <w:tc>
          <w:tcPr>
            <w:tcW w:w="3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C12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履职效益</w:t>
            </w:r>
          </w:p>
          <w:p w14:paraId="5CE0599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(20分）</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5CC1C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1741" w:type="pct"/>
            <w:tcBorders>
              <w:top w:val="single" w:color="000000" w:sz="4" w:space="0"/>
              <w:left w:val="single" w:color="auto" w:sz="4" w:space="0"/>
              <w:bottom w:val="single" w:color="000000" w:sz="4" w:space="0"/>
              <w:right w:val="single" w:color="000000" w:sz="4" w:space="0"/>
            </w:tcBorders>
            <w:shd w:val="clear" w:color="auto" w:fill="auto"/>
            <w:vAlign w:val="center"/>
          </w:tcPr>
          <w:p w14:paraId="32EDE18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各级各类教育资助政策知晓率均达到95%以上</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D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高等入学救助、中职和高中免学费、中职和高中国家助学金、义务教育免学费公用经费、义务教育营养改善计划、家庭经济困难学生和幼儿生活补助等资助政策。</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829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C935">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B862">
            <w:pPr>
              <w:jc w:val="center"/>
              <w:rPr>
                <w:rFonts w:hint="eastAsia" w:ascii="仿宋_GB2312" w:hAnsi="宋体" w:eastAsia="仿宋_GB2312" w:cs="仿宋_GB2312"/>
                <w:i w:val="0"/>
                <w:iCs w:val="0"/>
                <w:color w:val="000000"/>
                <w:sz w:val="20"/>
                <w:szCs w:val="20"/>
                <w:u w:val="none"/>
              </w:rPr>
            </w:pPr>
          </w:p>
        </w:tc>
      </w:tr>
      <w:tr w14:paraId="6B56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55C66">
            <w:pPr>
              <w:jc w:val="center"/>
              <w:rPr>
                <w:rFonts w:hint="eastAsia" w:ascii="仿宋_GB2312" w:hAnsi="宋体" w:eastAsia="仿宋_GB2312" w:cs="仿宋_GB2312"/>
                <w:i w:val="0"/>
                <w:iCs w:val="0"/>
                <w:color w:val="000000"/>
                <w:sz w:val="20"/>
                <w:szCs w:val="20"/>
                <w:u w:val="none"/>
              </w:rPr>
            </w:pPr>
          </w:p>
        </w:tc>
        <w:tc>
          <w:tcPr>
            <w:tcW w:w="3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0650768">
            <w:pPr>
              <w:jc w:val="center"/>
              <w:rPr>
                <w:rFonts w:hint="eastAsia" w:ascii="仿宋_GB2312" w:hAnsi="宋体" w:eastAsia="仿宋_GB2312" w:cs="仿宋_GB2312"/>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01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社会公众或服务对象满意度</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9BD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95%（含）以上计 5 分；</w:t>
            </w:r>
          </w:p>
          <w:p w14:paraId="1B83291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85%（含）-95%，计3分；</w:t>
            </w:r>
          </w:p>
          <w:p w14:paraId="25E3449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75%（含）-85%，计1分；</w:t>
            </w:r>
          </w:p>
          <w:p w14:paraId="333FD76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低于75％计0分。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F32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社会公众或服务对象是指部门（单位）履行职责而影响到的部门、群体或个人</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3F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E3A3">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A4C2">
            <w:pPr>
              <w:jc w:val="both"/>
              <w:rPr>
                <w:rFonts w:hint="eastAsia" w:ascii="仿宋_GB2312" w:hAnsi="宋体" w:eastAsia="仿宋_GB2312" w:cs="仿宋_GB2312"/>
                <w:i w:val="0"/>
                <w:iCs w:val="0"/>
                <w:color w:val="000000"/>
                <w:sz w:val="20"/>
                <w:szCs w:val="20"/>
                <w:u w:val="none"/>
              </w:rPr>
            </w:pPr>
          </w:p>
        </w:tc>
      </w:tr>
      <w:tr w14:paraId="58F2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14:paraId="315F75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376" w:type="pct"/>
            <w:tcBorders>
              <w:top w:val="single" w:color="000000" w:sz="4" w:space="0"/>
              <w:left w:val="single" w:color="auto" w:sz="4" w:space="0"/>
              <w:bottom w:val="single" w:color="000000" w:sz="4" w:space="0"/>
              <w:right w:val="single" w:color="000000" w:sz="4" w:space="0"/>
            </w:tcBorders>
            <w:shd w:val="clear" w:color="auto" w:fill="auto"/>
            <w:vAlign w:val="center"/>
          </w:tcPr>
          <w:p w14:paraId="2440C66E">
            <w:pPr>
              <w:jc w:val="center"/>
              <w:rPr>
                <w:rFonts w:hint="eastAsia" w:ascii="仿宋_GB2312" w:hAnsi="宋体" w:eastAsia="仿宋_GB2312" w:cs="仿宋_GB2312"/>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5A70">
            <w:pPr>
              <w:jc w:val="center"/>
              <w:rPr>
                <w:rFonts w:hint="eastAsia" w:ascii="仿宋_GB2312" w:hAnsi="宋体" w:eastAsia="仿宋_GB2312" w:cs="仿宋_GB2312"/>
                <w:i w:val="0"/>
                <w:iCs w:val="0"/>
                <w:color w:val="000000"/>
                <w:sz w:val="20"/>
                <w:szCs w:val="20"/>
                <w:u w:val="none"/>
              </w:rPr>
            </w:pP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229B">
            <w:pPr>
              <w:jc w:val="left"/>
              <w:rPr>
                <w:rFonts w:hint="eastAsia" w:ascii="仿宋_GB2312" w:hAnsi="宋体" w:eastAsia="仿宋_GB2312" w:cs="仿宋_GB2312"/>
                <w:i w:val="0"/>
                <w:iCs w:val="0"/>
                <w:color w:val="000000"/>
                <w:sz w:val="20"/>
                <w:szCs w:val="20"/>
                <w:u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6109">
            <w:pPr>
              <w:jc w:val="left"/>
              <w:rPr>
                <w:rFonts w:hint="eastAsia" w:ascii="仿宋_GB2312" w:hAnsi="宋体" w:eastAsia="仿宋_GB2312" w:cs="仿宋_GB2312"/>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D9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65E2">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97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0C3D">
            <w:pPr>
              <w:jc w:val="center"/>
              <w:rPr>
                <w:rFonts w:hint="eastAsia" w:ascii="仿宋_GB2312" w:hAnsi="宋体" w:eastAsia="仿宋_GB2312" w:cs="仿宋_GB2312"/>
                <w:i w:val="0"/>
                <w:iCs w:val="0"/>
                <w:color w:val="000000"/>
                <w:sz w:val="20"/>
                <w:szCs w:val="20"/>
                <w:u w:val="none"/>
              </w:rPr>
            </w:pPr>
          </w:p>
        </w:tc>
      </w:tr>
      <w:tr w14:paraId="100B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4E9AB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备注：根据资金支出实际情况，对“三级指标”进行增加或删除，并将修改后的“评分标准”和“指标解释”进行细化，总分为100分。</w:t>
            </w:r>
          </w:p>
        </w:tc>
      </w:tr>
      <w:tr w14:paraId="65CA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5000" w:type="pct"/>
            <w:gridSpan w:val="8"/>
            <w:tcBorders>
              <w:top w:val="nil"/>
              <w:left w:val="nil"/>
              <w:bottom w:val="nil"/>
              <w:right w:val="nil"/>
            </w:tcBorders>
            <w:shd w:val="clear" w:color="auto" w:fill="auto"/>
            <w:noWrap/>
            <w:vAlign w:val="center"/>
          </w:tcPr>
          <w:p w14:paraId="3E34D8BF">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bl>
    <w:p w14:paraId="22B31D17">
      <w:pPr>
        <w:rPr>
          <w:rFonts w:hint="eastAsia" w:ascii="仿宋_GB2312" w:eastAsia="仿宋_GB2312"/>
          <w:sz w:val="32"/>
          <w:szCs w:val="32"/>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954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0F4A6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70F4A6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ZTRkNDIxZGE3NGQ1MWUzMjJjZWFhMDI5MGE0OTMifQ=="/>
  </w:docVars>
  <w:rsids>
    <w:rsidRoot w:val="3BB8614D"/>
    <w:rsid w:val="00ED3BD8"/>
    <w:rsid w:val="014A0D6E"/>
    <w:rsid w:val="01A06E9D"/>
    <w:rsid w:val="083919CE"/>
    <w:rsid w:val="0B951388"/>
    <w:rsid w:val="14290F74"/>
    <w:rsid w:val="161A0B74"/>
    <w:rsid w:val="1AC6751C"/>
    <w:rsid w:val="1F291E28"/>
    <w:rsid w:val="242060D0"/>
    <w:rsid w:val="2769195B"/>
    <w:rsid w:val="27C83E11"/>
    <w:rsid w:val="30A26E20"/>
    <w:rsid w:val="36094F82"/>
    <w:rsid w:val="377C2FE5"/>
    <w:rsid w:val="3986014B"/>
    <w:rsid w:val="39B53300"/>
    <w:rsid w:val="3A0952C1"/>
    <w:rsid w:val="3A1F417C"/>
    <w:rsid w:val="3BB8614D"/>
    <w:rsid w:val="3D87623F"/>
    <w:rsid w:val="3D902001"/>
    <w:rsid w:val="3DBA6A6E"/>
    <w:rsid w:val="406963EA"/>
    <w:rsid w:val="47AF4671"/>
    <w:rsid w:val="47D465B5"/>
    <w:rsid w:val="4B917331"/>
    <w:rsid w:val="4D700CBE"/>
    <w:rsid w:val="4E3F66C2"/>
    <w:rsid w:val="4EA42E37"/>
    <w:rsid w:val="4F1D067A"/>
    <w:rsid w:val="4F8545A9"/>
    <w:rsid w:val="52880361"/>
    <w:rsid w:val="53B3293D"/>
    <w:rsid w:val="55A552F9"/>
    <w:rsid w:val="5CE57ED2"/>
    <w:rsid w:val="5EB3311C"/>
    <w:rsid w:val="62B67FAD"/>
    <w:rsid w:val="65390AAF"/>
    <w:rsid w:val="660E6C4E"/>
    <w:rsid w:val="6CA51C88"/>
    <w:rsid w:val="7055609E"/>
    <w:rsid w:val="71913F17"/>
    <w:rsid w:val="766C59F7"/>
    <w:rsid w:val="76AC2297"/>
    <w:rsid w:val="78D12489"/>
    <w:rsid w:val="792F59CB"/>
    <w:rsid w:val="7A790F87"/>
    <w:rsid w:val="7DF67F72"/>
    <w:rsid w:val="7FB7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semiHidden/>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 Text First Indent 2"/>
    <w:basedOn w:val="9"/>
    <w:next w:val="1"/>
    <w:qFormat/>
    <w:uiPriority w:val="0"/>
    <w:pPr>
      <w:spacing w:after="120"/>
      <w:ind w:left="200" w:leftChars="200" w:firstLine="200" w:firstLineChars="200"/>
    </w:pPr>
    <w:rPr>
      <w:rFonts w:ascii="Times New Roman" w:hAnsi="Times New Roman"/>
    </w:rPr>
  </w:style>
  <w:style w:type="paragraph" w:customStyle="1" w:styleId="9">
    <w:name w:val="Body Text Indent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6459</Words>
  <Characters>6952</Characters>
  <Lines>0</Lines>
  <Paragraphs>0</Paragraphs>
  <TotalTime>0</TotalTime>
  <ScaleCrop>false</ScaleCrop>
  <LinksUpToDate>false</LinksUpToDate>
  <CharactersWithSpaces>7074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2024-03-06T06:40:00Z</dcterms:created>
  <dc:creator>Administrator</dc:creator>
  <cp:lastModifiedBy>刘小米 </cp:lastModifiedBy>
  <cp:lastPrinted>2024-04-28T01:30:00Z</cp:lastPrinted>
  <dcterms:modified xsi:type="dcterms:W3CDTF">2024-11-21T07:51:54Z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66B363CF3ADD4150912075A76313E44F_13</vt:lpwstr>
  </property>
</Properties>
</file>