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F9F73">
      <w:pPr>
        <w:rPr>
          <w:rFonts w:hint="default" w:ascii="Times New Roman" w:hAnsi="Times New Roman" w:eastAsia="仿宋_GB2312" w:cs="Times New Roman"/>
          <w:color w:val="000000" w:themeColor="text1"/>
          <w:sz w:val="36"/>
          <w:szCs w:val="36"/>
          <w14:textFill>
            <w14:solidFill>
              <w14:schemeClr w14:val="tx1"/>
            </w14:solidFill>
          </w14:textFill>
        </w:rPr>
      </w:pPr>
    </w:p>
    <w:p w14:paraId="1E18E007">
      <w:pPr>
        <w:rPr>
          <w:rFonts w:hint="default" w:ascii="Times New Roman" w:hAnsi="Times New Roman" w:eastAsia="仿宋_GB2312" w:cs="Times New Roman"/>
          <w:color w:val="000000" w:themeColor="text1"/>
          <w:sz w:val="36"/>
          <w:szCs w:val="36"/>
          <w14:textFill>
            <w14:solidFill>
              <w14:schemeClr w14:val="tx1"/>
            </w14:solidFill>
          </w14:textFill>
        </w:rPr>
      </w:pPr>
    </w:p>
    <w:p w14:paraId="09C5BD51">
      <w:pPr>
        <w:rPr>
          <w:rFonts w:hint="default" w:ascii="Times New Roman" w:hAnsi="Times New Roman" w:eastAsia="仿宋_GB2312" w:cs="Times New Roman"/>
          <w:color w:val="000000" w:themeColor="text1"/>
          <w:sz w:val="36"/>
          <w:szCs w:val="36"/>
          <w14:textFill>
            <w14:solidFill>
              <w14:schemeClr w14:val="tx1"/>
            </w14:solidFill>
          </w14:textFill>
        </w:rPr>
      </w:pPr>
    </w:p>
    <w:p w14:paraId="107843F3">
      <w:pPr>
        <w:rPr>
          <w:rFonts w:hint="default" w:ascii="Times New Roman" w:hAnsi="Times New Roman" w:eastAsia="仿宋_GB2312" w:cs="Times New Roman"/>
          <w:color w:val="000000" w:themeColor="text1"/>
          <w:sz w:val="36"/>
          <w:szCs w:val="36"/>
          <w14:textFill>
            <w14:solidFill>
              <w14:schemeClr w14:val="tx1"/>
            </w14:solidFill>
          </w14:textFill>
        </w:rPr>
      </w:pPr>
    </w:p>
    <w:p w14:paraId="5ADC2C16">
      <w:pPr>
        <w:adjustRightInd w:val="0"/>
        <w:snapToGrid w:val="0"/>
        <w:jc w:val="center"/>
        <w:outlineLvl w:val="0"/>
        <w:rPr>
          <w:rFonts w:hint="default" w:ascii="Times New Roman" w:hAnsi="Times New Roman" w:eastAsia="方正小标宋_GBK" w:cs="Times New Roman"/>
          <w:bCs/>
          <w:color w:val="000000" w:themeColor="text1"/>
          <w:sz w:val="72"/>
          <w:szCs w:val="72"/>
          <w14:textFill>
            <w14:solidFill>
              <w14:schemeClr w14:val="tx1"/>
            </w14:solidFill>
          </w14:textFill>
        </w:rPr>
      </w:pPr>
      <w:r>
        <w:rPr>
          <w:rFonts w:hint="default" w:ascii="Times New Roman" w:hAnsi="Times New Roman" w:eastAsia="方正小标宋_GBK" w:cs="Times New Roman"/>
          <w:bCs/>
          <w:color w:val="000000" w:themeColor="text1"/>
          <w:sz w:val="72"/>
          <w:szCs w:val="72"/>
          <w14:textFill>
            <w14:solidFill>
              <w14:schemeClr w14:val="tx1"/>
            </w14:solidFill>
          </w14:textFill>
        </w:rPr>
        <w:t>建设项目环境影响报告表</w:t>
      </w:r>
    </w:p>
    <w:p w14:paraId="1746B9DA">
      <w:pPr>
        <w:adjustRightInd w:val="0"/>
        <w:snapToGrid w:val="0"/>
        <w:spacing w:before="192" w:beforeLines="80"/>
        <w:jc w:val="center"/>
        <w:rPr>
          <w:rFonts w:hint="eastAsia" w:ascii="Times New Roman" w:hAnsi="Times New Roman" w:eastAsia="楷体_GB2312" w:cs="Times New Roman"/>
          <w:bCs/>
          <w:color w:val="000000" w:themeColor="text1"/>
          <w:sz w:val="48"/>
          <w:szCs w:val="48"/>
          <w:lang w:val="en-US" w:eastAsia="zh-CN"/>
          <w14:textFill>
            <w14:solidFill>
              <w14:schemeClr w14:val="tx1"/>
            </w14:solidFill>
          </w14:textFill>
        </w:rPr>
      </w:pPr>
      <w:r>
        <w:rPr>
          <w:rFonts w:hint="default" w:ascii="Times New Roman" w:hAnsi="Times New Roman" w:eastAsia="楷体_GB2312" w:cs="Times New Roman"/>
          <w:bCs/>
          <w:color w:val="000000" w:themeColor="text1"/>
          <w:sz w:val="48"/>
          <w:szCs w:val="48"/>
          <w14:textFill>
            <w14:solidFill>
              <w14:schemeClr w14:val="tx1"/>
            </w14:solidFill>
          </w14:textFill>
        </w:rPr>
        <w:t>（污染影响类）</w:t>
      </w:r>
    </w:p>
    <w:p w14:paraId="4643F5AD">
      <w:pPr>
        <w:adjustRightInd w:val="0"/>
        <w:snapToGrid w:val="0"/>
        <w:spacing w:line="288" w:lineRule="auto"/>
        <w:jc w:val="center"/>
        <w:outlineLvl w:val="0"/>
        <w:rPr>
          <w:rFonts w:hint="default" w:ascii="Times New Roman" w:hAnsi="Times New Roman" w:eastAsia="华文仿宋" w:cs="Times New Roman"/>
          <w:color w:val="000000" w:themeColor="text1"/>
          <w:kern w:val="44"/>
          <w:sz w:val="44"/>
          <w:szCs w:val="44"/>
          <w14:textFill>
            <w14:solidFill>
              <w14:schemeClr w14:val="tx1"/>
            </w14:solidFill>
          </w14:textFill>
        </w:rPr>
      </w:pPr>
    </w:p>
    <w:p w14:paraId="35A0B094">
      <w:pPr>
        <w:jc w:val="center"/>
        <w:rPr>
          <w:rFonts w:hint="default" w:ascii="Times New Roman" w:hAnsi="Times New Roman" w:eastAsia="仿宋" w:cs="Times New Roman"/>
          <w:color w:val="000000" w:themeColor="text1"/>
          <w:sz w:val="52"/>
          <w:szCs w:val="52"/>
          <w14:textFill>
            <w14:solidFill>
              <w14:schemeClr w14:val="tx1"/>
            </w14:solidFill>
          </w14:textFill>
        </w:rPr>
      </w:pPr>
    </w:p>
    <w:p w14:paraId="4D1E9E00">
      <w:pPr>
        <w:rPr>
          <w:rFonts w:hint="default" w:ascii="Times New Roman" w:hAnsi="Times New Roman" w:eastAsia="仿宋" w:cs="Times New Roman"/>
          <w:color w:val="000000" w:themeColor="text1"/>
          <w:sz w:val="44"/>
          <w:szCs w:val="44"/>
          <w14:textFill>
            <w14:solidFill>
              <w14:schemeClr w14:val="tx1"/>
            </w14:solidFill>
          </w14:textFill>
        </w:rPr>
      </w:pPr>
    </w:p>
    <w:p w14:paraId="74F55A4D">
      <w:pPr>
        <w:rPr>
          <w:rFonts w:hint="default" w:ascii="Times New Roman" w:hAnsi="Times New Roman" w:eastAsia="仿宋" w:cs="Times New Roman"/>
          <w:color w:val="000000" w:themeColor="text1"/>
          <w:sz w:val="44"/>
          <w:szCs w:val="44"/>
          <w14:textFill>
            <w14:solidFill>
              <w14:schemeClr w14:val="tx1"/>
            </w14:solidFill>
          </w14:textFill>
        </w:rPr>
      </w:pPr>
    </w:p>
    <w:p w14:paraId="6786925B">
      <w:pPr>
        <w:rPr>
          <w:rFonts w:hint="default" w:ascii="Times New Roman" w:hAnsi="Times New Roman" w:eastAsia="仿宋" w:cs="Times New Roman"/>
          <w:color w:val="000000" w:themeColor="text1"/>
          <w:sz w:val="44"/>
          <w:szCs w:val="44"/>
          <w14:textFill>
            <w14:solidFill>
              <w14:schemeClr w14:val="tx1"/>
            </w14:solidFill>
          </w14:textFill>
        </w:rPr>
      </w:pPr>
    </w:p>
    <w:p w14:paraId="04647866">
      <w:pPr>
        <w:rPr>
          <w:rFonts w:hint="default" w:ascii="Times New Roman" w:hAnsi="Times New Roman" w:eastAsia="仿宋" w:cs="Times New Roman"/>
          <w:color w:val="000000" w:themeColor="text1"/>
          <w:sz w:val="44"/>
          <w:szCs w:val="44"/>
          <w14:textFill>
            <w14:solidFill>
              <w14:schemeClr w14:val="tx1"/>
            </w14:solidFill>
          </w14:textFill>
        </w:rPr>
      </w:pPr>
    </w:p>
    <w:p w14:paraId="335BD58F">
      <w:pPr>
        <w:pStyle w:val="18"/>
        <w:rPr>
          <w:rFonts w:hint="default" w:ascii="Times New Roman" w:hAnsi="Times New Roman" w:eastAsia="仿宋" w:cs="Times New Roman"/>
          <w:color w:val="000000" w:themeColor="text1"/>
          <w:sz w:val="44"/>
          <w:szCs w:val="44"/>
          <w14:textFill>
            <w14:solidFill>
              <w14:schemeClr w14:val="tx1"/>
            </w14:solidFill>
          </w14:textFill>
        </w:rPr>
      </w:pPr>
    </w:p>
    <w:p w14:paraId="7FF81905">
      <w:pPr>
        <w:rPr>
          <w:rFonts w:hint="default" w:ascii="Times New Roman" w:hAnsi="Times New Roman" w:eastAsia="仿宋" w:cs="Times New Roman"/>
          <w:color w:val="000000" w:themeColor="text1"/>
          <w:sz w:val="44"/>
          <w:szCs w:val="44"/>
          <w14:textFill>
            <w14:solidFill>
              <w14:schemeClr w14:val="tx1"/>
            </w14:solidFill>
          </w14:textFill>
        </w:rPr>
      </w:pPr>
    </w:p>
    <w:p w14:paraId="7E4D9183">
      <w:pPr>
        <w:pStyle w:val="18"/>
        <w:rPr>
          <w:rFonts w:hint="default" w:ascii="Times New Roman" w:hAnsi="Times New Roman" w:eastAsia="仿宋" w:cs="Times New Roman"/>
          <w:color w:val="000000" w:themeColor="text1"/>
          <w:sz w:val="44"/>
          <w:szCs w:val="44"/>
          <w14:textFill>
            <w14:solidFill>
              <w14:schemeClr w14:val="tx1"/>
            </w14:solidFill>
          </w14:textFill>
        </w:rPr>
      </w:pPr>
    </w:p>
    <w:p w14:paraId="4C81766B">
      <w:pPr>
        <w:rPr>
          <w:rFonts w:hint="default"/>
          <w:color w:val="000000" w:themeColor="text1"/>
          <w14:textFill>
            <w14:solidFill>
              <w14:schemeClr w14:val="tx1"/>
            </w14:solidFill>
          </w14:textFill>
        </w:rPr>
      </w:pPr>
    </w:p>
    <w:p w14:paraId="536A0276">
      <w:pPr>
        <w:rPr>
          <w:rFonts w:hint="default" w:ascii="Times New Roman" w:hAnsi="Times New Roman" w:eastAsia="仿宋" w:cs="Times New Roman"/>
          <w:color w:val="000000" w:themeColor="text1"/>
          <w:sz w:val="44"/>
          <w:szCs w:val="44"/>
          <w14:textFill>
            <w14:solidFill>
              <w14:schemeClr w14:val="tx1"/>
            </w14:solidFill>
          </w14:textFill>
        </w:rPr>
      </w:pPr>
    </w:p>
    <w:p w14:paraId="2F99754D">
      <w:pPr>
        <w:pStyle w:val="18"/>
        <w:rPr>
          <w:rFonts w:hint="default" w:ascii="Times New Roman" w:hAnsi="Times New Roman" w:eastAsia="仿宋" w:cs="Times New Roman"/>
          <w:color w:val="000000" w:themeColor="text1"/>
          <w:sz w:val="44"/>
          <w:szCs w:val="44"/>
          <w14:textFill>
            <w14:solidFill>
              <w14:schemeClr w14:val="tx1"/>
            </w14:solidFill>
          </w14:textFill>
        </w:rPr>
      </w:pPr>
    </w:p>
    <w:p w14:paraId="4F0460C3">
      <w:pPr>
        <w:rPr>
          <w:rFonts w:hint="default" w:ascii="Times New Roman" w:hAnsi="Times New Roman" w:eastAsia="仿宋" w:cs="Times New Roman"/>
          <w:color w:val="000000" w:themeColor="text1"/>
          <w:sz w:val="44"/>
          <w:szCs w:val="44"/>
          <w14:textFill>
            <w14:solidFill>
              <w14:schemeClr w14:val="tx1"/>
            </w14:solidFill>
          </w14:textFill>
        </w:rPr>
      </w:pPr>
    </w:p>
    <w:p w14:paraId="6ED42F99">
      <w:pPr>
        <w:pStyle w:val="18"/>
        <w:rPr>
          <w:rFonts w:hint="default"/>
          <w:color w:val="000000" w:themeColor="text1"/>
          <w14:textFill>
            <w14:solidFill>
              <w14:schemeClr w14:val="tx1"/>
            </w14:solidFill>
          </w14:textFill>
        </w:rPr>
      </w:pPr>
    </w:p>
    <w:p w14:paraId="3594BDB3">
      <w:pPr>
        <w:rPr>
          <w:rFonts w:hint="default" w:ascii="Times New Roman" w:hAnsi="Times New Roman" w:cs="Times New Roman"/>
          <w:color w:val="000000" w:themeColor="text1"/>
          <w14:textFill>
            <w14:solidFill>
              <w14:schemeClr w14:val="tx1"/>
            </w14:solidFill>
          </w14:textFill>
        </w:rPr>
      </w:pPr>
    </w:p>
    <w:p w14:paraId="5D3DCB24">
      <w:pPr>
        <w:keepNext w:val="0"/>
        <w:keepLines w:val="0"/>
        <w:pageBreakBefore w:val="0"/>
        <w:widowControl w:val="0"/>
        <w:kinsoku/>
        <w:wordWrap/>
        <w:overflowPunct/>
        <w:topLinePunct w:val="0"/>
        <w:autoSpaceDE/>
        <w:autoSpaceDN/>
        <w:bidi w:val="0"/>
        <w:adjustRightInd w:val="0"/>
        <w:snapToGrid w:val="0"/>
        <w:spacing w:line="360" w:lineRule="auto"/>
        <w:ind w:firstLine="1667" w:firstLineChars="593"/>
        <w:textAlignment w:val="auto"/>
        <w:rPr>
          <w:rFonts w:hint="default" w:ascii="Times New Roman" w:hAnsi="Times New Roman" w:cs="Times New Roman" w:eastAsiaTheme="majorEastAsia"/>
          <w:b/>
          <w:bCs/>
          <w:color w:val="000000" w:themeColor="text1"/>
          <w:sz w:val="28"/>
          <w:szCs w:val="28"/>
          <w:u w:val="single"/>
          <w:lang w:val="en-US" w:eastAsia="zh-CN"/>
          <w14:textFill>
            <w14:solidFill>
              <w14:schemeClr w14:val="tx1"/>
            </w14:solidFill>
          </w14:textFill>
        </w:rPr>
      </w:pPr>
      <w:r>
        <w:rPr>
          <w:rFonts w:hint="default" w:ascii="Times New Roman" w:hAnsi="Times New Roman" w:cs="Times New Roman" w:eastAsiaTheme="majorEastAsia"/>
          <w:b/>
          <w:bCs/>
          <w:color w:val="000000" w:themeColor="text1"/>
          <w:sz w:val="28"/>
          <w:szCs w:val="28"/>
          <w14:textFill>
            <w14:solidFill>
              <w14:schemeClr w14:val="tx1"/>
            </w14:solidFill>
          </w14:textFill>
        </w:rPr>
        <w:t>项目名称：</w:t>
      </w:r>
      <w:r>
        <w:rPr>
          <w:rFonts w:hint="eastAsia" w:cs="Times New Roman" w:eastAsiaTheme="majorEastAsia"/>
          <w:b/>
          <w:bCs/>
          <w:color w:val="000000" w:themeColor="text1"/>
          <w:sz w:val="28"/>
          <w:szCs w:val="28"/>
          <w:u w:val="single"/>
          <w:lang w:val="en-US" w:eastAsia="zh-CN"/>
          <w14:textFill>
            <w14:solidFill>
              <w14:schemeClr w14:val="tx1"/>
            </w14:solidFill>
          </w14:textFill>
        </w:rPr>
        <w:t xml:space="preserve">    </w:t>
      </w:r>
      <w:r>
        <w:rPr>
          <w:rFonts w:hint="eastAsia" w:cs="Times New Roman" w:eastAsiaTheme="majorEastAsia"/>
          <w:b/>
          <w:bCs/>
          <w:color w:val="000000" w:themeColor="text1"/>
          <w:sz w:val="28"/>
          <w:szCs w:val="28"/>
          <w:u w:val="single"/>
          <w:lang w:eastAsia="zh-CN"/>
          <w14:textFill>
            <w14:solidFill>
              <w14:schemeClr w14:val="tx1"/>
            </w14:solidFill>
          </w14:textFill>
        </w:rPr>
        <w:t>金属过滤元件生产线建设项目</w:t>
      </w:r>
      <w:r>
        <w:rPr>
          <w:rFonts w:hint="eastAsia" w:cs="Times New Roman" w:eastAsiaTheme="majorEastAsia"/>
          <w:b/>
          <w:bCs/>
          <w:color w:val="000000" w:themeColor="text1"/>
          <w:sz w:val="28"/>
          <w:szCs w:val="28"/>
          <w:u w:val="single"/>
          <w:lang w:val="en-US" w:eastAsia="zh-CN"/>
          <w14:textFill>
            <w14:solidFill>
              <w14:schemeClr w14:val="tx1"/>
            </w14:solidFill>
          </w14:textFill>
        </w:rPr>
        <w:t xml:space="preserve">    </w:t>
      </w:r>
    </w:p>
    <w:p w14:paraId="081C6F14">
      <w:pPr>
        <w:keepNext w:val="0"/>
        <w:keepLines w:val="0"/>
        <w:pageBreakBefore w:val="0"/>
        <w:widowControl w:val="0"/>
        <w:kinsoku/>
        <w:wordWrap/>
        <w:overflowPunct/>
        <w:topLinePunct w:val="0"/>
        <w:autoSpaceDE/>
        <w:autoSpaceDN/>
        <w:bidi w:val="0"/>
        <w:adjustRightInd w:val="0"/>
        <w:snapToGrid w:val="0"/>
        <w:spacing w:line="360" w:lineRule="auto"/>
        <w:ind w:firstLine="1667" w:firstLineChars="593"/>
        <w:textAlignment w:val="auto"/>
        <w:rPr>
          <w:rFonts w:hint="default" w:ascii="Times New Roman" w:hAnsi="Times New Roman" w:cs="Times New Roman" w:eastAsiaTheme="majorEastAsia"/>
          <w:b/>
          <w:bCs/>
          <w:color w:val="000000" w:themeColor="text1"/>
          <w:sz w:val="28"/>
          <w:szCs w:val="28"/>
          <w:u w:val="single"/>
          <w:lang w:val="en-US"/>
          <w14:textFill>
            <w14:solidFill>
              <w14:schemeClr w14:val="tx1"/>
            </w14:solidFill>
          </w14:textFill>
        </w:rPr>
      </w:pPr>
      <w:r>
        <w:rPr>
          <w:rFonts w:hint="default" w:ascii="Times New Roman" w:hAnsi="Times New Roman" w:cs="Times New Roman" w:eastAsiaTheme="majorEastAsia"/>
          <w:b/>
          <w:bCs/>
          <w:color w:val="000000" w:themeColor="text1"/>
          <w:sz w:val="28"/>
          <w:szCs w:val="28"/>
          <w14:textFill>
            <w14:solidFill>
              <w14:schemeClr w14:val="tx1"/>
            </w14:solidFill>
          </w14:textFill>
        </w:rPr>
        <w:t>建设单位：</w:t>
      </w:r>
      <w:r>
        <w:rPr>
          <w:rFonts w:hint="eastAsia" w:cs="Times New Roman" w:eastAsiaTheme="majorEastAsia"/>
          <w:b/>
          <w:bCs/>
          <w:color w:val="000000" w:themeColor="text1"/>
          <w:sz w:val="28"/>
          <w:szCs w:val="28"/>
          <w:lang w:val="en-US" w:eastAsia="zh-CN"/>
          <w14:textFill>
            <w14:solidFill>
              <w14:schemeClr w14:val="tx1"/>
            </w14:solidFill>
          </w14:textFill>
        </w:rPr>
        <w:t xml:space="preserve"> </w:t>
      </w:r>
      <w:r>
        <w:rPr>
          <w:rFonts w:hint="eastAsia" w:cs="Times New Roman" w:eastAsiaTheme="majorEastAsia"/>
          <w:b/>
          <w:bCs/>
          <w:color w:val="000000" w:themeColor="text1"/>
          <w:sz w:val="28"/>
          <w:szCs w:val="28"/>
          <w:u w:val="single"/>
          <w:lang w:val="en-US" w:eastAsia="zh-CN"/>
          <w14:textFill>
            <w14:solidFill>
              <w14:schemeClr w14:val="tx1"/>
            </w14:solidFill>
          </w14:textFill>
        </w:rPr>
        <w:t xml:space="preserve">   宝鸡玖宝鑫新材科技有限公司    </w:t>
      </w:r>
    </w:p>
    <w:p w14:paraId="7BB72492">
      <w:pPr>
        <w:keepNext w:val="0"/>
        <w:keepLines w:val="0"/>
        <w:pageBreakBefore w:val="0"/>
        <w:widowControl w:val="0"/>
        <w:kinsoku/>
        <w:wordWrap/>
        <w:overflowPunct/>
        <w:topLinePunct w:val="0"/>
        <w:autoSpaceDE/>
        <w:autoSpaceDN/>
        <w:bidi w:val="0"/>
        <w:adjustRightInd w:val="0"/>
        <w:snapToGrid w:val="0"/>
        <w:spacing w:line="360" w:lineRule="auto"/>
        <w:ind w:firstLine="1667" w:firstLineChars="593"/>
        <w:textAlignment w:val="auto"/>
        <w:rPr>
          <w:rFonts w:hint="default" w:ascii="Times New Roman" w:hAnsi="Times New Roman" w:cs="Times New Roman" w:eastAsiaTheme="majorEastAsia"/>
          <w:b/>
          <w:bCs/>
          <w:color w:val="000000" w:themeColor="text1"/>
          <w:sz w:val="32"/>
          <w:szCs w:val="32"/>
          <w:u w:val="single"/>
          <w:lang w:val="en-US" w:eastAsia="zh-CN"/>
          <w14:textFill>
            <w14:solidFill>
              <w14:schemeClr w14:val="tx1"/>
            </w14:solidFill>
          </w14:textFill>
        </w:rPr>
      </w:pPr>
      <w:r>
        <w:rPr>
          <w:rFonts w:hint="default" w:ascii="Times New Roman" w:hAnsi="Times New Roman" w:cs="Times New Roman" w:eastAsiaTheme="majorEastAsia"/>
          <w:b/>
          <w:bCs/>
          <w:color w:val="000000" w:themeColor="text1"/>
          <w:sz w:val="28"/>
          <w:szCs w:val="28"/>
          <w14:textFill>
            <w14:solidFill>
              <w14:schemeClr w14:val="tx1"/>
            </w14:solidFill>
          </w14:textFill>
        </w:rPr>
        <w:t>编制日期：</w:t>
      </w:r>
      <w:r>
        <w:rPr>
          <w:rFonts w:hint="eastAsia" w:cs="Times New Roman" w:eastAsiaTheme="majorEastAsia"/>
          <w:b/>
          <w:bCs/>
          <w:color w:val="000000" w:themeColor="text1"/>
          <w:sz w:val="28"/>
          <w:szCs w:val="28"/>
          <w:u w:val="single"/>
          <w:lang w:val="en-US" w:eastAsia="zh-CN"/>
          <w14:textFill>
            <w14:solidFill>
              <w14:schemeClr w14:val="tx1"/>
            </w14:solidFill>
          </w14:textFill>
        </w:rPr>
        <w:t xml:space="preserve">         </w:t>
      </w:r>
      <w:r>
        <w:rPr>
          <w:rFonts w:hint="default" w:ascii="Times New Roman" w:hAnsi="Times New Roman" w:cs="Times New Roman" w:eastAsiaTheme="majorEastAsia"/>
          <w:b/>
          <w:bCs/>
          <w:color w:val="000000" w:themeColor="text1"/>
          <w:sz w:val="28"/>
          <w:szCs w:val="28"/>
          <w:u w:val="single"/>
          <w:lang w:val="en-US" w:eastAsia="zh-CN"/>
          <w14:textFill>
            <w14:solidFill>
              <w14:schemeClr w14:val="tx1"/>
            </w14:solidFill>
          </w14:textFill>
        </w:rPr>
        <w:t>202</w:t>
      </w:r>
      <w:r>
        <w:rPr>
          <w:rFonts w:hint="eastAsia" w:cs="Times New Roman" w:eastAsiaTheme="majorEastAsia"/>
          <w:b/>
          <w:bCs/>
          <w:color w:val="000000" w:themeColor="text1"/>
          <w:sz w:val="28"/>
          <w:szCs w:val="28"/>
          <w:u w:val="single"/>
          <w:lang w:val="en-US" w:eastAsia="zh-CN"/>
          <w14:textFill>
            <w14:solidFill>
              <w14:schemeClr w14:val="tx1"/>
            </w14:solidFill>
          </w14:textFill>
        </w:rPr>
        <w:t>6</w:t>
      </w:r>
      <w:r>
        <w:rPr>
          <w:rFonts w:hint="default" w:ascii="Times New Roman" w:hAnsi="Times New Roman" w:cs="Times New Roman" w:eastAsiaTheme="majorEastAsia"/>
          <w:b/>
          <w:bCs/>
          <w:color w:val="000000" w:themeColor="text1"/>
          <w:sz w:val="28"/>
          <w:szCs w:val="28"/>
          <w:u w:val="single"/>
          <w:lang w:val="en-US" w:eastAsia="zh-CN"/>
          <w14:textFill>
            <w14:solidFill>
              <w14:schemeClr w14:val="tx1"/>
            </w14:solidFill>
          </w14:textFill>
        </w:rPr>
        <w:t>年</w:t>
      </w:r>
      <w:r>
        <w:rPr>
          <w:rFonts w:hint="eastAsia" w:cs="Times New Roman" w:eastAsiaTheme="majorEastAsia"/>
          <w:b/>
          <w:bCs/>
          <w:color w:val="000000" w:themeColor="text1"/>
          <w:sz w:val="28"/>
          <w:szCs w:val="28"/>
          <w:u w:val="single"/>
          <w:lang w:val="en-US" w:eastAsia="zh-CN"/>
          <w14:textFill>
            <w14:solidFill>
              <w14:schemeClr w14:val="tx1"/>
            </w14:solidFill>
          </w14:textFill>
        </w:rPr>
        <w:t>7</w:t>
      </w:r>
      <w:r>
        <w:rPr>
          <w:rFonts w:hint="default" w:ascii="Times New Roman" w:hAnsi="Times New Roman" w:cs="Times New Roman" w:eastAsiaTheme="majorEastAsia"/>
          <w:b/>
          <w:bCs/>
          <w:color w:val="000000" w:themeColor="text1"/>
          <w:sz w:val="28"/>
          <w:szCs w:val="28"/>
          <w:u w:val="single"/>
          <w:lang w:val="en-US" w:eastAsia="zh-CN"/>
          <w14:textFill>
            <w14:solidFill>
              <w14:schemeClr w14:val="tx1"/>
            </w14:solidFill>
          </w14:textFill>
        </w:rPr>
        <w:t>月</w:t>
      </w:r>
      <w:r>
        <w:rPr>
          <w:rFonts w:hint="eastAsia" w:cs="Times New Roman" w:eastAsiaTheme="majorEastAsia"/>
          <w:b/>
          <w:bCs/>
          <w:color w:val="000000" w:themeColor="text1"/>
          <w:sz w:val="28"/>
          <w:szCs w:val="28"/>
          <w:u w:val="single"/>
          <w:lang w:val="en-US" w:eastAsia="zh-CN"/>
          <w14:textFill>
            <w14:solidFill>
              <w14:schemeClr w14:val="tx1"/>
            </w14:solidFill>
          </w14:textFill>
        </w:rPr>
        <w:t xml:space="preserve">              </w:t>
      </w:r>
    </w:p>
    <w:p w14:paraId="53B9287F">
      <w:pPr>
        <w:adjustRightInd w:val="0"/>
        <w:snapToGrid w:val="0"/>
        <w:spacing w:line="288" w:lineRule="auto"/>
        <w:jc w:val="center"/>
        <w:rPr>
          <w:rFonts w:hint="default" w:ascii="Times New Roman" w:hAnsi="Times New Roman" w:eastAsia="楷体_GB2312" w:cs="Times New Roman"/>
          <w:color w:val="000000" w:themeColor="text1"/>
          <w:sz w:val="36"/>
          <w:szCs w:val="36"/>
          <w14:textFill>
            <w14:solidFill>
              <w14:schemeClr w14:val="tx1"/>
            </w14:solidFill>
          </w14:textFill>
        </w:rPr>
      </w:pPr>
    </w:p>
    <w:p w14:paraId="6340B367">
      <w:pPr>
        <w:adjustRightInd w:val="0"/>
        <w:snapToGrid w:val="0"/>
        <w:spacing w:line="288" w:lineRule="auto"/>
        <w:jc w:val="center"/>
        <w:rPr>
          <w:rFonts w:hint="default" w:ascii="Times New Roman" w:hAnsi="Times New Roman" w:eastAsia="楷体_GB2312" w:cs="Times New Roman"/>
          <w:color w:val="000000" w:themeColor="text1"/>
          <w:sz w:val="36"/>
          <w:szCs w:val="36"/>
          <w14:textFill>
            <w14:solidFill>
              <w14:schemeClr w14:val="tx1"/>
            </w14:solidFill>
          </w14:textFill>
        </w:rPr>
      </w:pPr>
      <w:r>
        <w:rPr>
          <w:rFonts w:hint="default" w:ascii="Times New Roman" w:hAnsi="Times New Roman" w:eastAsia="楷体_GB2312" w:cs="Times New Roman"/>
          <w:color w:val="000000" w:themeColor="text1"/>
          <w:sz w:val="36"/>
          <w:szCs w:val="36"/>
          <w14:textFill>
            <w14:solidFill>
              <w14:schemeClr w14:val="tx1"/>
            </w14:solidFill>
          </w14:textFill>
        </w:rPr>
        <w:t>中华人民共和国生态环境部制</w:t>
      </w:r>
    </w:p>
    <w:p w14:paraId="21E16CFE">
      <w:pPr>
        <w:adjustRightInd w:val="0"/>
        <w:snapToGrid w:val="0"/>
        <w:spacing w:line="288" w:lineRule="auto"/>
        <w:ind w:firstLine="1040"/>
        <w:rPr>
          <w:rFonts w:hint="default" w:ascii="Times New Roman" w:hAnsi="Times New Roman" w:eastAsia="仿宋_GB2312" w:cs="Times New Roman"/>
          <w:color w:val="000000" w:themeColor="text1"/>
          <w:sz w:val="36"/>
          <w:szCs w:val="36"/>
          <w14:textFill>
            <w14:solidFill>
              <w14:schemeClr w14:val="tx1"/>
            </w14:solidFill>
          </w14:textFill>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25DCA753">
      <w:pPr>
        <w:pStyle w:val="18"/>
        <w:rPr>
          <w:rFonts w:hint="default"/>
          <w:color w:val="000000" w:themeColor="text1"/>
          <w14:textFill>
            <w14:solidFill>
              <w14:schemeClr w14:val="tx1"/>
            </w14:solidFill>
          </w14:textFill>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0DF459A1">
      <w:pPr>
        <w:pStyle w:val="20"/>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9"/>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一、建设项目基本情况</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18"/>
        <w:gridCol w:w="2140"/>
        <w:gridCol w:w="2048"/>
        <w:gridCol w:w="3164"/>
      </w:tblGrid>
      <w:tr w14:paraId="4ECE3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33" w:type="dxa"/>
            <w:noWrap w:val="0"/>
            <w:tcMar>
              <w:top w:w="16" w:type="dxa"/>
              <w:left w:w="16" w:type="dxa"/>
              <w:right w:w="16" w:type="dxa"/>
            </w:tcMar>
            <w:vAlign w:val="center"/>
          </w:tcPr>
          <w:p w14:paraId="611C88EB">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建设项目名称</w:t>
            </w:r>
          </w:p>
        </w:tc>
        <w:tc>
          <w:tcPr>
            <w:tcW w:w="7237" w:type="dxa"/>
            <w:gridSpan w:val="3"/>
            <w:noWrap w:val="0"/>
            <w:vAlign w:val="center"/>
          </w:tcPr>
          <w:p w14:paraId="185D4640">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金属过滤元件生产线建设项目</w:t>
            </w:r>
          </w:p>
        </w:tc>
      </w:tr>
      <w:tr w14:paraId="47F5DA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33" w:type="dxa"/>
            <w:noWrap w:val="0"/>
            <w:tcMar>
              <w:top w:w="16" w:type="dxa"/>
              <w:left w:w="16" w:type="dxa"/>
              <w:right w:w="16" w:type="dxa"/>
            </w:tcMar>
            <w:vAlign w:val="center"/>
          </w:tcPr>
          <w:p w14:paraId="5DE6E7D7">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项目代码</w:t>
            </w:r>
          </w:p>
        </w:tc>
        <w:tc>
          <w:tcPr>
            <w:tcW w:w="7237" w:type="dxa"/>
            <w:gridSpan w:val="3"/>
            <w:noWrap w:val="0"/>
            <w:vAlign w:val="center"/>
          </w:tcPr>
          <w:p w14:paraId="69EDE136">
            <w:pPr>
              <w:adjustRightInd w:val="0"/>
              <w:snapToGrid w:val="0"/>
              <w:jc w:val="center"/>
              <w:rPr>
                <w:rFonts w:hint="default" w:ascii="Times New Roman" w:hAnsi="Times New Roman" w:cs="Times New Roman"/>
                <w:color w:val="000000" w:themeColor="text1"/>
                <w:szCs w:val="21"/>
                <w:lang w:val="en-US"/>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2607-610304-04-01-534534</w:t>
            </w:r>
            <w:bookmarkStart w:id="26" w:name="_GoBack"/>
            <w:bookmarkEnd w:id="26"/>
          </w:p>
        </w:tc>
      </w:tr>
      <w:tr w14:paraId="2317A1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8" w:hRule="atLeast"/>
          <w:jc w:val="center"/>
        </w:trPr>
        <w:tc>
          <w:tcPr>
            <w:tcW w:w="1633" w:type="dxa"/>
            <w:noWrap w:val="0"/>
            <w:tcMar>
              <w:top w:w="16" w:type="dxa"/>
              <w:left w:w="16" w:type="dxa"/>
              <w:right w:w="16" w:type="dxa"/>
            </w:tcMar>
            <w:vAlign w:val="center"/>
          </w:tcPr>
          <w:p w14:paraId="04591C76">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建设单位联系人</w:t>
            </w:r>
          </w:p>
        </w:tc>
        <w:tc>
          <w:tcPr>
            <w:tcW w:w="2127" w:type="dxa"/>
            <w:noWrap w:val="0"/>
            <w:vAlign w:val="center"/>
          </w:tcPr>
          <w:p w14:paraId="5BAD59EF">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c>
          <w:tcPr>
            <w:tcW w:w="1934" w:type="dxa"/>
            <w:noWrap w:val="0"/>
            <w:vAlign w:val="center"/>
          </w:tcPr>
          <w:p w14:paraId="3425F89E">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联系方式</w:t>
            </w:r>
          </w:p>
        </w:tc>
        <w:tc>
          <w:tcPr>
            <w:tcW w:w="3176" w:type="dxa"/>
            <w:noWrap w:val="0"/>
            <w:vAlign w:val="center"/>
          </w:tcPr>
          <w:p w14:paraId="18735F44">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p>
        </w:tc>
      </w:tr>
      <w:tr w14:paraId="48298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33" w:type="dxa"/>
            <w:noWrap w:val="0"/>
            <w:tcMar>
              <w:top w:w="16" w:type="dxa"/>
              <w:left w:w="16" w:type="dxa"/>
              <w:right w:w="16" w:type="dxa"/>
            </w:tcMar>
            <w:vAlign w:val="center"/>
          </w:tcPr>
          <w:p w14:paraId="588706DB">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建设地点</w:t>
            </w:r>
          </w:p>
        </w:tc>
        <w:tc>
          <w:tcPr>
            <w:tcW w:w="7237" w:type="dxa"/>
            <w:gridSpan w:val="3"/>
            <w:noWrap w:val="0"/>
            <w:vAlign w:val="center"/>
          </w:tcPr>
          <w:p w14:paraId="51D89D80">
            <w:pPr>
              <w:adjustRightInd w:val="0"/>
              <w:snapToGrid w:val="0"/>
              <w:jc w:val="center"/>
              <w:rPr>
                <w:rFonts w:hint="default" w:ascii="Times New Roman" w:hAnsi="Times New Roman" w:cs="Times New Roman"/>
                <w:color w:val="000000" w:themeColor="text1"/>
                <w:szCs w:val="21"/>
                <w:lang w:val="en-US"/>
                <w14:textFill>
                  <w14:solidFill>
                    <w14:schemeClr w14:val="tx1"/>
                  </w14:solidFill>
                </w14:textFill>
              </w:rPr>
            </w:pPr>
            <w:r>
              <w:rPr>
                <w:rFonts w:hint="default" w:ascii="Times New Roman" w:hAnsi="Times New Roman" w:eastAsia="宋体" w:cs="Times New Roman"/>
                <w:color w:val="000000" w:themeColor="text1"/>
                <w:kern w:val="2"/>
                <w:sz w:val="21"/>
                <w:szCs w:val="21"/>
                <w:u w:val="single"/>
                <w:lang w:val="en-US" w:eastAsia="zh-CN" w:bidi="ar"/>
                <w14:textFill>
                  <w14:solidFill>
                    <w14:schemeClr w14:val="tx1"/>
                  </w14:solidFill>
                </w14:textFill>
              </w:rPr>
              <w:t>陕西</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省</w:t>
            </w:r>
            <w:r>
              <w:rPr>
                <w:rFonts w:hint="eastAsia" w:cs="Times New Roman"/>
                <w:color w:val="000000" w:themeColor="text1"/>
                <w:kern w:val="2"/>
                <w:sz w:val="21"/>
                <w:szCs w:val="21"/>
                <w:u w:val="single"/>
                <w:lang w:val="en-US" w:eastAsia="zh-CN" w:bidi="ar"/>
                <w14:textFill>
                  <w14:solidFill>
                    <w14:schemeClr w14:val="tx1"/>
                  </w14:solidFill>
                </w14:textFill>
              </w:rPr>
              <w:t>宝鸡</w:t>
            </w:r>
            <w:r>
              <w:rPr>
                <w:rFonts w:hint="eastAsia" w:cs="Times New Roman"/>
                <w:color w:val="000000" w:themeColor="text1"/>
                <w:kern w:val="2"/>
                <w:sz w:val="21"/>
                <w:szCs w:val="21"/>
                <w:u w:val="none"/>
                <w:lang w:val="en-US" w:eastAsia="zh-CN" w:bidi="ar"/>
                <w14:textFill>
                  <w14:solidFill>
                    <w14:schemeClr w14:val="tx1"/>
                  </w14:solidFill>
                </w14:textFill>
              </w:rPr>
              <w:t>市</w:t>
            </w:r>
            <w:r>
              <w:rPr>
                <w:rFonts w:hint="eastAsia" w:cs="Times New Roman"/>
                <w:color w:val="000000" w:themeColor="text1"/>
                <w:kern w:val="2"/>
                <w:sz w:val="21"/>
                <w:szCs w:val="21"/>
                <w:u w:val="single"/>
                <w:lang w:val="en-US" w:eastAsia="zh-CN" w:bidi="ar"/>
                <w14:textFill>
                  <w14:solidFill>
                    <w14:schemeClr w14:val="tx1"/>
                  </w14:solidFill>
                </w14:textFill>
              </w:rPr>
              <w:t>陈仓</w:t>
            </w:r>
            <w:r>
              <w:rPr>
                <w:rFonts w:hint="eastAsia" w:cs="Times New Roman"/>
                <w:color w:val="000000" w:themeColor="text1"/>
                <w:kern w:val="2"/>
                <w:sz w:val="21"/>
                <w:szCs w:val="21"/>
                <w:u w:val="none"/>
                <w:lang w:val="en-US" w:eastAsia="zh-CN" w:bidi="ar"/>
                <w14:textFill>
                  <w14:solidFill>
                    <w14:schemeClr w14:val="tx1"/>
                  </w14:solidFill>
                </w14:textFill>
              </w:rPr>
              <w:t>区</w:t>
            </w:r>
            <w:r>
              <w:rPr>
                <w:rFonts w:hint="eastAsia" w:cs="Times New Roman"/>
                <w:color w:val="000000" w:themeColor="text1"/>
                <w:kern w:val="2"/>
                <w:sz w:val="21"/>
                <w:szCs w:val="21"/>
                <w:u w:val="single"/>
                <w:lang w:val="en-US" w:eastAsia="zh-CN" w:bidi="ar"/>
                <w14:textFill>
                  <w14:solidFill>
                    <w14:schemeClr w14:val="tx1"/>
                  </w14:solidFill>
                </w14:textFill>
              </w:rPr>
              <w:t>千河</w:t>
            </w:r>
            <w:r>
              <w:rPr>
                <w:rFonts w:hint="eastAsia" w:cs="Times New Roman"/>
                <w:color w:val="000000" w:themeColor="text1"/>
                <w:kern w:val="2"/>
                <w:sz w:val="21"/>
                <w:szCs w:val="21"/>
                <w:u w:val="none"/>
                <w:lang w:val="en-US" w:eastAsia="zh-CN" w:bidi="ar"/>
                <w14:textFill>
                  <w14:solidFill>
                    <w14:schemeClr w14:val="tx1"/>
                  </w14:solidFill>
                </w14:textFill>
              </w:rPr>
              <w:t>镇</w:t>
            </w:r>
            <w:r>
              <w:rPr>
                <w:rFonts w:hint="eastAsia" w:cs="Times New Roman"/>
                <w:color w:val="000000" w:themeColor="text1"/>
                <w:kern w:val="2"/>
                <w:sz w:val="21"/>
                <w:szCs w:val="21"/>
                <w:u w:val="single"/>
                <w:lang w:val="en-US" w:eastAsia="zh-CN" w:bidi="ar"/>
                <w14:textFill>
                  <w14:solidFill>
                    <w14:schemeClr w14:val="tx1"/>
                  </w14:solidFill>
                </w14:textFill>
              </w:rPr>
              <w:t>宝鸡得力隆纺织有限公司厂区内1#厂房</w:t>
            </w:r>
          </w:p>
        </w:tc>
      </w:tr>
      <w:tr w14:paraId="1B062B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33" w:type="dxa"/>
            <w:noWrap w:val="0"/>
            <w:tcMar>
              <w:top w:w="16" w:type="dxa"/>
              <w:left w:w="16" w:type="dxa"/>
              <w:right w:w="16" w:type="dxa"/>
            </w:tcMar>
            <w:vAlign w:val="center"/>
          </w:tcPr>
          <w:p w14:paraId="3296247C">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地理坐标</w:t>
            </w:r>
          </w:p>
        </w:tc>
        <w:tc>
          <w:tcPr>
            <w:tcW w:w="7237" w:type="dxa"/>
            <w:gridSpan w:val="3"/>
            <w:noWrap w:val="0"/>
            <w:vAlign w:val="center"/>
          </w:tcPr>
          <w:p w14:paraId="7755394A">
            <w:pPr>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w:t>
            </w:r>
            <w:r>
              <w:rPr>
                <w:rFonts w:hint="default" w:ascii="Times New Roman" w:hAnsi="Times New Roman" w:cs="Times New Roman"/>
                <w:color w:val="000000" w:themeColor="text1"/>
                <w:szCs w:val="21"/>
                <w:u w:val="single"/>
                <w:lang w:val="en-US" w:eastAsia="zh-CN"/>
                <w14:textFill>
                  <w14:solidFill>
                    <w14:schemeClr w14:val="tx1"/>
                  </w14:solidFill>
                </w14:textFill>
              </w:rPr>
              <w:t>107</w:t>
            </w:r>
            <w:r>
              <w:rPr>
                <w:rFonts w:hint="default" w:ascii="Times New Roman" w:hAnsi="Times New Roman" w:cs="Times New Roman"/>
                <w:color w:val="000000" w:themeColor="text1"/>
                <w:szCs w:val="21"/>
                <w14:textFill>
                  <w14:solidFill>
                    <w14:schemeClr w14:val="tx1"/>
                  </w14:solidFill>
                </w14:textFill>
              </w:rPr>
              <w:t>度</w:t>
            </w:r>
            <w:r>
              <w:rPr>
                <w:rFonts w:hint="eastAsia" w:cs="Times New Roman"/>
                <w:color w:val="000000" w:themeColor="text1"/>
                <w:szCs w:val="21"/>
                <w:u w:val="single"/>
                <w:lang w:val="en-US" w:eastAsia="zh-CN"/>
                <w14:textFill>
                  <w14:solidFill>
                    <w14:schemeClr w14:val="tx1"/>
                  </w14:solidFill>
                </w14:textFill>
              </w:rPr>
              <w:t>17</w:t>
            </w:r>
            <w:r>
              <w:rPr>
                <w:rFonts w:hint="default" w:ascii="Times New Roman" w:hAnsi="Times New Roman" w:cs="Times New Roman"/>
                <w:color w:val="000000" w:themeColor="text1"/>
                <w:szCs w:val="21"/>
                <w14:textFill>
                  <w14:solidFill>
                    <w14:schemeClr w14:val="tx1"/>
                  </w14:solidFill>
                </w14:textFill>
              </w:rPr>
              <w:t>分</w:t>
            </w:r>
            <w:r>
              <w:rPr>
                <w:rFonts w:hint="eastAsia" w:cs="Times New Roman"/>
                <w:color w:val="000000" w:themeColor="text1"/>
                <w:szCs w:val="21"/>
                <w:u w:val="single"/>
                <w:lang w:val="en-US" w:eastAsia="zh-CN"/>
                <w14:textFill>
                  <w14:solidFill>
                    <w14:schemeClr w14:val="tx1"/>
                  </w14:solidFill>
                </w14:textFill>
              </w:rPr>
              <w:t>30.772</w:t>
            </w:r>
            <w:r>
              <w:rPr>
                <w:rFonts w:hint="default" w:ascii="Times New Roman" w:hAnsi="Times New Roman" w:cs="Times New Roman"/>
                <w:color w:val="000000" w:themeColor="text1"/>
                <w:szCs w:val="21"/>
                <w14:textFill>
                  <w14:solidFill>
                    <w14:schemeClr w14:val="tx1"/>
                  </w14:solidFill>
                </w14:textFill>
              </w:rPr>
              <w:t>秒</w:t>
            </w:r>
            <w:r>
              <w:rPr>
                <w:rFonts w:hint="eastAsia"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u w:val="single"/>
                <w:lang w:val="en-US" w:eastAsia="zh-CN"/>
                <w14:textFill>
                  <w14:solidFill>
                    <w14:schemeClr w14:val="tx1"/>
                  </w14:solidFill>
                </w14:textFill>
              </w:rPr>
              <w:t>34</w:t>
            </w:r>
            <w:r>
              <w:rPr>
                <w:rFonts w:hint="default" w:ascii="Times New Roman" w:hAnsi="Times New Roman" w:cs="Times New Roman"/>
                <w:color w:val="000000" w:themeColor="text1"/>
                <w:szCs w:val="21"/>
                <w14:textFill>
                  <w14:solidFill>
                    <w14:schemeClr w14:val="tx1"/>
                  </w14:solidFill>
                </w14:textFill>
              </w:rPr>
              <w:t>度</w:t>
            </w:r>
            <w:r>
              <w:rPr>
                <w:rFonts w:hint="eastAsia" w:cs="Times New Roman"/>
                <w:color w:val="000000" w:themeColor="text1"/>
                <w:szCs w:val="21"/>
                <w:u w:val="single"/>
                <w:lang w:val="en-US" w:eastAsia="zh-CN"/>
                <w14:textFill>
                  <w14:solidFill>
                    <w14:schemeClr w14:val="tx1"/>
                  </w14:solidFill>
                </w14:textFill>
              </w:rPr>
              <w:t>23</w:t>
            </w:r>
            <w:r>
              <w:rPr>
                <w:rFonts w:hint="default" w:ascii="Times New Roman" w:hAnsi="Times New Roman" w:cs="Times New Roman"/>
                <w:color w:val="000000" w:themeColor="text1"/>
                <w:szCs w:val="21"/>
                <w14:textFill>
                  <w14:solidFill>
                    <w14:schemeClr w14:val="tx1"/>
                  </w14:solidFill>
                </w14:textFill>
              </w:rPr>
              <w:t>分</w:t>
            </w:r>
            <w:r>
              <w:rPr>
                <w:rFonts w:hint="eastAsia" w:cs="Times New Roman"/>
                <w:color w:val="000000" w:themeColor="text1"/>
                <w:szCs w:val="21"/>
                <w:u w:val="single"/>
                <w:lang w:val="en-US" w:eastAsia="zh-CN"/>
                <w14:textFill>
                  <w14:solidFill>
                    <w14:schemeClr w14:val="tx1"/>
                  </w14:solidFill>
                </w14:textFill>
              </w:rPr>
              <w:t>11.407</w:t>
            </w:r>
            <w:r>
              <w:rPr>
                <w:rFonts w:hint="default" w:ascii="Times New Roman" w:hAnsi="Times New Roman" w:cs="Times New Roman"/>
                <w:color w:val="000000" w:themeColor="text1"/>
                <w:szCs w:val="21"/>
                <w14:textFill>
                  <w14:solidFill>
                    <w14:schemeClr w14:val="tx1"/>
                  </w14:solidFill>
                </w14:textFill>
              </w:rPr>
              <w:t>秒）</w:t>
            </w:r>
          </w:p>
        </w:tc>
      </w:tr>
      <w:tr w14:paraId="7C497D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633" w:type="dxa"/>
            <w:noWrap w:val="0"/>
            <w:tcMar>
              <w:top w:w="16" w:type="dxa"/>
              <w:left w:w="16" w:type="dxa"/>
              <w:right w:w="16" w:type="dxa"/>
            </w:tcMar>
            <w:vAlign w:val="center"/>
          </w:tcPr>
          <w:p w14:paraId="53BDF69F">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国民经济</w:t>
            </w:r>
          </w:p>
          <w:p w14:paraId="75303DFA">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行业类别</w:t>
            </w:r>
          </w:p>
        </w:tc>
        <w:tc>
          <w:tcPr>
            <w:tcW w:w="2127" w:type="dxa"/>
            <w:noWrap w:val="0"/>
            <w:vAlign w:val="center"/>
          </w:tcPr>
          <w:p w14:paraId="65509F9E">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color w:val="000000" w:themeColor="text1"/>
                <w:sz w:val="21"/>
                <w:szCs w:val="21"/>
                <w14:textFill>
                  <w14:solidFill>
                    <w14:schemeClr w14:val="tx1"/>
                  </w14:solidFill>
                </w14:textFill>
              </w:rPr>
              <w:t>C3</w:t>
            </w:r>
            <w:r>
              <w:rPr>
                <w:rFonts w:hint="eastAsia"/>
                <w:color w:val="000000" w:themeColor="text1"/>
                <w:sz w:val="21"/>
                <w:szCs w:val="21"/>
                <w:lang w:val="en-US" w:eastAsia="zh-CN"/>
                <w14:textFill>
                  <w14:solidFill>
                    <w14:schemeClr w14:val="tx1"/>
                  </w14:solidFill>
                </w14:textFill>
              </w:rPr>
              <w:t>393锻件及粉末冶金制品制造</w:t>
            </w:r>
          </w:p>
        </w:tc>
        <w:tc>
          <w:tcPr>
            <w:tcW w:w="1934" w:type="dxa"/>
            <w:noWrap w:val="0"/>
            <w:vAlign w:val="center"/>
          </w:tcPr>
          <w:p w14:paraId="7833F16F">
            <w:pPr>
              <w:numPr>
                <w:ilvl w:val="0"/>
                <w:numId w:val="0"/>
              </w:numPr>
              <w:adjustRightInd w:val="0"/>
              <w:snapToGrid w:val="0"/>
              <w:jc w:val="center"/>
              <w:rPr>
                <w:rFonts w:hint="default"/>
                <w:color w:val="000000" w:themeColor="text1"/>
                <w:sz w:val="21"/>
                <w:szCs w:val="21"/>
                <w:lang w:val="en-US" w:eastAsia="zh-CN"/>
                <w14:textFill>
                  <w14:solidFill>
                    <w14:schemeClr w14:val="tx1"/>
                  </w14:solidFill>
                </w14:textFill>
              </w:rPr>
            </w:pPr>
            <w:bookmarkStart w:id="0" w:name="_Hlk49843745"/>
            <w:r>
              <w:rPr>
                <w:rFonts w:hint="default"/>
                <w:color w:val="000000" w:themeColor="text1"/>
                <w:sz w:val="21"/>
                <w:szCs w:val="21"/>
                <w:lang w:val="en-US" w:eastAsia="zh-CN"/>
                <w14:textFill>
                  <w14:solidFill>
                    <w14:schemeClr w14:val="tx1"/>
                  </w14:solidFill>
                </w14:textFill>
              </w:rPr>
              <w:t>建设项目</w:t>
            </w:r>
          </w:p>
          <w:p w14:paraId="7E7BB5BC">
            <w:pPr>
              <w:numPr>
                <w:ilvl w:val="0"/>
                <w:numId w:val="0"/>
              </w:numPr>
              <w:adjustRightInd w:val="0"/>
              <w:snapToGrid w:val="0"/>
              <w:jc w:val="center"/>
              <w:rPr>
                <w:rFonts w:hint="default"/>
                <w:color w:val="000000" w:themeColor="text1"/>
                <w:sz w:val="21"/>
                <w:szCs w:val="21"/>
                <w:lang w:val="en-US" w:eastAsia="zh-CN"/>
                <w14:textFill>
                  <w14:solidFill>
                    <w14:schemeClr w14:val="tx1"/>
                  </w14:solidFill>
                </w14:textFill>
              </w:rPr>
            </w:pPr>
            <w:r>
              <w:rPr>
                <w:rFonts w:hint="default"/>
                <w:color w:val="000000" w:themeColor="text1"/>
                <w:sz w:val="21"/>
                <w:szCs w:val="21"/>
                <w:lang w:val="en-US" w:eastAsia="zh-CN"/>
                <w14:textFill>
                  <w14:solidFill>
                    <w14:schemeClr w14:val="tx1"/>
                  </w14:solidFill>
                </w14:textFill>
              </w:rPr>
              <w:t>行业类别</w:t>
            </w:r>
            <w:bookmarkEnd w:id="0"/>
          </w:p>
        </w:tc>
        <w:tc>
          <w:tcPr>
            <w:tcW w:w="3176" w:type="dxa"/>
            <w:noWrap w:val="0"/>
            <w:vAlign w:val="center"/>
          </w:tcPr>
          <w:p w14:paraId="31A802B1">
            <w:pPr>
              <w:numPr>
                <w:ilvl w:val="0"/>
                <w:numId w:val="0"/>
              </w:numPr>
              <w:adjustRightInd w:val="0"/>
              <w:snapToGrid w:val="0"/>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30-68铸造及其他金属制品制造339</w:t>
            </w:r>
          </w:p>
        </w:tc>
      </w:tr>
      <w:tr w14:paraId="0EAEE9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633" w:type="dxa"/>
            <w:noWrap w:val="0"/>
            <w:tcMar>
              <w:top w:w="16" w:type="dxa"/>
              <w:left w:w="16" w:type="dxa"/>
              <w:right w:w="16" w:type="dxa"/>
            </w:tcMar>
            <w:vAlign w:val="center"/>
          </w:tcPr>
          <w:p w14:paraId="2508988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建设性质</w:t>
            </w:r>
          </w:p>
        </w:tc>
        <w:tc>
          <w:tcPr>
            <w:tcW w:w="2127" w:type="dxa"/>
            <w:noWrap w:val="0"/>
            <w:vAlign w:val="center"/>
          </w:tcPr>
          <w:p w14:paraId="6FCA7CD6">
            <w:pPr>
              <w:jc w:val="left"/>
              <w:rPr>
                <w:rFonts w:hint="default" w:ascii="Times New Roman" w:hAnsi="Times New Roman" w:cs="Times New Roman"/>
                <w:color w:val="000000" w:themeColor="text1"/>
                <w:szCs w:val="21"/>
                <w14:textFill>
                  <w14:solidFill>
                    <w14:schemeClr w14:val="tx1"/>
                  </w14:solidFill>
                </w14:textFill>
              </w:rPr>
            </w:pPr>
            <w:r>
              <w:rPr>
                <w:rFonts w:hint="eastAsia"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新建（迁建）</w:t>
            </w:r>
          </w:p>
          <w:p w14:paraId="63F783CC">
            <w:pPr>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sym w:font="Wingdings 2" w:char="00A3"/>
            </w:r>
            <w:r>
              <w:rPr>
                <w:rFonts w:hint="default" w:ascii="Times New Roman" w:hAnsi="Times New Roman" w:cs="Times New Roman"/>
                <w:color w:val="000000" w:themeColor="text1"/>
                <w:szCs w:val="21"/>
                <w14:textFill>
                  <w14:solidFill>
                    <w14:schemeClr w14:val="tx1"/>
                  </w14:solidFill>
                </w14:textFill>
              </w:rPr>
              <w:t>改建</w:t>
            </w:r>
          </w:p>
          <w:p w14:paraId="399A632B">
            <w:pPr>
              <w:jc w:val="left"/>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sym w:font="Wingdings 2" w:char="00A3"/>
            </w:r>
            <w:r>
              <w:rPr>
                <w:rFonts w:hint="default" w:ascii="Times New Roman" w:hAnsi="Times New Roman" w:cs="Times New Roman"/>
                <w:color w:val="000000" w:themeColor="text1"/>
                <w:szCs w:val="21"/>
                <w14:textFill>
                  <w14:solidFill>
                    <w14:schemeClr w14:val="tx1"/>
                  </w14:solidFill>
                </w14:textFill>
              </w:rPr>
              <w:t>扩建</w:t>
            </w:r>
          </w:p>
          <w:p w14:paraId="10D88387">
            <w:pPr>
              <w:jc w:val="left"/>
              <w:rPr>
                <w:rFonts w:hint="default"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技术改造</w:t>
            </w:r>
          </w:p>
        </w:tc>
        <w:tc>
          <w:tcPr>
            <w:tcW w:w="1934" w:type="dxa"/>
            <w:noWrap w:val="0"/>
            <w:vAlign w:val="center"/>
          </w:tcPr>
          <w:p w14:paraId="0D5FB49A">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建设项目</w:t>
            </w:r>
          </w:p>
          <w:p w14:paraId="5319843F">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申报情形</w:t>
            </w:r>
          </w:p>
        </w:tc>
        <w:tc>
          <w:tcPr>
            <w:tcW w:w="3176" w:type="dxa"/>
            <w:noWrap w:val="0"/>
            <w:vAlign w:val="center"/>
          </w:tcPr>
          <w:p w14:paraId="71D12B1F">
            <w:pPr>
              <w:jc w:val="left"/>
              <w:rPr>
                <w:rFonts w:hint="eastAsia"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首次申报项目</w:t>
            </w:r>
          </w:p>
          <w:p w14:paraId="5986CAF4">
            <w:pPr>
              <w:jc w:val="left"/>
              <w:rPr>
                <w:rFonts w:hint="default"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不予批准后再次申报项目</w:t>
            </w:r>
          </w:p>
          <w:p w14:paraId="7A4ACBD9">
            <w:pPr>
              <w:jc w:val="left"/>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超五年重新审核项目</w:t>
            </w:r>
          </w:p>
          <w:p w14:paraId="533A5072">
            <w:pPr>
              <w:jc w:val="left"/>
              <w:rPr>
                <w:rFonts w:hint="default" w:ascii="Times New Roman" w:hAnsi="Times New Roman" w:cs="Times New Roman"/>
                <w:color w:val="000000" w:themeColor="text1"/>
                <w:szCs w:val="21"/>
                <w14:textFill>
                  <w14:solidFill>
                    <w14:schemeClr w14:val="tx1"/>
                  </w14:solidFill>
                </w14:textFill>
              </w:rPr>
            </w:pPr>
            <w:r>
              <w:rPr>
                <w:rFonts w:hint="eastAsia"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重大变动重新报批项目</w:t>
            </w:r>
          </w:p>
        </w:tc>
      </w:tr>
      <w:tr w14:paraId="1B43C6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633" w:type="dxa"/>
            <w:noWrap w:val="0"/>
            <w:tcMar>
              <w:top w:w="16" w:type="dxa"/>
              <w:left w:w="16" w:type="dxa"/>
              <w:right w:w="16" w:type="dxa"/>
            </w:tcMar>
            <w:vAlign w:val="center"/>
          </w:tcPr>
          <w:p w14:paraId="1C29678C">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项目审批（核准/</w:t>
            </w:r>
          </w:p>
          <w:p w14:paraId="5EC87D26">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备案）部门（选填）</w:t>
            </w:r>
          </w:p>
        </w:tc>
        <w:tc>
          <w:tcPr>
            <w:tcW w:w="2127" w:type="dxa"/>
            <w:noWrap w:val="0"/>
            <w:vAlign w:val="center"/>
          </w:tcPr>
          <w:p w14:paraId="0EDBDA2E">
            <w:pPr>
              <w:adjustRightInd w:val="0"/>
              <w:snapToGrid w:val="0"/>
              <w:jc w:val="center"/>
              <w:rPr>
                <w:rFonts w:hint="default" w:ascii="Times New Roman" w:hAnsi="Times New Roman" w:eastAsia="宋体" w:cs="Times New Roman"/>
                <w:color w:val="000000" w:themeColor="text1"/>
                <w:szCs w:val="21"/>
                <w:lang w:eastAsia="zh-CN"/>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宝鸡市</w:t>
            </w:r>
            <w:r>
              <w:rPr>
                <w:rFonts w:hint="eastAsia" w:cs="Times New Roman"/>
                <w:color w:val="000000" w:themeColor="text1"/>
                <w:szCs w:val="21"/>
                <w:lang w:val="en-US" w:eastAsia="zh-CN"/>
                <w14:textFill>
                  <w14:solidFill>
                    <w14:schemeClr w14:val="tx1"/>
                  </w14:solidFill>
                </w14:textFill>
              </w:rPr>
              <w:t>陈仓</w:t>
            </w:r>
            <w:r>
              <w:rPr>
                <w:rFonts w:hint="default" w:ascii="Times New Roman" w:hAnsi="Times New Roman" w:cs="Times New Roman"/>
                <w:color w:val="000000" w:themeColor="text1"/>
                <w:szCs w:val="21"/>
                <w:lang w:eastAsia="zh-CN"/>
                <w14:textFill>
                  <w14:solidFill>
                    <w14:schemeClr w14:val="tx1"/>
                  </w14:solidFill>
                </w14:textFill>
              </w:rPr>
              <w:t>区行政审批服务局</w:t>
            </w:r>
          </w:p>
        </w:tc>
        <w:tc>
          <w:tcPr>
            <w:tcW w:w="1934" w:type="dxa"/>
            <w:noWrap w:val="0"/>
            <w:vAlign w:val="center"/>
          </w:tcPr>
          <w:p w14:paraId="1D1F0F92">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项目审批（核准/</w:t>
            </w:r>
          </w:p>
          <w:p w14:paraId="75374AAC">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备案）文号（选填）</w:t>
            </w:r>
          </w:p>
        </w:tc>
        <w:tc>
          <w:tcPr>
            <w:tcW w:w="3176" w:type="dxa"/>
            <w:noWrap w:val="0"/>
            <w:vAlign w:val="center"/>
          </w:tcPr>
          <w:p w14:paraId="28A87DFB">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default" w:ascii="Times New Roman" w:hAnsi="Times New Roman" w:cs="Times New Roman"/>
                <w:color w:val="000000" w:themeColor="text1"/>
                <w:szCs w:val="21"/>
                <w:lang w:val="en-US" w:eastAsia="zh-CN"/>
                <w14:textFill>
                  <w14:solidFill>
                    <w14:schemeClr w14:val="tx1"/>
                  </w14:solidFill>
                </w14:textFill>
              </w:rPr>
              <w:t>/</w:t>
            </w:r>
          </w:p>
        </w:tc>
      </w:tr>
      <w:tr w14:paraId="4DFB6E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33" w:type="dxa"/>
            <w:noWrap w:val="0"/>
            <w:tcMar>
              <w:top w:w="16" w:type="dxa"/>
              <w:left w:w="16" w:type="dxa"/>
              <w:right w:w="16" w:type="dxa"/>
            </w:tcMar>
            <w:vAlign w:val="center"/>
          </w:tcPr>
          <w:p w14:paraId="4DB0A5E6">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总投资（万元）</w:t>
            </w:r>
          </w:p>
        </w:tc>
        <w:tc>
          <w:tcPr>
            <w:tcW w:w="2127" w:type="dxa"/>
            <w:noWrap w:val="0"/>
            <w:vAlign w:val="center"/>
          </w:tcPr>
          <w:p w14:paraId="5EFD4A30">
            <w:pPr>
              <w:adjustRightInd w:val="0"/>
              <w:snapToGrid w:val="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260</w:t>
            </w:r>
          </w:p>
        </w:tc>
        <w:tc>
          <w:tcPr>
            <w:tcW w:w="1934" w:type="dxa"/>
            <w:noWrap w:val="0"/>
            <w:tcMar>
              <w:top w:w="16" w:type="dxa"/>
              <w:left w:w="16" w:type="dxa"/>
              <w:right w:w="16" w:type="dxa"/>
            </w:tcMar>
            <w:vAlign w:val="center"/>
          </w:tcPr>
          <w:p w14:paraId="5D7A2DBF">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环保投资（万元）</w:t>
            </w:r>
          </w:p>
        </w:tc>
        <w:tc>
          <w:tcPr>
            <w:tcW w:w="3176" w:type="dxa"/>
            <w:noWrap w:val="0"/>
            <w:vAlign w:val="center"/>
          </w:tcPr>
          <w:p w14:paraId="15247271">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12.0</w:t>
            </w:r>
          </w:p>
        </w:tc>
      </w:tr>
      <w:tr w14:paraId="5D4632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33" w:type="dxa"/>
            <w:noWrap w:val="0"/>
            <w:tcMar>
              <w:top w:w="16" w:type="dxa"/>
              <w:left w:w="16" w:type="dxa"/>
              <w:right w:w="16" w:type="dxa"/>
            </w:tcMar>
            <w:vAlign w:val="center"/>
          </w:tcPr>
          <w:p w14:paraId="3C74FA25">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环保投资占比（%）</w:t>
            </w:r>
          </w:p>
        </w:tc>
        <w:tc>
          <w:tcPr>
            <w:tcW w:w="2127" w:type="dxa"/>
            <w:noWrap w:val="0"/>
            <w:vAlign w:val="center"/>
          </w:tcPr>
          <w:p w14:paraId="18AF1051">
            <w:pPr>
              <w:adjustRightInd w:val="0"/>
              <w:snapToGrid w:val="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4.6</w:t>
            </w:r>
          </w:p>
        </w:tc>
        <w:tc>
          <w:tcPr>
            <w:tcW w:w="1934" w:type="dxa"/>
            <w:noWrap w:val="0"/>
            <w:tcMar>
              <w:top w:w="16" w:type="dxa"/>
              <w:left w:w="16" w:type="dxa"/>
              <w:right w:w="16" w:type="dxa"/>
            </w:tcMar>
            <w:vAlign w:val="center"/>
          </w:tcPr>
          <w:p w14:paraId="5A8FEFA5">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施工工期</w:t>
            </w:r>
          </w:p>
        </w:tc>
        <w:tc>
          <w:tcPr>
            <w:tcW w:w="3176" w:type="dxa"/>
            <w:noWrap w:val="0"/>
            <w:vAlign w:val="center"/>
          </w:tcPr>
          <w:p w14:paraId="351182D8">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w:t>
            </w:r>
            <w:r>
              <w:rPr>
                <w:rFonts w:hint="default" w:ascii="Times New Roman" w:hAnsi="Times New Roman" w:cs="Times New Roman"/>
                <w:color w:val="000000" w:themeColor="text1"/>
                <w:szCs w:val="21"/>
                <w:lang w:val="en-US" w:eastAsia="zh-CN"/>
                <w14:textFill>
                  <w14:solidFill>
                    <w14:schemeClr w14:val="tx1"/>
                  </w14:solidFill>
                </w14:textFill>
              </w:rPr>
              <w:t>个月</w:t>
            </w:r>
          </w:p>
        </w:tc>
      </w:tr>
      <w:tr w14:paraId="6907D0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33" w:type="dxa"/>
            <w:noWrap w:val="0"/>
            <w:tcMar>
              <w:top w:w="16" w:type="dxa"/>
              <w:left w:w="16" w:type="dxa"/>
              <w:right w:w="16" w:type="dxa"/>
            </w:tcMar>
            <w:vAlign w:val="center"/>
          </w:tcPr>
          <w:p w14:paraId="0DD02B6E">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是否开工建设</w:t>
            </w:r>
          </w:p>
        </w:tc>
        <w:tc>
          <w:tcPr>
            <w:tcW w:w="2127" w:type="dxa"/>
            <w:noWrap w:val="0"/>
            <w:vAlign w:val="center"/>
          </w:tcPr>
          <w:p w14:paraId="205394BD">
            <w:pPr>
              <w:adjustRightInd w:val="0"/>
              <w:snapToGrid w:val="0"/>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否</w:t>
            </w:r>
          </w:p>
          <w:p w14:paraId="350060DD">
            <w:pPr>
              <w:adjustRightInd w:val="0"/>
              <w:snapToGrid w:val="0"/>
              <w:rPr>
                <w:rFonts w:hint="eastAsia" w:ascii="Times New Roman" w:hAnsi="Times New Roman" w:eastAsia="宋体" w:cs="Times New Roman"/>
                <w:color w:val="000000" w:themeColor="text1"/>
                <w:szCs w:val="21"/>
                <w:lang w:eastAsia="zh-CN"/>
                <w14:textFill>
                  <w14:solidFill>
                    <w14:schemeClr w14:val="tx1"/>
                  </w14:solidFill>
                </w14:textFill>
              </w:rPr>
            </w:pPr>
            <w:r>
              <w:rPr>
                <w:rFonts w:hint="eastAsia" w:ascii="Times New Roman" w:hAnsi="Times New Roman"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是：</w:t>
            </w:r>
          </w:p>
        </w:tc>
        <w:tc>
          <w:tcPr>
            <w:tcW w:w="1934" w:type="dxa"/>
            <w:noWrap w:val="0"/>
            <w:tcMar>
              <w:top w:w="16" w:type="dxa"/>
              <w:left w:w="16" w:type="dxa"/>
              <w:right w:w="16" w:type="dxa"/>
            </w:tcMar>
            <w:vAlign w:val="center"/>
          </w:tcPr>
          <w:p w14:paraId="371630E8">
            <w:pPr>
              <w:adjustRightInd w:val="0"/>
              <w:snapToGrid w:val="0"/>
              <w:jc w:val="center"/>
              <w:rPr>
                <w:rFonts w:hint="default" w:ascii="Times New Roman" w:hAnsi="Times New Roman" w:cs="Times New Roman"/>
                <w:color w:val="000000" w:themeColor="text1"/>
                <w:spacing w:val="-6"/>
                <w:szCs w:val="21"/>
                <w14:textFill>
                  <w14:solidFill>
                    <w14:schemeClr w14:val="tx1"/>
                  </w14:solidFill>
                </w14:textFill>
              </w:rPr>
            </w:pPr>
            <w:r>
              <w:rPr>
                <w:rFonts w:hint="default" w:ascii="Times New Roman" w:hAnsi="Times New Roman" w:cs="Times New Roman"/>
                <w:color w:val="000000" w:themeColor="text1"/>
                <w:spacing w:val="-6"/>
                <w:szCs w:val="21"/>
                <w14:textFill>
                  <w14:solidFill>
                    <w14:schemeClr w14:val="tx1"/>
                  </w14:solidFill>
                </w14:textFill>
              </w:rPr>
              <w:t>用地（用海）</w:t>
            </w:r>
          </w:p>
          <w:p w14:paraId="056AE12F">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pacing w:val="-6"/>
                <w:szCs w:val="21"/>
                <w14:textFill>
                  <w14:solidFill>
                    <w14:schemeClr w14:val="tx1"/>
                  </w14:solidFill>
                </w14:textFill>
              </w:rPr>
              <w:t>面积（m</w:t>
            </w:r>
            <w:r>
              <w:rPr>
                <w:rFonts w:hint="default" w:ascii="Times New Roman" w:hAnsi="Times New Roman" w:cs="Times New Roman"/>
                <w:color w:val="000000" w:themeColor="text1"/>
                <w:spacing w:val="-6"/>
                <w:szCs w:val="21"/>
                <w:vertAlign w:val="superscript"/>
                <w14:textFill>
                  <w14:solidFill>
                    <w14:schemeClr w14:val="tx1"/>
                  </w14:solidFill>
                </w14:textFill>
              </w:rPr>
              <w:t>2</w:t>
            </w:r>
            <w:r>
              <w:rPr>
                <w:rFonts w:hint="default" w:ascii="Times New Roman" w:hAnsi="Times New Roman" w:cs="Times New Roman"/>
                <w:color w:val="000000" w:themeColor="text1"/>
                <w:spacing w:val="-6"/>
                <w:szCs w:val="21"/>
                <w14:textFill>
                  <w14:solidFill>
                    <w14:schemeClr w14:val="tx1"/>
                  </w14:solidFill>
                </w14:textFill>
              </w:rPr>
              <w:t>）</w:t>
            </w:r>
          </w:p>
        </w:tc>
        <w:tc>
          <w:tcPr>
            <w:tcW w:w="3176" w:type="dxa"/>
            <w:noWrap w:val="0"/>
            <w:vAlign w:val="center"/>
          </w:tcPr>
          <w:p w14:paraId="5D04102F">
            <w:pPr>
              <w:adjustRightInd w:val="0"/>
              <w:snapToGrid w:val="0"/>
              <w:jc w:val="center"/>
              <w:rPr>
                <w:rFonts w:hint="default" w:ascii="Times New Roman" w:hAnsi="Times New Roman" w:eastAsia="宋体" w:cs="Times New Roman"/>
                <w:color w:val="000000" w:themeColor="text1"/>
                <w:szCs w:val="21"/>
                <w:lang w:val="en-US" w:eastAsia="zh-CN"/>
                <w14:textFill>
                  <w14:solidFill>
                    <w14:schemeClr w14:val="tx1"/>
                  </w14:solidFill>
                </w14:textFill>
              </w:rPr>
            </w:pPr>
            <w:r>
              <w:rPr>
                <w:rFonts w:hint="eastAsia" w:cs="Times New Roman"/>
                <w:color w:val="000000" w:themeColor="text1"/>
                <w:szCs w:val="21"/>
                <w:lang w:val="en-US" w:eastAsia="zh-CN"/>
                <w14:textFill>
                  <w14:solidFill>
                    <w14:schemeClr w14:val="tx1"/>
                  </w14:solidFill>
                </w14:textFill>
              </w:rPr>
              <w:t>1020.99</w:t>
            </w:r>
          </w:p>
        </w:tc>
      </w:tr>
      <w:tr w14:paraId="7C77FD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633" w:type="dxa"/>
            <w:noWrap w:val="0"/>
            <w:vAlign w:val="center"/>
          </w:tcPr>
          <w:p w14:paraId="573318DD">
            <w:pPr>
              <w:autoSpaceDE w:val="0"/>
              <w:autoSpaceDN w:val="0"/>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规划情况</w:t>
            </w:r>
          </w:p>
        </w:tc>
        <w:tc>
          <w:tcPr>
            <w:tcW w:w="7237" w:type="dxa"/>
            <w:gridSpan w:val="3"/>
            <w:noWrap w:val="0"/>
            <w:vAlign w:val="center"/>
          </w:tcPr>
          <w:p w14:paraId="5845336A">
            <w:pPr>
              <w:pStyle w:val="49"/>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Cs w:val="21"/>
                <w:lang w:eastAsia="zh-CN"/>
                <w14:textFill>
                  <w14:solidFill>
                    <w14:schemeClr w14:val="tx1"/>
                  </w14:solidFill>
                </w14:textFill>
              </w:rPr>
            </w:pPr>
            <w:r>
              <w:rPr>
                <w:rFonts w:hint="eastAsia" w:ascii="Times New Roman" w:hAnsi="Times New Roman" w:cs="Times New Roman"/>
                <w:snapToGrid w:val="0"/>
                <w:color w:val="000000" w:themeColor="text1"/>
                <w:kern w:val="2"/>
                <w:sz w:val="21"/>
                <w:szCs w:val="24"/>
                <w:lang w:val="en-US" w:eastAsia="zh-CN" w:bidi="ar-SA"/>
                <w14:textFill>
                  <w14:solidFill>
                    <w14:schemeClr w14:val="tx1"/>
                  </w14:solidFill>
                </w14:textFill>
              </w:rPr>
              <w:t>无</w:t>
            </w:r>
          </w:p>
        </w:tc>
      </w:tr>
      <w:tr w14:paraId="624A8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633" w:type="dxa"/>
            <w:noWrap w:val="0"/>
            <w:vAlign w:val="center"/>
          </w:tcPr>
          <w:p w14:paraId="19A2F33D">
            <w:pPr>
              <w:adjustRightInd w:val="0"/>
              <w:snapToGrid w:val="0"/>
              <w:jc w:val="center"/>
              <w:rPr>
                <w:rFonts w:hint="default" w:ascii="Times New Roman" w:hAnsi="Times New Roman"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规划环境影响</w:t>
            </w:r>
          </w:p>
          <w:p w14:paraId="5E50DC2B">
            <w:pPr>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szCs w:val="21"/>
                <w14:textFill>
                  <w14:solidFill>
                    <w14:schemeClr w14:val="tx1"/>
                  </w14:solidFill>
                </w14:textFill>
              </w:rPr>
              <w:t>评价情况</w:t>
            </w:r>
          </w:p>
        </w:tc>
        <w:tc>
          <w:tcPr>
            <w:tcW w:w="7237" w:type="dxa"/>
            <w:gridSpan w:val="3"/>
            <w:noWrap w:val="0"/>
            <w:vAlign w:val="center"/>
          </w:tcPr>
          <w:p w14:paraId="7F3D959C">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right="0" w:rightChars="0"/>
              <w:jc w:val="center"/>
              <w:textAlignment w:val="auto"/>
              <w:rPr>
                <w:rFonts w:hint="default" w:ascii="Times New Roman" w:hAnsi="Times New Roman" w:cs="Times New Roman"/>
                <w:color w:val="000000" w:themeColor="text1"/>
                <w:kern w:val="0"/>
                <w:szCs w:val="21"/>
                <w14:textFill>
                  <w14:solidFill>
                    <w14:schemeClr w14:val="tx1"/>
                  </w14:solidFill>
                </w14:textFill>
              </w:rPr>
            </w:pPr>
            <w:r>
              <w:rPr>
                <w:rFonts w:hint="eastAsia" w:ascii="Times New Roman" w:hAnsi="Times New Roman" w:cs="Times New Roman"/>
                <w:snapToGrid w:val="0"/>
                <w:color w:val="000000" w:themeColor="text1"/>
                <w:kern w:val="2"/>
                <w:sz w:val="21"/>
                <w:szCs w:val="24"/>
                <w:lang w:val="en-US" w:eastAsia="zh-CN" w:bidi="ar-SA"/>
                <w14:textFill>
                  <w14:solidFill>
                    <w14:schemeClr w14:val="tx1"/>
                  </w14:solidFill>
                </w14:textFill>
              </w:rPr>
              <w:t>无</w:t>
            </w:r>
          </w:p>
        </w:tc>
      </w:tr>
      <w:tr w14:paraId="781114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1633" w:type="dxa"/>
            <w:noWrap w:val="0"/>
            <w:vAlign w:val="center"/>
          </w:tcPr>
          <w:p w14:paraId="402D5D33">
            <w:pPr>
              <w:autoSpaceDE w:val="0"/>
              <w:autoSpaceDN w:val="0"/>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规划及规划环境影响评价符合性分析</w:t>
            </w:r>
          </w:p>
        </w:tc>
        <w:tc>
          <w:tcPr>
            <w:tcW w:w="7237" w:type="dxa"/>
            <w:gridSpan w:val="3"/>
            <w:noWrap w:val="0"/>
            <w:vAlign w:val="center"/>
          </w:tcPr>
          <w:p w14:paraId="099FC482">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Times New Roman" w:hAnsi="Times New Roman" w:eastAsia="宋体" w:cs="Times New Roman"/>
                <w:color w:val="000000" w:themeColor="text1"/>
                <w:kern w:val="0"/>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
                <w:sz w:val="21"/>
                <w:szCs w:val="24"/>
                <w:lang w:val="en-US" w:eastAsia="zh-CN" w:bidi="ar-SA"/>
                <w14:textFill>
                  <w14:solidFill>
                    <w14:schemeClr w14:val="tx1"/>
                  </w14:solidFill>
                </w14:textFill>
              </w:rPr>
              <w:t>无</w:t>
            </w:r>
          </w:p>
        </w:tc>
      </w:tr>
      <w:tr w14:paraId="5EFB23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633" w:type="dxa"/>
            <w:noWrap w:val="0"/>
            <w:vAlign w:val="center"/>
          </w:tcPr>
          <w:p w14:paraId="2FC8F38C">
            <w:pPr>
              <w:autoSpaceDE w:val="0"/>
              <w:autoSpaceDN w:val="0"/>
              <w:adjustRightInd w:val="0"/>
              <w:snapToGrid w:val="0"/>
              <w:jc w:val="center"/>
              <w:rPr>
                <w:rFonts w:hint="default" w:ascii="Times New Roman" w:hAnsi="Times New Roman" w:cs="Times New Roman"/>
                <w:color w:val="000000" w:themeColor="text1"/>
                <w:kern w:val="0"/>
                <w:szCs w:val="21"/>
                <w14:textFill>
                  <w14:solidFill>
                    <w14:schemeClr w14:val="tx1"/>
                  </w14:solidFill>
                </w14:textFill>
              </w:rPr>
            </w:pPr>
            <w:r>
              <w:rPr>
                <w:rFonts w:hint="default" w:ascii="Times New Roman" w:hAnsi="Times New Roman" w:cs="Times New Roman"/>
                <w:color w:val="000000" w:themeColor="text1"/>
                <w:kern w:val="0"/>
                <w:szCs w:val="21"/>
                <w14:textFill>
                  <w14:solidFill>
                    <w14:schemeClr w14:val="tx1"/>
                  </w14:solidFill>
                </w14:textFill>
              </w:rPr>
              <w:t>其他符合性分析</w:t>
            </w:r>
          </w:p>
        </w:tc>
        <w:tc>
          <w:tcPr>
            <w:tcW w:w="7237" w:type="dxa"/>
            <w:gridSpan w:val="3"/>
            <w:noWrap w:val="0"/>
            <w:vAlign w:val="center"/>
          </w:tcPr>
          <w:p w14:paraId="02F996BA">
            <w:pPr>
              <w:numPr>
                <w:ilvl w:val="0"/>
                <w:numId w:val="0"/>
              </w:numPr>
              <w:bidi w:val="0"/>
              <w:spacing w:line="360" w:lineRule="auto"/>
              <w:ind w:firstLine="422" w:firstLineChars="200"/>
              <w:jc w:val="both"/>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、建设项目所在地</w:t>
            </w:r>
            <w:r>
              <w:rPr>
                <w:rFonts w:hint="eastAsia" w:cs="Times New Roman"/>
                <w:b/>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三线一单</w:t>
            </w:r>
            <w:r>
              <w:rPr>
                <w:rFonts w:hint="eastAsia" w:cs="Times New Roman"/>
                <w:b/>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符合性分析</w:t>
            </w:r>
          </w:p>
          <w:p w14:paraId="78A08B7D">
            <w:pPr>
              <w:numPr>
                <w:ilvl w:val="0"/>
                <w:numId w:val="0"/>
              </w:numPr>
              <w:bidi w:val="0"/>
              <w:spacing w:line="360" w:lineRule="auto"/>
              <w:ind w:firstLine="420" w:firstLineChars="200"/>
              <w:jc w:val="both"/>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根据</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《陕西省</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三线一单</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生态环境分区管理应用技术指南》</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陕环办发</w:t>
            </w:r>
            <w:r>
              <w:rPr>
                <w:rFonts w:hint="eastAsia" w:cs="Times New Roman"/>
                <w:b w:val="0"/>
                <w:bCs w:val="0"/>
                <w:color w:val="000000" w:themeColor="text1"/>
                <w:sz w:val="21"/>
                <w:szCs w:val="21"/>
                <w:lang w:val="en-US" w:eastAsia="zh-CN"/>
                <w14:textFill>
                  <w14:solidFill>
                    <w14:schemeClr w14:val="tx1"/>
                  </w14:solidFill>
                </w14:textFill>
              </w:rPr>
              <w:t>〔2022〕</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76</w:t>
            </w:r>
            <w:r>
              <w:rPr>
                <w:rFonts w:hint="eastAsia" w:cs="Times New Roman"/>
                <w:b w:val="0"/>
                <w:bCs w:val="0"/>
                <w:color w:val="000000" w:themeColor="text1"/>
                <w:sz w:val="21"/>
                <w:szCs w:val="21"/>
                <w:lang w:val="en-US" w:eastAsia="zh-CN"/>
                <w14:textFill>
                  <w14:solidFill>
                    <w14:schemeClr w14:val="tx1"/>
                  </w14:solidFill>
                </w14:textFill>
              </w:rPr>
              <w:t>号）以及</w:t>
            </w: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宝鸡市区域空间生态评价工作协调小组办公室2024年发布的《关于印发2023年宝鸡市生态环境分区管控调整方式的通知》（宝区环办〔2024〕1号）的相关要求</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进行建设项目与</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三线一单</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生态环境分区管控符合性分析</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采用一图、一表、一说明的形式表达。</w:t>
            </w:r>
          </w:p>
          <w:p w14:paraId="5442E9DD">
            <w:pPr>
              <w:numPr>
                <w:ilvl w:val="0"/>
                <w:numId w:val="0"/>
              </w:numPr>
              <w:bidi w:val="0"/>
              <w:spacing w:line="360" w:lineRule="auto"/>
              <w:ind w:firstLine="420" w:firstLineChars="200"/>
              <w:jc w:val="both"/>
              <w:rPr>
                <w:rFonts w:hint="eastAsia"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一图</w:t>
            </w:r>
            <w:r>
              <w:rPr>
                <w:rFonts w:hint="eastAsia" w:cs="Times New Roman"/>
                <w:b w:val="0"/>
                <w:bCs w:val="0"/>
                <w:color w:val="000000" w:themeColor="text1"/>
                <w:sz w:val="21"/>
                <w:szCs w:val="21"/>
                <w:lang w:val="en-US" w:eastAsia="zh-CN"/>
                <w14:textFill>
                  <w14:solidFill>
                    <w14:schemeClr w14:val="tx1"/>
                  </w14:solidFill>
                </w14:textFill>
              </w:rPr>
              <w:t>”</w:t>
            </w:r>
          </w:p>
          <w:p w14:paraId="4AC54ED4">
            <w:pPr>
              <w:numPr>
                <w:ilvl w:val="0"/>
                <w:numId w:val="0"/>
              </w:numPr>
              <w:bidi w:val="0"/>
              <w:spacing w:line="360" w:lineRule="auto"/>
              <w:ind w:firstLine="420" w:firstLineChars="200"/>
              <w:jc w:val="both"/>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根据陕西省</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三线一单</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数据应用管理平台</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形成对照分析示意图</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图中所示本项目位于环境管控重点管控单元。</w:t>
            </w:r>
          </w:p>
          <w:p w14:paraId="1EC322A0">
            <w:pPr>
              <w:numPr>
                <w:ilvl w:val="0"/>
                <w:numId w:val="0"/>
              </w:numPr>
              <w:bidi w:val="0"/>
              <w:spacing w:line="360" w:lineRule="auto"/>
              <w:ind w:firstLine="420" w:firstLineChars="200"/>
              <w:jc w:val="both"/>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管控单元对照分析示意图见下图。</w:t>
            </w:r>
          </w:p>
          <w:tbl>
            <w:tblPr>
              <w:tblStyle w:val="2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8"/>
              <w:gridCol w:w="3577"/>
            </w:tblGrid>
            <w:tr w14:paraId="191F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75" w:type="pct"/>
                  <w:tcBorders>
                    <w:top w:val="nil"/>
                    <w:bottom w:val="nil"/>
                    <w:right w:val="nil"/>
                  </w:tcBorders>
                  <w:vAlign w:val="center"/>
                </w:tcPr>
                <w:p w14:paraId="61AD5D8F">
                  <w:pPr>
                    <w:numPr>
                      <w:ilvl w:val="0"/>
                      <w:numId w:val="0"/>
                    </w:numPr>
                    <w:bidi w:val="0"/>
                    <w:spacing w:line="360" w:lineRule="auto"/>
                    <w:jc w:val="both"/>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color w:val="000000" w:themeColor="text1"/>
                      <w:sz w:val="2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450850</wp:posOffset>
                            </wp:positionH>
                            <wp:positionV relativeFrom="paragraph">
                              <wp:posOffset>563245</wp:posOffset>
                            </wp:positionV>
                            <wp:extent cx="899795" cy="306705"/>
                            <wp:effectExtent l="4445" t="4445" r="10160" b="412750"/>
                            <wp:wrapNone/>
                            <wp:docPr id="11" name="矩形标注 11"/>
                            <wp:cNvGraphicFramePr/>
                            <a:graphic xmlns:a="http://schemas.openxmlformats.org/drawingml/2006/main">
                              <a:graphicData uri="http://schemas.microsoft.com/office/word/2010/wordprocessingShape">
                                <wps:wsp>
                                  <wps:cNvSpPr/>
                                  <wps:spPr>
                                    <a:xfrm>
                                      <a:off x="2338705" y="6648450"/>
                                      <a:ext cx="899795" cy="306705"/>
                                    </a:xfrm>
                                    <a:prstGeom prst="wedgeRectCallout">
                                      <a:avLst>
                                        <a:gd name="adj1" fmla="val 13443"/>
                                        <a:gd name="adj2" fmla="val 180227"/>
                                      </a:avLst>
                                    </a:prstGeom>
                                    <a:ln w="6350"/>
                                  </wps:spPr>
                                  <wps:style>
                                    <a:lnRef idx="2">
                                      <a:schemeClr val="accent1">
                                        <a:lumMod val="75000"/>
                                      </a:schemeClr>
                                    </a:lnRef>
                                    <a:fillRef idx="1">
                                      <a:schemeClr val="accent1"/>
                                    </a:fillRef>
                                    <a:effectRef idx="0">
                                      <a:srgbClr val="FFFFFF"/>
                                    </a:effectRef>
                                    <a:fontRef idx="minor">
                                      <a:schemeClr val="lt1"/>
                                    </a:fontRef>
                                  </wps:style>
                                  <wps:txbx>
                                    <w:txbxContent>
                                      <w:p w14:paraId="2567F02D">
                                        <w:pPr>
                                          <w:jc w:val="both"/>
                                          <w:rPr>
                                            <w:rFonts w:hint="default" w:eastAsia="宋体"/>
                                            <w:lang w:val="en-US" w:eastAsia="zh-CN"/>
                                          </w:rPr>
                                        </w:pPr>
                                        <w:r>
                                          <w:rPr>
                                            <w:rFonts w:hint="eastAsia"/>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5.5pt;margin-top:44.35pt;height:24.15pt;width:70.85pt;z-index:251659264;v-text-anchor:middle;mso-width-relative:page;mso-height-relative:page;" fillcolor="#4F81BD [3204]" filled="t" stroked="t" coordsize="21600,21600" o:gfxdata="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AYpOPF2QAAAAkBAAAP&#10;AAAAAAAAAAEAIAAAACIAAABkcnMvZG93bnJldi54bWxQSwECFAAUAAAACACHTuJAiKBkAMICAAB6&#10;BQAADgAAAAAAAAABACAAAAAoAQAAZHJzL2Uyb0RvYy54bWxQSwUGAAAAAAYABgBZAQAAXAYAAAAA&#10;" adj="13704,49729">
                            <v:fill on="t" focussize="0,0"/>
                            <v:stroke weight="0.5pt" color="#376092 [2404]" joinstyle="round"/>
                            <v:imagedata o:title=""/>
                            <o:lock v:ext="edit" aspectratio="f"/>
                            <v:textbox>
                              <w:txbxContent>
                                <w:p w14:paraId="2567F02D">
                                  <w:pPr>
                                    <w:jc w:val="both"/>
                                    <w:rPr>
                                      <w:rFonts w:hint="default" w:eastAsia="宋体"/>
                                      <w:lang w:val="en-US" w:eastAsia="zh-CN"/>
                                    </w:rPr>
                                  </w:pPr>
                                  <w:r>
                                    <w:rPr>
                                      <w:rFonts w:hint="eastAsia"/>
                                      <w:lang w:val="en-US" w:eastAsia="zh-CN"/>
                                    </w:rPr>
                                    <w:t>项目所在地</w:t>
                                  </w:r>
                                </w:p>
                              </w:txbxContent>
                            </v:textbox>
                          </v:shape>
                        </w:pict>
                      </mc:Fallback>
                    </mc:AlternateContent>
                  </w: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ict>
                      <v:shape id="_x0000_s1026" o:spid="_x0000_s1026" o:spt="75" type="#_x0000_t75" style="position:absolute;left:0pt;margin-left:105.7pt;margin-top:-0.5pt;height:31.1pt;width:58.45pt;z-index:251664384;mso-width-relative:page;mso-height-relative:page;" o:ole="t" filled="f" o:preferrelative="t" stroked="f" coordsize="21600,21600">
                        <v:path/>
                        <v:fill on="f" focussize="0,0"/>
                        <v:stroke on="f"/>
                        <v:imagedata r:id="rId9" o:title=""/>
                        <o:lock v:ext="edit" aspectratio="f"/>
                      </v:shape>
                      <o:OLEObject Type="Embed" ProgID="Visio.Drawing.15" ShapeID="_x0000_s1026" DrawAspect="Content" ObjectID="_1468075725" r:id="rId8">
                        <o:LockedField>false</o:LockedField>
                      </o:OLEObject>
                    </w:pict>
                  </w:r>
                  <w:r>
                    <w:rPr>
                      <w:color w:val="000000" w:themeColor="text1"/>
                      <w14:textFill>
                        <w14:solidFill>
                          <w14:schemeClr w14:val="tx1"/>
                        </w14:solidFill>
                      </w14:textFill>
                    </w:rPr>
                    <w:drawing>
                      <wp:inline distT="0" distB="0" distL="114300" distR="114300">
                        <wp:extent cx="2053590" cy="2491740"/>
                        <wp:effectExtent l="0" t="0" r="3810" b="381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0"/>
                                <a:stretch>
                                  <a:fillRect/>
                                </a:stretch>
                              </pic:blipFill>
                              <pic:spPr>
                                <a:xfrm>
                                  <a:off x="0" y="0"/>
                                  <a:ext cx="2053590" cy="2491740"/>
                                </a:xfrm>
                                <a:prstGeom prst="rect">
                                  <a:avLst/>
                                </a:prstGeom>
                                <a:noFill/>
                                <a:ln>
                                  <a:noFill/>
                                </a:ln>
                              </pic:spPr>
                            </pic:pic>
                          </a:graphicData>
                        </a:graphic>
                      </wp:inline>
                    </w:drawing>
                  </w:r>
                </w:p>
              </w:tc>
              <w:tc>
                <w:tcPr>
                  <w:tcW w:w="2324" w:type="pct"/>
                  <w:tcBorders>
                    <w:top w:val="nil"/>
                    <w:bottom w:val="nil"/>
                    <w:right w:val="nil"/>
                  </w:tcBorders>
                  <w:vAlign w:val="center"/>
                </w:tcPr>
                <w:p w14:paraId="25924DDF">
                  <w:pPr>
                    <w:numPr>
                      <w:ilvl w:val="0"/>
                      <w:numId w:val="0"/>
                    </w:numPr>
                    <w:bidi w:val="0"/>
                    <w:spacing w:line="360" w:lineRule="auto"/>
                    <w:jc w:val="center"/>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ict>
                      <v:shape id="_x0000_s1027" o:spid="_x0000_s1027" o:spt="75" type="#_x0000_t75" style="position:absolute;left:0pt;margin-left:103.8pt;margin-top:1.1pt;height:31.1pt;width:58.45pt;z-index:251665408;mso-width-relative:page;mso-height-relative:page;" o:ole="t" filled="f" o:preferrelative="t" stroked="f" coordsize="21600,21600">
                        <v:path/>
                        <v:fill on="f" focussize="0,0"/>
                        <v:stroke on="f"/>
                        <v:imagedata r:id="rId9" o:title=""/>
                        <o:lock v:ext="edit" aspectratio="f"/>
                      </v:shape>
                      <o:OLEObject Type="Embed" ProgID="Visio.Drawing.15" ShapeID="_x0000_s1027" DrawAspect="Content" ObjectID="_1468075726" r:id="rId11">
                        <o:LockedField>false</o:LockedField>
                      </o:OLEObject>
                    </w:pict>
                  </w:r>
                  <w:r>
                    <w:rPr>
                      <w:color w:val="000000" w:themeColor="text1"/>
                      <w:sz w:val="21"/>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631825</wp:posOffset>
                            </wp:positionH>
                            <wp:positionV relativeFrom="paragraph">
                              <wp:posOffset>605155</wp:posOffset>
                            </wp:positionV>
                            <wp:extent cx="1024255" cy="306705"/>
                            <wp:effectExtent l="4445" t="4445" r="19050" b="450850"/>
                            <wp:wrapNone/>
                            <wp:docPr id="23" name="矩形标注 23"/>
                            <wp:cNvGraphicFramePr/>
                            <a:graphic xmlns:a="http://schemas.openxmlformats.org/drawingml/2006/main">
                              <a:graphicData uri="http://schemas.microsoft.com/office/word/2010/wordprocessingShape">
                                <wps:wsp>
                                  <wps:cNvSpPr/>
                                  <wps:spPr>
                                    <a:xfrm>
                                      <a:off x="0" y="0"/>
                                      <a:ext cx="1024255" cy="306705"/>
                                    </a:xfrm>
                                    <a:prstGeom prst="wedgeRectCallout">
                                      <a:avLst>
                                        <a:gd name="adj1" fmla="val 836"/>
                                        <a:gd name="adj2" fmla="val 191407"/>
                                      </a:avLst>
                                    </a:prstGeom>
                                    <a:ln w="6350"/>
                                  </wps:spPr>
                                  <wps:style>
                                    <a:lnRef idx="2">
                                      <a:schemeClr val="accent1">
                                        <a:lumMod val="75000"/>
                                      </a:schemeClr>
                                    </a:lnRef>
                                    <a:fillRef idx="1">
                                      <a:schemeClr val="accent1"/>
                                    </a:fillRef>
                                    <a:effectRef idx="0">
                                      <a:srgbClr val="FFFFFF"/>
                                    </a:effectRef>
                                    <a:fontRef idx="minor">
                                      <a:schemeClr val="lt1"/>
                                    </a:fontRef>
                                  </wps:style>
                                  <wps:txbx>
                                    <w:txbxContent>
                                      <w:p w14:paraId="33B3BCB2">
                                        <w:pPr>
                                          <w:jc w:val="both"/>
                                          <w:rPr>
                                            <w:rFonts w:hint="default" w:eastAsia="宋体"/>
                                            <w:lang w:val="en-US" w:eastAsia="zh-CN"/>
                                          </w:rPr>
                                        </w:pPr>
                                        <w:r>
                                          <w:rPr>
                                            <w:rFonts w:hint="eastAsia"/>
                                            <w:lang w:val="en-US"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9.75pt;margin-top:47.65pt;height:24.15pt;width:80.65pt;z-index:251663360;v-text-anchor:middle;mso-width-relative:page;mso-height-relative:page;" fillcolor="#4F81BD [3204]" filled="t" stroked="t" coordsize="21600,21600" o:gfxdata="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NvRA1nXAAAACQEAAA8AAAAAAAAAAQAgAAAA&#10;IgAAAGRycy9kb3ducmV2LnhtbFBLAQIUABQAAAAIAIdO4kDmqde9twIAAG0FAAAOAAAAAAAAAAEA&#10;IAAAACYBAABkcnMvZTJvRG9jLnhtbFBLBQYAAAAABgAGAFkBAABPBgAAAAA=&#10;" adj="10981,52144">
                            <v:fill on="t" focussize="0,0"/>
                            <v:stroke weight="0.5pt" color="#376092 [2404]" joinstyle="round"/>
                            <v:imagedata o:title=""/>
                            <o:lock v:ext="edit" aspectratio="f"/>
                            <v:textbox>
                              <w:txbxContent>
                                <w:p w14:paraId="33B3BCB2">
                                  <w:pPr>
                                    <w:jc w:val="both"/>
                                    <w:rPr>
                                      <w:rFonts w:hint="default" w:eastAsia="宋体"/>
                                      <w:lang w:val="en-US" w:eastAsia="zh-CN"/>
                                    </w:rPr>
                                  </w:pPr>
                                  <w:r>
                                    <w:rPr>
                                      <w:rFonts w:hint="eastAsia"/>
                                      <w:lang w:val="en-US" w:eastAsia="zh-CN"/>
                                    </w:rPr>
                                    <w:t>项目所在地</w:t>
                                  </w:r>
                                </w:p>
                              </w:txbxContent>
                            </v:textbox>
                          </v:shape>
                        </w:pict>
                      </mc:Fallback>
                    </mc:AlternateContent>
                  </w:r>
                  <w:r>
                    <w:rPr>
                      <w:color w:val="000000" w:themeColor="text1"/>
                      <w14:textFill>
                        <w14:solidFill>
                          <w14:schemeClr w14:val="tx1"/>
                        </w14:solidFill>
                      </w14:textFill>
                    </w:rPr>
                    <w:drawing>
                      <wp:inline distT="0" distB="0" distL="114300" distR="114300">
                        <wp:extent cx="2127885" cy="2576195"/>
                        <wp:effectExtent l="0" t="0" r="5715" b="146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a:stretch>
                                  <a:fillRect/>
                                </a:stretch>
                              </pic:blipFill>
                              <pic:spPr>
                                <a:xfrm>
                                  <a:off x="0" y="0"/>
                                  <a:ext cx="2127885" cy="2576195"/>
                                </a:xfrm>
                                <a:prstGeom prst="rect">
                                  <a:avLst/>
                                </a:prstGeom>
                                <a:noFill/>
                                <a:ln>
                                  <a:noFill/>
                                </a:ln>
                              </pic:spPr>
                            </pic:pic>
                          </a:graphicData>
                        </a:graphic>
                      </wp:inline>
                    </w:drawing>
                  </w:r>
                </w:p>
              </w:tc>
            </w:tr>
          </w:tbl>
          <w:p w14:paraId="6C218011">
            <w:pPr>
              <w:numPr>
                <w:ilvl w:val="0"/>
                <w:numId w:val="0"/>
              </w:numPr>
              <w:bidi w:val="0"/>
              <w:spacing w:line="360" w:lineRule="auto"/>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图1-1</w:t>
            </w:r>
            <w:r>
              <w:rPr>
                <w:rFonts w:hint="eastAsia" w:cs="Times New Roman"/>
                <w:b/>
                <w:bCs/>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项目与环境管控单元对照分析示意图</w:t>
            </w:r>
          </w:p>
          <w:p w14:paraId="0EBC532B">
            <w:pPr>
              <w:numPr>
                <w:ilvl w:val="0"/>
                <w:numId w:val="0"/>
              </w:numPr>
              <w:bidi w:val="0"/>
              <w:spacing w:line="360" w:lineRule="auto"/>
              <w:ind w:firstLine="420" w:firstLineChars="200"/>
              <w:jc w:val="both"/>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一表</w:t>
            </w:r>
            <w:r>
              <w:rPr>
                <w:rFonts w:hint="eastAsia" w:cs="Times New Roman"/>
                <w:b w:val="0"/>
                <w:bCs w:val="0"/>
                <w:color w:val="000000" w:themeColor="text1"/>
                <w:sz w:val="21"/>
                <w:szCs w:val="21"/>
                <w:lang w:val="en-US" w:eastAsia="zh-CN"/>
                <w14:textFill>
                  <w14:solidFill>
                    <w14:schemeClr w14:val="tx1"/>
                  </w14:solidFill>
                </w14:textFill>
              </w:rPr>
              <w:t>”</w:t>
            </w:r>
          </w:p>
          <w:p w14:paraId="3A9B724A">
            <w:pPr>
              <w:numPr>
                <w:ilvl w:val="0"/>
                <w:numId w:val="0"/>
              </w:numPr>
              <w:bidi w:val="0"/>
              <w:spacing w:line="360" w:lineRule="auto"/>
              <w:ind w:firstLine="420" w:firstLineChars="200"/>
              <w:jc w:val="both"/>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根据</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陕西省</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三线一单</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数据应用管理平台数据分析</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项目涉及环境管控单元管控要求如下。</w:t>
            </w:r>
          </w:p>
          <w:p w14:paraId="7B403562">
            <w:pPr>
              <w:numPr>
                <w:ilvl w:val="0"/>
                <w:numId w:val="0"/>
              </w:numPr>
              <w:shd w:val="clear" w:color="auto" w:fill="auto"/>
              <w:autoSpaceDE w:val="0"/>
              <w:autoSpaceDN w:val="0"/>
              <w:spacing w:line="240" w:lineRule="auto"/>
              <w:ind w:firstLine="422" w:firstLineChars="200"/>
              <w:jc w:val="center"/>
              <w:rPr>
                <w:rFonts w:hint="default" w:ascii="Times New Roman" w:hAnsi="Times New Roman" w:eastAsia="宋体" w:cs="Times New Roman"/>
                <w:b/>
                <w:bCs/>
                <w:color w:val="000000" w:themeColor="text1"/>
                <w:highlight w:val="yellow"/>
                <w:lang w:val="en-US" w:eastAsia="zh-CN"/>
                <w14:textFill>
                  <w14:solidFill>
                    <w14:schemeClr w14:val="tx1"/>
                  </w14:solidFill>
                </w14:textFill>
              </w:rPr>
            </w:pPr>
            <w:r>
              <w:rPr>
                <w:rFonts w:hint="eastAsia" w:ascii="Times New Roman" w:hAnsi="Times New Roman" w:eastAsia="宋体" w:cs="Times New Roman"/>
                <w:b/>
                <w:bCs/>
                <w:color w:val="000000" w:themeColor="text1"/>
                <w:highlight w:val="none"/>
                <w:lang w:val="en-US" w:eastAsia="zh-CN"/>
                <w14:textFill>
                  <w14:solidFill>
                    <w14:schemeClr w14:val="tx1"/>
                  </w14:solidFill>
                </w14:textFill>
              </w:rPr>
              <w:t>表1-1项目与环境管控单元涉及情况</w:t>
            </w:r>
            <w:r>
              <w:rPr>
                <w:rFonts w:hint="eastAsia" w:cs="Times New Roman"/>
                <w:b/>
                <w:bCs/>
                <w:color w:val="000000" w:themeColor="text1"/>
                <w:highlight w:val="none"/>
                <w:lang w:val="en-US" w:eastAsia="zh-CN"/>
                <w14:textFill>
                  <w14:solidFill>
                    <w14:schemeClr w14:val="tx1"/>
                  </w14:solidFill>
                </w14:textFill>
              </w:rPr>
              <w:t>一览表</w:t>
            </w:r>
          </w:p>
          <w:tbl>
            <w:tblPr>
              <w:tblStyle w:val="2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73"/>
              <w:gridCol w:w="1852"/>
              <w:gridCol w:w="3178"/>
            </w:tblGrid>
            <w:tr w14:paraId="02BFD4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59" w:type="pct"/>
                  <w:tcBorders>
                    <w:tl2br w:val="nil"/>
                    <w:tr2bl w:val="nil"/>
                  </w:tcBorders>
                  <w:noWrap w:val="0"/>
                  <w:vAlign w:val="top"/>
                </w:tcPr>
                <w:p w14:paraId="1D4D659B">
                  <w:pPr>
                    <w:keepNext w:val="0"/>
                    <w:keepLines w:val="0"/>
                    <w:suppressLineNumbers w:val="0"/>
                    <w:bidi w:val="0"/>
                    <w:spacing w:before="0" w:beforeAutospacing="0" w:after="0" w:afterAutospacing="0"/>
                    <w:ind w:right="0"/>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eastAsia" w:ascii="Times New Roman" w:hAnsi="Times New Roman" w:cs="Times New Roman"/>
                      <w:b/>
                      <w:bCs/>
                      <w:color w:val="000000" w:themeColor="text1"/>
                      <w:vertAlign w:val="baseline"/>
                      <w:lang w:val="en-US" w:eastAsia="zh-CN"/>
                      <w14:textFill>
                        <w14:solidFill>
                          <w14:schemeClr w14:val="tx1"/>
                        </w14:solidFill>
                      </w14:textFill>
                    </w:rPr>
                    <w:t>环境管控单元分类</w:t>
                  </w:r>
                </w:p>
              </w:tc>
              <w:tc>
                <w:tcPr>
                  <w:tcW w:w="1303" w:type="pct"/>
                  <w:tcBorders>
                    <w:tl2br w:val="nil"/>
                    <w:tr2bl w:val="nil"/>
                  </w:tcBorders>
                  <w:noWrap w:val="0"/>
                  <w:vAlign w:val="top"/>
                </w:tcPr>
                <w:p w14:paraId="16BAAF64">
                  <w:pPr>
                    <w:keepNext w:val="0"/>
                    <w:keepLines w:val="0"/>
                    <w:suppressLineNumbers w:val="0"/>
                    <w:bidi w:val="0"/>
                    <w:spacing w:before="0" w:beforeAutospacing="0" w:after="0" w:afterAutospacing="0"/>
                    <w:ind w:right="0"/>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eastAsia" w:ascii="Times New Roman" w:hAnsi="Times New Roman" w:cs="Times New Roman"/>
                      <w:b/>
                      <w:bCs/>
                      <w:color w:val="000000" w:themeColor="text1"/>
                      <w:vertAlign w:val="baseline"/>
                      <w:lang w:val="en-US" w:eastAsia="zh-CN"/>
                      <w14:textFill>
                        <w14:solidFill>
                          <w14:schemeClr w14:val="tx1"/>
                        </w14:solidFill>
                      </w14:textFill>
                    </w:rPr>
                    <w:t>是否涉及</w:t>
                  </w:r>
                </w:p>
              </w:tc>
              <w:tc>
                <w:tcPr>
                  <w:tcW w:w="2236" w:type="pct"/>
                  <w:tcBorders>
                    <w:tl2br w:val="nil"/>
                    <w:tr2bl w:val="nil"/>
                  </w:tcBorders>
                  <w:noWrap w:val="0"/>
                  <w:vAlign w:val="top"/>
                </w:tcPr>
                <w:p w14:paraId="197C60BF">
                  <w:pPr>
                    <w:keepNext w:val="0"/>
                    <w:keepLines w:val="0"/>
                    <w:suppressLineNumbers w:val="0"/>
                    <w:bidi w:val="0"/>
                    <w:spacing w:before="0" w:beforeAutospacing="0" w:after="0" w:afterAutospacing="0"/>
                    <w:ind w:right="0"/>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eastAsia" w:ascii="Times New Roman" w:hAnsi="Times New Roman" w:cs="Times New Roman"/>
                      <w:b/>
                      <w:bCs/>
                      <w:color w:val="000000" w:themeColor="text1"/>
                      <w:vertAlign w:val="baseline"/>
                      <w:lang w:val="en-US" w:eastAsia="zh-CN"/>
                      <w14:textFill>
                        <w14:solidFill>
                          <w14:schemeClr w14:val="tx1"/>
                        </w14:solidFill>
                      </w14:textFill>
                    </w:rPr>
                    <w:t>面积/长度</w:t>
                  </w:r>
                </w:p>
              </w:tc>
            </w:tr>
            <w:tr w14:paraId="0C02C8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59" w:type="pct"/>
                  <w:tcBorders>
                    <w:tl2br w:val="nil"/>
                    <w:tr2bl w:val="nil"/>
                  </w:tcBorders>
                  <w:noWrap w:val="0"/>
                  <w:vAlign w:val="top"/>
                </w:tcPr>
                <w:p w14:paraId="100B1921">
                  <w:pPr>
                    <w:keepNext w:val="0"/>
                    <w:keepLines w:val="0"/>
                    <w:suppressLineNumbers w:val="0"/>
                    <w:bidi w:val="0"/>
                    <w:spacing w:before="0" w:beforeAutospacing="0" w:after="0" w:afterAutospacing="0"/>
                    <w:ind w:right="0"/>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优先保护单元</w:t>
                  </w:r>
                </w:p>
              </w:tc>
              <w:tc>
                <w:tcPr>
                  <w:tcW w:w="1303" w:type="pct"/>
                  <w:tcBorders>
                    <w:tl2br w:val="nil"/>
                    <w:tr2bl w:val="nil"/>
                  </w:tcBorders>
                  <w:noWrap w:val="0"/>
                  <w:vAlign w:val="top"/>
                </w:tcPr>
                <w:p w14:paraId="3630EB6C">
                  <w:pPr>
                    <w:keepNext w:val="0"/>
                    <w:keepLines w:val="0"/>
                    <w:suppressLineNumbers w:val="0"/>
                    <w:bidi w:val="0"/>
                    <w:spacing w:before="0" w:beforeAutospacing="0" w:after="0" w:afterAutospacing="0"/>
                    <w:ind w:right="0"/>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cs="Times New Roman"/>
                      <w:color w:val="000000" w:themeColor="text1"/>
                      <w:vertAlign w:val="baseline"/>
                      <w:lang w:val="en-US" w:eastAsia="zh-CN"/>
                      <w14:textFill>
                        <w14:solidFill>
                          <w14:schemeClr w14:val="tx1"/>
                        </w14:solidFill>
                      </w14:textFill>
                    </w:rPr>
                    <w:t>否</w:t>
                  </w:r>
                </w:p>
              </w:tc>
              <w:tc>
                <w:tcPr>
                  <w:tcW w:w="2236" w:type="pct"/>
                  <w:tcBorders>
                    <w:tl2br w:val="nil"/>
                    <w:tr2bl w:val="nil"/>
                  </w:tcBorders>
                  <w:noWrap w:val="0"/>
                  <w:vAlign w:val="top"/>
                </w:tcPr>
                <w:p w14:paraId="1C48A6DE">
                  <w:pPr>
                    <w:keepNext w:val="0"/>
                    <w:keepLines w:val="0"/>
                    <w:suppressLineNumbers w:val="0"/>
                    <w:bidi w:val="0"/>
                    <w:spacing w:before="0" w:beforeAutospacing="0" w:after="0" w:afterAutospacing="0"/>
                    <w:ind w:right="0"/>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0平方米</w:t>
                  </w:r>
                </w:p>
              </w:tc>
            </w:tr>
            <w:tr w14:paraId="7F7A62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59" w:type="pct"/>
                  <w:tcBorders>
                    <w:tl2br w:val="nil"/>
                    <w:tr2bl w:val="nil"/>
                  </w:tcBorders>
                  <w:noWrap w:val="0"/>
                  <w:vAlign w:val="top"/>
                </w:tcPr>
                <w:p w14:paraId="2EFBF8B7">
                  <w:pPr>
                    <w:keepNext w:val="0"/>
                    <w:keepLines w:val="0"/>
                    <w:suppressLineNumbers w:val="0"/>
                    <w:bidi w:val="0"/>
                    <w:spacing w:before="0" w:beforeAutospacing="0" w:after="0" w:afterAutospacing="0"/>
                    <w:ind w:right="0"/>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重点管控单元</w:t>
                  </w:r>
                </w:p>
              </w:tc>
              <w:tc>
                <w:tcPr>
                  <w:tcW w:w="1303" w:type="pct"/>
                  <w:tcBorders>
                    <w:tl2br w:val="nil"/>
                    <w:tr2bl w:val="nil"/>
                  </w:tcBorders>
                  <w:noWrap w:val="0"/>
                  <w:vAlign w:val="top"/>
                </w:tcPr>
                <w:p w14:paraId="3594E391">
                  <w:pPr>
                    <w:keepNext w:val="0"/>
                    <w:keepLines w:val="0"/>
                    <w:suppressLineNumbers w:val="0"/>
                    <w:bidi w:val="0"/>
                    <w:spacing w:before="0" w:beforeAutospacing="0" w:after="0" w:afterAutospacing="0"/>
                    <w:ind w:right="0"/>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cs="Times New Roman"/>
                      <w:color w:val="000000" w:themeColor="text1"/>
                      <w:vertAlign w:val="baseline"/>
                      <w:lang w:val="en-US" w:eastAsia="zh-CN"/>
                      <w14:textFill>
                        <w14:solidFill>
                          <w14:schemeClr w14:val="tx1"/>
                        </w14:solidFill>
                      </w14:textFill>
                    </w:rPr>
                    <w:t>是</w:t>
                  </w:r>
                </w:p>
              </w:tc>
              <w:tc>
                <w:tcPr>
                  <w:tcW w:w="2236" w:type="pct"/>
                  <w:tcBorders>
                    <w:tl2br w:val="nil"/>
                    <w:tr2bl w:val="nil"/>
                  </w:tcBorders>
                  <w:noWrap w:val="0"/>
                  <w:vAlign w:val="top"/>
                </w:tcPr>
                <w:p w14:paraId="65FD8CE5">
                  <w:pPr>
                    <w:keepNext w:val="0"/>
                    <w:keepLines w:val="0"/>
                    <w:suppressLineNumbers w:val="0"/>
                    <w:bidi w:val="0"/>
                    <w:spacing w:before="0" w:beforeAutospacing="0" w:after="0" w:afterAutospacing="0"/>
                    <w:ind w:right="0"/>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cs="Times New Roman"/>
                      <w:color w:val="000000" w:themeColor="text1"/>
                      <w:vertAlign w:val="baseline"/>
                      <w:lang w:val="en-US" w:eastAsia="zh-CN"/>
                      <w14:textFill>
                        <w14:solidFill>
                          <w14:schemeClr w14:val="tx1"/>
                        </w14:solidFill>
                      </w14:textFill>
                    </w:rPr>
                    <w:t>1020.99</w:t>
                  </w:r>
                  <w:r>
                    <w:rPr>
                      <w:rFonts w:hint="eastAsia" w:ascii="Times New Roman" w:hAnsi="Times New Roman" w:cs="Times New Roman"/>
                      <w:color w:val="000000" w:themeColor="text1"/>
                      <w:vertAlign w:val="baseline"/>
                      <w:lang w:val="en-US" w:eastAsia="zh-CN"/>
                      <w14:textFill>
                        <w14:solidFill>
                          <w14:schemeClr w14:val="tx1"/>
                        </w14:solidFill>
                      </w14:textFill>
                    </w:rPr>
                    <w:t>平方米</w:t>
                  </w:r>
                </w:p>
              </w:tc>
            </w:tr>
            <w:tr w14:paraId="37A06D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59" w:type="pct"/>
                  <w:tcBorders>
                    <w:tl2br w:val="nil"/>
                    <w:tr2bl w:val="nil"/>
                  </w:tcBorders>
                  <w:noWrap w:val="0"/>
                  <w:vAlign w:val="top"/>
                </w:tcPr>
                <w:p w14:paraId="0A152116">
                  <w:pPr>
                    <w:keepNext w:val="0"/>
                    <w:keepLines w:val="0"/>
                    <w:suppressLineNumbers w:val="0"/>
                    <w:bidi w:val="0"/>
                    <w:spacing w:before="0" w:beforeAutospacing="0" w:after="0" w:afterAutospacing="0"/>
                    <w:ind w:right="0"/>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一般管控单元</w:t>
                  </w:r>
                </w:p>
              </w:tc>
              <w:tc>
                <w:tcPr>
                  <w:tcW w:w="1303" w:type="pct"/>
                  <w:tcBorders>
                    <w:tl2br w:val="nil"/>
                    <w:tr2bl w:val="nil"/>
                  </w:tcBorders>
                  <w:noWrap w:val="0"/>
                  <w:vAlign w:val="top"/>
                </w:tcPr>
                <w:p w14:paraId="2E7BE7F9">
                  <w:pPr>
                    <w:keepNext w:val="0"/>
                    <w:keepLines w:val="0"/>
                    <w:suppressLineNumbers w:val="0"/>
                    <w:bidi w:val="0"/>
                    <w:spacing w:before="0" w:beforeAutospacing="0" w:after="0" w:afterAutospacing="0"/>
                    <w:ind w:right="0"/>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否</w:t>
                  </w:r>
                </w:p>
              </w:tc>
              <w:tc>
                <w:tcPr>
                  <w:tcW w:w="2236" w:type="pct"/>
                  <w:tcBorders>
                    <w:tl2br w:val="nil"/>
                    <w:tr2bl w:val="nil"/>
                  </w:tcBorders>
                  <w:noWrap w:val="0"/>
                  <w:vAlign w:val="top"/>
                </w:tcPr>
                <w:p w14:paraId="35846868">
                  <w:pPr>
                    <w:keepNext w:val="0"/>
                    <w:keepLines w:val="0"/>
                    <w:suppressLineNumbers w:val="0"/>
                    <w:bidi w:val="0"/>
                    <w:spacing w:before="0" w:beforeAutospacing="0" w:after="0" w:afterAutospacing="0"/>
                    <w:ind w:right="0"/>
                    <w:jc w:val="center"/>
                    <w:rPr>
                      <w:rFonts w:hint="default" w:ascii="Times New Roman" w:hAnsi="Times New Roman" w:cs="Times New Roman"/>
                      <w:color w:val="000000" w:themeColor="text1"/>
                      <w:vertAlign w:val="baseline"/>
                      <w:lang w:val="en-US" w:eastAsia="zh-CN"/>
                      <w14:textFill>
                        <w14:solidFill>
                          <w14:schemeClr w14:val="tx1"/>
                        </w14:solidFill>
                      </w14:textFill>
                    </w:rPr>
                  </w:pPr>
                  <w:r>
                    <w:rPr>
                      <w:rFonts w:hint="eastAsia" w:ascii="Times New Roman" w:hAnsi="Times New Roman" w:cs="Times New Roman"/>
                      <w:color w:val="000000" w:themeColor="text1"/>
                      <w:vertAlign w:val="baseline"/>
                      <w:lang w:val="en-US" w:eastAsia="zh-CN"/>
                      <w14:textFill>
                        <w14:solidFill>
                          <w14:schemeClr w14:val="tx1"/>
                        </w14:solidFill>
                      </w14:textFill>
                    </w:rPr>
                    <w:t>0平方米</w:t>
                  </w:r>
                </w:p>
              </w:tc>
            </w:tr>
          </w:tbl>
          <w:p w14:paraId="705E24BB">
            <w:pPr>
              <w:numPr>
                <w:ilvl w:val="0"/>
                <w:numId w:val="0"/>
              </w:numPr>
              <w:bidi w:val="0"/>
              <w:spacing w:line="240" w:lineRule="auto"/>
              <w:ind w:firstLine="422" w:firstLineChars="200"/>
              <w:jc w:val="cente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表1-</w:t>
            </w:r>
            <w:r>
              <w:rPr>
                <w:rFonts w:hint="eastAsia" w:cs="Times New Roman"/>
                <w:b/>
                <w:bCs/>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本项目涉及的生态环境管控单元准入</w:t>
            </w:r>
            <w:r>
              <w:rPr>
                <w:rFonts w:hint="eastAsia" w:cs="Times New Roman"/>
                <w:b/>
                <w:bCs/>
                <w:color w:val="000000" w:themeColor="text1"/>
                <w:sz w:val="21"/>
                <w:szCs w:val="21"/>
                <w:highlight w:val="none"/>
                <w:lang w:val="en-US" w:eastAsia="zh-CN"/>
                <w14:textFill>
                  <w14:solidFill>
                    <w14:schemeClr w14:val="tx1"/>
                  </w14:solidFill>
                </w14:textFill>
              </w:rPr>
              <w:t>符合性分析</w:t>
            </w:r>
          </w:p>
          <w:tbl>
            <w:tblPr>
              <w:tblStyle w:val="24"/>
              <w:tblW w:w="487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436"/>
              <w:gridCol w:w="472"/>
              <w:gridCol w:w="716"/>
              <w:gridCol w:w="616"/>
              <w:gridCol w:w="2053"/>
              <w:gridCol w:w="1432"/>
              <w:gridCol w:w="648"/>
            </w:tblGrid>
            <w:tr w14:paraId="43E3EF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3" w:type="pct"/>
                  <w:tcBorders>
                    <w:tl2br w:val="nil"/>
                    <w:tr2bl w:val="nil"/>
                  </w:tcBorders>
                  <w:noWrap w:val="0"/>
                  <w:vAlign w:val="center"/>
                </w:tcPr>
                <w:p w14:paraId="4C78D3BC">
                  <w:pPr>
                    <w:pStyle w:val="67"/>
                    <w:kinsoku w:val="0"/>
                    <w:overflowPunct w:val="0"/>
                    <w:autoSpaceDE w:val="0"/>
                    <w:autoSpaceDN w:val="0"/>
                    <w:adjustRightInd w:val="0"/>
                    <w:snapToGrid w:val="0"/>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t>管控单元名称</w:t>
                  </w:r>
                </w:p>
              </w:tc>
              <w:tc>
                <w:tcPr>
                  <w:tcW w:w="314" w:type="pct"/>
                  <w:tcBorders>
                    <w:tl2br w:val="nil"/>
                    <w:tr2bl w:val="nil"/>
                  </w:tcBorders>
                  <w:noWrap w:val="0"/>
                  <w:vAlign w:val="center"/>
                </w:tcPr>
                <w:p w14:paraId="6C94D15C">
                  <w:pPr>
                    <w:pStyle w:val="67"/>
                    <w:kinsoku w:val="0"/>
                    <w:overflowPunct w:val="0"/>
                    <w:autoSpaceDE w:val="0"/>
                    <w:autoSpaceDN w:val="0"/>
                    <w:adjustRightInd w:val="0"/>
                    <w:snapToGrid w:val="0"/>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cs="Times New Roman"/>
                      <w:b/>
                      <w:bCs/>
                      <w:color w:val="000000" w:themeColor="text1"/>
                      <w:kern w:val="0"/>
                      <w:sz w:val="21"/>
                      <w:szCs w:val="21"/>
                      <w:highlight w:val="none"/>
                      <w:lang w:val="en-US" w:eastAsia="zh-CN" w:bidi="zh-CN"/>
                      <w14:textFill>
                        <w14:solidFill>
                          <w14:schemeClr w14:val="tx1"/>
                        </w14:solidFill>
                      </w14:textFill>
                    </w:rPr>
                    <w:t>市</w:t>
                  </w:r>
                </w:p>
              </w:tc>
              <w:tc>
                <w:tcPr>
                  <w:tcW w:w="340" w:type="pct"/>
                  <w:tcBorders>
                    <w:tl2br w:val="nil"/>
                    <w:tr2bl w:val="nil"/>
                  </w:tcBorders>
                  <w:noWrap w:val="0"/>
                  <w:vAlign w:val="center"/>
                </w:tcPr>
                <w:p w14:paraId="0B304DF4">
                  <w:pPr>
                    <w:pStyle w:val="67"/>
                    <w:kinsoku w:val="0"/>
                    <w:overflowPunct w:val="0"/>
                    <w:autoSpaceDE w:val="0"/>
                    <w:autoSpaceDN w:val="0"/>
                    <w:adjustRightInd w:val="0"/>
                    <w:snapToGrid w:val="0"/>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cs="Times New Roman"/>
                      <w:b/>
                      <w:bCs/>
                      <w:color w:val="000000" w:themeColor="text1"/>
                      <w:kern w:val="0"/>
                      <w:sz w:val="21"/>
                      <w:szCs w:val="21"/>
                      <w:highlight w:val="none"/>
                      <w:lang w:val="en-US" w:eastAsia="zh-CN" w:bidi="zh-CN"/>
                      <w14:textFill>
                        <w14:solidFill>
                          <w14:schemeClr w14:val="tx1"/>
                        </w14:solidFill>
                      </w14:textFill>
                    </w:rPr>
                    <w:t>区</w:t>
                  </w:r>
                </w:p>
              </w:tc>
              <w:tc>
                <w:tcPr>
                  <w:tcW w:w="516" w:type="pct"/>
                  <w:tcBorders>
                    <w:tl2br w:val="nil"/>
                    <w:tr2bl w:val="nil"/>
                  </w:tcBorders>
                  <w:noWrap w:val="0"/>
                  <w:vAlign w:val="center"/>
                </w:tcPr>
                <w:p w14:paraId="1576CA62">
                  <w:pPr>
                    <w:pStyle w:val="67"/>
                    <w:kinsoku w:val="0"/>
                    <w:overflowPunct w:val="0"/>
                    <w:autoSpaceDE w:val="0"/>
                    <w:autoSpaceDN w:val="0"/>
                    <w:adjustRightInd w:val="0"/>
                    <w:snapToGrid w:val="0"/>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t>单元要素属性</w:t>
                  </w:r>
                </w:p>
              </w:tc>
              <w:tc>
                <w:tcPr>
                  <w:tcW w:w="444" w:type="pct"/>
                  <w:tcBorders>
                    <w:tl2br w:val="nil"/>
                    <w:tr2bl w:val="nil"/>
                  </w:tcBorders>
                  <w:noWrap w:val="0"/>
                  <w:vAlign w:val="center"/>
                </w:tcPr>
                <w:p w14:paraId="3ACA1A7D">
                  <w:pPr>
                    <w:pStyle w:val="67"/>
                    <w:kinsoku w:val="0"/>
                    <w:overflowPunct w:val="0"/>
                    <w:autoSpaceDE w:val="0"/>
                    <w:autoSpaceDN w:val="0"/>
                    <w:adjustRightInd w:val="0"/>
                    <w:snapToGrid w:val="0"/>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t>管控分类要求</w:t>
                  </w:r>
                </w:p>
              </w:tc>
              <w:tc>
                <w:tcPr>
                  <w:tcW w:w="1480" w:type="pct"/>
                  <w:tcBorders>
                    <w:tl2br w:val="nil"/>
                    <w:tr2bl w:val="nil"/>
                  </w:tcBorders>
                  <w:noWrap w:val="0"/>
                  <w:vAlign w:val="center"/>
                </w:tcPr>
                <w:p w14:paraId="65537CEC">
                  <w:pPr>
                    <w:pStyle w:val="67"/>
                    <w:kinsoku w:val="0"/>
                    <w:overflowPunct w:val="0"/>
                    <w:autoSpaceDE w:val="0"/>
                    <w:autoSpaceDN w:val="0"/>
                    <w:adjustRightInd w:val="0"/>
                    <w:snapToGrid w:val="0"/>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t>管控要求</w:t>
                  </w:r>
                </w:p>
              </w:tc>
              <w:tc>
                <w:tcPr>
                  <w:tcW w:w="1032" w:type="pct"/>
                  <w:tcBorders>
                    <w:tl2br w:val="nil"/>
                    <w:tr2bl w:val="nil"/>
                  </w:tcBorders>
                  <w:noWrap w:val="0"/>
                  <w:vAlign w:val="center"/>
                </w:tcPr>
                <w:p w14:paraId="4EA63A20">
                  <w:pPr>
                    <w:pStyle w:val="67"/>
                    <w:kinsoku w:val="0"/>
                    <w:overflowPunct w:val="0"/>
                    <w:autoSpaceDE w:val="0"/>
                    <w:autoSpaceDN w:val="0"/>
                    <w:adjustRightInd w:val="0"/>
                    <w:snapToGrid w:val="0"/>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t>本项目情况</w:t>
                  </w:r>
                </w:p>
              </w:tc>
              <w:tc>
                <w:tcPr>
                  <w:tcW w:w="467" w:type="pct"/>
                  <w:tcBorders>
                    <w:tl2br w:val="nil"/>
                    <w:tr2bl w:val="nil"/>
                  </w:tcBorders>
                  <w:noWrap w:val="0"/>
                  <w:vAlign w:val="center"/>
                </w:tcPr>
                <w:p w14:paraId="1F31C95D">
                  <w:pPr>
                    <w:pStyle w:val="67"/>
                    <w:kinsoku w:val="0"/>
                    <w:overflowPunct w:val="0"/>
                    <w:autoSpaceDE w:val="0"/>
                    <w:autoSpaceDN w:val="0"/>
                    <w:adjustRightInd w:val="0"/>
                    <w:snapToGrid w:val="0"/>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zh-CN"/>
                      <w14:textFill>
                        <w14:solidFill>
                          <w14:schemeClr w14:val="tx1"/>
                        </w14:solidFill>
                      </w14:textFill>
                    </w:rPr>
                    <w:t>符合性</w:t>
                  </w:r>
                </w:p>
              </w:tc>
            </w:tr>
            <w:tr w14:paraId="3F5E27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03" w:type="pct"/>
                  <w:vMerge w:val="restart"/>
                  <w:tcBorders>
                    <w:tl2br w:val="nil"/>
                    <w:tr2bl w:val="nil"/>
                  </w:tcBorders>
                  <w:noWrap w:val="0"/>
                  <w:vAlign w:val="center"/>
                </w:tcPr>
                <w:p w14:paraId="70F6244A">
                  <w:pPr>
                    <w:pStyle w:val="67"/>
                    <w:kinsoku w:val="0"/>
                    <w:overflowPunct w:val="0"/>
                    <w:autoSpaceDE w:val="0"/>
                    <w:autoSpaceDN w:val="0"/>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zh-CN"/>
                      <w14:textFill>
                        <w14:solidFill>
                          <w14:schemeClr w14:val="tx1"/>
                        </w14:solidFill>
                      </w14:textFill>
                    </w:rPr>
                    <w:t>陕西省宝鸡市</w:t>
                  </w:r>
                  <w:r>
                    <w:rPr>
                      <w:rFonts w:hint="eastAsia" w:cs="Times New Roman"/>
                      <w:color w:val="000000" w:themeColor="text1"/>
                      <w:kern w:val="0"/>
                      <w:sz w:val="21"/>
                      <w:szCs w:val="21"/>
                      <w:highlight w:val="none"/>
                      <w:lang w:val="en-US" w:eastAsia="zh-CN" w:bidi="zh-CN"/>
                      <w14:textFill>
                        <w14:solidFill>
                          <w14:schemeClr w14:val="tx1"/>
                        </w14:solidFill>
                      </w14:textFill>
                    </w:rPr>
                    <w:t>陈仓</w:t>
                  </w:r>
                  <w:r>
                    <w:rPr>
                      <w:rFonts w:hint="default" w:ascii="Times New Roman" w:hAnsi="Times New Roman" w:cs="Times New Roman"/>
                      <w:color w:val="000000" w:themeColor="text1"/>
                      <w:kern w:val="0"/>
                      <w:sz w:val="21"/>
                      <w:szCs w:val="21"/>
                      <w:highlight w:val="none"/>
                      <w:lang w:val="en-US" w:eastAsia="zh-CN" w:bidi="zh-CN"/>
                      <w14:textFill>
                        <w14:solidFill>
                          <w14:schemeClr w14:val="tx1"/>
                        </w14:solidFill>
                      </w14:textFill>
                    </w:rPr>
                    <w:t>区重点管控单元</w:t>
                  </w:r>
                  <w:r>
                    <w:rPr>
                      <w:rFonts w:hint="eastAsia" w:cs="Times New Roman"/>
                      <w:color w:val="000000" w:themeColor="text1"/>
                      <w:kern w:val="0"/>
                      <w:sz w:val="21"/>
                      <w:szCs w:val="21"/>
                      <w:highlight w:val="none"/>
                      <w:lang w:val="en-US" w:eastAsia="zh-CN" w:bidi="zh-CN"/>
                      <w14:textFill>
                        <w14:solidFill>
                          <w14:schemeClr w14:val="tx1"/>
                        </w14:solidFill>
                      </w14:textFill>
                    </w:rPr>
                    <w:t>9</w:t>
                  </w:r>
                </w:p>
              </w:tc>
              <w:tc>
                <w:tcPr>
                  <w:tcW w:w="314" w:type="pct"/>
                  <w:vMerge w:val="restart"/>
                  <w:tcBorders>
                    <w:tl2br w:val="nil"/>
                    <w:tr2bl w:val="nil"/>
                  </w:tcBorders>
                  <w:noWrap w:val="0"/>
                  <w:vAlign w:val="center"/>
                </w:tcPr>
                <w:p w14:paraId="3407D07A">
                  <w:pPr>
                    <w:pStyle w:val="67"/>
                    <w:kinsoku w:val="0"/>
                    <w:overflowPunct w:val="0"/>
                    <w:autoSpaceDE w:val="0"/>
                    <w:autoSpaceDN w:val="0"/>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zh-CN"/>
                      <w14:textFill>
                        <w14:solidFill>
                          <w14:schemeClr w14:val="tx1"/>
                        </w14:solidFill>
                      </w14:textFill>
                    </w:rPr>
                    <w:t>宝鸡市</w:t>
                  </w:r>
                </w:p>
              </w:tc>
              <w:tc>
                <w:tcPr>
                  <w:tcW w:w="340" w:type="pct"/>
                  <w:vMerge w:val="restart"/>
                  <w:tcBorders>
                    <w:tl2br w:val="nil"/>
                    <w:tr2bl w:val="nil"/>
                  </w:tcBorders>
                  <w:noWrap w:val="0"/>
                  <w:vAlign w:val="center"/>
                </w:tcPr>
                <w:p w14:paraId="257E4C78">
                  <w:pPr>
                    <w:pStyle w:val="67"/>
                    <w:kinsoku w:val="0"/>
                    <w:overflowPunct w:val="0"/>
                    <w:autoSpaceDE w:val="0"/>
                    <w:autoSpaceDN w:val="0"/>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eastAsia" w:cs="Times New Roman"/>
                      <w:color w:val="000000" w:themeColor="text1"/>
                      <w:kern w:val="0"/>
                      <w:sz w:val="21"/>
                      <w:szCs w:val="21"/>
                      <w:highlight w:val="none"/>
                      <w:lang w:val="en-US" w:eastAsia="zh-CN" w:bidi="zh-CN"/>
                      <w14:textFill>
                        <w14:solidFill>
                          <w14:schemeClr w14:val="tx1"/>
                        </w14:solidFill>
                      </w14:textFill>
                    </w:rPr>
                    <w:t>陈仓</w:t>
                  </w:r>
                  <w:r>
                    <w:rPr>
                      <w:rFonts w:hint="default" w:ascii="Times New Roman" w:hAnsi="Times New Roman" w:cs="Times New Roman"/>
                      <w:color w:val="000000" w:themeColor="text1"/>
                      <w:kern w:val="0"/>
                      <w:sz w:val="21"/>
                      <w:szCs w:val="21"/>
                      <w:highlight w:val="none"/>
                      <w:lang w:val="en-US" w:eastAsia="zh-CN" w:bidi="zh-CN"/>
                      <w14:textFill>
                        <w14:solidFill>
                          <w14:schemeClr w14:val="tx1"/>
                        </w14:solidFill>
                      </w14:textFill>
                    </w:rPr>
                    <w:t>区</w:t>
                  </w:r>
                </w:p>
              </w:tc>
              <w:tc>
                <w:tcPr>
                  <w:tcW w:w="516" w:type="pct"/>
                  <w:vMerge w:val="restart"/>
                  <w:tcBorders>
                    <w:tl2br w:val="nil"/>
                    <w:tr2bl w:val="nil"/>
                  </w:tcBorders>
                  <w:noWrap w:val="0"/>
                  <w:vAlign w:val="center"/>
                </w:tcPr>
                <w:p w14:paraId="7FB496B8">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大气</w:t>
                  </w:r>
                </w:p>
                <w:p w14:paraId="68E8B4AC">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环境</w:t>
                  </w:r>
                </w:p>
                <w:p w14:paraId="73352F10">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受体</w:t>
                  </w:r>
                </w:p>
                <w:p w14:paraId="52640523">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敏感</w:t>
                  </w:r>
                </w:p>
                <w:p w14:paraId="179F6BA4">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重点</w:t>
                  </w:r>
                </w:p>
                <w:p w14:paraId="4B7665D7">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管控</w:t>
                  </w:r>
                </w:p>
                <w:p w14:paraId="3DDC5061">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区、水环境城镇生活污染重点管控区、生态用水补给区管控分区、</w:t>
                  </w:r>
                </w:p>
                <w:p w14:paraId="5CB67FFF">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高污</w:t>
                  </w:r>
                </w:p>
                <w:p w14:paraId="37B21EC2">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染燃</w:t>
                  </w:r>
                </w:p>
                <w:p w14:paraId="05B745B3">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料禁</w:t>
                  </w:r>
                </w:p>
                <w:p w14:paraId="390356F0">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燃区</w:t>
                  </w:r>
                </w:p>
                <w:p w14:paraId="0BF741DC">
                  <w:pPr>
                    <w:keepNext w:val="0"/>
                    <w:keepLines w:val="0"/>
                    <w:pageBreakBefore w:val="0"/>
                    <w:widowControl/>
                    <w:suppressLineNumbers w:val="0"/>
                    <w:kinsoku/>
                    <w:wordWrap/>
                    <w:overflowPunct/>
                    <w:topLinePunct/>
                    <w:autoSpaceDE/>
                    <w:autoSpaceDN/>
                    <w:bidi w:val="0"/>
                    <w:adjustRightInd w:val="0"/>
                    <w:snapToGrid w:val="0"/>
                    <w:jc w:val="center"/>
                    <w:textAlignment w:val="auto"/>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p>
              </w:tc>
              <w:tc>
                <w:tcPr>
                  <w:tcW w:w="444" w:type="pct"/>
                  <w:tcBorders>
                    <w:tl2br w:val="nil"/>
                    <w:tr2bl w:val="nil"/>
                  </w:tcBorders>
                  <w:noWrap w:val="0"/>
                  <w:vAlign w:val="center"/>
                </w:tcPr>
                <w:p w14:paraId="6FA124FE">
                  <w:pPr>
                    <w:pStyle w:val="67"/>
                    <w:keepNext w:val="0"/>
                    <w:keepLines w:val="0"/>
                    <w:pageBreakBefore w:val="0"/>
                    <w:kinsoku/>
                    <w:wordWrap/>
                    <w:overflowPunct/>
                    <w:topLinePunct/>
                    <w:autoSpaceDE/>
                    <w:autoSpaceDN/>
                    <w:bidi w:val="0"/>
                    <w:adjustRightInd w:val="0"/>
                    <w:snapToGrid w:val="0"/>
                    <w:textAlignment w:val="auto"/>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t>空间</w:t>
                  </w:r>
                </w:p>
                <w:p w14:paraId="4D906D13">
                  <w:pPr>
                    <w:pStyle w:val="67"/>
                    <w:keepNext w:val="0"/>
                    <w:keepLines w:val="0"/>
                    <w:pageBreakBefore w:val="0"/>
                    <w:kinsoku/>
                    <w:wordWrap/>
                    <w:overflowPunct/>
                    <w:topLinePunct/>
                    <w:autoSpaceDE/>
                    <w:autoSpaceDN/>
                    <w:bidi w:val="0"/>
                    <w:adjustRightInd w:val="0"/>
                    <w:snapToGrid w:val="0"/>
                    <w:textAlignment w:val="auto"/>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t>布局</w:t>
                  </w:r>
                </w:p>
                <w:p w14:paraId="75FA4D88">
                  <w:pPr>
                    <w:pStyle w:val="67"/>
                    <w:keepNext w:val="0"/>
                    <w:keepLines w:val="0"/>
                    <w:pageBreakBefore w:val="0"/>
                    <w:kinsoku/>
                    <w:wordWrap/>
                    <w:overflowPunct/>
                    <w:topLinePunct/>
                    <w:autoSpaceDE/>
                    <w:autoSpaceDN/>
                    <w:bidi w:val="0"/>
                    <w:adjustRightInd w:val="0"/>
                    <w:snapToGrid w:val="0"/>
                    <w:textAlignment w:val="auto"/>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t>约束</w:t>
                  </w:r>
                </w:p>
              </w:tc>
              <w:tc>
                <w:tcPr>
                  <w:tcW w:w="1480" w:type="pct"/>
                  <w:tcBorders>
                    <w:tl2br w:val="nil"/>
                    <w:tr2bl w:val="nil"/>
                  </w:tcBorders>
                  <w:noWrap w:val="0"/>
                  <w:vAlign w:val="center"/>
                </w:tcPr>
                <w:p w14:paraId="534C25F7">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大气环境受体敏感重点管控区：</w:t>
                  </w:r>
                </w:p>
                <w:p w14:paraId="04572F7D">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1.严格控制新增《陕西省</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两高</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项目管</w:t>
                  </w:r>
                </w:p>
                <w:p w14:paraId="55D287B8">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理暂行目录》行业项目（民生等项目除外</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后续对</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两高</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范围国家如有新规定的</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从其规定）。</w:t>
                  </w:r>
                </w:p>
                <w:p w14:paraId="7F32803E">
                  <w:pPr>
                    <w:keepNext w:val="0"/>
                    <w:keepLines w:val="0"/>
                    <w:pageBreakBefore w:val="0"/>
                    <w:widowControl/>
                    <w:numPr>
                      <w:ilvl w:val="0"/>
                      <w:numId w:val="0"/>
                    </w:numPr>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严禁新增钢铁、焦化、水泥熟料、平板玻璃、电解铝、氧化铝、煤化工产能。</w:t>
                  </w:r>
                </w:p>
                <w:p w14:paraId="7B79E770">
                  <w:pPr>
                    <w:keepNext w:val="0"/>
                    <w:keepLines w:val="0"/>
                    <w:pageBreakBefore w:val="0"/>
                    <w:widowControl/>
                    <w:numPr>
                      <w:ilvl w:val="0"/>
                      <w:numId w:val="0"/>
                    </w:numPr>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3.推动重污染企业搬迁入园或依法关闭</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实施工业企业退城搬迁改造。</w:t>
                  </w:r>
                </w:p>
                <w:p w14:paraId="2FA58EC8">
                  <w:pPr>
                    <w:keepNext w:val="0"/>
                    <w:keepLines w:val="0"/>
                    <w:pageBreakBefore w:val="0"/>
                    <w:widowControl/>
                    <w:numPr>
                      <w:ilvl w:val="0"/>
                      <w:numId w:val="0"/>
                    </w:numPr>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4.新建商住楼必须设置专用烟道</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配套安装高效油烟净化设施。城市建成区全面禁止露天烧烤。严查不正常使用油烟净化设施、超标排放油烟问题。</w:t>
                  </w:r>
                </w:p>
                <w:p w14:paraId="2968DCDC">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水环境工业污染重点管控区：</w:t>
                  </w:r>
                </w:p>
                <w:p w14:paraId="6205FEB3">
                  <w:pPr>
                    <w:keepNext w:val="0"/>
                    <w:keepLines w:val="0"/>
                    <w:pageBreakBefore w:val="0"/>
                    <w:widowControl/>
                    <w:numPr>
                      <w:ilvl w:val="0"/>
                      <w:numId w:val="0"/>
                    </w:numPr>
                    <w:suppressLineNumbers w:val="0"/>
                    <w:kinsoku/>
                    <w:wordWrap/>
                    <w:overflowPunct/>
                    <w:topLinePunct/>
                    <w:autoSpaceDE/>
                    <w:autoSpaceDN/>
                    <w:bidi w:val="0"/>
                    <w:adjustRightInd w:val="0"/>
                    <w:snapToGrid w:val="0"/>
                    <w:jc w:val="left"/>
                    <w:textAlignment w:val="auto"/>
                    <w:rPr>
                      <w:rFonts w:hint="default" w:ascii="Times New Roman" w:hAnsi="Times New Roman" w:cs="Times New Roman"/>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持续推进城中村、老旧城区、</w:t>
                  </w:r>
                  <w:r>
                    <w:rPr>
                      <w:rFonts w:hint="eastAsia" w:cs="Times New Roman"/>
                      <w:color w:val="000000" w:themeColor="text1"/>
                      <w:kern w:val="0"/>
                      <w:sz w:val="21"/>
                      <w:szCs w:val="21"/>
                      <w:lang w:val="en-US" w:eastAsia="zh-CN" w:bidi="ar"/>
                      <w14:textFill>
                        <w14:solidFill>
                          <w14:schemeClr w14:val="tx1"/>
                        </w14:solidFill>
                      </w14:textFill>
                    </w:rPr>
                    <w:t>城乡接合部</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污水截流、收集和城市雨污管道新建、改建。到</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2025</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年底</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基本实现城市和县城建成区内生活污水全收集。</w:t>
                  </w:r>
                </w:p>
              </w:tc>
              <w:tc>
                <w:tcPr>
                  <w:tcW w:w="1032" w:type="pct"/>
                  <w:tcBorders>
                    <w:tl2br w:val="nil"/>
                    <w:tr2bl w:val="nil"/>
                  </w:tcBorders>
                  <w:noWrap w:val="0"/>
                  <w:vAlign w:val="center"/>
                </w:tcPr>
                <w:p w14:paraId="6C3685EF">
                  <w:pPr>
                    <w:keepNext w:val="0"/>
                    <w:keepLines w:val="0"/>
                    <w:pageBreakBefore w:val="0"/>
                    <w:widowControl/>
                    <w:numPr>
                      <w:ilvl w:val="0"/>
                      <w:numId w:val="0"/>
                    </w:numPr>
                    <w:suppressLineNumbers w:val="0"/>
                    <w:kinsoku/>
                    <w:wordWrap/>
                    <w:overflowPunct/>
                    <w:topLinePunct/>
                    <w:autoSpaceDE/>
                    <w:autoSpaceDN/>
                    <w:bidi w:val="0"/>
                    <w:adjustRightInd w:val="0"/>
                    <w:snapToGrid w:val="0"/>
                    <w:jc w:val="left"/>
                    <w:textAlignment w:val="auto"/>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bidi="zh-CN"/>
                      <w14:textFill>
                        <w14:solidFill>
                          <w14:schemeClr w14:val="tx1"/>
                        </w14:solidFill>
                      </w14:textFill>
                    </w:rPr>
                    <w:t>1.对照</w:t>
                  </w:r>
                  <w:r>
                    <w:rPr>
                      <w:rFonts w:hint="eastAsia" w:cs="Times New Roman"/>
                      <w:color w:val="000000" w:themeColor="text1"/>
                      <w:kern w:val="0"/>
                      <w:sz w:val="21"/>
                      <w:szCs w:val="21"/>
                      <w:highlight w:val="none"/>
                      <w:lang w:val="en-US" w:eastAsia="zh-CN" w:bidi="zh-CN"/>
                      <w14:textFill>
                        <w14:solidFill>
                          <w14:schemeClr w14:val="tx1"/>
                        </w14:solidFill>
                      </w14:textFill>
                    </w:rPr>
                    <w:t>《陕西省</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“两高”项目管理暂行目录（2025年）》</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本项目不属于其中的“两高”行业；</w:t>
                  </w:r>
                </w:p>
                <w:p w14:paraId="1B848F33">
                  <w:pPr>
                    <w:keepNext w:val="0"/>
                    <w:keepLines w:val="0"/>
                    <w:pageBreakBefore w:val="0"/>
                    <w:widowControl/>
                    <w:numPr>
                      <w:ilvl w:val="0"/>
                      <w:numId w:val="0"/>
                    </w:numPr>
                    <w:suppressLineNumbers w:val="0"/>
                    <w:kinsoku/>
                    <w:wordWrap/>
                    <w:overflowPunct/>
                    <w:topLinePunct/>
                    <w:autoSpaceDE/>
                    <w:autoSpaceDN/>
                    <w:bidi w:val="0"/>
                    <w:adjustRightInd w:val="0"/>
                    <w:snapToGrid w:val="0"/>
                    <w:jc w:val="left"/>
                    <w:textAlignment w:val="auto"/>
                    <w:rPr>
                      <w:rFonts w:hint="eastAsia"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2.本项目属于</w:t>
                  </w:r>
                  <w:r>
                    <w:rPr>
                      <w:rFonts w:hint="eastAsia"/>
                      <w:color w:val="000000" w:themeColor="text1"/>
                      <w:sz w:val="21"/>
                      <w:szCs w:val="21"/>
                      <w:lang w:val="en-US" w:eastAsia="zh-CN"/>
                      <w14:textFill>
                        <w14:solidFill>
                          <w14:schemeClr w14:val="tx1"/>
                        </w14:solidFill>
                      </w14:textFill>
                    </w:rPr>
                    <w:t>铸造及其他金属制品制造</w:t>
                  </w:r>
                  <w:r>
                    <w:rPr>
                      <w:rFonts w:hint="eastAsia" w:cs="Times New Roman"/>
                      <w:color w:val="000000" w:themeColor="text1"/>
                      <w:kern w:val="0"/>
                      <w:sz w:val="21"/>
                      <w:szCs w:val="21"/>
                      <w:lang w:val="en-US" w:eastAsia="zh-CN" w:bidi="ar"/>
                      <w14:textFill>
                        <w14:solidFill>
                          <w14:schemeClr w14:val="tx1"/>
                        </w14:solidFill>
                      </w14:textFill>
                    </w:rPr>
                    <w:t>，不属于</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钢铁、焦化、水泥熟料、平板玻璃、电解铝、氧化铝、煤化工</w:t>
                  </w:r>
                  <w:r>
                    <w:rPr>
                      <w:rFonts w:hint="eastAsia" w:cs="Times New Roman"/>
                      <w:color w:val="000000" w:themeColor="text1"/>
                      <w:kern w:val="0"/>
                      <w:sz w:val="21"/>
                      <w:szCs w:val="21"/>
                      <w:lang w:val="en-US" w:eastAsia="zh-CN" w:bidi="ar"/>
                      <w14:textFill>
                        <w14:solidFill>
                          <w14:schemeClr w14:val="tx1"/>
                        </w14:solidFill>
                      </w14:textFill>
                    </w:rPr>
                    <w:t>等禁止行业；</w:t>
                  </w:r>
                </w:p>
                <w:p w14:paraId="382B6C46">
                  <w:pPr>
                    <w:keepNext w:val="0"/>
                    <w:keepLines w:val="0"/>
                    <w:pageBreakBefore w:val="0"/>
                    <w:widowControl/>
                    <w:numPr>
                      <w:ilvl w:val="0"/>
                      <w:numId w:val="0"/>
                    </w:numPr>
                    <w:suppressLineNumbers w:val="0"/>
                    <w:kinsoku/>
                    <w:wordWrap/>
                    <w:overflowPunct/>
                    <w:topLinePunct/>
                    <w:autoSpaceDE/>
                    <w:autoSpaceDN/>
                    <w:bidi w:val="0"/>
                    <w:adjustRightInd w:val="0"/>
                    <w:snapToGrid w:val="0"/>
                    <w:jc w:val="left"/>
                    <w:textAlignment w:val="auto"/>
                    <w:rPr>
                      <w:rFonts w:hint="eastAsia"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3.本项目位于千河镇宝鸡得力隆纺织有限公司厂区内，属于工业聚集区；</w:t>
                  </w:r>
                </w:p>
                <w:p w14:paraId="49B9EC4B">
                  <w:pPr>
                    <w:keepNext w:val="0"/>
                    <w:keepLines w:val="0"/>
                    <w:pageBreakBefore w:val="0"/>
                    <w:widowControl/>
                    <w:numPr>
                      <w:ilvl w:val="0"/>
                      <w:numId w:val="0"/>
                    </w:numPr>
                    <w:suppressLineNumbers w:val="0"/>
                    <w:kinsoku/>
                    <w:wordWrap/>
                    <w:overflowPunct/>
                    <w:topLinePunct/>
                    <w:autoSpaceDE/>
                    <w:autoSpaceDN/>
                    <w:bidi w:val="0"/>
                    <w:adjustRightInd w:val="0"/>
                    <w:snapToGrid w:val="0"/>
                    <w:jc w:val="left"/>
                    <w:textAlignment w:val="auto"/>
                    <w:rPr>
                      <w:rFonts w:hint="default"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4.本项目运营期不提供员工食宿，无食堂油烟产生；</w:t>
                  </w:r>
                </w:p>
                <w:p w14:paraId="5A3F5FB7">
                  <w:pPr>
                    <w:keepNext w:val="0"/>
                    <w:keepLines w:val="0"/>
                    <w:pageBreakBefore w:val="0"/>
                    <w:widowControl/>
                    <w:numPr>
                      <w:ilvl w:val="0"/>
                      <w:numId w:val="0"/>
                    </w:numPr>
                    <w:suppressLineNumbers w:val="0"/>
                    <w:kinsoku/>
                    <w:wordWrap/>
                    <w:overflowPunct/>
                    <w:topLinePunct/>
                    <w:autoSpaceDE/>
                    <w:autoSpaceDN/>
                    <w:bidi w:val="0"/>
                    <w:adjustRightInd w:val="0"/>
                    <w:snapToGrid w:val="0"/>
                    <w:jc w:val="left"/>
                    <w:textAlignment w:val="auto"/>
                    <w:rPr>
                      <w:rFonts w:hint="default"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5.本项目生活污水依托厂区现有化粪池处理后通过市政污水管网排入</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宝鸡市陈仓金信安水务有限公司（宝鸡市陈仓区虢镇污水处理厂）</w:t>
                  </w:r>
                  <w:r>
                    <w:rPr>
                      <w:rFonts w:hint="eastAsia" w:cs="Times New Roman"/>
                      <w:color w:val="000000" w:themeColor="text1"/>
                      <w:kern w:val="0"/>
                      <w:sz w:val="21"/>
                      <w:szCs w:val="21"/>
                      <w:lang w:val="en-US" w:eastAsia="zh-CN" w:bidi="ar"/>
                      <w14:textFill>
                        <w14:solidFill>
                          <w14:schemeClr w14:val="tx1"/>
                        </w14:solidFill>
                      </w14:textFill>
                    </w:rPr>
                    <w:t>处理</w:t>
                  </w:r>
                </w:p>
              </w:tc>
              <w:tc>
                <w:tcPr>
                  <w:tcW w:w="467" w:type="pct"/>
                  <w:tcBorders>
                    <w:tl2br w:val="nil"/>
                    <w:tr2bl w:val="nil"/>
                  </w:tcBorders>
                  <w:noWrap w:val="0"/>
                  <w:vAlign w:val="center"/>
                </w:tcPr>
                <w:p w14:paraId="58E162C5">
                  <w:pPr>
                    <w:pStyle w:val="67"/>
                    <w:kinsoku w:val="0"/>
                    <w:overflowPunct w:val="0"/>
                    <w:autoSpaceDE w:val="0"/>
                    <w:autoSpaceDN w:val="0"/>
                    <w:adjustRightInd w:val="0"/>
                    <w:snapToGrid w:val="0"/>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t>符合</w:t>
                  </w:r>
                </w:p>
              </w:tc>
            </w:tr>
            <w:tr w14:paraId="2C74F2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03" w:type="pct"/>
                  <w:vMerge w:val="continue"/>
                  <w:tcBorders>
                    <w:tl2br w:val="nil"/>
                    <w:tr2bl w:val="nil"/>
                  </w:tcBorders>
                  <w:noWrap w:val="0"/>
                  <w:vAlign w:val="center"/>
                </w:tcPr>
                <w:p w14:paraId="79036AFB">
                  <w:pPr>
                    <w:pStyle w:val="67"/>
                    <w:kinsoku w:val="0"/>
                    <w:overflowPunct w:val="0"/>
                    <w:autoSpaceDE w:val="0"/>
                    <w:autoSpaceDN w:val="0"/>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p>
              </w:tc>
              <w:tc>
                <w:tcPr>
                  <w:tcW w:w="314" w:type="pct"/>
                  <w:vMerge w:val="continue"/>
                  <w:tcBorders>
                    <w:tl2br w:val="nil"/>
                    <w:tr2bl w:val="nil"/>
                  </w:tcBorders>
                  <w:noWrap w:val="0"/>
                  <w:vAlign w:val="center"/>
                </w:tcPr>
                <w:p w14:paraId="2B9C7281">
                  <w:pPr>
                    <w:pStyle w:val="67"/>
                    <w:kinsoku w:val="0"/>
                    <w:overflowPunct w:val="0"/>
                    <w:autoSpaceDE w:val="0"/>
                    <w:autoSpaceDN w:val="0"/>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p>
              </w:tc>
              <w:tc>
                <w:tcPr>
                  <w:tcW w:w="340" w:type="pct"/>
                  <w:vMerge w:val="continue"/>
                  <w:tcBorders>
                    <w:tl2br w:val="nil"/>
                    <w:tr2bl w:val="nil"/>
                  </w:tcBorders>
                  <w:noWrap w:val="0"/>
                  <w:vAlign w:val="center"/>
                </w:tcPr>
                <w:p w14:paraId="798B5971">
                  <w:pPr>
                    <w:pStyle w:val="67"/>
                    <w:kinsoku w:val="0"/>
                    <w:overflowPunct w:val="0"/>
                    <w:autoSpaceDE w:val="0"/>
                    <w:autoSpaceDN w:val="0"/>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p>
              </w:tc>
              <w:tc>
                <w:tcPr>
                  <w:tcW w:w="516" w:type="pct"/>
                  <w:vMerge w:val="continue"/>
                  <w:tcBorders>
                    <w:tl2br w:val="nil"/>
                    <w:tr2bl w:val="nil"/>
                  </w:tcBorders>
                  <w:noWrap w:val="0"/>
                  <w:vAlign w:val="center"/>
                </w:tcPr>
                <w:p w14:paraId="6FBA1CC5">
                  <w:pPr>
                    <w:pStyle w:val="67"/>
                    <w:keepNext w:val="0"/>
                    <w:keepLines w:val="0"/>
                    <w:pageBreakBefore w:val="0"/>
                    <w:kinsoku/>
                    <w:wordWrap/>
                    <w:overflowPunct/>
                    <w:topLinePunct/>
                    <w:autoSpaceDE/>
                    <w:autoSpaceDN/>
                    <w:bidi w:val="0"/>
                    <w:adjustRightInd w:val="0"/>
                    <w:snapToGrid w:val="0"/>
                    <w:jc w:val="center"/>
                    <w:textAlignment w:val="auto"/>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p>
              </w:tc>
              <w:tc>
                <w:tcPr>
                  <w:tcW w:w="444" w:type="pct"/>
                  <w:tcBorders>
                    <w:tl2br w:val="nil"/>
                    <w:tr2bl w:val="nil"/>
                  </w:tcBorders>
                  <w:noWrap w:val="0"/>
                  <w:vAlign w:val="center"/>
                </w:tcPr>
                <w:p w14:paraId="78BB809D">
                  <w:pPr>
                    <w:pStyle w:val="67"/>
                    <w:keepNext w:val="0"/>
                    <w:keepLines w:val="0"/>
                    <w:pageBreakBefore w:val="0"/>
                    <w:kinsoku/>
                    <w:wordWrap/>
                    <w:overflowPunct/>
                    <w:topLinePunct/>
                    <w:autoSpaceDE/>
                    <w:autoSpaceDN/>
                    <w:bidi w:val="0"/>
                    <w:adjustRightInd w:val="0"/>
                    <w:snapToGrid w:val="0"/>
                    <w:textAlignment w:val="auto"/>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t>污染物排放管控</w:t>
                  </w:r>
                </w:p>
              </w:tc>
              <w:tc>
                <w:tcPr>
                  <w:tcW w:w="1480" w:type="pct"/>
                  <w:tcBorders>
                    <w:tl2br w:val="nil"/>
                    <w:tr2bl w:val="nil"/>
                  </w:tcBorders>
                  <w:noWrap w:val="0"/>
                  <w:vAlign w:val="center"/>
                </w:tcPr>
                <w:p w14:paraId="5E814CB5">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大气环境受体敏感重点管控区：</w:t>
                  </w:r>
                </w:p>
                <w:p w14:paraId="1D10E9BF">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1.城市建成区产生油烟的餐饮服务单位全部安装油烟净化装置并保持正常运行和定期维护。</w:t>
                  </w:r>
                </w:p>
                <w:p w14:paraId="3092A3D1">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2.持续因地制宜实施</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煤改气</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油改气</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、电能、地热、生物质等清洁能源取暖措施。巩固城市建成区、县（区）平原区域散煤动态清理成效。</w:t>
                  </w:r>
                </w:p>
                <w:p w14:paraId="6972EEC9">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3.鼓励将老旧车辆和非道路移动机械替换为清洁能源车辆。推进新能源或清洁能源汽车使用。</w:t>
                  </w:r>
                </w:p>
                <w:p w14:paraId="28A0B372">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4.不再新建燃煤集中供热站。构建跨区域热电联产电厂、工业余热集中供热体系。2025年10月底前</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建成大唐宝鸡二电厂向市区供热管网项目</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热电联产集中供热全面替代市区燃煤供热。淘汰管网覆盖范围内的供热燃煤锅炉</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原有燃煤、燃气供热锅炉用于调峰备用。</w:t>
                  </w:r>
                </w:p>
                <w:p w14:paraId="7F033CFC">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5.市辖区及开发区新、改、扩建涉气重点行业企业应达到环保绩效A级、绩效引领性水平。</w:t>
                  </w:r>
                </w:p>
                <w:p w14:paraId="594CA18A">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水环境工业污染重点管控区：</w:t>
                  </w:r>
                </w:p>
                <w:p w14:paraId="19ACC2CE">
                  <w:pPr>
                    <w:keepNext w:val="0"/>
                    <w:keepLines w:val="0"/>
                    <w:pageBreakBefore w:val="0"/>
                    <w:widowControl/>
                    <w:numPr>
                      <w:ilvl w:val="0"/>
                      <w:numId w:val="2"/>
                    </w:numPr>
                    <w:suppressLineNumbers w:val="0"/>
                    <w:kinsoku/>
                    <w:wordWrap/>
                    <w:overflowPunct/>
                    <w:topLinePunct/>
                    <w:autoSpaceDE/>
                    <w:autoSpaceDN/>
                    <w:bidi w:val="0"/>
                    <w:adjustRightInd w:val="0"/>
                    <w:snapToGrid w:val="0"/>
                    <w:ind w:leftChars="0"/>
                    <w:jc w:val="left"/>
                    <w:textAlignment w:val="auto"/>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加强城镇污水收集处理设施建设与提标改造。全省黄河流域城镇生活污水处理达到《陕西省黄河流域污水综合排放标准》（</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DB61/224-2018</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）排</w:t>
                  </w:r>
                  <w:r>
                    <w:rPr>
                      <w:rFonts w:hint="eastAsia" w:cs="Times New Roman"/>
                      <w:color w:val="000000" w:themeColor="text1"/>
                      <w:kern w:val="0"/>
                      <w:sz w:val="21"/>
                      <w:szCs w:val="21"/>
                      <w:lang w:val="en-US" w:eastAsia="zh-CN" w:bidi="ar"/>
                      <w14:textFill>
                        <w14:solidFill>
                          <w14:schemeClr w14:val="tx1"/>
                        </w14:solidFill>
                      </w14:textFill>
                    </w:rPr>
                    <w:t>放限值要求，</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加强城镇生活污水处理</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提高对生活污水的处理能力。</w:t>
                  </w:r>
                </w:p>
                <w:p w14:paraId="48A22FF5">
                  <w:pPr>
                    <w:keepNext w:val="0"/>
                    <w:keepLines w:val="0"/>
                    <w:pageBreakBefore w:val="0"/>
                    <w:widowControl/>
                    <w:numPr>
                      <w:ilvl w:val="0"/>
                      <w:numId w:val="0"/>
                    </w:numPr>
                    <w:suppressLineNumbers w:val="0"/>
                    <w:kinsoku/>
                    <w:wordWrap/>
                    <w:overflowPunct/>
                    <w:topLinePunct/>
                    <w:autoSpaceDE/>
                    <w:autoSpaceDN/>
                    <w:bidi w:val="0"/>
                    <w:adjustRightInd w:val="0"/>
                    <w:snapToGrid w:val="0"/>
                    <w:jc w:val="left"/>
                    <w:textAlignment w:val="auto"/>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城镇新区管网建设及老旧城区管网升级改造中实行雨污分流</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鼓励推进初期雨水收集、处理和资源化利用</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建设人工湿地水质净化工程</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对处理达标后的尾水进一步净化。</w:t>
                  </w:r>
                </w:p>
                <w:p w14:paraId="65AE9F01">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3.</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污水处理厂出水用于绿化、农灌等用途的</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合理确定管控要求</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确保达到相应污水再生利用标准。</w:t>
                  </w:r>
                </w:p>
              </w:tc>
              <w:tc>
                <w:tcPr>
                  <w:tcW w:w="1032" w:type="pct"/>
                  <w:tcBorders>
                    <w:tl2br w:val="nil"/>
                    <w:tr2bl w:val="nil"/>
                  </w:tcBorders>
                  <w:noWrap w:val="0"/>
                  <w:vAlign w:val="center"/>
                </w:tcPr>
                <w:p w14:paraId="752E15D3">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bidi="zh-CN"/>
                      <w14:textFill>
                        <w14:solidFill>
                          <w14:schemeClr w14:val="tx1"/>
                        </w14:solidFill>
                      </w14:textFill>
                    </w:rPr>
                    <w:t>1.</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本项目运营期不提供员工食宿</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无食堂油烟产生；</w:t>
                  </w:r>
                </w:p>
                <w:p w14:paraId="7A8B4445">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2.本项目生产设备均使用的是电能</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不涉及煤等高污染燃料的使用；</w:t>
                  </w:r>
                </w:p>
                <w:p w14:paraId="0AE0105A">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3.本项目不涉及</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老旧车辆和非道路移动机械</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的使用；</w:t>
                  </w:r>
                </w:p>
                <w:p w14:paraId="2B4CAA17">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4.本项目生产设备均使用的是电能</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不涉及煤的使用；</w:t>
                  </w:r>
                </w:p>
                <w:p w14:paraId="2FAFD4FE">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5.本项目属于铸造及其他金属制品制造项目</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不属于</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涉气重点</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企业；</w:t>
                  </w:r>
                </w:p>
                <w:p w14:paraId="68DB69EE">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6.本项目运营期</w:t>
                  </w:r>
                  <w:r>
                    <w:rPr>
                      <w:rFonts w:hint="eastAsia" w:cs="Times New Roman"/>
                      <w:color w:val="000000" w:themeColor="text1"/>
                      <w:kern w:val="0"/>
                      <w:sz w:val="21"/>
                      <w:szCs w:val="21"/>
                      <w:lang w:val="en-US" w:eastAsia="zh-CN" w:bidi="ar"/>
                      <w14:textFill>
                        <w14:solidFill>
                          <w14:schemeClr w14:val="tx1"/>
                        </w14:solidFill>
                      </w14:textFill>
                    </w:rPr>
                    <w:t>实行</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雨污分流</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生活污水依托厂区现有化粪池处理后经市政污水管网进入</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宝鸡市陈仓金信安水务有限公司（宝鸡市陈仓区虢镇污水处理厂）</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处理；</w:t>
                  </w:r>
                </w:p>
              </w:tc>
              <w:tc>
                <w:tcPr>
                  <w:tcW w:w="467" w:type="pct"/>
                  <w:tcBorders>
                    <w:tl2br w:val="nil"/>
                    <w:tr2bl w:val="nil"/>
                  </w:tcBorders>
                  <w:noWrap w:val="0"/>
                  <w:vAlign w:val="center"/>
                </w:tcPr>
                <w:p w14:paraId="3685A494">
                  <w:pPr>
                    <w:pStyle w:val="67"/>
                    <w:kinsoku w:val="0"/>
                    <w:overflowPunct w:val="0"/>
                    <w:autoSpaceDE w:val="0"/>
                    <w:autoSpaceDN w:val="0"/>
                    <w:adjustRightInd w:val="0"/>
                    <w:snapToGrid w:val="0"/>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zh-CN"/>
                      <w14:textFill>
                        <w14:solidFill>
                          <w14:schemeClr w14:val="tx1"/>
                        </w14:solidFill>
                      </w14:textFill>
                    </w:rPr>
                    <w:t>符合</w:t>
                  </w:r>
                </w:p>
              </w:tc>
            </w:tr>
            <w:tr w14:paraId="103CB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03" w:type="pct"/>
                  <w:vMerge w:val="continue"/>
                  <w:tcBorders>
                    <w:tl2br w:val="nil"/>
                    <w:tr2bl w:val="nil"/>
                  </w:tcBorders>
                  <w:noWrap w:val="0"/>
                  <w:vAlign w:val="center"/>
                </w:tcPr>
                <w:p w14:paraId="6034D65A">
                  <w:pPr>
                    <w:pStyle w:val="67"/>
                    <w:kinsoku w:val="0"/>
                    <w:overflowPunct w:val="0"/>
                    <w:autoSpaceDE w:val="0"/>
                    <w:autoSpaceDN w:val="0"/>
                    <w:adjustRightInd w:val="0"/>
                    <w:snapToGrid w:val="0"/>
                    <w:jc w:val="center"/>
                    <w:rPr>
                      <w:rFonts w:hint="default" w:ascii="Times New Roman" w:hAnsi="Times New Roman" w:cs="Times New Roman"/>
                      <w:color w:val="000000" w:themeColor="text1"/>
                      <w:kern w:val="0"/>
                      <w:sz w:val="21"/>
                      <w:szCs w:val="21"/>
                      <w:highlight w:val="none"/>
                      <w:lang w:val="en-US" w:eastAsia="zh-CN" w:bidi="zh-CN"/>
                      <w14:textFill>
                        <w14:solidFill>
                          <w14:schemeClr w14:val="tx1"/>
                        </w14:solidFill>
                      </w14:textFill>
                    </w:rPr>
                  </w:pPr>
                </w:p>
              </w:tc>
              <w:tc>
                <w:tcPr>
                  <w:tcW w:w="314" w:type="pct"/>
                  <w:vMerge w:val="continue"/>
                  <w:tcBorders>
                    <w:tl2br w:val="nil"/>
                    <w:tr2bl w:val="nil"/>
                  </w:tcBorders>
                  <w:noWrap w:val="0"/>
                  <w:vAlign w:val="center"/>
                </w:tcPr>
                <w:p w14:paraId="11E45461">
                  <w:pPr>
                    <w:pStyle w:val="67"/>
                    <w:kinsoku w:val="0"/>
                    <w:overflowPunct w:val="0"/>
                    <w:autoSpaceDE w:val="0"/>
                    <w:autoSpaceDN w:val="0"/>
                    <w:adjustRightInd w:val="0"/>
                    <w:snapToGrid w:val="0"/>
                    <w:jc w:val="center"/>
                    <w:rPr>
                      <w:rFonts w:hint="default" w:ascii="Times New Roman" w:hAnsi="Times New Roman" w:cs="Times New Roman"/>
                      <w:color w:val="000000" w:themeColor="text1"/>
                      <w:kern w:val="0"/>
                      <w:sz w:val="21"/>
                      <w:szCs w:val="21"/>
                      <w:highlight w:val="none"/>
                      <w:lang w:val="en-US" w:eastAsia="zh-CN" w:bidi="zh-CN"/>
                      <w14:textFill>
                        <w14:solidFill>
                          <w14:schemeClr w14:val="tx1"/>
                        </w14:solidFill>
                      </w14:textFill>
                    </w:rPr>
                  </w:pPr>
                </w:p>
              </w:tc>
              <w:tc>
                <w:tcPr>
                  <w:tcW w:w="340" w:type="pct"/>
                  <w:vMerge w:val="continue"/>
                  <w:tcBorders>
                    <w:tl2br w:val="nil"/>
                    <w:tr2bl w:val="nil"/>
                  </w:tcBorders>
                  <w:noWrap w:val="0"/>
                  <w:vAlign w:val="center"/>
                </w:tcPr>
                <w:p w14:paraId="0C29B302">
                  <w:pPr>
                    <w:pStyle w:val="67"/>
                    <w:kinsoku w:val="0"/>
                    <w:overflowPunct w:val="0"/>
                    <w:autoSpaceDE w:val="0"/>
                    <w:autoSpaceDN w:val="0"/>
                    <w:adjustRightInd w:val="0"/>
                    <w:snapToGrid w:val="0"/>
                    <w:jc w:val="center"/>
                    <w:rPr>
                      <w:rFonts w:hint="default" w:ascii="Times New Roman" w:hAnsi="Times New Roman" w:cs="Times New Roman"/>
                      <w:color w:val="000000" w:themeColor="text1"/>
                      <w:kern w:val="0"/>
                      <w:sz w:val="21"/>
                      <w:szCs w:val="21"/>
                      <w:highlight w:val="none"/>
                      <w:lang w:val="en-US" w:eastAsia="zh-CN" w:bidi="zh-CN"/>
                      <w14:textFill>
                        <w14:solidFill>
                          <w14:schemeClr w14:val="tx1"/>
                        </w14:solidFill>
                      </w14:textFill>
                    </w:rPr>
                  </w:pPr>
                </w:p>
              </w:tc>
              <w:tc>
                <w:tcPr>
                  <w:tcW w:w="516" w:type="pct"/>
                  <w:vMerge w:val="continue"/>
                  <w:tcBorders>
                    <w:tl2br w:val="nil"/>
                    <w:tr2bl w:val="nil"/>
                  </w:tcBorders>
                  <w:noWrap w:val="0"/>
                  <w:vAlign w:val="center"/>
                </w:tcPr>
                <w:p w14:paraId="1B6914EC">
                  <w:pPr>
                    <w:pStyle w:val="67"/>
                    <w:keepNext w:val="0"/>
                    <w:keepLines w:val="0"/>
                    <w:pageBreakBefore w:val="0"/>
                    <w:kinsoku/>
                    <w:wordWrap/>
                    <w:overflowPunct/>
                    <w:topLinePunct/>
                    <w:autoSpaceDE/>
                    <w:autoSpaceDN/>
                    <w:bidi w:val="0"/>
                    <w:adjustRightInd w:val="0"/>
                    <w:snapToGrid w:val="0"/>
                    <w:jc w:val="center"/>
                    <w:textAlignment w:val="auto"/>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p>
              </w:tc>
              <w:tc>
                <w:tcPr>
                  <w:tcW w:w="444" w:type="pct"/>
                  <w:tcBorders>
                    <w:tl2br w:val="nil"/>
                    <w:tr2bl w:val="nil"/>
                  </w:tcBorders>
                  <w:noWrap w:val="0"/>
                  <w:vAlign w:val="center"/>
                </w:tcPr>
                <w:p w14:paraId="368F682F">
                  <w:pPr>
                    <w:pStyle w:val="67"/>
                    <w:keepNext w:val="0"/>
                    <w:keepLines w:val="0"/>
                    <w:pageBreakBefore w:val="0"/>
                    <w:kinsoku/>
                    <w:wordWrap/>
                    <w:overflowPunct/>
                    <w:topLinePunct/>
                    <w:autoSpaceDE/>
                    <w:autoSpaceDN/>
                    <w:bidi w:val="0"/>
                    <w:adjustRightInd w:val="0"/>
                    <w:snapToGrid w:val="0"/>
                    <w:textAlignment w:val="auto"/>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bidi="zh-CN"/>
                      <w14:textFill>
                        <w14:solidFill>
                          <w14:schemeClr w14:val="tx1"/>
                        </w14:solidFill>
                      </w14:textFill>
                    </w:rPr>
                    <w:t>资源开发效率要求</w:t>
                  </w:r>
                </w:p>
              </w:tc>
              <w:tc>
                <w:tcPr>
                  <w:tcW w:w="1480" w:type="pct"/>
                  <w:tcBorders>
                    <w:tl2br w:val="nil"/>
                    <w:tr2bl w:val="nil"/>
                  </w:tcBorders>
                  <w:noWrap w:val="0"/>
                  <w:vAlign w:val="center"/>
                </w:tcPr>
                <w:p w14:paraId="6E5B3950">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eastAsia" w:ascii="Times New Roman" w:hAnsi="Times New Roman" w:eastAsia="宋体" w:cs="Times New Roman"/>
                      <w:b/>
                      <w:bCs/>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b/>
                      <w:bCs/>
                      <w:color w:val="000000" w:themeColor="text1"/>
                      <w:kern w:val="0"/>
                      <w:sz w:val="21"/>
                      <w:szCs w:val="21"/>
                      <w:lang w:val="en-US" w:eastAsia="zh-CN" w:bidi="ar"/>
                      <w14:textFill>
                        <w14:solidFill>
                          <w14:schemeClr w14:val="tx1"/>
                        </w14:solidFill>
                      </w14:textFill>
                    </w:rPr>
                    <w:t>生态用水补给区管控分区：</w:t>
                  </w:r>
                </w:p>
                <w:p w14:paraId="7A0A66DD">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1.加强生态流量日常监管</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提高枯水期和关键期生态流量</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探索生态流量联合监管机制</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维持河道生态系统稳定。</w:t>
                  </w:r>
                </w:p>
                <w:p w14:paraId="06999F6A">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水资源配置应首先考虑生态用水</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保护修复水生态环境。已成工程通过水源置换、退减被挤占的河道内生态环境用水</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规划工程应在保障河道生态环境用水的前提下</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进行合理开发。</w:t>
                  </w:r>
                </w:p>
                <w:p w14:paraId="258A7232">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3.</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在保护生态环境和水资源可持续利用的前提下</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确保河道内生态用水的要求并兼顾河道内生产用水需求</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合理确定河道外用水消耗量不超过河流水系的水资源可利用</w:t>
                  </w:r>
                </w:p>
                <w:p w14:paraId="17433DA8">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量。严格执行用水总量指标</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在用水总量控制的前提下</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逐步退还被挤占的河道内生态环境用水。</w:t>
                  </w:r>
                </w:p>
                <w:p w14:paraId="04B80092">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4.</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将河湖生态流量保障目标落实纳入水资源调度方案和年度调度计划</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以重要水利水电工程和水资源配置工程为重点</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实施水资源统一调度</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落实水利水电工程生态流量下泄措施。</w:t>
                  </w:r>
                </w:p>
                <w:p w14:paraId="663FF264">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高污染燃料禁燃区：</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1.禁止销售、燃用高污染燃料（35蒸吨及以上锅炉、火力发电企业机组除外）。</w:t>
                  </w:r>
                </w:p>
                <w:p w14:paraId="0427AC52">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2.高污染燃料禁燃区执行Ⅲ类（严格）要求</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禁止使用煤炭及其制品、石油焦、油页岩、原油、重油、渣油、煤焦油以及非专用锅炉或未配置高效除尘设施的专用锅炉燃用的生物质成型燃料。</w:t>
                  </w:r>
                </w:p>
                <w:p w14:paraId="34B92696">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3.禁止新建、扩建燃用高污染燃料的锅炉、窑炉、炉灶等设施</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不得将其他燃料燃用设施改造为高污染燃料燃用设施。</w:t>
                  </w:r>
                </w:p>
                <w:p w14:paraId="2F3F31F8">
                  <w:pPr>
                    <w:keepNext w:val="0"/>
                    <w:keepLines w:val="0"/>
                    <w:pageBreakBefore w:val="0"/>
                    <w:widowControl/>
                    <w:numPr>
                      <w:ilvl w:val="0"/>
                      <w:numId w:val="0"/>
                    </w:numPr>
                    <w:suppressLineNumbers w:val="0"/>
                    <w:kinsoku/>
                    <w:wordWrap/>
                    <w:overflowPunct/>
                    <w:topLinePunct/>
                    <w:autoSpaceDE/>
                    <w:autoSpaceDN/>
                    <w:bidi w:val="0"/>
                    <w:adjustRightInd w:val="0"/>
                    <w:snapToGrid w:val="0"/>
                    <w:ind w:leftChars="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4.禁燃区内集中供热企业必须使用符合《商品煤质量管理暂行办法》的燃煤</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发电企业必须使用符合《商品煤质量发电煤粉锅炉用煤》（GB/T7562-2018）标准的燃煤</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不得擅自</w:t>
                  </w:r>
                  <w:r>
                    <w:rPr>
                      <w:rFonts w:hint="eastAsia" w:cs="Times New Roman"/>
                      <w:color w:val="000000" w:themeColor="text1"/>
                      <w:kern w:val="0"/>
                      <w:sz w:val="21"/>
                      <w:szCs w:val="21"/>
                      <w:lang w:val="en-US" w:eastAsia="zh-CN" w:bidi="ar"/>
                      <w14:textFill>
                        <w14:solidFill>
                          <w14:schemeClr w14:val="tx1"/>
                        </w14:solidFill>
                      </w14:textFill>
                    </w:rPr>
                    <w:t>改用其他</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类型的高污染燃料</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高效除尘、脱硫、脱硝设施必须正常稳定运行</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确保大气污染物达标排放。</w:t>
                  </w:r>
                </w:p>
                <w:p w14:paraId="5CE3E778">
                  <w:pPr>
                    <w:keepNext w:val="0"/>
                    <w:keepLines w:val="0"/>
                    <w:pageBreakBefore w:val="0"/>
                    <w:widowControl/>
                    <w:suppressLineNumbers w:val="0"/>
                    <w:kinsoku/>
                    <w:wordWrap/>
                    <w:overflowPunct/>
                    <w:topLinePunct/>
                    <w:autoSpaceDE/>
                    <w:autoSpaceDN/>
                    <w:bidi w:val="0"/>
                    <w:adjustRightInd w:val="0"/>
                    <w:snapToGrid w:val="0"/>
                    <w:jc w:val="left"/>
                    <w:textAlignment w:val="auto"/>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5.禁止生产、销售和使用高污染燃料。禁止露天烧烤</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禁止焦（木）炭烧烤</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禁止焚烧垃圾（树叶、杂草）、沥青、油毡、橡胶、皮革等可产生有毒、有害烟尘和恶臭气体的物质。</w:t>
                  </w:r>
                </w:p>
              </w:tc>
              <w:tc>
                <w:tcPr>
                  <w:tcW w:w="1032" w:type="pct"/>
                  <w:tcBorders>
                    <w:tl2br w:val="nil"/>
                    <w:tr2bl w:val="nil"/>
                  </w:tcBorders>
                  <w:noWrap w:val="0"/>
                  <w:vAlign w:val="center"/>
                </w:tcPr>
                <w:p w14:paraId="6156339E">
                  <w:pPr>
                    <w:pStyle w:val="67"/>
                    <w:keepNext w:val="0"/>
                    <w:keepLines w:val="0"/>
                    <w:pageBreakBefore w:val="0"/>
                    <w:widowControl w:val="0"/>
                    <w:numPr>
                      <w:ilvl w:val="0"/>
                      <w:numId w:val="0"/>
                    </w:numPr>
                    <w:kinsoku/>
                    <w:wordWrap/>
                    <w:overflowPunct/>
                    <w:topLinePunct/>
                    <w:autoSpaceDE/>
                    <w:autoSpaceDN/>
                    <w:bidi w:val="0"/>
                    <w:adjustRightInd w:val="0"/>
                    <w:snapToGrid w:val="0"/>
                    <w:ind w:leftChars="0" w:right="0" w:rightChars="0"/>
                    <w:jc w:val="left"/>
                    <w:textAlignment w:val="auto"/>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本项目运营期生产设备使用电能</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属于清洁能源。烧结炉等均使用电能</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不涉及煤等高污染燃料的使用；不涉及</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生产、销售和使用高污染燃料</w:t>
                  </w:r>
                </w:p>
              </w:tc>
              <w:tc>
                <w:tcPr>
                  <w:tcW w:w="467" w:type="pct"/>
                  <w:tcBorders>
                    <w:tl2br w:val="nil"/>
                    <w:tr2bl w:val="nil"/>
                  </w:tcBorders>
                  <w:noWrap w:val="0"/>
                  <w:vAlign w:val="center"/>
                </w:tcPr>
                <w:p w14:paraId="411F956B">
                  <w:pPr>
                    <w:pStyle w:val="67"/>
                    <w:kinsoku w:val="0"/>
                    <w:overflowPunct w:val="0"/>
                    <w:autoSpaceDE w:val="0"/>
                    <w:autoSpaceDN w:val="0"/>
                    <w:adjustRightInd w:val="0"/>
                    <w:snapToGrid w:val="0"/>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t>符合</w:t>
                  </w:r>
                </w:p>
              </w:tc>
            </w:tr>
          </w:tbl>
          <w:p w14:paraId="3D33380B">
            <w:pPr>
              <w:numPr>
                <w:ilvl w:val="0"/>
                <w:numId w:val="0"/>
              </w:numPr>
              <w:bidi w:val="0"/>
              <w:spacing w:line="360" w:lineRule="auto"/>
              <w:ind w:left="0" w:leftChars="0" w:firstLine="420" w:firstLineChars="200"/>
              <w:jc w:val="both"/>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一说明</w:t>
            </w:r>
            <w:r>
              <w:rPr>
                <w:rFonts w:hint="eastAsia" w:cs="Times New Roman"/>
                <w:b w:val="0"/>
                <w:bCs w:val="0"/>
                <w:color w:val="000000" w:themeColor="text1"/>
                <w:sz w:val="21"/>
                <w:szCs w:val="21"/>
                <w:highlight w:val="none"/>
                <w:lang w:val="en-US" w:eastAsia="zh-CN"/>
                <w14:textFill>
                  <w14:solidFill>
                    <w14:schemeClr w14:val="tx1"/>
                  </w14:solidFill>
                </w14:textFill>
              </w:rPr>
              <w:t>”</w:t>
            </w:r>
          </w:p>
          <w:p w14:paraId="397F4C88">
            <w:pPr>
              <w:numPr>
                <w:ilvl w:val="0"/>
                <w:numId w:val="0"/>
              </w:numPr>
              <w:bidi w:val="0"/>
              <w:spacing w:line="360" w:lineRule="auto"/>
              <w:ind w:firstLine="420" w:firstLineChars="200"/>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根据上文</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一图</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一表</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的分析</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项目位于</w:t>
            </w:r>
            <w:r>
              <w:rPr>
                <w:rFonts w:hint="eastAsia" w:cs="Times New Roman"/>
                <w:b w:val="0"/>
                <w:bCs w:val="0"/>
                <w:color w:val="000000" w:themeColor="text1"/>
                <w:sz w:val="21"/>
                <w:szCs w:val="21"/>
                <w:highlight w:val="none"/>
                <w:lang w:val="en-US" w:eastAsia="zh-CN"/>
                <w14:textFill>
                  <w14:solidFill>
                    <w14:schemeClr w14:val="tx1"/>
                  </w14:solidFill>
                </w14:textFill>
              </w:rPr>
              <w:t>陈仓区</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重点管控单元</w:t>
            </w:r>
            <w:r>
              <w:rPr>
                <w:rFonts w:hint="eastAsia" w:cs="Times New Roman"/>
                <w:b w:val="0"/>
                <w:bCs w:val="0"/>
                <w:color w:val="000000" w:themeColor="text1"/>
                <w:sz w:val="21"/>
                <w:szCs w:val="21"/>
                <w:highlight w:val="none"/>
                <w:lang w:val="en-US" w:eastAsia="zh-CN"/>
                <w14:textFill>
                  <w14:solidFill>
                    <w14:schemeClr w14:val="tx1"/>
                  </w14:solidFill>
                </w14:textFill>
              </w:rPr>
              <w:t>9，</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项目所在地不涉及生态红线</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重点管控单元以提升资源利用效率、加强污染物减排治理和环境风险防控为重点</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解决突出生态环境问题。本项目产生的污染物较少</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且采取了相应环保措施</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符合方案要求。</w:t>
            </w:r>
          </w:p>
          <w:p w14:paraId="07EB82D3">
            <w:pPr>
              <w:numPr>
                <w:ilvl w:val="0"/>
                <w:numId w:val="0"/>
              </w:numPr>
              <w:bidi w:val="0"/>
              <w:spacing w:line="360" w:lineRule="auto"/>
              <w:ind w:firstLine="420" w:firstLineChars="200"/>
              <w:jc w:val="both"/>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综上</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建设项目符合陕西省</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三线一单</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管控要求。</w:t>
            </w:r>
          </w:p>
          <w:p w14:paraId="089916F4">
            <w:pPr>
              <w:spacing w:line="360" w:lineRule="auto"/>
              <w:ind w:firstLine="422" w:firstLineChars="200"/>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项目与生态保护法律法</w:t>
            </w:r>
            <w:r>
              <w:rPr>
                <w:rFonts w:hint="eastAsia" w:cs="Times New Roman"/>
                <w:b/>
                <w:bCs/>
                <w:color w:val="000000" w:themeColor="text1"/>
                <w:sz w:val="21"/>
                <w:szCs w:val="21"/>
                <w:highlight w:val="none"/>
                <w:lang w:eastAsia="zh-CN"/>
                <w14:textFill>
                  <w14:solidFill>
                    <w14:schemeClr w14:val="tx1"/>
                  </w14:solidFill>
                </w14:textFill>
              </w:rPr>
              <w:t>规和</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政策</w:t>
            </w:r>
            <w:r>
              <w:rPr>
                <w:rFonts w:hint="default" w:ascii="Times New Roman" w:hAnsi="Times New Roman" w:cs="Times New Roman"/>
                <w:b/>
                <w:bCs/>
                <w:color w:val="000000" w:themeColor="text1"/>
                <w:sz w:val="21"/>
                <w:szCs w:val="21"/>
                <w:highlight w:val="none"/>
                <w:lang w:eastAsia="zh-CN"/>
                <w14:textFill>
                  <w14:solidFill>
                    <w14:schemeClr w14:val="tx1"/>
                  </w14:solidFill>
                </w14:textFill>
              </w:rPr>
              <w:t>、</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生态环境保护规划的</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相符性分析</w:t>
            </w:r>
          </w:p>
          <w:p w14:paraId="7E41DC6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1-</w:t>
            </w:r>
            <w:r>
              <w:rPr>
                <w:rFonts w:hint="eastAsia" w:cs="Times New Roman"/>
                <w:b/>
                <w:bCs/>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与</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生态保护法律法</w:t>
            </w:r>
            <w:r>
              <w:rPr>
                <w:rFonts w:hint="eastAsia" w:cs="Times New Roman"/>
                <w:b/>
                <w:bCs/>
                <w:color w:val="000000" w:themeColor="text1"/>
                <w:sz w:val="21"/>
                <w:szCs w:val="21"/>
                <w:highlight w:val="none"/>
                <w:lang w:eastAsia="zh-CN"/>
                <w14:textFill>
                  <w14:solidFill>
                    <w14:schemeClr w14:val="tx1"/>
                  </w14:solidFill>
                </w14:textFill>
              </w:rPr>
              <w:t>规和</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政策</w:t>
            </w:r>
            <w:r>
              <w:rPr>
                <w:rFonts w:hint="default" w:ascii="Times New Roman" w:hAnsi="Times New Roman" w:cs="Times New Roman"/>
                <w:b/>
                <w:bCs/>
                <w:color w:val="000000" w:themeColor="text1"/>
                <w:sz w:val="21"/>
                <w:szCs w:val="21"/>
                <w:highlight w:val="none"/>
                <w:lang w:eastAsia="zh-CN"/>
                <w14:textFill>
                  <w14:solidFill>
                    <w14:schemeClr w14:val="tx1"/>
                  </w14:solidFill>
                </w14:textFill>
              </w:rPr>
              <w:t>、</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生态环境保护规划的</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相符性分析表</w:t>
            </w:r>
          </w:p>
          <w:tbl>
            <w:tblPr>
              <w:tblStyle w:val="24"/>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00"/>
              <w:gridCol w:w="2770"/>
              <w:gridCol w:w="1972"/>
              <w:gridCol w:w="860"/>
            </w:tblGrid>
            <w:tr w14:paraId="654121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tcBorders>
                    <w:tl2br w:val="nil"/>
                    <w:tr2bl w:val="nil"/>
                  </w:tcBorders>
                  <w:shd w:val="clear" w:color="auto" w:fill="auto"/>
                  <w:noWrap w:val="0"/>
                  <w:vAlign w:val="center"/>
                </w:tcPr>
                <w:p w14:paraId="75A88A2B">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名称</w:t>
                  </w:r>
                </w:p>
              </w:tc>
              <w:tc>
                <w:tcPr>
                  <w:tcW w:w="1949" w:type="pct"/>
                  <w:tcBorders>
                    <w:tl2br w:val="nil"/>
                    <w:tr2bl w:val="nil"/>
                  </w:tcBorders>
                  <w:shd w:val="clear" w:color="auto" w:fill="auto"/>
                  <w:noWrap w:val="0"/>
                  <w:vAlign w:val="center"/>
                </w:tcPr>
                <w:p w14:paraId="32083C1A">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政策内容</w:t>
                  </w:r>
                </w:p>
              </w:tc>
              <w:tc>
                <w:tcPr>
                  <w:tcW w:w="1388" w:type="pct"/>
                  <w:tcBorders>
                    <w:tl2br w:val="nil"/>
                    <w:tr2bl w:val="nil"/>
                  </w:tcBorders>
                  <w:shd w:val="clear" w:color="auto" w:fill="auto"/>
                  <w:noWrap w:val="0"/>
                  <w:vAlign w:val="center"/>
                </w:tcPr>
                <w:p w14:paraId="18DBA7C0">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本项目情况</w:t>
                  </w:r>
                </w:p>
              </w:tc>
              <w:tc>
                <w:tcPr>
                  <w:tcW w:w="605" w:type="pct"/>
                  <w:tcBorders>
                    <w:tl2br w:val="nil"/>
                    <w:tr2bl w:val="nil"/>
                  </w:tcBorders>
                  <w:shd w:val="clear" w:color="auto" w:fill="auto"/>
                  <w:noWrap w:val="0"/>
                  <w:vAlign w:val="center"/>
                </w:tcPr>
                <w:p w14:paraId="5C34AF53">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符合情况</w:t>
                  </w:r>
                </w:p>
              </w:tc>
            </w:tr>
            <w:tr w14:paraId="72FB99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tcBorders>
                    <w:tl2br w:val="nil"/>
                    <w:tr2bl w:val="nil"/>
                  </w:tcBorders>
                  <w:shd w:val="clear" w:color="auto" w:fill="auto"/>
                  <w:noWrap w:val="0"/>
                  <w:vAlign w:val="center"/>
                </w:tcPr>
                <w:p w14:paraId="30CA05DF">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r>
                    <w:rPr>
                      <w:rFonts w:hint="eastAsia"/>
                      <w:color w:val="000000" w:themeColor="text1"/>
                      <w:sz w:val="21"/>
                      <w:szCs w:val="21"/>
                      <w:highlight w:val="none"/>
                      <w:lang w:val="en-US" w:eastAsia="zh-CN"/>
                      <w14:textFill>
                        <w14:solidFill>
                          <w14:schemeClr w14:val="tx1"/>
                        </w14:solidFill>
                      </w14:textFill>
                    </w:rPr>
                    <w:t>陕西省大气污染防治条例</w:t>
                  </w:r>
                  <w:r>
                    <w:rPr>
                      <w:rFonts w:hint="eastAsia"/>
                      <w:color w:val="000000" w:themeColor="text1"/>
                      <w:sz w:val="21"/>
                      <w:szCs w:val="21"/>
                      <w:highlight w:val="none"/>
                      <w14:textFill>
                        <w14:solidFill>
                          <w14:schemeClr w14:val="tx1"/>
                        </w14:solidFill>
                      </w14:textFill>
                    </w:rPr>
                    <w:t>》</w:t>
                  </w:r>
                </w:p>
              </w:tc>
              <w:tc>
                <w:tcPr>
                  <w:tcW w:w="1949" w:type="pct"/>
                  <w:tcBorders>
                    <w:tl2br w:val="nil"/>
                    <w:tr2bl w:val="nil"/>
                  </w:tcBorders>
                  <w:shd w:val="clear" w:color="auto" w:fill="auto"/>
                  <w:noWrap w:val="0"/>
                  <w:vAlign w:val="center"/>
                </w:tcPr>
                <w:p w14:paraId="635C0686">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企业应当优先采用能源和原材料利用效率高、污染物排放量少的清洁生产技术、工艺和装备，减少大气污染物的产生和排放。</w:t>
                  </w:r>
                </w:p>
              </w:tc>
              <w:tc>
                <w:tcPr>
                  <w:tcW w:w="1388" w:type="pct"/>
                  <w:vMerge w:val="restart"/>
                  <w:tcBorders>
                    <w:tl2br w:val="nil"/>
                    <w:tr2bl w:val="nil"/>
                  </w:tcBorders>
                  <w:shd w:val="clear" w:color="auto" w:fill="auto"/>
                  <w:noWrap w:val="0"/>
                  <w:vAlign w:val="center"/>
                </w:tcPr>
                <w:p w14:paraId="1A862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本项目属于铸造及其他金属制品制造行业</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不属于涉气重点行业</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运营期废气主要为激光切割</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焊接</w:t>
                  </w:r>
                  <w:r>
                    <w:rPr>
                      <w:rFonts w:hint="eastAsia" w:cs="Times New Roman"/>
                      <w:color w:val="000000" w:themeColor="text1"/>
                      <w:sz w:val="21"/>
                      <w:szCs w:val="21"/>
                      <w:highlight w:val="none"/>
                      <w:lang w:val="en-US" w:eastAsia="zh-CN"/>
                      <w14:textFill>
                        <w14:solidFill>
                          <w14:schemeClr w14:val="tx1"/>
                        </w14:solidFill>
                      </w14:textFill>
                    </w:rPr>
                    <w:t>、修磨</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过程中产生的废气</w:t>
                  </w:r>
                  <w:r>
                    <w:rPr>
                      <w:rFonts w:hint="eastAsia" w:cs="Times New Roman"/>
                      <w:color w:val="000000" w:themeColor="text1"/>
                      <w:sz w:val="21"/>
                      <w:szCs w:val="21"/>
                      <w:highlight w:val="none"/>
                      <w:lang w:val="en-US" w:eastAsia="zh-CN"/>
                      <w14:textFill>
                        <w14:solidFill>
                          <w14:schemeClr w14:val="tx1"/>
                        </w14:solidFill>
                      </w14:textFill>
                    </w:rPr>
                    <w:t>收集后引入1套高效脉冲布袋除尘器处理后通过排气筒达标排放，对照</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《排放源统计调查产排污核算方法和系数手册》</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推荐的</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末端治理技术</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属于可行技术</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605" w:type="pct"/>
                  <w:tcBorders>
                    <w:tl2br w:val="nil"/>
                    <w:tr2bl w:val="nil"/>
                  </w:tcBorders>
                  <w:shd w:val="clear" w:color="auto" w:fill="auto"/>
                  <w:noWrap w:val="0"/>
                  <w:vAlign w:val="center"/>
                </w:tcPr>
                <w:p w14:paraId="7C62BC72">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21B2F7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tcBorders>
                    <w:tl2br w:val="nil"/>
                    <w:tr2bl w:val="nil"/>
                  </w:tcBorders>
                  <w:shd w:val="clear" w:color="auto" w:fill="auto"/>
                  <w:noWrap w:val="0"/>
                  <w:vAlign w:val="center"/>
                </w:tcPr>
                <w:p w14:paraId="2A534F24">
                  <w:pPr>
                    <w:adjustRightInd w:val="0"/>
                    <w:snapToGrid w:val="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snapToGrid w:val="0"/>
                      <w:color w:val="000000" w:themeColor="text1"/>
                      <w:sz w:val="21"/>
                      <w:szCs w:val="21"/>
                      <w:highlight w:val="none"/>
                      <w14:textFill>
                        <w14:solidFill>
                          <w14:schemeClr w14:val="tx1"/>
                        </w14:solidFill>
                      </w14:textFill>
                    </w:rPr>
                    <w:t>《</w:t>
                  </w:r>
                  <w:r>
                    <w:rPr>
                      <w:rFonts w:hint="eastAsia"/>
                      <w:snapToGrid w:val="0"/>
                      <w:color w:val="000000" w:themeColor="text1"/>
                      <w:sz w:val="21"/>
                      <w:szCs w:val="21"/>
                      <w:highlight w:val="none"/>
                      <w14:textFill>
                        <w14:solidFill>
                          <w14:schemeClr w14:val="tx1"/>
                        </w14:solidFill>
                      </w14:textFill>
                    </w:rPr>
                    <w:t>宝鸡市大气污染防治条例</w:t>
                  </w:r>
                  <w:r>
                    <w:rPr>
                      <w:snapToGrid w:val="0"/>
                      <w:color w:val="000000" w:themeColor="text1"/>
                      <w:sz w:val="21"/>
                      <w:szCs w:val="21"/>
                      <w:highlight w:val="none"/>
                      <w14:textFill>
                        <w14:solidFill>
                          <w14:schemeClr w14:val="tx1"/>
                        </w14:solidFill>
                      </w14:textFill>
                    </w:rPr>
                    <w:t>》</w:t>
                  </w:r>
                </w:p>
              </w:tc>
              <w:tc>
                <w:tcPr>
                  <w:tcW w:w="1949" w:type="pct"/>
                  <w:tcBorders>
                    <w:tl2br w:val="nil"/>
                    <w:tr2bl w:val="nil"/>
                  </w:tcBorders>
                  <w:shd w:val="clear" w:color="auto" w:fill="auto"/>
                  <w:noWrap w:val="0"/>
                  <w:vAlign w:val="center"/>
                </w:tcPr>
                <w:p w14:paraId="37F2DE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①向大气排放污染物的</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应当符合大气污染物排放标准</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遵守重点大气污染物排放总量控制要求；</w:t>
                  </w:r>
                </w:p>
                <w:p w14:paraId="1D0F61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②钢铁、建材、有色金属、</w:t>
                  </w:r>
                </w:p>
                <w:p w14:paraId="7619FA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石油、化工、制药、矿产开采等企业</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应当加强精细化管理</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采取集中收集处理等措施</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严格控制粉尘和气态污染物的排放</w:t>
                  </w:r>
                </w:p>
              </w:tc>
              <w:tc>
                <w:tcPr>
                  <w:tcW w:w="1388" w:type="pct"/>
                  <w:vMerge w:val="continue"/>
                  <w:tcBorders>
                    <w:tl2br w:val="nil"/>
                    <w:tr2bl w:val="nil"/>
                  </w:tcBorders>
                  <w:shd w:val="clear" w:color="auto" w:fill="auto"/>
                  <w:noWrap w:val="0"/>
                  <w:vAlign w:val="center"/>
                </w:tcPr>
                <w:p w14:paraId="5281DFB9">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605" w:type="pct"/>
                  <w:tcBorders>
                    <w:tl2br w:val="nil"/>
                    <w:tr2bl w:val="nil"/>
                  </w:tcBorders>
                  <w:shd w:val="clear" w:color="auto" w:fill="auto"/>
                  <w:noWrap w:val="0"/>
                  <w:vAlign w:val="center"/>
                </w:tcPr>
                <w:p w14:paraId="58B3CC59">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542F0A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tcBorders>
                    <w:tl2br w:val="nil"/>
                    <w:tr2bl w:val="nil"/>
                  </w:tcBorders>
                  <w:shd w:val="clear" w:color="auto" w:fill="auto"/>
                  <w:noWrap w:val="0"/>
                  <w:vAlign w:val="center"/>
                </w:tcPr>
                <w:p w14:paraId="757D2EF7">
                  <w:pPr>
                    <w:adjustRightInd w:val="0"/>
                    <w:snapToGrid w:val="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14:textFill>
                        <w14:solidFill>
                          <w14:schemeClr w14:val="tx1"/>
                        </w14:solidFill>
                      </w14:textFill>
                    </w:rPr>
                    <w:t>《陕西省</w:t>
                  </w:r>
                  <w:r>
                    <w:rPr>
                      <w:rFonts w:hint="eastAsia"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14:textFill>
                        <w14:solidFill>
                          <w14:schemeClr w14:val="tx1"/>
                        </w14:solidFill>
                      </w14:textFill>
                    </w:rPr>
                    <w:t>十四五</w:t>
                  </w:r>
                  <w:r>
                    <w:rPr>
                      <w:rFonts w:hint="eastAsia"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14:textFill>
                        <w14:solidFill>
                          <w14:schemeClr w14:val="tx1"/>
                        </w14:solidFill>
                      </w14:textFill>
                    </w:rPr>
                    <w:t>生态环境保护规划》</w:t>
                  </w:r>
                </w:p>
              </w:tc>
              <w:tc>
                <w:tcPr>
                  <w:tcW w:w="1949" w:type="pct"/>
                  <w:tcBorders>
                    <w:tl2br w:val="nil"/>
                    <w:tr2bl w:val="nil"/>
                  </w:tcBorders>
                  <w:shd w:val="clear" w:color="auto" w:fill="auto"/>
                  <w:noWrap w:val="0"/>
                  <w:vAlign w:val="center"/>
                </w:tcPr>
                <w:p w14:paraId="082BEAB4">
                  <w:pPr>
                    <w:adjustRightInd w:val="0"/>
                    <w:snapToGrid w:val="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olor w:val="000000" w:themeColor="text1"/>
                      <w:sz w:val="21"/>
                      <w:szCs w:val="21"/>
                      <w:highlight w:val="none"/>
                      <w:shd w:val="clear" w:color="auto" w:fill="FFFFFF"/>
                      <w14:textFill>
                        <w14:solidFill>
                          <w14:schemeClr w14:val="tx1"/>
                        </w14:solidFill>
                      </w14:textFill>
                    </w:rPr>
                    <w:t>加快淘汰燃煤工业炉窑</w:t>
                  </w:r>
                  <w:r>
                    <w:rPr>
                      <w:rFonts w:hint="eastAsia"/>
                      <w:color w:val="000000" w:themeColor="text1"/>
                      <w:sz w:val="21"/>
                      <w:szCs w:val="21"/>
                      <w:highlight w:val="none"/>
                      <w:shd w:val="clear" w:color="auto" w:fill="FFFFFF"/>
                      <w:lang w:eastAsia="zh-CN"/>
                      <w14:textFill>
                        <w14:solidFill>
                          <w14:schemeClr w14:val="tx1"/>
                        </w14:solidFill>
                      </w14:textFill>
                    </w:rPr>
                    <w:t>，</w:t>
                  </w:r>
                  <w:r>
                    <w:rPr>
                      <w:rFonts w:hint="eastAsia"/>
                      <w:color w:val="000000" w:themeColor="text1"/>
                      <w:sz w:val="21"/>
                      <w:szCs w:val="21"/>
                      <w:highlight w:val="none"/>
                      <w:shd w:val="clear" w:color="auto" w:fill="FFFFFF"/>
                      <w14:textFill>
                        <w14:solidFill>
                          <w14:schemeClr w14:val="tx1"/>
                        </w14:solidFill>
                      </w14:textFill>
                    </w:rPr>
                    <w:t>加大不达标工业炉窑、煤气发生炉淘汰力度。对热效率低下、敞开未封闭、装备简易落后、自动化程度低、无组织排放突出</w:t>
                  </w:r>
                  <w:r>
                    <w:rPr>
                      <w:rFonts w:hint="eastAsia"/>
                      <w:color w:val="000000" w:themeColor="text1"/>
                      <w:sz w:val="21"/>
                      <w:szCs w:val="21"/>
                      <w:highlight w:val="none"/>
                      <w:shd w:val="clear" w:color="auto" w:fill="FFFFFF"/>
                      <w:lang w:eastAsia="zh-CN"/>
                      <w14:textFill>
                        <w14:solidFill>
                          <w14:schemeClr w14:val="tx1"/>
                        </w14:solidFill>
                      </w14:textFill>
                    </w:rPr>
                    <w:t>，以及</w:t>
                  </w:r>
                  <w:r>
                    <w:rPr>
                      <w:rFonts w:hint="eastAsia"/>
                      <w:color w:val="000000" w:themeColor="text1"/>
                      <w:sz w:val="21"/>
                      <w:szCs w:val="21"/>
                      <w:highlight w:val="none"/>
                      <w:shd w:val="clear" w:color="auto" w:fill="FFFFFF"/>
                      <w14:textFill>
                        <w14:solidFill>
                          <w14:schemeClr w14:val="tx1"/>
                        </w14:solidFill>
                      </w14:textFill>
                    </w:rPr>
                    <w:t>无治理设施或治理设施工艺落后等严重污染环境的工业炉窑</w:t>
                  </w:r>
                  <w:r>
                    <w:rPr>
                      <w:rFonts w:hint="eastAsia"/>
                      <w:color w:val="000000" w:themeColor="text1"/>
                      <w:sz w:val="21"/>
                      <w:szCs w:val="21"/>
                      <w:highlight w:val="none"/>
                      <w:shd w:val="clear" w:color="auto" w:fill="FFFFFF"/>
                      <w:lang w:eastAsia="zh-CN"/>
                      <w14:textFill>
                        <w14:solidFill>
                          <w14:schemeClr w14:val="tx1"/>
                        </w14:solidFill>
                      </w14:textFill>
                    </w:rPr>
                    <w:t>，</w:t>
                  </w:r>
                  <w:r>
                    <w:rPr>
                      <w:rFonts w:hint="eastAsia"/>
                      <w:color w:val="000000" w:themeColor="text1"/>
                      <w:sz w:val="21"/>
                      <w:szCs w:val="21"/>
                      <w:highlight w:val="none"/>
                      <w:shd w:val="clear" w:color="auto" w:fill="FFFFFF"/>
                      <w:lang w:val="en-US" w:eastAsia="zh-CN"/>
                      <w14:textFill>
                        <w14:solidFill>
                          <w14:schemeClr w14:val="tx1"/>
                        </w14:solidFill>
                      </w14:textFill>
                    </w:rPr>
                    <w:t>应</w:t>
                  </w:r>
                  <w:r>
                    <w:rPr>
                      <w:rFonts w:hint="eastAsia"/>
                      <w:color w:val="000000" w:themeColor="text1"/>
                      <w:sz w:val="21"/>
                      <w:szCs w:val="21"/>
                      <w:highlight w:val="none"/>
                      <w:shd w:val="clear" w:color="auto" w:fill="FFFFFF"/>
                      <w14:textFill>
                        <w14:solidFill>
                          <w14:schemeClr w14:val="tx1"/>
                        </w14:solidFill>
                      </w14:textFill>
                    </w:rPr>
                    <w:t>依法责令停业关闭</w:t>
                  </w:r>
                  <w:r>
                    <w:rPr>
                      <w:rFonts w:hint="eastAsia"/>
                      <w:color w:val="000000" w:themeColor="text1"/>
                      <w:sz w:val="21"/>
                      <w:szCs w:val="21"/>
                      <w:highlight w:val="none"/>
                      <w:shd w:val="clear" w:color="auto" w:fill="FFFFFF"/>
                      <w:lang w:eastAsia="zh-CN"/>
                      <w14:textFill>
                        <w14:solidFill>
                          <w14:schemeClr w14:val="tx1"/>
                        </w14:solidFill>
                      </w14:textFill>
                    </w:rPr>
                    <w:t>。</w:t>
                  </w:r>
                </w:p>
              </w:tc>
              <w:tc>
                <w:tcPr>
                  <w:tcW w:w="1388" w:type="pct"/>
                  <w:tcBorders>
                    <w:tl2br w:val="nil"/>
                    <w:tr2bl w:val="nil"/>
                  </w:tcBorders>
                  <w:shd w:val="clear" w:color="auto" w:fill="auto"/>
                  <w:noWrap w:val="0"/>
                  <w:vAlign w:val="center"/>
                </w:tcPr>
                <w:p w14:paraId="336B9B4F">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bidi="zh-CN"/>
                      <w14:textFill>
                        <w14:solidFill>
                          <w14:schemeClr w14:val="tx1"/>
                        </w14:solidFill>
                      </w14:textFill>
                    </w:rPr>
                    <w:t>项目真空</w:t>
                  </w:r>
                  <w:r>
                    <w:rPr>
                      <w:rFonts w:hint="eastAsia" w:cs="Times New Roman"/>
                      <w:color w:val="000000" w:themeColor="text1"/>
                      <w:kern w:val="0"/>
                      <w:sz w:val="21"/>
                      <w:szCs w:val="21"/>
                      <w:highlight w:val="none"/>
                      <w:lang w:val="en-US" w:eastAsia="zh-CN" w:bidi="zh-CN"/>
                      <w14:textFill>
                        <w14:solidFill>
                          <w14:schemeClr w14:val="tx1"/>
                        </w14:solidFill>
                      </w14:textFill>
                    </w:rPr>
                    <w:t>烧结炉</w:t>
                  </w:r>
                  <w:r>
                    <w:rPr>
                      <w:rFonts w:hint="eastAsia" w:ascii="Times New Roman" w:hAnsi="Times New Roman" w:cs="Times New Roman"/>
                      <w:color w:val="000000" w:themeColor="text1"/>
                      <w:kern w:val="0"/>
                      <w:sz w:val="21"/>
                      <w:szCs w:val="21"/>
                      <w:highlight w:val="none"/>
                      <w:lang w:val="en-US" w:eastAsia="zh-CN" w:bidi="zh-CN"/>
                      <w14:textFill>
                        <w14:solidFill>
                          <w14:schemeClr w14:val="tx1"/>
                        </w14:solidFill>
                      </w14:textFill>
                    </w:rPr>
                    <w:t>使用的能源为电能</w:t>
                  </w:r>
                  <w:r>
                    <w:rPr>
                      <w:rFonts w:hint="eastAsia" w:ascii="Times New Roman" w:hAnsi="Times New Roman" w:cs="Times New Roman"/>
                      <w:color w:val="000000" w:themeColor="text1"/>
                      <w:kern w:val="2"/>
                      <w:sz w:val="21"/>
                      <w:szCs w:val="21"/>
                      <w:highlight w:val="none"/>
                      <w:shd w:val="clear" w:color="auto" w:fill="FFFFFF"/>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shd w:val="clear" w:color="auto" w:fill="FFFFFF"/>
                      <w:lang w:val="en-US" w:eastAsia="zh-CN" w:bidi="ar-SA"/>
                      <w14:textFill>
                        <w14:solidFill>
                          <w14:schemeClr w14:val="tx1"/>
                        </w14:solidFill>
                      </w14:textFill>
                    </w:rPr>
                    <w:t>且</w:t>
                  </w:r>
                  <w:r>
                    <w:rPr>
                      <w:rFonts w:hint="eastAsia" w:ascii="Times New Roman" w:hAnsi="Times New Roman" w:eastAsia="宋体" w:cs="Times New Roman"/>
                      <w:color w:val="000000" w:themeColor="text1"/>
                      <w:kern w:val="2"/>
                      <w:sz w:val="21"/>
                      <w:szCs w:val="21"/>
                      <w:highlight w:val="none"/>
                      <w:shd w:val="clear" w:color="auto" w:fill="FFFFFF"/>
                      <w:lang w:val="en-US" w:eastAsia="zh-CN" w:bidi="ar-SA"/>
                      <w14:textFill>
                        <w14:solidFill>
                          <w14:schemeClr w14:val="tx1"/>
                        </w14:solidFill>
                      </w14:textFill>
                    </w:rPr>
                    <w:t>烧结炉工作期间处于真空密闭状态</w:t>
                  </w:r>
                  <w:r>
                    <w:rPr>
                      <w:rFonts w:hint="eastAsia" w:ascii="Times New Roman" w:hAnsi="Times New Roman" w:cs="Times New Roman"/>
                      <w:color w:val="000000" w:themeColor="text1"/>
                      <w:kern w:val="2"/>
                      <w:sz w:val="21"/>
                      <w:szCs w:val="21"/>
                      <w:highlight w:val="none"/>
                      <w:shd w:val="clear" w:color="auto" w:fill="FFFFFF"/>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shd w:val="clear" w:color="auto" w:fill="FFFFFF"/>
                      <w:lang w:val="en-US" w:eastAsia="zh-CN" w:bidi="ar-SA"/>
                      <w14:textFill>
                        <w14:solidFill>
                          <w14:schemeClr w14:val="tx1"/>
                        </w14:solidFill>
                      </w14:textFill>
                    </w:rPr>
                    <w:t>不产生废气污染物</w:t>
                  </w:r>
                  <w:r>
                    <w:rPr>
                      <w:rFonts w:hint="default" w:ascii="Times New Roman" w:hAnsi="Times New Roman" w:eastAsia="宋体" w:cs="Times New Roman"/>
                      <w:color w:val="000000" w:themeColor="text1"/>
                      <w:kern w:val="2"/>
                      <w:sz w:val="21"/>
                      <w:szCs w:val="21"/>
                      <w:highlight w:val="none"/>
                      <w:shd w:val="clear" w:color="auto" w:fill="FFFFFF"/>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shd w:val="clear" w:color="auto" w:fill="FFFFFF"/>
                      <w:lang w:val="en-US" w:eastAsia="zh-CN" w:bidi="ar-SA"/>
                      <w14:textFill>
                        <w14:solidFill>
                          <w14:schemeClr w14:val="tx1"/>
                        </w14:solidFill>
                      </w14:textFill>
                    </w:rPr>
                    <w:t>对照《产业结构调整指导目录（2024年本）》</w:t>
                  </w:r>
                  <w:r>
                    <w:rPr>
                      <w:rFonts w:hint="eastAsia"/>
                      <w:color w:val="000000" w:themeColor="text1"/>
                      <w:sz w:val="21"/>
                      <w:szCs w:val="21"/>
                      <w:shd w:val="clear" w:color="auto" w:fill="FFFFFF"/>
                      <w:lang w:eastAsia="zh-CN"/>
                      <w14:textFill>
                        <w14:solidFill>
                          <w14:schemeClr w14:val="tx1"/>
                        </w14:solidFill>
                      </w14:textFill>
                    </w:rPr>
                    <w:t>，</w:t>
                  </w:r>
                  <w:r>
                    <w:rPr>
                      <w:color w:val="000000" w:themeColor="text1"/>
                      <w:sz w:val="21"/>
                      <w:szCs w:val="21"/>
                      <w:shd w:val="clear" w:color="auto" w:fill="FFFFFF"/>
                      <w14:textFill>
                        <w14:solidFill>
                          <w14:schemeClr w14:val="tx1"/>
                        </w14:solidFill>
                      </w14:textFill>
                    </w:rPr>
                    <w:t>本项目电</w:t>
                  </w:r>
                  <w:r>
                    <w:rPr>
                      <w:rFonts w:hint="eastAsia"/>
                      <w:color w:val="000000" w:themeColor="text1"/>
                      <w:sz w:val="21"/>
                      <w:szCs w:val="21"/>
                      <w:shd w:val="clear" w:color="auto" w:fill="FFFFFF"/>
                      <w:lang w:val="en-US" w:eastAsia="zh-CN"/>
                      <w14:textFill>
                        <w14:solidFill>
                          <w14:schemeClr w14:val="tx1"/>
                        </w14:solidFill>
                      </w14:textFill>
                    </w:rPr>
                    <w:t>烧结炉</w:t>
                  </w:r>
                  <w:r>
                    <w:rPr>
                      <w:color w:val="000000" w:themeColor="text1"/>
                      <w:sz w:val="21"/>
                      <w:szCs w:val="21"/>
                      <w:shd w:val="clear" w:color="auto" w:fill="FFFFFF"/>
                      <w14:textFill>
                        <w14:solidFill>
                          <w14:schemeClr w14:val="tx1"/>
                        </w14:solidFill>
                      </w14:textFill>
                    </w:rPr>
                    <w:t>不属于落后淘汰设备</w:t>
                  </w:r>
                  <w:r>
                    <w:rPr>
                      <w:rFonts w:hint="eastAsia"/>
                      <w:color w:val="000000" w:themeColor="text1"/>
                      <w:sz w:val="21"/>
                      <w:szCs w:val="21"/>
                      <w:shd w:val="clear" w:color="auto" w:fill="FFFFFF"/>
                      <w:lang w:eastAsia="zh-CN"/>
                      <w14:textFill>
                        <w14:solidFill>
                          <w14:schemeClr w14:val="tx1"/>
                        </w14:solidFill>
                      </w14:textFill>
                    </w:rPr>
                    <w:t>。</w:t>
                  </w:r>
                </w:p>
              </w:tc>
              <w:tc>
                <w:tcPr>
                  <w:tcW w:w="605" w:type="pct"/>
                  <w:tcBorders>
                    <w:tl2br w:val="nil"/>
                    <w:tr2bl w:val="nil"/>
                  </w:tcBorders>
                  <w:shd w:val="clear" w:color="auto" w:fill="auto"/>
                  <w:noWrap w:val="0"/>
                  <w:vAlign w:val="center"/>
                </w:tcPr>
                <w:p w14:paraId="2201F24A">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4F2D3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vMerge w:val="restart"/>
                  <w:tcBorders>
                    <w:tl2br w:val="nil"/>
                    <w:tr2bl w:val="nil"/>
                  </w:tcBorders>
                  <w:shd w:val="clear" w:color="auto" w:fill="auto"/>
                  <w:noWrap w:val="0"/>
                  <w:vAlign w:val="center"/>
                </w:tcPr>
                <w:p w14:paraId="404FD5C0">
                  <w:pPr>
                    <w:pStyle w:val="18"/>
                    <w:adjustRightInd w:val="0"/>
                    <w:snapToGrid w:val="0"/>
                    <w:spacing w:line="240" w:lineRule="auto"/>
                    <w:ind w:left="0" w:leftChars="0" w:firstLine="0" w:firstLineChars="0"/>
                    <w:jc w:val="center"/>
                    <w:rPr>
                      <w:rFonts w:hint="default" w:ascii="Times New Roman" w:hAnsi="Times New Roman" w:cs="Times New Roman" w:eastAsiaTheme="minorEastAsia"/>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《陈仓区大气污染治理专项行动方案（2023</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2027年）》</w:t>
                  </w:r>
                </w:p>
              </w:tc>
              <w:tc>
                <w:tcPr>
                  <w:tcW w:w="1949" w:type="pct"/>
                  <w:tcBorders>
                    <w:tl2br w:val="nil"/>
                    <w:tr2bl w:val="nil"/>
                  </w:tcBorders>
                  <w:shd w:val="clear" w:color="auto" w:fill="auto"/>
                  <w:noWrap w:val="0"/>
                  <w:vAlign w:val="center"/>
                </w:tcPr>
                <w:p w14:paraId="746ACFED">
                  <w:pPr>
                    <w:pStyle w:val="20"/>
                    <w:keepNext w:val="0"/>
                    <w:keepLines w:val="0"/>
                    <w:pageBreakBefore w:val="0"/>
                    <w:shd w:val="clear" w:color="auto" w:fill="FFFFFF"/>
                    <w:kinsoku/>
                    <w:wordWrap/>
                    <w:overflowPunct/>
                    <w:topLinePunct w:val="0"/>
                    <w:bidi w:val="0"/>
                    <w:adjustRightInd w:val="0"/>
                    <w:snapToGrid w:val="0"/>
                    <w:spacing w:before="0" w:beforeAutospacing="0" w:after="0" w:afterAutospacing="0"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Levenim MT" w:hAnsi="Levenim MT" w:eastAsia="Levenim MT" w:cs="Levenim MT"/>
                      <w:i w:val="0"/>
                      <w:iCs w:val="0"/>
                      <w:caps w:val="0"/>
                      <w:color w:val="000000" w:themeColor="text1"/>
                      <w:spacing w:val="0"/>
                      <w:sz w:val="21"/>
                      <w:szCs w:val="21"/>
                      <w:shd w:val="clear" w:color="auto" w:fill="FFFFFF"/>
                      <w14:textFill>
                        <w14:solidFill>
                          <w14:schemeClr w14:val="tx1"/>
                        </w14:solidFill>
                      </w14:textFill>
                    </w:rPr>
                    <w:t>严格落实国家产业规划、产业政策、“三线一单”、规划环评以及产能置换、煤炭消费减量替代、区域污染物削减等要求</w:t>
                  </w:r>
                  <w:r>
                    <w:rPr>
                      <w:rFonts w:hint="eastAsia" w:ascii="Levenim MT" w:hAnsi="Levenim MT" w:eastAsia="宋体" w:cs="Levenim MT"/>
                      <w:i w:val="0"/>
                      <w:iCs w:val="0"/>
                      <w:caps w:val="0"/>
                      <w:color w:val="000000" w:themeColor="text1"/>
                      <w:spacing w:val="0"/>
                      <w:sz w:val="21"/>
                      <w:szCs w:val="21"/>
                      <w:shd w:val="clear" w:color="auto" w:fill="FFFFFF"/>
                      <w:lang w:eastAsia="zh-CN"/>
                      <w14:textFill>
                        <w14:solidFill>
                          <w14:schemeClr w14:val="tx1"/>
                        </w14:solidFill>
                      </w14:textFill>
                    </w:rPr>
                    <w:t>，</w:t>
                  </w:r>
                  <w:r>
                    <w:rPr>
                      <w:rFonts w:hint="eastAsia" w:ascii="Levenim MT" w:hAnsi="Levenim MT" w:eastAsia="Levenim MT" w:cs="Levenim MT"/>
                      <w:i w:val="0"/>
                      <w:iCs w:val="0"/>
                      <w:caps w:val="0"/>
                      <w:color w:val="000000" w:themeColor="text1"/>
                      <w:spacing w:val="0"/>
                      <w:sz w:val="21"/>
                      <w:szCs w:val="21"/>
                      <w:shd w:val="clear" w:color="auto" w:fill="FFFFFF"/>
                      <w14:textFill>
                        <w14:solidFill>
                          <w14:schemeClr w14:val="tx1"/>
                        </w14:solidFill>
                      </w14:textFill>
                    </w:rPr>
                    <w:t>严禁不符合规定的项目建设。</w:t>
                  </w:r>
                </w:p>
              </w:tc>
              <w:tc>
                <w:tcPr>
                  <w:tcW w:w="1388" w:type="pct"/>
                  <w:tcBorders>
                    <w:tl2br w:val="nil"/>
                    <w:tr2bl w:val="nil"/>
                  </w:tcBorders>
                  <w:shd w:val="clear" w:color="auto" w:fill="auto"/>
                  <w:noWrap w:val="0"/>
                  <w:vAlign w:val="center"/>
                </w:tcPr>
                <w:p w14:paraId="05C0C297">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bidi="zh-CN"/>
                      <w14:textFill>
                        <w14:solidFill>
                          <w14:schemeClr w14:val="tx1"/>
                        </w14:solidFill>
                      </w14:textFill>
                    </w:rPr>
                    <w:t>本项目</w:t>
                  </w:r>
                  <w:r>
                    <w:rPr>
                      <w:rFonts w:hint="eastAsia" w:cs="Times New Roman"/>
                      <w:color w:val="000000" w:themeColor="text1"/>
                      <w:kern w:val="0"/>
                      <w:sz w:val="21"/>
                      <w:szCs w:val="21"/>
                      <w:lang w:val="en-US" w:eastAsia="zh-CN" w:bidi="ar"/>
                      <w14:textFill>
                        <w14:solidFill>
                          <w14:schemeClr w14:val="tx1"/>
                        </w14:solidFill>
                      </w14:textFill>
                    </w:rPr>
                    <w:t>属于</w:t>
                  </w:r>
                  <w:r>
                    <w:rPr>
                      <w:rFonts w:hint="eastAsia"/>
                      <w:color w:val="000000" w:themeColor="text1"/>
                      <w:sz w:val="21"/>
                      <w:szCs w:val="21"/>
                      <w:lang w:val="en-US" w:eastAsia="zh-CN"/>
                      <w14:textFill>
                        <w14:solidFill>
                          <w14:schemeClr w14:val="tx1"/>
                        </w14:solidFill>
                      </w14:textFill>
                    </w:rPr>
                    <w:t>铸造及其他金属制品制造项目</w:t>
                  </w:r>
                  <w:r>
                    <w:rPr>
                      <w:rFonts w:hint="eastAsia" w:ascii="Times New Roman" w:hAnsi="Times New Roman" w:cs="Times New Roman"/>
                      <w:color w:val="000000" w:themeColor="text1"/>
                      <w:kern w:val="0"/>
                      <w:sz w:val="21"/>
                      <w:szCs w:val="21"/>
                      <w:highlight w:val="none"/>
                      <w:lang w:val="en-US" w:eastAsia="zh-CN" w:bidi="zh-CN"/>
                      <w14:textFill>
                        <w14:solidFill>
                          <w14:schemeClr w14:val="tx1"/>
                        </w14:solidFill>
                      </w14:textFill>
                    </w:rPr>
                    <w:t>，不</w:t>
                  </w:r>
                  <w:r>
                    <w:rPr>
                      <w:rFonts w:hint="eastAsia" w:cs="Times New Roman"/>
                      <w:color w:val="000000" w:themeColor="text1"/>
                      <w:kern w:val="0"/>
                      <w:sz w:val="21"/>
                      <w:szCs w:val="21"/>
                      <w:highlight w:val="none"/>
                      <w:lang w:val="en-US" w:eastAsia="zh-CN" w:bidi="zh-CN"/>
                      <w14:textFill>
                        <w14:solidFill>
                          <w14:schemeClr w14:val="tx1"/>
                        </w14:solidFill>
                      </w14:textFill>
                    </w:rPr>
                    <w:t>在</w:t>
                  </w:r>
                  <w:r>
                    <w:rPr>
                      <w:rFonts w:hint="eastAsia"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t>《陕西省“两高”项目管理暂行目录（</w:t>
                  </w:r>
                  <w: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t>202</w:t>
                  </w:r>
                  <w:r>
                    <w:rPr>
                      <w:rFonts w:hint="eastAsia"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t>5年版）》（陕发改环资〔</w:t>
                  </w:r>
                  <w:r>
                    <w:rPr>
                      <w:rFonts w:hint="default"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t>202</w:t>
                  </w:r>
                  <w:r>
                    <w:rPr>
                      <w:rFonts w:hint="eastAsia" w:ascii="Times New Roman" w:hAnsi="Times New Roman" w:eastAsia="宋体" w:cs="Times New Roman"/>
                      <w:color w:val="000000" w:themeColor="text1"/>
                      <w:kern w:val="0"/>
                      <w:sz w:val="21"/>
                      <w:szCs w:val="21"/>
                      <w:highlight w:val="none"/>
                      <w:lang w:val="en-US" w:eastAsia="zh-CN" w:bidi="zh-CN"/>
                      <w14:textFill>
                        <w14:solidFill>
                          <w14:schemeClr w14:val="tx1"/>
                        </w14:solidFill>
                      </w14:textFill>
                    </w:rPr>
                    <w:t>5〕703号）</w:t>
                  </w:r>
                  <w:r>
                    <w:rPr>
                      <w:rFonts w:hint="eastAsia"/>
                      <w:color w:val="000000" w:themeColor="text1"/>
                      <w:lang w:val="en-US" w:eastAsia="zh-CN"/>
                      <w14:textFill>
                        <w14:solidFill>
                          <w14:schemeClr w14:val="tx1"/>
                        </w14:solidFill>
                      </w14:textFill>
                    </w:rPr>
                    <w:t>内</w:t>
                  </w:r>
                  <w:r>
                    <w:rPr>
                      <w:rFonts w:hint="eastAsia" w:cs="Times New Roman"/>
                      <w:color w:val="000000" w:themeColor="text1"/>
                      <w:kern w:val="0"/>
                      <w:sz w:val="21"/>
                      <w:szCs w:val="21"/>
                      <w:highlight w:val="none"/>
                      <w:lang w:val="en-US" w:eastAsia="zh-CN" w:bidi="zh-CN"/>
                      <w14:textFill>
                        <w14:solidFill>
                          <w14:schemeClr w14:val="tx1"/>
                        </w14:solidFill>
                      </w14:textFill>
                    </w:rPr>
                    <w:t>，符合</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国家产业规划、产业政策、</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三线一单</w:t>
                  </w:r>
                  <w:r>
                    <w:rPr>
                      <w:rFonts w:hint="eastAsia" w:cs="Times New Roman"/>
                      <w:color w:val="000000" w:themeColor="text1"/>
                      <w:kern w:val="0"/>
                      <w:sz w:val="21"/>
                      <w:szCs w:val="21"/>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等要求</w:t>
                  </w:r>
                </w:p>
              </w:tc>
              <w:tc>
                <w:tcPr>
                  <w:tcW w:w="605" w:type="pct"/>
                  <w:tcBorders>
                    <w:tl2br w:val="nil"/>
                    <w:tr2bl w:val="nil"/>
                  </w:tcBorders>
                  <w:shd w:val="clear" w:color="auto" w:fill="auto"/>
                  <w:noWrap w:val="0"/>
                  <w:vAlign w:val="center"/>
                </w:tcPr>
                <w:p w14:paraId="389A43A3">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586AA0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vMerge w:val="continue"/>
                  <w:tcBorders>
                    <w:tl2br w:val="nil"/>
                    <w:tr2bl w:val="nil"/>
                  </w:tcBorders>
                  <w:shd w:val="clear" w:color="auto" w:fill="auto"/>
                  <w:noWrap w:val="0"/>
                  <w:vAlign w:val="center"/>
                </w:tcPr>
                <w:p w14:paraId="342B1BF6">
                  <w:pPr>
                    <w:pStyle w:val="18"/>
                    <w:adjustRightInd w:val="0"/>
                    <w:snapToGrid w:val="0"/>
                    <w:spacing w:line="240" w:lineRule="auto"/>
                    <w:ind w:left="0" w:leftChars="0"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1949" w:type="pct"/>
                  <w:tcBorders>
                    <w:tl2br w:val="nil"/>
                    <w:tr2bl w:val="nil"/>
                  </w:tcBorders>
                  <w:shd w:val="clear" w:color="auto" w:fill="auto"/>
                  <w:noWrap w:val="0"/>
                  <w:vAlign w:val="center"/>
                </w:tcPr>
                <w:p w14:paraId="47E76F14">
                  <w:pPr>
                    <w:pStyle w:val="20"/>
                    <w:keepNext w:val="0"/>
                    <w:keepLines w:val="0"/>
                    <w:pageBreakBefore w:val="0"/>
                    <w:shd w:val="clear" w:color="auto" w:fill="FFFFFF"/>
                    <w:kinsoku/>
                    <w:wordWrap/>
                    <w:overflowPunct/>
                    <w:topLinePunct w:val="0"/>
                    <w:bidi w:val="0"/>
                    <w:adjustRightInd w:val="0"/>
                    <w:snapToGrid w:val="0"/>
                    <w:spacing w:before="0" w:beforeAutospacing="0" w:after="0" w:afterAutospacing="0" w:line="240" w:lineRule="auto"/>
                    <w:ind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开发区范围内新、改、扩建涉气重点行业企业达到环保绩效A级、绩效引领性水平。</w:t>
                  </w:r>
                </w:p>
              </w:tc>
              <w:tc>
                <w:tcPr>
                  <w:tcW w:w="1388" w:type="pct"/>
                  <w:tcBorders>
                    <w:tl2br w:val="nil"/>
                    <w:tr2bl w:val="nil"/>
                  </w:tcBorders>
                  <w:shd w:val="clear" w:color="auto" w:fill="auto"/>
                  <w:noWrap w:val="0"/>
                  <w:vAlign w:val="center"/>
                </w:tcPr>
                <w:p w14:paraId="7491B5EF">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根据《关于进一步加强关中地区涉气重点行业项目环评管理的通知》和《重污染天气重点行业应急减排措施制定技术指南》</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2020年修订版）</w:t>
                  </w:r>
                  <w:r>
                    <w:rPr>
                      <w:rFonts w:hint="eastAsia" w:ascii="Times New Roman" w:hAnsi="Times New Roman"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本项目不属于涉气重点行业</w:t>
                  </w:r>
                </w:p>
              </w:tc>
              <w:tc>
                <w:tcPr>
                  <w:tcW w:w="605" w:type="pct"/>
                  <w:tcBorders>
                    <w:tl2br w:val="nil"/>
                    <w:tr2bl w:val="nil"/>
                  </w:tcBorders>
                  <w:shd w:val="clear" w:color="auto" w:fill="auto"/>
                  <w:noWrap w:val="0"/>
                  <w:vAlign w:val="center"/>
                </w:tcPr>
                <w:p w14:paraId="5D7B008A">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729B4D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vMerge w:val="restart"/>
                  <w:tcBorders>
                    <w:tl2br w:val="nil"/>
                    <w:tr2bl w:val="nil"/>
                  </w:tcBorders>
                  <w:shd w:val="clear" w:color="auto" w:fill="auto"/>
                  <w:noWrap w:val="0"/>
                  <w:vAlign w:val="center"/>
                </w:tcPr>
                <w:p w14:paraId="6643D300">
                  <w:pPr>
                    <w:pStyle w:val="18"/>
                    <w:adjustRightInd w:val="0"/>
                    <w:snapToGrid w:val="0"/>
                    <w:ind w:left="0" w:leftChars="0"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《陕西省工业窑炉大气污染综合治理实施方案》</w:t>
                  </w:r>
                </w:p>
              </w:tc>
              <w:tc>
                <w:tcPr>
                  <w:tcW w:w="1949" w:type="pct"/>
                  <w:tcBorders>
                    <w:tl2br w:val="nil"/>
                    <w:tr2bl w:val="nil"/>
                  </w:tcBorders>
                  <w:shd w:val="clear" w:color="auto" w:fill="auto"/>
                  <w:noWrap w:val="0"/>
                  <w:vAlign w:val="center"/>
                </w:tcPr>
                <w:p w14:paraId="1E4B8F85">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加大产业结构调整力度。严格新改扩建项目环境准入。新建涉工业炉窑的建设项目</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原则上要入园区</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配套建设高效环保治理设施。严格控制涉工业炉窑建设项目</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严禁新增钢铁、焦化、电解铝、铸造、水泥和平板玻璃等产能；严格执行</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国家</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钢铁、水泥、平板玻璃等行业产能置换实施办法；原则上禁止新建燃料类煤气发生炉（园区现有企业统一建设的清洁煤制气中心除外）。</w:t>
                  </w:r>
                </w:p>
              </w:tc>
              <w:tc>
                <w:tcPr>
                  <w:tcW w:w="1388" w:type="pct"/>
                  <w:tcBorders>
                    <w:tl2br w:val="nil"/>
                    <w:tr2bl w:val="nil"/>
                  </w:tcBorders>
                  <w:shd w:val="clear" w:color="auto" w:fill="auto"/>
                  <w:noWrap w:val="0"/>
                  <w:vAlign w:val="center"/>
                </w:tcPr>
                <w:p w14:paraId="41155C74">
                  <w:pPr>
                    <w:pStyle w:val="20"/>
                    <w:keepNext w:val="0"/>
                    <w:keepLines w:val="0"/>
                    <w:pageBreakBefore w:val="0"/>
                    <w:widowControl/>
                    <w:kinsoku/>
                    <w:wordWrap/>
                    <w:overflowPunct/>
                    <w:topLinePunct/>
                    <w:autoSpaceDE/>
                    <w:autoSpaceDN/>
                    <w:bidi w:val="0"/>
                    <w:adjustRightInd w:val="0"/>
                    <w:snapToGrid w:val="0"/>
                    <w:spacing w:before="0" w:beforeAutospacing="0" w:after="0" w:afterAutospacing="0" w:line="240" w:lineRule="auto"/>
                    <w:ind w:left="0" w:leftChars="0" w:right="0" w:rightChars="0"/>
                    <w:jc w:val="both"/>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本项目属于</w:t>
                  </w:r>
                  <w:r>
                    <w:rPr>
                      <w:rFonts w:hint="eastAsia"/>
                      <w:color w:val="000000" w:themeColor="text1"/>
                      <w:sz w:val="21"/>
                      <w:szCs w:val="21"/>
                      <w:lang w:val="en-US" w:eastAsia="zh-CN"/>
                      <w14:textFill>
                        <w14:solidFill>
                          <w14:schemeClr w14:val="tx1"/>
                        </w14:solidFill>
                      </w14:textFill>
                    </w:rPr>
                    <w:t>铸造及其他金属制品制造项目</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使用的炉窑为烧结炉</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cs="Times New Roman"/>
                      <w:color w:val="000000" w:themeColor="text1"/>
                      <w:kern w:val="0"/>
                      <w:sz w:val="21"/>
                      <w:szCs w:val="21"/>
                      <w:highlight w:val="none"/>
                      <w:lang w:val="en-US" w:eastAsia="zh-CN" w:bidi="zh-CN"/>
                      <w14:textFill>
                        <w14:solidFill>
                          <w14:schemeClr w14:val="tx1"/>
                        </w14:solidFill>
                      </w14:textFill>
                    </w:rPr>
                    <w:t>使用的能源为电能，不涉及高污染燃料的使用；本项目属于</w:t>
                  </w:r>
                  <w:r>
                    <w:rPr>
                      <w:rFonts w:hint="eastAsia"/>
                      <w:color w:val="000000" w:themeColor="text1"/>
                      <w:sz w:val="21"/>
                      <w:szCs w:val="21"/>
                      <w:lang w:val="en-US" w:eastAsia="zh-CN"/>
                      <w14:textFill>
                        <w14:solidFill>
                          <w14:schemeClr w14:val="tx1"/>
                        </w14:solidFill>
                      </w14:textFill>
                    </w:rPr>
                    <w:t>铸造及其他金属制品制造项目，不涉及</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钢铁、焦化、电解铝、铸造、水泥和平板玻璃</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等行业制造活动</w:t>
                  </w:r>
                  <w:r>
                    <w:rPr>
                      <w:rFonts w:hint="eastAsia" w:cs="Times New Roman"/>
                      <w:color w:val="000000" w:themeColor="text1"/>
                      <w:kern w:val="0"/>
                      <w:sz w:val="21"/>
                      <w:szCs w:val="21"/>
                      <w:highlight w:val="none"/>
                      <w:lang w:val="en-US" w:eastAsia="zh-CN" w:bidi="zh-CN"/>
                      <w14:textFill>
                        <w14:solidFill>
                          <w14:schemeClr w14:val="tx1"/>
                        </w14:solidFill>
                      </w14:textFill>
                    </w:rPr>
                    <w:t>；</w:t>
                  </w:r>
                </w:p>
              </w:tc>
              <w:tc>
                <w:tcPr>
                  <w:tcW w:w="605" w:type="pct"/>
                  <w:tcBorders>
                    <w:tl2br w:val="nil"/>
                    <w:tr2bl w:val="nil"/>
                  </w:tcBorders>
                  <w:shd w:val="clear" w:color="auto" w:fill="auto"/>
                  <w:noWrap w:val="0"/>
                  <w:vAlign w:val="center"/>
                </w:tcPr>
                <w:p w14:paraId="58BC48B2">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符合</w:t>
                  </w:r>
                </w:p>
              </w:tc>
            </w:tr>
            <w:tr w14:paraId="4A7DB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vMerge w:val="continue"/>
                  <w:tcBorders>
                    <w:tl2br w:val="nil"/>
                    <w:tr2bl w:val="nil"/>
                  </w:tcBorders>
                  <w:shd w:val="clear" w:color="auto" w:fill="auto"/>
                  <w:noWrap w:val="0"/>
                  <w:vAlign w:val="center"/>
                </w:tcPr>
                <w:p w14:paraId="49045783">
                  <w:pPr>
                    <w:pStyle w:val="18"/>
                    <w:adjustRightInd w:val="0"/>
                    <w:snapToGrid w:val="0"/>
                    <w:ind w:left="0" w:leftChars="0"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1949" w:type="pct"/>
                  <w:tcBorders>
                    <w:tl2br w:val="nil"/>
                    <w:tr2bl w:val="nil"/>
                  </w:tcBorders>
                  <w:shd w:val="clear" w:color="auto" w:fill="auto"/>
                  <w:noWrap w:val="0"/>
                  <w:vAlign w:val="center"/>
                </w:tcPr>
                <w:p w14:paraId="056CE1A2">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加快淘汰燃煤工业炉窑。关中地区取缔燃煤热风炉</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基本淘汰热电联产供热管网覆盖范围内的燃煤加热、烘干炉（窑）。加快推进铸造（10吨/小时及以下）、岩棉等行业冲天炉改为电炉。</w:t>
                  </w:r>
                </w:p>
              </w:tc>
              <w:tc>
                <w:tcPr>
                  <w:tcW w:w="1388" w:type="pct"/>
                  <w:tcBorders>
                    <w:tl2br w:val="nil"/>
                    <w:tr2bl w:val="nil"/>
                  </w:tcBorders>
                  <w:shd w:val="clear" w:color="auto" w:fill="auto"/>
                  <w:noWrap w:val="0"/>
                  <w:vAlign w:val="center"/>
                </w:tcPr>
                <w:p w14:paraId="460D1AA7">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本</w:t>
                  </w:r>
                  <w:r>
                    <w:rPr>
                      <w:rFonts w:hint="eastAsia" w:ascii="Times New Roman" w:hAnsi="Times New Roman" w:cs="Times New Roman"/>
                      <w:color w:val="000000" w:themeColor="text1"/>
                      <w:kern w:val="0"/>
                      <w:sz w:val="21"/>
                      <w:szCs w:val="21"/>
                      <w:highlight w:val="none"/>
                      <w:lang w:val="en-US" w:eastAsia="zh-CN" w:bidi="zh-CN"/>
                      <w14:textFill>
                        <w14:solidFill>
                          <w14:schemeClr w14:val="tx1"/>
                        </w14:solidFill>
                      </w14:textFill>
                    </w:rPr>
                    <w:t>项目</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烧结炉</w:t>
                  </w:r>
                  <w:r>
                    <w:rPr>
                      <w:rFonts w:hint="eastAsia" w:ascii="Times New Roman" w:hAnsi="Times New Roman" w:cs="Times New Roman"/>
                      <w:color w:val="000000" w:themeColor="text1"/>
                      <w:kern w:val="0"/>
                      <w:sz w:val="21"/>
                      <w:szCs w:val="21"/>
                      <w:highlight w:val="none"/>
                      <w:lang w:val="en-US" w:eastAsia="zh-CN" w:bidi="zh-CN"/>
                      <w14:textFill>
                        <w14:solidFill>
                          <w14:schemeClr w14:val="tx1"/>
                        </w14:solidFill>
                      </w14:textFill>
                    </w:rPr>
                    <w:t>使用的能源为电能，不属于高污染燃料，本项目使用的烧结炉不涉及冲天炉的改造使用；</w:t>
                  </w:r>
                </w:p>
              </w:tc>
              <w:tc>
                <w:tcPr>
                  <w:tcW w:w="605" w:type="pct"/>
                  <w:tcBorders>
                    <w:tl2br w:val="nil"/>
                    <w:tr2bl w:val="nil"/>
                  </w:tcBorders>
                  <w:shd w:val="clear" w:color="auto" w:fill="auto"/>
                  <w:noWrap w:val="0"/>
                  <w:vAlign w:val="center"/>
                </w:tcPr>
                <w:p w14:paraId="2B5D0151">
                  <w:pPr>
                    <w:pStyle w:val="20"/>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1B7B4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tcBorders>
                    <w:tl2br w:val="nil"/>
                    <w:tr2bl w:val="nil"/>
                  </w:tcBorders>
                  <w:shd w:val="clear" w:color="auto" w:fill="auto"/>
                  <w:noWrap w:val="0"/>
                  <w:vAlign w:val="center"/>
                </w:tcPr>
                <w:p w14:paraId="098FA783">
                  <w:pPr>
                    <w:widowControl/>
                    <w:adjustRightInd w:val="0"/>
                    <w:snapToGrid w:val="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《宝鸡市工业炉窑大气污染综合治理实施方案》</w:t>
                  </w:r>
                </w:p>
              </w:tc>
              <w:tc>
                <w:tcPr>
                  <w:tcW w:w="1949" w:type="pct"/>
                  <w:tcBorders>
                    <w:tl2br w:val="nil"/>
                    <w:tr2bl w:val="nil"/>
                  </w:tcBorders>
                  <w:shd w:val="clear" w:color="auto" w:fill="auto"/>
                  <w:noWrap w:val="0"/>
                  <w:vAlign w:val="center"/>
                </w:tcPr>
                <w:p w14:paraId="192056DC">
                  <w:pPr>
                    <w:widowControl/>
                    <w:adjustRightInd w:val="0"/>
                    <w:snapToGrid w:val="0"/>
                    <w:jc w:val="left"/>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严格新改扩建项目环境准入。新建涉工业炉窑的建设项目</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原则上要入园区</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配套建设高效环保治理设施。</w:t>
                  </w:r>
                </w:p>
              </w:tc>
              <w:tc>
                <w:tcPr>
                  <w:tcW w:w="1388" w:type="pct"/>
                  <w:tcBorders>
                    <w:tl2br w:val="nil"/>
                    <w:tr2bl w:val="nil"/>
                  </w:tcBorders>
                  <w:shd w:val="clear" w:color="auto" w:fill="auto"/>
                  <w:noWrap w:val="0"/>
                  <w:vAlign w:val="center"/>
                </w:tcPr>
                <w:p w14:paraId="45F5BAD7">
                  <w:pPr>
                    <w:widowControl/>
                    <w:adjustRightInd w:val="0"/>
                    <w:snapToGrid w:val="0"/>
                    <w:jc w:val="left"/>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本</w:t>
                  </w:r>
                  <w:r>
                    <w:rPr>
                      <w:rFonts w:hint="eastAsia" w:cs="Times New Roman"/>
                      <w:color w:val="000000" w:themeColor="text1"/>
                      <w:kern w:val="0"/>
                      <w:sz w:val="21"/>
                      <w:szCs w:val="21"/>
                      <w:lang w:val="en-US" w:eastAsia="zh-CN" w:bidi="ar"/>
                      <w14:textFill>
                        <w14:solidFill>
                          <w14:schemeClr w14:val="tx1"/>
                        </w14:solidFill>
                      </w14:textFill>
                    </w:rPr>
                    <w:t>项目位于千河镇宝鸡得力隆纺织有限公司厂区内，属于工业聚集区。</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项目烧结炉使用的能源为电能</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不属于高污染燃料</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且</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真空烧结过程全封闭</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无废气产生。</w:t>
                  </w:r>
                </w:p>
              </w:tc>
              <w:tc>
                <w:tcPr>
                  <w:tcW w:w="605" w:type="pct"/>
                  <w:tcBorders>
                    <w:tl2br w:val="nil"/>
                    <w:tr2bl w:val="nil"/>
                  </w:tcBorders>
                  <w:shd w:val="clear" w:color="auto" w:fill="auto"/>
                  <w:noWrap w:val="0"/>
                  <w:vAlign w:val="center"/>
                </w:tcPr>
                <w:p w14:paraId="5E6D032A">
                  <w:pPr>
                    <w:widowControl/>
                    <w:adjustRightInd w:val="0"/>
                    <w:snapToGrid w:val="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符合</w:t>
                  </w:r>
                </w:p>
              </w:tc>
            </w:tr>
            <w:tr w14:paraId="5E182F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pct"/>
                  <w:vMerge w:val="restart"/>
                  <w:tcBorders>
                    <w:tl2br w:val="nil"/>
                    <w:tr2bl w:val="nil"/>
                  </w:tcBorders>
                  <w:shd w:val="clear" w:color="auto" w:fill="auto"/>
                  <w:noWrap w:val="0"/>
                  <w:vAlign w:val="center"/>
                </w:tcPr>
                <w:p w14:paraId="52099FBD">
                  <w:pPr>
                    <w:pStyle w:val="50"/>
                    <w:numPr>
                      <w:ilvl w:val="0"/>
                      <w:numId w:val="0"/>
                    </w:numPr>
                    <w:ind w:left="0" w:leftChars="0" w:firstLine="0" w:firstLineChars="0"/>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highlight w:val="none"/>
                      <w:lang w:val="en-US" w:eastAsia="zh-CN" w:bidi="ar"/>
                      <w14:textFill>
                        <w14:solidFill>
                          <w14:schemeClr w14:val="tx1"/>
                        </w14:solidFill>
                      </w14:textFill>
                    </w:rPr>
                    <w:t>《宝鸡市大气污染治理专项行动2025年工作方案》</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（宝</w:t>
                  </w:r>
                  <w:r>
                    <w:rPr>
                      <w:rFonts w:hint="eastAsia" w:cs="Times New Roman"/>
                      <w:color w:val="000000" w:themeColor="text1"/>
                      <w:kern w:val="0"/>
                      <w:sz w:val="21"/>
                      <w:szCs w:val="21"/>
                      <w:highlight w:val="none"/>
                      <w:lang w:val="en-US" w:eastAsia="zh-CN" w:bidi="ar"/>
                      <w14:textFill>
                        <w14:solidFill>
                          <w14:schemeClr w14:val="tx1"/>
                        </w14:solidFill>
                      </w14:textFill>
                    </w:rPr>
                    <w:t>气专办发〔2025〕9号</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tc>
              <w:tc>
                <w:tcPr>
                  <w:tcW w:w="1949" w:type="pct"/>
                  <w:tcBorders>
                    <w:tl2br w:val="nil"/>
                    <w:tr2bl w:val="nil"/>
                  </w:tcBorders>
                  <w:shd w:val="clear" w:color="auto" w:fill="auto"/>
                  <w:noWrap w:val="0"/>
                  <w:vAlign w:val="center"/>
                </w:tcPr>
                <w:p w14:paraId="01BB81D9">
                  <w:pPr>
                    <w:keepNext w:val="0"/>
                    <w:keepLines w:val="0"/>
                    <w:pageBreakBefore w:val="0"/>
                    <w:widowControl/>
                    <w:suppressLineNumbers w:val="0"/>
                    <w:kinsoku/>
                    <w:wordWrap w:val="0"/>
                    <w:overflowPunct/>
                    <w:topLinePunct/>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highlight w:val="none"/>
                      <w:shd w:val="clear" w:color="auto" w:fill="FFFFFF"/>
                      <w:lang w:val="en-US" w:eastAsia="zh-CN" w:bidi="zh-CN"/>
                      <w14:textFill>
                        <w14:solidFill>
                          <w14:schemeClr w14:val="tx1"/>
                        </w14:solidFill>
                      </w14:textFill>
                    </w:rPr>
                    <w:t>根据《产业结构调整指</w:t>
                  </w:r>
                  <w:r>
                    <w:rPr>
                      <w:rFonts w:hint="eastAsia" w:ascii="Times New Roman" w:hAnsi="Times New Roman" w:eastAsia="宋体" w:cs="Times New Roman"/>
                      <w:color w:val="000000" w:themeColor="text1"/>
                      <w:sz w:val="21"/>
                      <w:szCs w:val="21"/>
                      <w:highlight w:val="none"/>
                      <w:shd w:val="clear" w:color="auto" w:fill="FFFFFF"/>
                      <w:lang w:val="en-US" w:eastAsia="zh-CN" w:bidi="zh-CN"/>
                      <w14:textFill>
                        <w14:solidFill>
                          <w14:schemeClr w14:val="tx1"/>
                        </w14:solidFill>
                      </w14:textFill>
                    </w:rPr>
                    <w:t>导目录</w:t>
                  </w:r>
                  <w:r>
                    <w:rPr>
                      <w:rFonts w:hint="default" w:ascii="Times New Roman" w:hAnsi="Times New Roman" w:eastAsia="宋体" w:cs="Times New Roman"/>
                      <w:color w:val="000000" w:themeColor="text1"/>
                      <w:sz w:val="21"/>
                      <w:szCs w:val="21"/>
                      <w:highlight w:val="none"/>
                      <w:shd w:val="clear" w:color="auto" w:fill="FFFFFF"/>
                      <w:lang w:val="en-US" w:eastAsia="zh-CN" w:bidi="zh-CN"/>
                      <w14:textFill>
                        <w14:solidFill>
                          <w14:schemeClr w14:val="tx1"/>
                        </w14:solidFill>
                      </w14:textFill>
                    </w:rPr>
                    <w:t>（2024年本）》和最新产业政策要求</w:t>
                  </w:r>
                  <w:r>
                    <w:rPr>
                      <w:rFonts w:hint="eastAsia" w:cs="Times New Roman"/>
                      <w:color w:val="000000" w:themeColor="text1"/>
                      <w:sz w:val="21"/>
                      <w:szCs w:val="21"/>
                      <w:highlight w:val="none"/>
                      <w:shd w:val="clear" w:color="auto" w:fill="FFFFFF"/>
                      <w:lang w:val="en-US" w:eastAsia="zh-CN" w:bidi="zh-CN"/>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FFFFFF"/>
                      <w:lang w:val="en-US" w:eastAsia="zh-CN" w:bidi="zh-CN"/>
                      <w14:textFill>
                        <w14:solidFill>
                          <w14:schemeClr w14:val="tx1"/>
                        </w14:solidFill>
                      </w14:textFill>
                    </w:rPr>
                    <w:t>制定淘汰计划</w:t>
                  </w:r>
                  <w:r>
                    <w:rPr>
                      <w:rFonts w:hint="eastAsia" w:cs="Times New Roman"/>
                      <w:color w:val="000000" w:themeColor="text1"/>
                      <w:sz w:val="21"/>
                      <w:szCs w:val="21"/>
                      <w:highlight w:val="none"/>
                      <w:shd w:val="clear" w:color="auto" w:fill="FFFFFF"/>
                      <w:lang w:val="en-US" w:eastAsia="zh-CN" w:bidi="zh-CN"/>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FFFFFF"/>
                      <w:lang w:val="en-US" w:eastAsia="zh-CN" w:bidi="zh-CN"/>
                      <w14:textFill>
                        <w14:solidFill>
                          <w14:schemeClr w14:val="tx1"/>
                        </w14:solidFill>
                      </w14:textFill>
                    </w:rPr>
                    <w:t>建立淘汰类工艺技术、装备企业清单</w:t>
                  </w:r>
                  <w:r>
                    <w:rPr>
                      <w:rFonts w:hint="eastAsia" w:cs="Times New Roman"/>
                      <w:color w:val="000000" w:themeColor="text1"/>
                      <w:sz w:val="21"/>
                      <w:szCs w:val="21"/>
                      <w:highlight w:val="none"/>
                      <w:shd w:val="clear" w:color="auto" w:fill="FFFFFF"/>
                      <w:lang w:val="en-US" w:eastAsia="zh-CN" w:bidi="zh-CN"/>
                      <w14:textFill>
                        <w14:solidFill>
                          <w14:schemeClr w14:val="tx1"/>
                        </w14:solidFill>
                      </w14:textFill>
                    </w:rPr>
                    <w:t>，</w:t>
                  </w:r>
                  <w:r>
                    <w:rPr>
                      <w:rFonts w:hint="default" w:ascii="Times New Roman" w:hAnsi="Times New Roman" w:eastAsia="宋体" w:cs="Times New Roman"/>
                      <w:color w:val="000000" w:themeColor="text1"/>
                      <w:sz w:val="21"/>
                      <w:szCs w:val="21"/>
                      <w:highlight w:val="none"/>
                      <w:shd w:val="clear" w:color="auto" w:fill="FFFFFF"/>
                      <w:lang w:val="en-US" w:eastAsia="zh-CN" w:bidi="zh-CN"/>
                      <w14:textFill>
                        <w14:solidFill>
                          <w14:schemeClr w14:val="tx1"/>
                        </w14:solidFill>
                      </w14:textFill>
                    </w:rPr>
                    <w:t>逐步淘汰固定床间歇式煤气发生炉、步进式烧结机和球团竖炉以及半封闭式硅锰合金、镍铁、高碳铬铁、高碳锰铁电炉。</w:t>
                  </w:r>
                </w:p>
              </w:tc>
              <w:tc>
                <w:tcPr>
                  <w:tcW w:w="1388" w:type="pct"/>
                  <w:tcBorders>
                    <w:tl2br w:val="nil"/>
                    <w:tr2bl w:val="nil"/>
                  </w:tcBorders>
                  <w:shd w:val="clear" w:color="auto" w:fill="auto"/>
                  <w:noWrap w:val="0"/>
                  <w:vAlign w:val="center"/>
                </w:tcPr>
                <w:p w14:paraId="0BF2EC72">
                  <w:pPr>
                    <w:keepNext w:val="0"/>
                    <w:keepLines w:val="0"/>
                    <w:pageBreakBefore w:val="0"/>
                    <w:widowControl/>
                    <w:suppressLineNumbers w:val="0"/>
                    <w:kinsoku/>
                    <w:wordWrap w:val="0"/>
                    <w:overflowPunct/>
                    <w:topLinePunct/>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eastAsia="宋体" w:cs="Times New Roman"/>
                      <w:color w:val="000000" w:themeColor="text1"/>
                      <w:sz w:val="21"/>
                      <w:szCs w:val="21"/>
                      <w:highlight w:val="none"/>
                      <w:shd w:val="clear" w:color="auto" w:fill="FFFFFF"/>
                      <w:lang w:val="en-US" w:eastAsia="zh-CN" w:bidi="zh-CN"/>
                      <w14:textFill>
                        <w14:solidFill>
                          <w14:schemeClr w14:val="tx1"/>
                        </w14:solidFill>
                      </w14:textFill>
                    </w:rPr>
                    <w:t>经查阅《产业结构调整指导目录（</w:t>
                  </w:r>
                  <w:r>
                    <w:rPr>
                      <w:rFonts w:hint="default" w:ascii="Times New Roman" w:hAnsi="Times New Roman" w:eastAsia="宋体" w:cs="Times New Roman"/>
                      <w:color w:val="000000" w:themeColor="text1"/>
                      <w:sz w:val="21"/>
                      <w:szCs w:val="21"/>
                      <w:highlight w:val="none"/>
                      <w:shd w:val="clear" w:color="auto" w:fill="FFFFFF"/>
                      <w:lang w:val="en-US" w:eastAsia="zh-CN" w:bidi="zh-CN"/>
                      <w14:textFill>
                        <w14:solidFill>
                          <w14:schemeClr w14:val="tx1"/>
                        </w14:solidFill>
                      </w14:textFill>
                    </w:rPr>
                    <w:t>2024</w:t>
                  </w:r>
                  <w:r>
                    <w:rPr>
                      <w:rFonts w:hint="eastAsia" w:ascii="Times New Roman" w:hAnsi="Times New Roman" w:eastAsia="宋体" w:cs="Times New Roman"/>
                      <w:color w:val="000000" w:themeColor="text1"/>
                      <w:sz w:val="21"/>
                      <w:szCs w:val="21"/>
                      <w:highlight w:val="none"/>
                      <w:shd w:val="clear" w:color="auto" w:fill="FFFFFF"/>
                      <w:lang w:val="en-US" w:eastAsia="zh-CN" w:bidi="zh-CN"/>
                      <w14:textFill>
                        <w14:solidFill>
                          <w14:schemeClr w14:val="tx1"/>
                        </w14:solidFill>
                      </w14:textFill>
                    </w:rPr>
                    <w:t>年本）》</w:t>
                  </w:r>
                  <w:r>
                    <w:rPr>
                      <w:rFonts w:hint="eastAsia" w:cs="Times New Roman"/>
                      <w:color w:val="000000" w:themeColor="text1"/>
                      <w:sz w:val="21"/>
                      <w:szCs w:val="21"/>
                      <w:highlight w:val="none"/>
                      <w:shd w:val="clear" w:color="auto" w:fill="FFFFFF"/>
                      <w:lang w:val="en-US" w:eastAsia="zh-CN" w:bidi="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shd w:val="clear" w:color="auto" w:fill="FFFFFF"/>
                      <w:lang w:val="en-US" w:eastAsia="zh-CN" w:bidi="zh-CN"/>
                      <w14:textFill>
                        <w14:solidFill>
                          <w14:schemeClr w14:val="tx1"/>
                        </w14:solidFill>
                      </w14:textFill>
                    </w:rPr>
                    <w:t>本项目不属于该目录中的鼓励类、限制类和淘汰类项目</w:t>
                  </w:r>
                  <w:r>
                    <w:rPr>
                      <w:rFonts w:hint="eastAsia" w:cs="Times New Roman"/>
                      <w:color w:val="000000" w:themeColor="text1"/>
                      <w:sz w:val="21"/>
                      <w:szCs w:val="21"/>
                      <w:highlight w:val="none"/>
                      <w:shd w:val="clear" w:color="auto" w:fill="FFFFFF"/>
                      <w:lang w:val="en-US" w:eastAsia="zh-CN" w:bidi="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shd w:val="clear" w:color="auto" w:fill="FFFFFF"/>
                      <w:lang w:val="en-US" w:eastAsia="zh-CN" w:bidi="zh-CN"/>
                      <w14:textFill>
                        <w14:solidFill>
                          <w14:schemeClr w14:val="tx1"/>
                        </w14:solidFill>
                      </w14:textFill>
                    </w:rPr>
                    <w:t>可视为允许类项目</w:t>
                  </w:r>
                  <w:r>
                    <w:rPr>
                      <w:rFonts w:hint="eastAsia" w:cs="Times New Roman"/>
                      <w:color w:val="000000" w:themeColor="text1"/>
                      <w:sz w:val="21"/>
                      <w:szCs w:val="21"/>
                      <w:highlight w:val="none"/>
                      <w:shd w:val="clear" w:color="auto" w:fill="FFFFFF"/>
                      <w:lang w:val="en-US" w:eastAsia="zh-CN" w:bidi="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shd w:val="clear" w:color="auto" w:fill="FFFFFF"/>
                      <w:lang w:val="en-US" w:eastAsia="zh-CN" w:bidi="zh-CN"/>
                      <w14:textFill>
                        <w14:solidFill>
                          <w14:schemeClr w14:val="tx1"/>
                        </w14:solidFill>
                      </w14:textFill>
                    </w:rPr>
                    <w:t>不涉及上述淘汰工业炉窑</w:t>
                  </w:r>
                </w:p>
              </w:tc>
              <w:tc>
                <w:tcPr>
                  <w:tcW w:w="605" w:type="pct"/>
                  <w:tcBorders>
                    <w:tl2br w:val="nil"/>
                    <w:tr2bl w:val="nil"/>
                  </w:tcBorders>
                  <w:shd w:val="clear" w:color="auto" w:fill="auto"/>
                  <w:noWrap w:val="0"/>
                  <w:vAlign w:val="center"/>
                </w:tcPr>
                <w:p w14:paraId="3C26D3C4">
                  <w:pPr>
                    <w:keepNext w:val="0"/>
                    <w:keepLines w:val="0"/>
                    <w:pageBreakBefore w:val="0"/>
                    <w:widowControl w:val="0"/>
                    <w:kinsoku/>
                    <w:wordWrap/>
                    <w:overflowPunct/>
                    <w:topLinePunct w:val="0"/>
                    <w:bidi w:val="0"/>
                    <w:adjustRightInd w:val="0"/>
                    <w:snapToGrid w:val="0"/>
                    <w:ind w:left="0" w:leftChars="0" w:right="0" w:rightChars="0" w:firstLine="0" w:firstLine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388F75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pct"/>
                  <w:vMerge w:val="continue"/>
                  <w:tcBorders>
                    <w:tl2br w:val="nil"/>
                    <w:tr2bl w:val="nil"/>
                  </w:tcBorders>
                  <w:shd w:val="clear" w:color="auto" w:fill="auto"/>
                  <w:noWrap w:val="0"/>
                  <w:vAlign w:val="center"/>
                </w:tcPr>
                <w:p w14:paraId="50801AB2">
                  <w:pPr>
                    <w:pStyle w:val="50"/>
                    <w:numPr>
                      <w:ilvl w:val="0"/>
                      <w:numId w:val="0"/>
                    </w:numPr>
                    <w:ind w:left="0" w:leftChars="0" w:firstLine="0" w:firstLineChars="0"/>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949" w:type="pct"/>
                  <w:tcBorders>
                    <w:tl2br w:val="nil"/>
                    <w:tr2bl w:val="nil"/>
                  </w:tcBorders>
                  <w:shd w:val="clear" w:color="auto" w:fill="auto"/>
                  <w:noWrap w:val="0"/>
                  <w:vAlign w:val="center"/>
                </w:tcPr>
                <w:p w14:paraId="3733C7F3">
                  <w:pPr>
                    <w:keepNext w:val="0"/>
                    <w:keepLines w:val="0"/>
                    <w:pageBreakBefore w:val="0"/>
                    <w:widowControl/>
                    <w:suppressLineNumbers w:val="0"/>
                    <w:kinsoku/>
                    <w:wordWrap w:val="0"/>
                    <w:overflowPunct/>
                    <w:topLinePunct/>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新、改、扩建项目严格落实各项准入要求</w:t>
                  </w: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原则上采用清洁运输方式</w:t>
                  </w: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对属于节能降碳工业重点领域的新建项目必须按照能效标杆水平建设。严禁新增焦化、水泥熟料、平板玻璃、电解铝、氧化铝、煤化工产能</w:t>
                  </w: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严控新增炼油产能</w:t>
                  </w: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原则上不再新建自备燃煤机组项目。</w:t>
                  </w:r>
                </w:p>
              </w:tc>
              <w:tc>
                <w:tcPr>
                  <w:tcW w:w="1388" w:type="pct"/>
                  <w:tcBorders>
                    <w:tl2br w:val="nil"/>
                    <w:tr2bl w:val="nil"/>
                  </w:tcBorders>
                  <w:shd w:val="clear" w:color="auto" w:fill="auto"/>
                  <w:noWrap w:val="0"/>
                  <w:vAlign w:val="center"/>
                </w:tcPr>
                <w:p w14:paraId="3F85AF0C">
                  <w:pPr>
                    <w:keepNext w:val="0"/>
                    <w:keepLines w:val="0"/>
                    <w:widowControl/>
                    <w:suppressLineNumbers w:val="0"/>
                    <w:spacing w:line="240" w:lineRule="auto"/>
                    <w:ind w:left="0" w:leftChars="0" w:right="0" w:rightChars="0" w:firstLine="0" w:firstLineChars="0"/>
                    <w:jc w:val="left"/>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本项目位于</w:t>
                  </w: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千河镇宝鸡得力隆纺织有限公司厂区内工业聚集区，</w:t>
                  </w: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符合宝鸡市生态环境准入要求</w:t>
                  </w: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不属于</w:t>
                  </w: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焦化、水泥熟料、平板玻璃、电解铝、氧化铝、煤化工</w:t>
                  </w: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等严禁新增产能的行业</w:t>
                  </w:r>
                </w:p>
              </w:tc>
              <w:tc>
                <w:tcPr>
                  <w:tcW w:w="605" w:type="pct"/>
                  <w:tcBorders>
                    <w:tl2br w:val="nil"/>
                    <w:tr2bl w:val="nil"/>
                  </w:tcBorders>
                  <w:shd w:val="clear" w:color="auto" w:fill="auto"/>
                  <w:noWrap w:val="0"/>
                  <w:vAlign w:val="center"/>
                </w:tcPr>
                <w:p w14:paraId="263EC03A">
                  <w:pPr>
                    <w:keepNext w:val="0"/>
                    <w:keepLines w:val="0"/>
                    <w:pageBreakBefore w:val="0"/>
                    <w:widowControl w:val="0"/>
                    <w:kinsoku/>
                    <w:wordWrap/>
                    <w:overflowPunct/>
                    <w:topLinePunct w:val="0"/>
                    <w:bidi w:val="0"/>
                    <w:adjustRightInd w:val="0"/>
                    <w:snapToGrid w:val="0"/>
                    <w:ind w:left="0" w:leftChars="0" w:right="0" w:rightChars="0" w:firstLine="0" w:firstLine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1248B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56" w:type="pct"/>
                  <w:vMerge w:val="continue"/>
                  <w:tcBorders>
                    <w:tl2br w:val="nil"/>
                    <w:tr2bl w:val="nil"/>
                  </w:tcBorders>
                  <w:shd w:val="clear" w:color="auto" w:fill="auto"/>
                  <w:noWrap w:val="0"/>
                  <w:vAlign w:val="center"/>
                </w:tcPr>
                <w:p w14:paraId="48E02823">
                  <w:pPr>
                    <w:pStyle w:val="50"/>
                    <w:numPr>
                      <w:ilvl w:val="0"/>
                      <w:numId w:val="0"/>
                    </w:numPr>
                    <w:ind w:left="0" w:leftChars="0" w:firstLine="0" w:firstLineChars="0"/>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p>
              </w:tc>
              <w:tc>
                <w:tcPr>
                  <w:tcW w:w="1949" w:type="pct"/>
                  <w:tcBorders>
                    <w:tl2br w:val="nil"/>
                    <w:tr2bl w:val="nil"/>
                  </w:tcBorders>
                  <w:shd w:val="clear" w:color="auto" w:fill="auto"/>
                  <w:noWrap w:val="0"/>
                  <w:vAlign w:val="center"/>
                </w:tcPr>
                <w:p w14:paraId="0B7C3BEB">
                  <w:pPr>
                    <w:jc w:val="both"/>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不再新增燃料类煤气发生炉；新、改、扩建熔化炉、加热炉、热处理炉、干燥炉原则上采用清洁能源。燃料类煤气发生炉改用清洁能源替代。年底前完成陶瓷、玻璃、石灰、耐火材料、有色、无机化工、矿物棉、铸造、砖瓦窑等行业炉窑清洁能源替代。</w:t>
                  </w:r>
                </w:p>
              </w:tc>
              <w:tc>
                <w:tcPr>
                  <w:tcW w:w="1388" w:type="pct"/>
                  <w:tcBorders>
                    <w:tl2br w:val="nil"/>
                    <w:tr2bl w:val="nil"/>
                  </w:tcBorders>
                  <w:shd w:val="clear" w:color="auto" w:fill="auto"/>
                  <w:noWrap w:val="0"/>
                  <w:vAlign w:val="center"/>
                </w:tcPr>
                <w:p w14:paraId="261BD6FD">
                  <w:pPr>
                    <w:keepNext w:val="0"/>
                    <w:keepLines w:val="0"/>
                    <w:widowControl/>
                    <w:suppressLineNumbers w:val="0"/>
                    <w:spacing w:line="240" w:lineRule="auto"/>
                    <w:ind w:left="0" w:leftChars="0" w:right="0" w:rightChars="0" w:firstLine="0" w:firstLineChars="0"/>
                    <w:jc w:val="left"/>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本项目烧结炉使用电能</w:t>
                  </w: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不涉及高污染燃料的使用</w:t>
                  </w: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。本项目不属于</w:t>
                  </w: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陶瓷、玻璃、石灰、耐火材料、有色、无机化工、矿物棉、铸造、砖瓦窑等行业</w:t>
                  </w:r>
                </w:p>
              </w:tc>
              <w:tc>
                <w:tcPr>
                  <w:tcW w:w="605" w:type="pct"/>
                  <w:tcBorders>
                    <w:tl2br w:val="nil"/>
                    <w:tr2bl w:val="nil"/>
                  </w:tcBorders>
                  <w:shd w:val="clear" w:color="auto" w:fill="auto"/>
                  <w:noWrap w:val="0"/>
                  <w:vAlign w:val="center"/>
                </w:tcPr>
                <w:p w14:paraId="59A51F4C">
                  <w:pPr>
                    <w:keepNext w:val="0"/>
                    <w:keepLines w:val="0"/>
                    <w:pageBreakBefore w:val="0"/>
                    <w:widowControl w:val="0"/>
                    <w:kinsoku/>
                    <w:wordWrap/>
                    <w:overflowPunct/>
                    <w:topLinePunct w:val="0"/>
                    <w:bidi w:val="0"/>
                    <w:adjustRightInd w:val="0"/>
                    <w:snapToGrid w:val="0"/>
                    <w:ind w:left="0" w:leftChars="0" w:right="0" w:rightChars="0" w:firstLine="0" w:firstLineChars="0"/>
                    <w:jc w:val="center"/>
                    <w:textAlignment w:val="auto"/>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7C09D7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tcBorders>
                    <w:tl2br w:val="nil"/>
                    <w:tr2bl w:val="nil"/>
                  </w:tcBorders>
                  <w:shd w:val="clear" w:color="auto" w:fill="auto"/>
                  <w:noWrap w:val="0"/>
                  <w:vAlign w:val="center"/>
                </w:tcPr>
                <w:p w14:paraId="71DD489B">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《宝鸡市</w:t>
                  </w: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fldChar w:fldCharType="begin"/>
                  </w: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instrText xml:space="preserve"> HYPERLINK "https://huanbao.bjx.com.cn/topics/huanjingkongqizhiliang/" \t "https://huanbao.bjx.com.cn/news/20230822/_blank" </w:instrText>
                  </w: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fldChar w:fldCharType="separate"/>
                  </w: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环境空气质量</w:t>
                  </w: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fldChar w:fldCharType="end"/>
                  </w: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限期达标规划（2023—2030年）》</w:t>
                  </w:r>
                </w:p>
              </w:tc>
              <w:tc>
                <w:tcPr>
                  <w:tcW w:w="1949" w:type="pct"/>
                  <w:tcBorders>
                    <w:tl2br w:val="nil"/>
                    <w:tr2bl w:val="nil"/>
                  </w:tcBorders>
                  <w:shd w:val="clear" w:color="auto" w:fill="auto"/>
                  <w:noWrap w:val="0"/>
                  <w:vAlign w:val="center"/>
                </w:tcPr>
                <w:p w14:paraId="14C0D29F">
                  <w:pPr>
                    <w:pStyle w:val="49"/>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both"/>
                    <w:textAlignment w:val="auto"/>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坚决遏制“两高”项目盲目发展。严格能耗、环保、质量、安全、技术等综合标准，严禁新增钢铁、焦化、水泥熟料、平板玻璃、电解铝、氧化铝、煤化工产能，合理控制煤制油气产能规模，严控新增炼油产能。不得违规新增化工园区。严格执行《产业结构调整指导目录》，坚决遏制“两高”项目盲目发展。市辖区及开发区新、改、扩建涉气重点行业企业应达到环保绩效A级、绩效引领性水平。</w:t>
                  </w:r>
                </w:p>
              </w:tc>
              <w:tc>
                <w:tcPr>
                  <w:tcW w:w="1388" w:type="pct"/>
                  <w:tcBorders>
                    <w:tl2br w:val="nil"/>
                    <w:tr2bl w:val="nil"/>
                  </w:tcBorders>
                  <w:shd w:val="clear" w:color="auto" w:fill="auto"/>
                  <w:noWrap w:val="0"/>
                  <w:vAlign w:val="center"/>
                </w:tcPr>
                <w:p w14:paraId="76E1E36A">
                  <w:pPr>
                    <w:numPr>
                      <w:ilvl w:val="0"/>
                      <w:numId w:val="0"/>
                    </w:numPr>
                    <w:jc w:val="both"/>
                    <w:rPr>
                      <w:rFonts w:hint="eastAsia" w:ascii="Times New Roman" w:hAnsi="Times New Roman" w:cs="Times New Roman"/>
                      <w:color w:val="000000" w:themeColor="text1"/>
                      <w:kern w:val="0"/>
                      <w:sz w:val="21"/>
                      <w:szCs w:val="21"/>
                      <w:highlight w:val="none"/>
                      <w:lang w:val="en-US" w:eastAsia="zh-CN" w:bidi="zh-CN"/>
                      <w14:textFill>
                        <w14:solidFill>
                          <w14:schemeClr w14:val="tx1"/>
                        </w14:solidFill>
                      </w14:textFill>
                    </w:rPr>
                  </w:pPr>
                  <w:r>
                    <w:rPr>
                      <w:rFonts w:hint="eastAsia" w:cs="Times New Roman"/>
                      <w:color w:val="000000" w:themeColor="text1"/>
                      <w:kern w:val="0"/>
                      <w:sz w:val="21"/>
                      <w:szCs w:val="21"/>
                      <w:lang w:val="en-US" w:eastAsia="zh-CN" w:bidi="zh-CN"/>
                      <w14:textFill>
                        <w14:solidFill>
                          <w14:schemeClr w14:val="tx1"/>
                        </w14:solidFill>
                      </w14:textFill>
                    </w:rPr>
                    <w:t>1.</w:t>
                  </w:r>
                  <w:r>
                    <w:rPr>
                      <w:rFonts w:hint="eastAsia" w:ascii="Times New Roman" w:hAnsi="Times New Roman" w:cs="Times New Roman"/>
                      <w:color w:val="000000" w:themeColor="text1"/>
                      <w:kern w:val="0"/>
                      <w:sz w:val="21"/>
                      <w:szCs w:val="21"/>
                      <w:highlight w:val="none"/>
                      <w:lang w:val="en-US" w:eastAsia="zh-CN" w:bidi="zh-CN"/>
                      <w14:textFill>
                        <w14:solidFill>
                          <w14:schemeClr w14:val="tx1"/>
                        </w14:solidFill>
                      </w14:textFill>
                    </w:rPr>
                    <w:t>本项目属于</w:t>
                  </w:r>
                  <w:r>
                    <w:rPr>
                      <w:rFonts w:hint="eastAsia"/>
                      <w:color w:val="000000" w:themeColor="text1"/>
                      <w:sz w:val="21"/>
                      <w:szCs w:val="21"/>
                      <w:lang w:val="en-US" w:eastAsia="zh-CN"/>
                      <w14:textFill>
                        <w14:solidFill>
                          <w14:schemeClr w14:val="tx1"/>
                        </w14:solidFill>
                      </w14:textFill>
                    </w:rPr>
                    <w:t>铸造及其他金属制品制造</w:t>
                  </w:r>
                  <w:r>
                    <w:rPr>
                      <w:rFonts w:hint="eastAsia" w:cs="Times New Roman"/>
                      <w:color w:val="000000" w:themeColor="text1"/>
                      <w:kern w:val="0"/>
                      <w:sz w:val="21"/>
                      <w:szCs w:val="21"/>
                      <w:highlight w:val="none"/>
                      <w:lang w:val="en-US" w:eastAsia="zh-CN" w:bidi="zh-CN"/>
                      <w14:textFill>
                        <w14:solidFill>
                          <w14:schemeClr w14:val="tx1"/>
                        </w14:solidFill>
                      </w14:textFill>
                    </w:rPr>
                    <w:t>，</w:t>
                  </w:r>
                  <w:r>
                    <w:rPr>
                      <w:rFonts w:hint="eastAsia" w:ascii="Times New Roman" w:hAnsi="Times New Roman" w:cs="Times New Roman"/>
                      <w:color w:val="000000" w:themeColor="text1"/>
                      <w:kern w:val="0"/>
                      <w:sz w:val="21"/>
                      <w:szCs w:val="21"/>
                      <w:highlight w:val="none"/>
                      <w:lang w:val="en-US" w:eastAsia="zh-CN" w:bidi="zh-CN"/>
                      <w14:textFill>
                        <w14:solidFill>
                          <w14:schemeClr w14:val="tx1"/>
                        </w14:solidFill>
                      </w14:textFill>
                    </w:rPr>
                    <w:t>不属于上述</w:t>
                  </w: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钢铁、焦化、水泥熟料、平板玻璃、电解铝、氧化铝、煤化工</w:t>
                  </w:r>
                  <w:r>
                    <w:rPr>
                      <w:rFonts w:hint="eastAsia" w:ascii="Times New Roman" w:hAnsi="Times New Roman" w:cs="Times New Roman"/>
                      <w:color w:val="000000" w:themeColor="text1"/>
                      <w:kern w:val="0"/>
                      <w:sz w:val="21"/>
                      <w:szCs w:val="21"/>
                      <w:highlight w:val="none"/>
                      <w:lang w:val="en-US" w:eastAsia="zh-CN" w:bidi="zh-CN"/>
                      <w14:textFill>
                        <w14:solidFill>
                          <w14:schemeClr w14:val="tx1"/>
                        </w14:solidFill>
                      </w14:textFill>
                    </w:rPr>
                    <w:t>严格控制的行业；</w:t>
                  </w:r>
                </w:p>
                <w:p w14:paraId="5401793F">
                  <w:pPr>
                    <w:numPr>
                      <w:ilvl w:val="0"/>
                      <w:numId w:val="0"/>
                    </w:numPr>
                    <w:jc w:val="both"/>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pPr>
                  <w:r>
                    <w:rPr>
                      <w:rFonts w:hint="eastAsia" w:cs="Times New Roman"/>
                      <w:color w:val="000000" w:themeColor="text1"/>
                      <w:kern w:val="0"/>
                      <w:sz w:val="21"/>
                      <w:szCs w:val="21"/>
                      <w:highlight w:val="none"/>
                      <w:lang w:val="en-US" w:eastAsia="zh-CN" w:bidi="zh-CN"/>
                      <w14:textFill>
                        <w14:solidFill>
                          <w14:schemeClr w14:val="tx1"/>
                        </w14:solidFill>
                      </w14:textFill>
                    </w:rPr>
                    <w:t>2.</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根据《关于进一步加强关中地区涉气重点行业项目环评管理的通知》和《重污染天气重点行业应急减排措施制定技术指南》</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2020年修订版）</w:t>
                  </w:r>
                  <w:r>
                    <w:rPr>
                      <w:rFonts w:hint="eastAsia" w:cs="Times New Roman"/>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本项目不属于</w:t>
                  </w:r>
                  <w:r>
                    <w:rPr>
                      <w:rFonts w:hint="eastAsia" w:cs="Times New Roman"/>
                      <w:color w:val="000000" w:themeColor="text1"/>
                      <w:kern w:val="0"/>
                      <w:sz w:val="21"/>
                      <w:szCs w:val="21"/>
                      <w:lang w:val="en-US" w:eastAsia="zh-CN" w:bidi="ar"/>
                      <w14:textFill>
                        <w14:solidFill>
                          <w14:schemeClr w14:val="tx1"/>
                        </w14:solidFill>
                      </w14:textFill>
                    </w:rPr>
                    <w:t>涉气</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重点行业</w:t>
                  </w:r>
                </w:p>
              </w:tc>
              <w:tc>
                <w:tcPr>
                  <w:tcW w:w="605" w:type="pct"/>
                  <w:tcBorders>
                    <w:tl2br w:val="nil"/>
                    <w:tr2bl w:val="nil"/>
                  </w:tcBorders>
                  <w:shd w:val="clear" w:color="auto" w:fill="auto"/>
                  <w:noWrap w:val="0"/>
                  <w:vAlign w:val="center"/>
                </w:tcPr>
                <w:p w14:paraId="54AA8F6C">
                  <w:pPr>
                    <w:pStyle w:val="40"/>
                    <w:ind w:left="420" w:leftChars="0" w:right="0" w:rightChars="0" w:hanging="420" w:hangingChars="20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符合</w:t>
                  </w:r>
                </w:p>
              </w:tc>
            </w:tr>
            <w:tr w14:paraId="65F07D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vMerge w:val="restart"/>
                  <w:tcBorders>
                    <w:tl2br w:val="nil"/>
                    <w:tr2bl w:val="nil"/>
                  </w:tcBorders>
                  <w:shd w:val="clear" w:color="auto" w:fill="auto"/>
                  <w:noWrap w:val="0"/>
                  <w:vAlign w:val="center"/>
                </w:tcPr>
                <w:p w14:paraId="39133421">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《陕西省噪声污染防治行动计划（2023—2025年）》</w:t>
                  </w:r>
                </w:p>
              </w:tc>
              <w:tc>
                <w:tcPr>
                  <w:tcW w:w="1949" w:type="pct"/>
                  <w:tcBorders>
                    <w:tl2br w:val="nil"/>
                    <w:tr2bl w:val="nil"/>
                  </w:tcBorders>
                  <w:shd w:val="clear" w:color="auto" w:fill="auto"/>
                  <w:noWrap w:val="0"/>
                  <w:vAlign w:val="center"/>
                </w:tcPr>
                <w:p w14:paraId="49ABE0DF">
                  <w:pPr>
                    <w:pStyle w:val="49"/>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240" w:lineRule="auto"/>
                    <w:ind w:leftChars="0" w:right="0" w:rightChars="0"/>
                    <w:jc w:val="both"/>
                    <w:textAlignment w:val="auto"/>
                    <w:rPr>
                      <w:rFonts w:hint="eastAsia" w:ascii="Times New Roman" w:hAnsi="Times New Roman" w:cs="Times New Roman" w:eastAsiaTheme="minorEastAsia"/>
                      <w:b/>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严格落实噪声污染防治要求。切实加强规划环评工作，充分考虑区域开发等规划内容产生的噪声对声环境质量的影响。可能产生噪声污染的新改扩建项目应当依法开展环评，符合相关规划环评管控要求。建设项目的噪声污染防治设施应当与主体工程同时设计、同时施工、同时投产使用。</w:t>
                  </w:r>
                </w:p>
              </w:tc>
              <w:tc>
                <w:tcPr>
                  <w:tcW w:w="1388" w:type="pct"/>
                  <w:tcBorders>
                    <w:tl2br w:val="nil"/>
                    <w:tr2bl w:val="nil"/>
                  </w:tcBorders>
                  <w:shd w:val="clear" w:color="auto" w:fill="auto"/>
                  <w:noWrap w:val="0"/>
                  <w:vAlign w:val="center"/>
                </w:tcPr>
                <w:p w14:paraId="5B728FCD">
                  <w:pPr>
                    <w:keepNext w:val="0"/>
                    <w:keepLines w:val="0"/>
                    <w:widowControl/>
                    <w:suppressLineNumbers w:val="0"/>
                    <w:jc w:val="cente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项目环评正在办理中</w:t>
                  </w: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项目噪声防治措施与主体工程同时设计、同时施工、同时投产使用</w:t>
                  </w: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w:t>
                  </w:r>
                </w:p>
              </w:tc>
              <w:tc>
                <w:tcPr>
                  <w:tcW w:w="605" w:type="pct"/>
                  <w:tcBorders>
                    <w:tl2br w:val="nil"/>
                    <w:tr2bl w:val="nil"/>
                  </w:tcBorders>
                  <w:shd w:val="clear" w:color="auto" w:fill="auto"/>
                  <w:noWrap w:val="0"/>
                  <w:vAlign w:val="center"/>
                </w:tcPr>
                <w:p w14:paraId="25DB52D0">
                  <w:pPr>
                    <w:adjustRightInd w:val="0"/>
                    <w:snapToGrid w:val="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符合</w:t>
                  </w:r>
                </w:p>
              </w:tc>
            </w:tr>
            <w:tr w14:paraId="02FD54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vMerge w:val="continue"/>
                  <w:tcBorders>
                    <w:tl2br w:val="nil"/>
                    <w:tr2bl w:val="nil"/>
                  </w:tcBorders>
                  <w:shd w:val="clear" w:color="auto" w:fill="auto"/>
                  <w:noWrap w:val="0"/>
                  <w:vAlign w:val="center"/>
                </w:tcPr>
                <w:p w14:paraId="51042174">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9" w:type="pct"/>
                  <w:tcBorders>
                    <w:tl2br w:val="nil"/>
                    <w:tr2bl w:val="nil"/>
                  </w:tcBorders>
                  <w:shd w:val="clear" w:color="auto" w:fill="auto"/>
                  <w:noWrap w:val="0"/>
                  <w:vAlign w:val="center"/>
                </w:tcPr>
                <w:p w14:paraId="717D70B1">
                  <w:pPr>
                    <w:pStyle w:val="49"/>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eastAsiaTheme="minorEastAsia"/>
                      <w:b/>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落实工业噪声过程控制。噪声排放工业企业切实落实噪声污染防治措施，加强厂区内固定设备、运输工具、货物装卸和试车线等声源噪声管理，避免突发噪声扰民。</w:t>
                  </w:r>
                </w:p>
              </w:tc>
              <w:tc>
                <w:tcPr>
                  <w:tcW w:w="1388" w:type="pct"/>
                  <w:tcBorders>
                    <w:tl2br w:val="nil"/>
                    <w:tr2bl w:val="nil"/>
                  </w:tcBorders>
                  <w:shd w:val="clear" w:color="auto" w:fill="auto"/>
                  <w:noWrap w:val="0"/>
                  <w:vAlign w:val="center"/>
                </w:tcPr>
                <w:p w14:paraId="0A95A8AA">
                  <w:pPr>
                    <w:keepNext w:val="0"/>
                    <w:keepLines w:val="0"/>
                    <w:widowControl/>
                    <w:suppressLineNumbers w:val="0"/>
                    <w:jc w:val="cente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项目运营后的噪声主要来源于设备噪声</w:t>
                  </w: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经采取基础减振、厂房内部合理布局、厂房隔声、距离衰减</w:t>
                  </w: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、为液压机设置减振沟</w:t>
                  </w: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等措施可做到达标排放</w:t>
                  </w:r>
                </w:p>
              </w:tc>
              <w:tc>
                <w:tcPr>
                  <w:tcW w:w="605" w:type="pct"/>
                  <w:tcBorders>
                    <w:tl2br w:val="nil"/>
                    <w:tr2bl w:val="nil"/>
                  </w:tcBorders>
                  <w:shd w:val="clear" w:color="auto" w:fill="auto"/>
                  <w:noWrap w:val="0"/>
                  <w:vAlign w:val="center"/>
                </w:tcPr>
                <w:p w14:paraId="2A81BA9A">
                  <w:pPr>
                    <w:adjustRightInd w:val="0"/>
                    <w:snapToGrid w:val="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符合</w:t>
                  </w:r>
                </w:p>
              </w:tc>
            </w:tr>
            <w:tr w14:paraId="2CD49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vMerge w:val="continue"/>
                  <w:tcBorders>
                    <w:tl2br w:val="nil"/>
                    <w:tr2bl w:val="nil"/>
                  </w:tcBorders>
                  <w:shd w:val="clear" w:color="auto" w:fill="auto"/>
                  <w:noWrap w:val="0"/>
                  <w:vAlign w:val="center"/>
                </w:tcPr>
                <w:p w14:paraId="2882DB07">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949" w:type="pct"/>
                  <w:tcBorders>
                    <w:tl2br w:val="nil"/>
                    <w:tr2bl w:val="nil"/>
                  </w:tcBorders>
                  <w:shd w:val="clear" w:color="auto" w:fill="auto"/>
                  <w:noWrap w:val="0"/>
                  <w:vAlign w:val="center"/>
                </w:tcPr>
                <w:p w14:paraId="2F997517">
                  <w:pPr>
                    <w:pStyle w:val="49"/>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eastAsiaTheme="minorEastAsia"/>
                      <w:b/>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开展噪声监测量值溯源。按照国家规范要求，加强与噪声监测相关计量标准建设，督导各主管部门做好噪声监测类仪器的检定校准工作，有效支撑声环境质量评价和噪声污染治理</w:t>
                  </w:r>
                </w:p>
              </w:tc>
              <w:tc>
                <w:tcPr>
                  <w:tcW w:w="1388" w:type="pct"/>
                  <w:tcBorders>
                    <w:tl2br w:val="nil"/>
                    <w:tr2bl w:val="nil"/>
                  </w:tcBorders>
                  <w:shd w:val="clear" w:color="auto" w:fill="auto"/>
                  <w:noWrap w:val="0"/>
                  <w:vAlign w:val="center"/>
                </w:tcPr>
                <w:p w14:paraId="5FB23BF9">
                  <w:pPr>
                    <w:keepNext w:val="0"/>
                    <w:keepLines w:val="0"/>
                    <w:widowControl/>
                    <w:suppressLineNumbers w:val="0"/>
                    <w:jc w:val="cente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环评要求建设单位严格按照《排污单位自行监测技术指南总则》（HJ819—2017）</w:t>
                  </w:r>
                  <w:r>
                    <w:rPr>
                      <w:rFonts w:hint="default" w:ascii="Times New Roman" w:hAnsi="Times New Roman" w:eastAsia="宋体" w:cs="Times New Roman"/>
                      <w:color w:val="000000" w:themeColor="text1"/>
                      <w:sz w:val="21"/>
                      <w:szCs w:val="21"/>
                      <w:lang w:eastAsia="zh-CN"/>
                      <w14:textFill>
                        <w14:solidFill>
                          <w14:schemeClr w14:val="tx1"/>
                        </w14:solidFill>
                      </w14:textFill>
                    </w:rPr>
                    <w:t>《排污许可证申请与核发技术规范</w:t>
                  </w:r>
                  <w:r>
                    <w:rPr>
                      <w:rFonts w:hint="eastAsia" w:cs="Times New Roman"/>
                      <w:color w:val="000000" w:themeColor="text1"/>
                      <w:sz w:val="21"/>
                      <w:szCs w:val="21"/>
                      <w:lang w:val="en-US" w:eastAsia="zh-CN"/>
                      <w14:textFill>
                        <w14:solidFill>
                          <w14:schemeClr w14:val="tx1"/>
                        </w14:solidFill>
                      </w14:textFill>
                    </w:rPr>
                    <w:t>工业噪声</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HJ1301</w:t>
                  </w:r>
                  <w:r>
                    <w:rPr>
                      <w:rFonts w:hint="default" w:ascii="Times New Roman" w:hAnsi="Times New Roman" w:eastAsia="宋体" w:cs="Times New Roman"/>
                      <w:color w:val="000000" w:themeColor="text1"/>
                      <w:sz w:val="21"/>
                      <w:szCs w:val="21"/>
                      <w:lang w:eastAsia="zh-CN"/>
                      <w14:textFill>
                        <w14:solidFill>
                          <w14:schemeClr w14:val="tx1"/>
                        </w14:solidFill>
                      </w14:textFill>
                    </w:rPr>
                    <w:t>-202</w:t>
                  </w:r>
                  <w:r>
                    <w:rPr>
                      <w:rFonts w:hint="eastAsia" w:cs="Times New Roman"/>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中要求的频次对厂界噪声进行例行监测</w:t>
                  </w:r>
                </w:p>
              </w:tc>
              <w:tc>
                <w:tcPr>
                  <w:tcW w:w="605" w:type="pct"/>
                  <w:tcBorders>
                    <w:tl2br w:val="nil"/>
                    <w:tr2bl w:val="nil"/>
                  </w:tcBorders>
                  <w:shd w:val="clear" w:color="auto" w:fill="auto"/>
                  <w:noWrap w:val="0"/>
                  <w:vAlign w:val="center"/>
                </w:tcPr>
                <w:p w14:paraId="0E44E1BF">
                  <w:pPr>
                    <w:adjustRightInd w:val="0"/>
                    <w:snapToGrid w:val="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符合</w:t>
                  </w:r>
                </w:p>
              </w:tc>
            </w:tr>
            <w:tr w14:paraId="23F09E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56" w:type="pct"/>
                  <w:tcBorders>
                    <w:tl2br w:val="nil"/>
                    <w:tr2bl w:val="nil"/>
                  </w:tcBorders>
                  <w:shd w:val="clear" w:color="auto" w:fill="auto"/>
                  <w:noWrap w:val="0"/>
                  <w:vAlign w:val="center"/>
                </w:tcPr>
                <w:p w14:paraId="4E5DBC61">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关于印发陕西千渭之会国家湿地公园建设工作方案的通知</w:t>
                  </w:r>
                  <w:r>
                    <w:rPr>
                      <w:rFonts w:hint="eastAsia" w:cs="Times New Roman"/>
                      <w:color w:val="000000" w:themeColor="text1"/>
                      <w:sz w:val="21"/>
                      <w:szCs w:val="21"/>
                      <w:highlight w:val="none"/>
                      <w:lang w:eastAsia="zh-CN"/>
                      <w14:textFill>
                        <w14:solidFill>
                          <w14:schemeClr w14:val="tx1"/>
                        </w14:solidFill>
                      </w14:textFill>
                    </w:rPr>
                    <w:t>》（宝政发〔2013〕10号）</w:t>
                  </w:r>
                </w:p>
              </w:tc>
              <w:tc>
                <w:tcPr>
                  <w:tcW w:w="1949" w:type="pct"/>
                  <w:tcBorders>
                    <w:tl2br w:val="nil"/>
                    <w:tr2bl w:val="nil"/>
                  </w:tcBorders>
                  <w:shd w:val="clear" w:color="auto" w:fill="auto"/>
                  <w:noWrap w:val="0"/>
                  <w:vAlign w:val="center"/>
                </w:tcPr>
                <w:p w14:paraId="006931FB">
                  <w:pPr>
                    <w:pStyle w:val="49"/>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陕西千渭之会国家湿地公园位于渭河城区段与千河王家崖水库库区至入渭交汇处。西起卧龙寺大桥，东至凤凰大桥以东2公里，北起王家崖水库，南到滨河路。东西长7公里，南北长17公里，总面积1864.4公顷。湿地公园建设以“保护优先、科学修复、合理利用、持续发展”为原则，通过环境整治、堤防建设、河道疏浚、基础工程和林带营建等措施，达到保护自然河流湿地生态系统、净化水质、改善野生动植物生存环境、丰富生物多样性和承载宝鸡历史文化的目标要求，为城乡居民提供贴近自然、体验文化的休闲场所，实现人与自然和谐共处。</w:t>
                  </w:r>
                </w:p>
              </w:tc>
              <w:tc>
                <w:tcPr>
                  <w:tcW w:w="1388" w:type="pct"/>
                  <w:tcBorders>
                    <w:tl2br w:val="nil"/>
                    <w:tr2bl w:val="nil"/>
                  </w:tcBorders>
                  <w:shd w:val="clear" w:color="auto" w:fill="auto"/>
                  <w:noWrap w:val="0"/>
                  <w:vAlign w:val="center"/>
                </w:tcPr>
                <w:p w14:paraId="0FCB4C24">
                  <w:pPr>
                    <w:keepNext w:val="0"/>
                    <w:keepLines w:val="0"/>
                    <w:widowControl/>
                    <w:suppressLineNumbers w:val="0"/>
                    <w:jc w:val="center"/>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本项目</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东侧280m处为千河</w:t>
                  </w:r>
                  <w:r>
                    <w:rPr>
                      <w:rFonts w:hint="eastAsia" w:cs="Times New Roman"/>
                      <w:color w:val="000000" w:themeColor="text1"/>
                      <w:sz w:val="21"/>
                      <w:szCs w:val="21"/>
                      <w:highlight w:val="none"/>
                      <w:lang w:val="en-US" w:eastAsia="zh-CN"/>
                      <w14:textFill>
                        <w14:solidFill>
                          <w14:schemeClr w14:val="tx1"/>
                        </w14:solidFill>
                      </w14:textFill>
                    </w:rPr>
                    <w:t>，不在</w:t>
                  </w:r>
                  <w:r>
                    <w:rPr>
                      <w:rFonts w:hint="default" w:ascii="Times New Roman" w:hAnsi="Times New Roman" w:eastAsia="宋体" w:cs="Times New Roman"/>
                      <w:color w:val="000000" w:themeColor="text1"/>
                      <w:sz w:val="21"/>
                      <w:szCs w:val="21"/>
                      <w:highlight w:val="none"/>
                      <w14:textFill>
                        <w14:solidFill>
                          <w14:schemeClr w14:val="tx1"/>
                        </w14:solidFill>
                      </w14:textFill>
                    </w:rPr>
                    <w:t>陕西千渭之会国家湿地公园</w:t>
                  </w:r>
                  <w:r>
                    <w:rPr>
                      <w:rFonts w:hint="eastAsia" w:cs="Times New Roman"/>
                      <w:color w:val="000000" w:themeColor="text1"/>
                      <w:sz w:val="21"/>
                      <w:szCs w:val="21"/>
                      <w:highlight w:val="none"/>
                      <w:lang w:val="en-US" w:eastAsia="zh-CN"/>
                      <w14:textFill>
                        <w14:solidFill>
                          <w14:schemeClr w14:val="tx1"/>
                        </w14:solidFill>
                      </w14:textFill>
                    </w:rPr>
                    <w:t>保护范围内，且项目外排废水主要为生活污水，</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依托厂区现有化粪池处理后经市政污水管网进入</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宝鸡市陈仓金信安水务有限公司（宝鸡市陈仓区虢镇污水处理厂）</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处理</w:t>
                  </w:r>
                  <w:r>
                    <w:rPr>
                      <w:rFonts w:hint="eastAsia" w:cs="Times New Roman"/>
                      <w:color w:val="000000" w:themeColor="text1"/>
                      <w:kern w:val="0"/>
                      <w:sz w:val="21"/>
                      <w:szCs w:val="21"/>
                      <w:lang w:val="en-US" w:eastAsia="zh-CN" w:bidi="ar"/>
                      <w14:textFill>
                        <w14:solidFill>
                          <w14:schemeClr w14:val="tx1"/>
                        </w14:solidFill>
                      </w14:textFill>
                    </w:rPr>
                    <w:t>，不会对</w:t>
                  </w:r>
                  <w:r>
                    <w:rPr>
                      <w:rFonts w:hint="default" w:ascii="Times New Roman" w:hAnsi="Times New Roman" w:eastAsia="宋体" w:cs="Times New Roman"/>
                      <w:color w:val="000000" w:themeColor="text1"/>
                      <w:sz w:val="21"/>
                      <w:szCs w:val="21"/>
                      <w:highlight w:val="none"/>
                      <w14:textFill>
                        <w14:solidFill>
                          <w14:schemeClr w14:val="tx1"/>
                        </w14:solidFill>
                      </w14:textFill>
                    </w:rPr>
                    <w:t>陕西千渭之会国家湿地公园</w:t>
                  </w:r>
                  <w:r>
                    <w:rPr>
                      <w:rFonts w:hint="eastAsia" w:cs="Times New Roman"/>
                      <w:color w:val="000000" w:themeColor="text1"/>
                      <w:sz w:val="21"/>
                      <w:szCs w:val="21"/>
                      <w:highlight w:val="none"/>
                      <w:lang w:val="en-US" w:eastAsia="zh-CN"/>
                      <w14:textFill>
                        <w14:solidFill>
                          <w14:schemeClr w14:val="tx1"/>
                        </w14:solidFill>
                      </w14:textFill>
                    </w:rPr>
                    <w:t>产生影响</w:t>
                  </w:r>
                </w:p>
              </w:tc>
              <w:tc>
                <w:tcPr>
                  <w:tcW w:w="605" w:type="pct"/>
                  <w:tcBorders>
                    <w:tl2br w:val="nil"/>
                    <w:tr2bl w:val="nil"/>
                  </w:tcBorders>
                  <w:shd w:val="clear" w:color="auto" w:fill="auto"/>
                  <w:noWrap w:val="0"/>
                  <w:vAlign w:val="center"/>
                </w:tcPr>
                <w:p w14:paraId="69794386">
                  <w:pPr>
                    <w:adjustRightInd w:val="0"/>
                    <w:snapToGrid w:val="0"/>
                    <w:jc w:val="center"/>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符合</w:t>
                  </w:r>
                </w:p>
              </w:tc>
            </w:tr>
          </w:tbl>
          <w:p w14:paraId="0F561C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both"/>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综上所述</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项目建设符合《陕西省大气污染防治条例》</w:t>
            </w:r>
            <w:r>
              <w:rPr>
                <w:rFonts w:hint="eastAsia" w:ascii="Times New Roman" w:hAnsi="Times New Roman" w:eastAsia="宋体" w:cs="Times New Roman"/>
                <w:color w:val="000000" w:themeColor="text1"/>
                <w:kern w:val="2"/>
                <w:sz w:val="21"/>
                <w:szCs w:val="21"/>
                <w:highlight w:val="none"/>
                <w:lang w:val="zh-CN" w:eastAsia="zh-CN" w:bidi="ar-SA"/>
                <w14:textFill>
                  <w14:solidFill>
                    <w14:schemeClr w14:val="tx1"/>
                  </w14:solidFill>
                </w14:textFill>
              </w:rPr>
              <w:t>《宝鸡市大气污染防治条例》</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《陕西省</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十四五</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生态环境保护规划》《</w:t>
            </w:r>
            <w:r>
              <w:rPr>
                <w:rFonts w:hint="eastAsia" w:cs="Times New Roman"/>
                <w:color w:val="000000" w:themeColor="text1"/>
                <w:kern w:val="2"/>
                <w:sz w:val="21"/>
                <w:szCs w:val="21"/>
                <w:highlight w:val="none"/>
                <w:lang w:val="en-US" w:eastAsia="zh-CN" w:bidi="ar-SA"/>
                <w14:textFill>
                  <w14:solidFill>
                    <w14:schemeClr w14:val="tx1"/>
                  </w14:solidFill>
                </w14:textFill>
              </w:rPr>
              <w:t>陈仓区</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大气污染治理专项行动方案（2023</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2027年）》</w:t>
            </w:r>
            <w:r>
              <w:rPr>
                <w:rFonts w:hint="eastAsia" w:cs="Times New Roman"/>
                <w:color w:val="000000" w:themeColor="text1"/>
                <w:kern w:val="0"/>
                <w:sz w:val="21"/>
                <w:szCs w:val="21"/>
                <w:highlight w:val="none"/>
                <w:lang w:val="en-US" w:eastAsia="zh-CN" w:bidi="ar"/>
                <w14:textFill>
                  <w14:solidFill>
                    <w14:schemeClr w14:val="tx1"/>
                  </w14:solidFill>
                </w14:textFill>
              </w:rPr>
              <w:t>《宝鸡市大气污染治理专项行动2025年工作方案》</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陕西省工业炉窑大气污染综合治理方案</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w:t>
            </w:r>
            <w:r>
              <w:rPr>
                <w:rFonts w:hint="eastAsia" w:cs="Times New Roman" w:eastAsiaTheme="minorEastAsia"/>
                <w:b w:val="0"/>
                <w:bCs w:val="0"/>
                <w:color w:val="000000" w:themeColor="text1"/>
                <w:kern w:val="2"/>
                <w:sz w:val="21"/>
                <w:szCs w:val="21"/>
                <w:highlight w:val="none"/>
                <w:lang w:val="en-US" w:eastAsia="zh-CN" w:bidi="ar-SA"/>
                <w14:textFill>
                  <w14:solidFill>
                    <w14:schemeClr w14:val="tx1"/>
                  </w14:solidFill>
                </w14:textFill>
              </w:rPr>
              <w:t>陕</w:t>
            </w:r>
            <w:r>
              <w:rPr>
                <w:rFonts w:hint="default"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西省噪声污染防治行动计划</w:t>
            </w:r>
            <w:r>
              <w:rPr>
                <w:rFonts w:hint="eastAsia" w:ascii="Times New Roman" w:hAnsi="Times New Roman" w:cs="Times New Roman" w:eastAsiaTheme="minorEastAsia"/>
                <w:b w:val="0"/>
                <w:bCs w:val="0"/>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等相关环境保护法律法规要求。</w:t>
            </w:r>
          </w:p>
          <w:p w14:paraId="1E922B6A">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
                <w14:textFill>
                  <w14:solidFill>
                    <w14:schemeClr w14:val="tx1"/>
                  </w14:solidFill>
                </w14:textFill>
              </w:rPr>
              <w:t>4、选址合理性分析</w:t>
            </w:r>
          </w:p>
          <w:p w14:paraId="38A3A266">
            <w:pPr>
              <w:spacing w:line="360" w:lineRule="auto"/>
              <w:ind w:firstLine="420" w:firstLineChars="200"/>
              <w:rPr>
                <w:rFonts w:hint="default"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（1）</w:t>
            </w:r>
            <w:r>
              <w:rPr>
                <w:rFonts w:hint="eastAsia" w:cs="Times New Roman"/>
                <w:color w:val="000000" w:themeColor="text1"/>
                <w:kern w:val="0"/>
                <w:sz w:val="21"/>
                <w:szCs w:val="21"/>
                <w:highlight w:val="none"/>
                <w:lang w:val="en-US" w:eastAsia="zh-CN" w:bidi="ar"/>
                <w14:textFill>
                  <w14:solidFill>
                    <w14:schemeClr w14:val="tx1"/>
                  </w14:solidFill>
                </w14:textFill>
              </w:rPr>
              <w:t>用地合理性分析</w:t>
            </w:r>
          </w:p>
          <w:p w14:paraId="2AFF43C1">
            <w:pPr>
              <w:spacing w:line="360" w:lineRule="auto"/>
              <w:ind w:firstLine="420" w:firstLineChars="20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本项目</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位于宝鸡</w:t>
            </w:r>
            <w:r>
              <w:rPr>
                <w:rFonts w:hint="eastAsia" w:cs="Times New Roman"/>
                <w:color w:val="000000" w:themeColor="text1"/>
                <w:kern w:val="2"/>
                <w:sz w:val="21"/>
                <w:szCs w:val="21"/>
                <w:highlight w:val="none"/>
                <w:lang w:val="en-US" w:eastAsia="zh-CN" w:bidi="ar-SA"/>
                <w14:textFill>
                  <w14:solidFill>
                    <w14:schemeClr w14:val="tx1"/>
                  </w14:solidFill>
                </w14:textFill>
              </w:rPr>
              <w:t>市陈仓</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区</w:t>
            </w:r>
            <w:r>
              <w:rPr>
                <w:rFonts w:hint="eastAsia" w:cs="Times New Roman"/>
                <w:color w:val="000000" w:themeColor="text1"/>
                <w:kern w:val="2"/>
                <w:sz w:val="21"/>
                <w:szCs w:val="21"/>
                <w:highlight w:val="none"/>
                <w:lang w:val="en-US" w:eastAsia="zh-CN" w:bidi="ar-SA"/>
                <w14:textFill>
                  <w14:solidFill>
                    <w14:schemeClr w14:val="tx1"/>
                  </w14:solidFill>
                </w14:textFill>
              </w:rPr>
              <w:t>千河镇宝鸡得力隆纺织有限公司厂区内</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工业聚集区</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项目</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已签订</w:t>
            </w:r>
            <w:r>
              <w:rPr>
                <w:rFonts w:hint="eastAsia" w:cs="Times New Roman"/>
                <w:color w:val="000000" w:themeColor="text1"/>
                <w:kern w:val="2"/>
                <w:sz w:val="21"/>
                <w:szCs w:val="21"/>
                <w:highlight w:val="none"/>
                <w:lang w:val="en-US" w:eastAsia="zh-CN" w:bidi="ar-SA"/>
                <w14:textFill>
                  <w14:solidFill>
                    <w14:schemeClr w14:val="tx1"/>
                  </w14:solidFill>
                </w14:textFill>
              </w:rPr>
              <w:t>厂房租赁</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协议。根据</w:t>
            </w:r>
            <w:r>
              <w:rPr>
                <w:rFonts w:hint="eastAsia" w:cs="Times New Roman"/>
                <w:color w:val="000000" w:themeColor="text1"/>
                <w:kern w:val="2"/>
                <w:sz w:val="21"/>
                <w:szCs w:val="21"/>
                <w:highlight w:val="none"/>
                <w:lang w:val="en-US" w:eastAsia="zh-CN" w:bidi="ar-SA"/>
                <w14:textFill>
                  <w14:solidFill>
                    <w14:schemeClr w14:val="tx1"/>
                  </w14:solidFill>
                </w14:textFill>
              </w:rPr>
              <w:t>建设单位提供的土地证（陕（2024）宝鸡市不动产权第0336292号</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w:t>
            </w:r>
            <w:r>
              <w:rPr>
                <w:rFonts w:hint="eastAsia" w:cs="Times New Roman"/>
                <w:color w:val="000000" w:themeColor="text1"/>
                <w:kern w:val="2"/>
                <w:sz w:val="21"/>
                <w:szCs w:val="21"/>
                <w:highlight w:val="none"/>
                <w:lang w:val="en-US" w:eastAsia="zh-CN" w:bidi="ar-SA"/>
                <w14:textFill>
                  <w14:solidFill>
                    <w14:schemeClr w14:val="tx1"/>
                  </w14:solidFill>
                </w14:textFill>
              </w:rPr>
              <w:t>可知，项目所在地用地性质为工业用地，地块符合宝鸡市陈仓区土地利用规划要求。</w:t>
            </w:r>
          </w:p>
          <w:p w14:paraId="5B1F8992">
            <w:pPr>
              <w:numPr>
                <w:ilvl w:val="0"/>
                <w:numId w:val="0"/>
              </w:numPr>
              <w:spacing w:line="360" w:lineRule="auto"/>
              <w:ind w:leftChars="0" w:firstLine="420" w:firstLineChars="200"/>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（2）环境敏感性分析</w:t>
            </w:r>
          </w:p>
          <w:p w14:paraId="29D8B124">
            <w:pPr>
              <w:numPr>
                <w:ilvl w:val="0"/>
                <w:numId w:val="0"/>
              </w:numPr>
              <w:spacing w:line="360" w:lineRule="auto"/>
              <w:ind w:leftChars="0" w:firstLine="420" w:firstLineChars="200"/>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根据现场勘查</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项目</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位于宝鸡</w:t>
            </w:r>
            <w:r>
              <w:rPr>
                <w:rFonts w:hint="eastAsia" w:cs="Times New Roman"/>
                <w:color w:val="000000" w:themeColor="text1"/>
                <w:kern w:val="2"/>
                <w:sz w:val="21"/>
                <w:szCs w:val="21"/>
                <w:highlight w:val="none"/>
                <w:lang w:val="en-US" w:eastAsia="zh-CN" w:bidi="ar-SA"/>
                <w14:textFill>
                  <w14:solidFill>
                    <w14:schemeClr w14:val="tx1"/>
                  </w14:solidFill>
                </w14:textFill>
              </w:rPr>
              <w:t>市陈仓</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区</w:t>
            </w:r>
            <w:r>
              <w:rPr>
                <w:rFonts w:hint="eastAsia" w:cs="Times New Roman"/>
                <w:color w:val="000000" w:themeColor="text1"/>
                <w:kern w:val="2"/>
                <w:sz w:val="21"/>
                <w:szCs w:val="21"/>
                <w:highlight w:val="none"/>
                <w:lang w:val="en-US" w:eastAsia="zh-CN" w:bidi="ar-SA"/>
                <w14:textFill>
                  <w14:solidFill>
                    <w14:schemeClr w14:val="tx1"/>
                  </w14:solidFill>
                </w14:textFill>
              </w:rPr>
              <w:t>千河镇宝鸡得力隆纺织有限公司厂区内</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属于工业聚集区</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项目所在区域不属于自然</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保护区、森林公园、风景名胜区、世界</w:t>
            </w:r>
            <w:r>
              <w:rPr>
                <w:rFonts w:hint="eastAsia" w:cs="Times New Roman"/>
                <w:color w:val="000000" w:themeColor="text1"/>
                <w:kern w:val="2"/>
                <w:sz w:val="21"/>
                <w:szCs w:val="21"/>
                <w:lang w:val="en-US" w:eastAsia="zh-CN" w:bidi="ar-SA"/>
                <w14:textFill>
                  <w14:solidFill>
                    <w14:schemeClr w14:val="tx1"/>
                  </w14:solidFill>
                </w14:textFill>
              </w:rPr>
              <w:t>文化和自然遗产</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、地质公园等禁止开发的生态红线区、重点保护生态红线区以及脆弱生态保护红线区内</w:t>
            </w:r>
            <w:r>
              <w:rPr>
                <w:rFonts w:hint="eastAsia"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无重点保护野生动植物分布</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cs="Times New Roman"/>
                <w:color w:val="000000" w:themeColor="text1"/>
                <w:kern w:val="0"/>
                <w:sz w:val="21"/>
                <w:szCs w:val="21"/>
                <w:highlight w:val="none"/>
                <w:lang w:val="en-US" w:eastAsia="zh-Hans" w:bidi="ar"/>
                <w14:textFill>
                  <w14:solidFill>
                    <w14:schemeClr w14:val="tx1"/>
                  </w14:solidFill>
                </w14:textFill>
              </w:rPr>
              <w:t>亦</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不涉及风景名胜区、自然保护区、</w:t>
            </w:r>
            <w:r>
              <w:rPr>
                <w:rFonts w:hint="default" w:ascii="Times New Roman" w:hAnsi="Times New Roman" w:cs="Times New Roman"/>
                <w:color w:val="000000" w:themeColor="text1"/>
                <w:kern w:val="0"/>
                <w:sz w:val="21"/>
                <w:szCs w:val="21"/>
                <w:highlight w:val="none"/>
                <w:lang w:val="en-US" w:eastAsia="zh-Hans" w:bidi="ar"/>
                <w14:textFill>
                  <w14:solidFill>
                    <w14:schemeClr w14:val="tx1"/>
                  </w14:solidFill>
                </w14:textFill>
              </w:rPr>
              <w:t>永久</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基本农田、文物保护单位、饮用水水源地等敏感区域</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项目建设不会占用生态红线保护区。</w:t>
            </w:r>
          </w:p>
          <w:p w14:paraId="50CE411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420" w:firstLineChars="200"/>
              <w:jc w:val="left"/>
              <w:textAlignment w:val="auto"/>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（3）环境区划功能符合性</w:t>
            </w:r>
          </w:p>
          <w:p w14:paraId="7822E83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420" w:firstLineChars="200"/>
              <w:jc w:val="left"/>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项目所在地不属于水源保护区；项目所在区域为环境空气质量二类功能区；地表水环境质量Ⅲ类区；本项目</w:t>
            </w:r>
            <w:r>
              <w:rPr>
                <w:rFonts w:hint="eastAsia" w:cs="Times New Roman"/>
                <w:color w:val="000000" w:themeColor="text1"/>
                <w:kern w:val="0"/>
                <w:sz w:val="21"/>
                <w:szCs w:val="21"/>
                <w:highlight w:val="none"/>
                <w:lang w:val="en-US" w:eastAsia="zh-CN" w:bidi="ar"/>
                <w14:textFill>
                  <w14:solidFill>
                    <w14:schemeClr w14:val="tx1"/>
                  </w14:solidFill>
                </w14:textFill>
              </w:rPr>
              <w:t>厂界50m范围内不涉及声</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环境敏感目标</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项目</w:t>
            </w:r>
            <w:r>
              <w:rPr>
                <w:rFonts w:hint="eastAsia" w:cs="Times New Roman"/>
                <w:color w:val="000000" w:themeColor="text1"/>
                <w:kern w:val="0"/>
                <w:sz w:val="21"/>
                <w:szCs w:val="21"/>
                <w:highlight w:val="none"/>
                <w:lang w:val="en-US" w:eastAsia="zh-CN" w:bidi="ar"/>
                <w14:textFill>
                  <w14:solidFill>
                    <w14:schemeClr w14:val="tx1"/>
                  </w14:solidFill>
                </w14:textFill>
              </w:rPr>
              <w:t>在实施</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环评提出</w:t>
            </w:r>
            <w:r>
              <w:rPr>
                <w:rFonts w:hint="eastAsia" w:cs="Times New Roman"/>
                <w:color w:val="000000" w:themeColor="text1"/>
                <w:kern w:val="0"/>
                <w:sz w:val="21"/>
                <w:szCs w:val="21"/>
                <w:highlight w:val="none"/>
                <w:lang w:val="en-US" w:eastAsia="zh-CN" w:bidi="ar"/>
                <w14:textFill>
                  <w14:solidFill>
                    <w14:schemeClr w14:val="tx1"/>
                  </w14:solidFill>
                </w14:textFill>
              </w:rPr>
              <w:t>的</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各项</w:t>
            </w:r>
            <w:r>
              <w:rPr>
                <w:rFonts w:hint="eastAsia" w:cs="Times New Roman"/>
                <w:color w:val="000000" w:themeColor="text1"/>
                <w:kern w:val="0"/>
                <w:sz w:val="21"/>
                <w:szCs w:val="21"/>
                <w:highlight w:val="none"/>
                <w:lang w:val="en-US" w:eastAsia="zh-CN" w:bidi="ar"/>
                <w14:textFill>
                  <w14:solidFill>
                    <w14:schemeClr w14:val="tx1"/>
                  </w14:solidFill>
                </w14:textFill>
              </w:rPr>
              <w:t>降噪</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措施后</w:t>
            </w:r>
            <w:r>
              <w:rPr>
                <w:rFonts w:hint="eastAsia" w:cs="Times New Roman"/>
                <w:color w:val="000000" w:themeColor="text1"/>
                <w:kern w:val="0"/>
                <w:sz w:val="21"/>
                <w:szCs w:val="21"/>
                <w:highlight w:val="none"/>
                <w:lang w:val="en-US" w:eastAsia="zh-CN" w:bidi="ar"/>
                <w14:textFill>
                  <w14:solidFill>
                    <w14:schemeClr w14:val="tx1"/>
                  </w14:solidFill>
                </w14:textFill>
              </w:rPr>
              <w:t>，可确保厂界四周及声环境保护目标处噪声达标排放。项目废气为</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焊接、激光</w:t>
            </w:r>
            <w:r>
              <w:rPr>
                <w:rFonts w:hint="eastAsia" w:cs="Times New Roman"/>
                <w:color w:val="000000" w:themeColor="text1"/>
                <w:kern w:val="0"/>
                <w:sz w:val="21"/>
                <w:szCs w:val="21"/>
                <w:highlight w:val="none"/>
                <w:lang w:val="en-US" w:eastAsia="zh-CN" w:bidi="ar"/>
                <w14:textFill>
                  <w14:solidFill>
                    <w14:schemeClr w14:val="tx1"/>
                  </w14:solidFill>
                </w14:textFill>
              </w:rPr>
              <w:t>、修磨工序</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切割</w:t>
            </w:r>
            <w:r>
              <w:rPr>
                <w:rFonts w:hint="eastAsia" w:cs="Times New Roman"/>
                <w:color w:val="000000" w:themeColor="text1"/>
                <w:kern w:val="0"/>
                <w:sz w:val="21"/>
                <w:szCs w:val="21"/>
                <w:highlight w:val="none"/>
                <w:lang w:val="en-US" w:eastAsia="zh-CN" w:bidi="ar"/>
                <w14:textFill>
                  <w14:solidFill>
                    <w14:schemeClr w14:val="tx1"/>
                  </w14:solidFill>
                </w14:textFill>
              </w:rPr>
              <w:t>产生的颗粒物，</w:t>
            </w:r>
            <w:r>
              <w:rPr>
                <w:rFonts w:hint="eastAsia" w:cs="Times New Roman"/>
                <w:color w:val="000000" w:themeColor="text1"/>
                <w:sz w:val="21"/>
                <w:szCs w:val="21"/>
                <w:highlight w:val="none"/>
                <w:lang w:val="en-US" w:eastAsia="zh-CN"/>
                <w14:textFill>
                  <w14:solidFill>
                    <w14:schemeClr w14:val="tx1"/>
                  </w14:solidFill>
                </w14:textFill>
              </w:rPr>
              <w:t>收集后引入1套高效脉冲布袋除尘器处理后通过排气筒达标排放；</w:t>
            </w:r>
            <w:r>
              <w:rPr>
                <w:rFonts w:hint="eastAsia" w:cs="Times New Roman"/>
                <w:color w:val="000000" w:themeColor="text1"/>
                <w:kern w:val="0"/>
                <w:sz w:val="21"/>
                <w:szCs w:val="21"/>
                <w:highlight w:val="none"/>
                <w:lang w:val="en-US" w:eastAsia="zh-CN" w:bidi="ar"/>
                <w14:textFill>
                  <w14:solidFill>
                    <w14:schemeClr w14:val="tx1"/>
                  </w14:solidFill>
                </w14:textFill>
              </w:rPr>
              <w:t>项目运营期生活污水依托现有化粪池收集处理后进入市政污水管网处理；一般固废综合利用外售，危险废物暂存于危废贮存库内，定期交由有资质的单位处置，固体废物均得到</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合理处置</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从环境影响角度分析对周围环境</w:t>
            </w:r>
            <w:r>
              <w:rPr>
                <w:rFonts w:hint="default" w:ascii="Times New Roman" w:hAnsi="Times New Roman" w:cs="Times New Roman"/>
                <w:color w:val="000000" w:themeColor="text1"/>
                <w:kern w:val="0"/>
                <w:sz w:val="21"/>
                <w:szCs w:val="21"/>
                <w:highlight w:val="none"/>
                <w:lang w:val="en-US" w:eastAsia="zh-Hans" w:bidi="ar"/>
                <w14:textFill>
                  <w14:solidFill>
                    <w14:schemeClr w14:val="tx1"/>
                  </w14:solidFill>
                </w14:textFill>
              </w:rPr>
              <w:t>影响可控</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w:t>
            </w:r>
          </w:p>
          <w:p w14:paraId="5994B8A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因此</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在严格落实本报告提出的环保措施后</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项目的建设和运行不会对外环境产生较大影响</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从</w:t>
            </w:r>
            <w:r>
              <w:rPr>
                <w:rFonts w:hint="eastAsia" w:cs="Times New Roman"/>
                <w:color w:val="000000" w:themeColor="text1"/>
                <w:kern w:val="0"/>
                <w:sz w:val="21"/>
                <w:szCs w:val="21"/>
                <w:highlight w:val="none"/>
                <w:lang w:val="en-US" w:eastAsia="zh-CN" w:bidi="ar"/>
                <w14:textFill>
                  <w14:solidFill>
                    <w14:schemeClr w14:val="tx1"/>
                  </w14:solidFill>
                </w14:textFill>
              </w:rPr>
              <w:t>环境保护角度</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分析</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项目选址可行</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w:t>
            </w:r>
          </w:p>
          <w:p w14:paraId="43EE3B0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44B2A5E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01CBF02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43896A1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38B15B5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4497574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4E080F9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055EE21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5CB55FA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694EBAA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34B5CCB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524F0D8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7D14730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6BD433B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11245CA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p w14:paraId="036031F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pPr>
          </w:p>
        </w:tc>
      </w:tr>
    </w:tbl>
    <w:p w14:paraId="4589635A">
      <w:pPr>
        <w:spacing w:line="360" w:lineRule="auto"/>
        <w:outlineLvl w:val="0"/>
        <w:rPr>
          <w:rFonts w:hint="default" w:ascii="Times New Roman" w:hAnsi="Times New Roman" w:eastAsia="黑体" w:cs="Times New Roman"/>
          <w:color w:val="000000" w:themeColor="text1"/>
          <w:sz w:val="30"/>
          <w14:textFill>
            <w14:solidFill>
              <w14:schemeClr w14:val="tx1"/>
            </w14:solidFill>
          </w14:textFill>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556A05E2">
      <w:pPr>
        <w:pStyle w:val="20"/>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二、建设项目工程分析</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8522"/>
      </w:tblGrid>
      <w:tr w14:paraId="6EBE03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1" w:hRule="atLeast"/>
          <w:jc w:val="center"/>
        </w:trPr>
        <w:tc>
          <w:tcPr>
            <w:tcW w:w="823" w:type="dxa"/>
            <w:noWrap w:val="0"/>
            <w:vAlign w:val="center"/>
          </w:tcPr>
          <w:p w14:paraId="0DA7CFB3">
            <w:pPr>
              <w:pStyle w:val="20"/>
              <w:adjustRightInd w:val="0"/>
              <w:snapToGrid w:val="0"/>
              <w:spacing w:before="0" w:beforeAutospacing="0" w:after="0" w:afterAutospacing="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建设内容</w:t>
            </w:r>
          </w:p>
        </w:tc>
        <w:tc>
          <w:tcPr>
            <w:tcW w:w="8161" w:type="dxa"/>
            <w:noWrap w:val="0"/>
            <w:vAlign w:val="top"/>
          </w:tcPr>
          <w:p w14:paraId="7FB67F5B">
            <w:pPr>
              <w:spacing w:line="360" w:lineRule="auto"/>
              <w:ind w:firstLine="422" w:firstLineChars="200"/>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1、项目由来</w:t>
            </w:r>
          </w:p>
          <w:p w14:paraId="679069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金属过滤元件是新材料领域的核心基础零部件</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凭借其耐高温、耐腐蚀、高精度过滤的特性</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广泛应用于化工、冶金、环保、航空航天、生物医药等多个领域</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下游市场对高品质金属过滤材料的需求持续稳定增长。</w:t>
            </w:r>
          </w:p>
          <w:p w14:paraId="141A72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宝鸡玖宝鑫新材科技有限公司立足区域产业配套优势</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聚焦金属过滤材料细分赛道</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拟投资260万元租用</w:t>
            </w:r>
            <w:r>
              <w:rPr>
                <w:rFonts w:hint="eastAsia" w:cs="Times New Roman"/>
                <w:color w:val="000000" w:themeColor="text1"/>
                <w:sz w:val="21"/>
                <w:szCs w:val="21"/>
                <w:lang w:val="en-US" w:eastAsia="zh-CN"/>
                <w14:textFill>
                  <w14:solidFill>
                    <w14:schemeClr w14:val="tx1"/>
                  </w14:solidFill>
                </w14:textFill>
              </w:rPr>
              <w:t>宝鸡市陈仓区千河工业园宝鸡得力隆纺织有限公司厂区内1#厂房</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建设本项目</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旨在打造专业化、标准化的金属过滤元件生产基地</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填补区域高端金属过滤材料产能缺口</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为下游客户提供定制化、高品质的过滤元件产品与解决方案。</w:t>
            </w:r>
          </w:p>
          <w:p w14:paraId="6B315F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cs="Times New Roman"/>
                <w:color w:val="000000" w:themeColor="text1"/>
                <w:sz w:val="21"/>
                <w:szCs w:val="2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本项目拟</w:t>
            </w:r>
            <w:r>
              <w:rPr>
                <w:rFonts w:hint="eastAsia" w:cs="Times New Roman"/>
                <w:color w:val="000000" w:themeColor="text1"/>
                <w:sz w:val="21"/>
                <w:szCs w:val="21"/>
                <w:lang w:val="en-US" w:eastAsia="zh-CN"/>
                <w14:textFill>
                  <w14:solidFill>
                    <w14:schemeClr w14:val="tx1"/>
                  </w14:solidFill>
                </w14:textFill>
              </w:rPr>
              <w:t>新</w:t>
            </w:r>
            <w:r>
              <w:rPr>
                <w:rFonts w:hint="eastAsia" w:cs="Times New Roman"/>
                <w:color w:val="000000" w:themeColor="text1"/>
                <w:sz w:val="21"/>
                <w:szCs w:val="21"/>
                <w:highlight w:val="none"/>
                <w:lang w:val="en-US" w:eastAsia="zh-CN"/>
                <w14:textFill>
                  <w14:solidFill>
                    <w14:schemeClr w14:val="tx1"/>
                  </w14:solidFill>
                </w14:textFill>
              </w:rPr>
              <w:t>购置高温真空烧结炉、轧机、油压机等生产设备，建成后预计可形成年生产金属过滤元件25吨的生产规模。</w:t>
            </w:r>
          </w:p>
          <w:p w14:paraId="1D39A0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根据《中华人民共和国环境影响评价法</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建设项目环境保护管理条例》规定</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该</w:t>
            </w:r>
            <w:r>
              <w:rPr>
                <w:rFonts w:hint="default" w:ascii="Times New Roman" w:hAnsi="Times New Roman" w:eastAsia="宋体" w:cs="Times New Roman"/>
                <w:color w:val="000000" w:themeColor="text1"/>
                <w:sz w:val="21"/>
                <w:szCs w:val="21"/>
                <w14:textFill>
                  <w14:solidFill>
                    <w14:schemeClr w14:val="tx1"/>
                  </w14:solidFill>
                </w14:textFill>
              </w:rPr>
              <w:t>项目应进行环境影响评价工作</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根据</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国民经济行业分类</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（GB/T4754-2017），本项目涉及的主要原料为不锈钢粉及纯海绵钛粉，主要涉及粉末</w:t>
            </w:r>
            <w:r>
              <w:rPr>
                <w:rFonts w:hint="eastAsia"/>
                <w:color w:val="000000" w:themeColor="text1"/>
                <w:lang w:val="en-US" w:eastAsia="zh-CN"/>
                <w14:textFill>
                  <w14:solidFill>
                    <w14:schemeClr w14:val="tx1"/>
                  </w14:solidFill>
                </w14:textFill>
              </w:rPr>
              <w:t>压制成型、烧结工艺</w:t>
            </w:r>
            <w:r>
              <w:rPr>
                <w:rFonts w:hint="eastAsia"/>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产品为金属过滤元件，应属于C3393锻件及粉末冶金制品制造。对照</w:t>
            </w:r>
            <w:r>
              <w:rPr>
                <w:rFonts w:hint="default" w:cs="Times New Roman"/>
                <w:color w:val="000000" w:themeColor="text1"/>
                <w:sz w:val="21"/>
                <w:szCs w:val="21"/>
                <w:lang w:val="en-US" w:eastAsia="zh-CN"/>
                <w14:textFill>
                  <w14:solidFill>
                    <w14:schemeClr w14:val="tx1"/>
                  </w14:solidFill>
                </w14:textFill>
              </w:rPr>
              <w:t>《建设项目环境影响评价分类管理名录》（2021版）的类别划分</w:t>
            </w:r>
            <w:r>
              <w:rPr>
                <w:rFonts w:hint="eastAsia" w:cs="Times New Roman"/>
                <w:color w:val="000000" w:themeColor="text1"/>
                <w:sz w:val="21"/>
                <w:szCs w:val="21"/>
                <w:lang w:val="en-US" w:eastAsia="zh-CN"/>
                <w14:textFill>
                  <w14:solidFill>
                    <w14:schemeClr w14:val="tx1"/>
                  </w14:solidFill>
                </w14:textFill>
              </w:rPr>
              <w:t>，</w:t>
            </w:r>
            <w:r>
              <w:rPr>
                <w:rFonts w:hint="default" w:cs="Times New Roman"/>
                <w:color w:val="000000" w:themeColor="text1"/>
                <w:sz w:val="21"/>
                <w:szCs w:val="21"/>
                <w:lang w:val="en-US" w:eastAsia="zh-CN"/>
                <w14:textFill>
                  <w14:solidFill>
                    <w14:schemeClr w14:val="tx1"/>
                  </w14:solidFill>
                </w14:textFill>
              </w:rPr>
              <w:t>本项目</w:t>
            </w:r>
            <w:r>
              <w:rPr>
                <w:rFonts w:hint="eastAsia" w:cs="Times New Roman"/>
                <w:color w:val="000000" w:themeColor="text1"/>
                <w:sz w:val="21"/>
                <w:szCs w:val="21"/>
                <w:lang w:val="en-US" w:eastAsia="zh-CN"/>
                <w14:textFill>
                  <w14:solidFill>
                    <w14:schemeClr w14:val="tx1"/>
                  </w14:solidFill>
                </w14:textFill>
              </w:rPr>
              <w:t>应</w:t>
            </w:r>
            <w:r>
              <w:rPr>
                <w:rFonts w:hint="default" w:cs="Times New Roman"/>
                <w:color w:val="000000" w:themeColor="text1"/>
                <w:sz w:val="21"/>
                <w:szCs w:val="21"/>
                <w:lang w:val="en-US" w:eastAsia="zh-CN"/>
                <w14:textFill>
                  <w14:solidFill>
                    <w14:schemeClr w14:val="tx1"/>
                  </w14:solidFill>
                </w14:textFill>
              </w:rPr>
              <w:t>属于</w:t>
            </w:r>
            <w:r>
              <w:rPr>
                <w:rFonts w:hint="eastAsia" w:cs="Times New Roman"/>
                <w:color w:val="000000" w:themeColor="text1"/>
                <w:sz w:val="21"/>
                <w:szCs w:val="21"/>
                <w:lang w:val="en-US" w:eastAsia="zh-CN"/>
                <w14:textFill>
                  <w14:solidFill>
                    <w14:schemeClr w14:val="tx1"/>
                  </w14:solidFill>
                </w14:textFill>
              </w:rPr>
              <w:t>“三十</w:t>
            </w:r>
            <w:r>
              <w:rPr>
                <w:rFonts w:hint="default"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金属制品业</w:t>
            </w:r>
            <w:r>
              <w:rPr>
                <w:rFonts w:hint="default" w:cs="Times New Roman"/>
                <w:color w:val="000000" w:themeColor="text1"/>
                <w:sz w:val="21"/>
                <w:szCs w:val="21"/>
                <w:lang w:val="en-US" w:eastAsia="zh-CN"/>
                <w14:textFill>
                  <w14:solidFill>
                    <w14:schemeClr w14:val="tx1"/>
                  </w14:solidFill>
                </w14:textFill>
              </w:rPr>
              <w:t>——6</w:t>
            </w:r>
            <w:r>
              <w:rPr>
                <w:rFonts w:hint="eastAsia" w:cs="Times New Roman"/>
                <w:color w:val="000000" w:themeColor="text1"/>
                <w:sz w:val="21"/>
                <w:szCs w:val="21"/>
                <w:lang w:val="en-US" w:eastAsia="zh-CN"/>
                <w14:textFill>
                  <w14:solidFill>
                    <w14:schemeClr w14:val="tx1"/>
                  </w14:solidFill>
                </w14:textFill>
              </w:rPr>
              <w:t>8铸造及其他金属制品制造339</w:t>
            </w:r>
            <w:r>
              <w:rPr>
                <w:rFonts w:hint="default"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其他（仅分割、焊接、组装的除外）</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，应编制环境影响报告表</w:t>
            </w:r>
            <w:r>
              <w:rPr>
                <w:rFonts w:hint="default" w:ascii="Times New Roman" w:hAnsi="Times New Roman" w:cs="Times New Roman"/>
                <w:color w:val="000000" w:themeColor="text1"/>
                <w:sz w:val="21"/>
                <w:szCs w:val="21"/>
                <w14:textFill>
                  <w14:solidFill>
                    <w14:schemeClr w14:val="tx1"/>
                  </w14:solidFill>
                </w14:textFill>
              </w:rPr>
              <w:t>。</w:t>
            </w:r>
          </w:p>
          <w:p w14:paraId="7E3738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具体见下表。</w:t>
            </w:r>
          </w:p>
          <w:p w14:paraId="4C3597C1">
            <w:pPr>
              <w:pStyle w:val="23"/>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表2-1建设项目环境影响评价分类管理名录</w:t>
            </w:r>
          </w:p>
          <w:tbl>
            <w:tblPr>
              <w:tblStyle w:val="25"/>
              <w:tblW w:w="4998" w:type="pct"/>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1185"/>
              <w:gridCol w:w="1878"/>
              <w:gridCol w:w="1244"/>
              <w:gridCol w:w="773"/>
              <w:gridCol w:w="826"/>
              <w:gridCol w:w="1843"/>
            </w:tblGrid>
            <w:tr w14:paraId="52FFD3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033" w:type="pct"/>
                  <w:gridSpan w:val="2"/>
                  <w:tcBorders>
                    <w:tl2br w:val="nil"/>
                    <w:tr2bl w:val="nil"/>
                  </w:tcBorders>
                  <w:noWrap w:val="0"/>
                  <w:vAlign w:val="top"/>
                </w:tcPr>
                <w:p w14:paraId="76611E77">
                  <w:pPr>
                    <w:keepNext w:val="0"/>
                    <w:keepLines w:val="0"/>
                    <w:suppressLineNumbers w:val="0"/>
                    <w:spacing w:before="0" w:beforeAutospacing="0" w:after="0" w:afterAutospacing="0"/>
                    <w:ind w:left="0" w:right="0"/>
                    <w:jc w:val="left"/>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167005</wp:posOffset>
                            </wp:positionH>
                            <wp:positionV relativeFrom="paragraph">
                              <wp:posOffset>61595</wp:posOffset>
                            </wp:positionV>
                            <wp:extent cx="767080" cy="320040"/>
                            <wp:effectExtent l="0" t="0" r="0" b="0"/>
                            <wp:wrapNone/>
                            <wp:docPr id="14" name="文本框 14"/>
                            <wp:cNvGraphicFramePr/>
                            <a:graphic xmlns:a="http://schemas.openxmlformats.org/drawingml/2006/main">
                              <a:graphicData uri="http://schemas.microsoft.com/office/word/2010/wordprocessingShape">
                                <wps:wsp>
                                  <wps:cNvSpPr txBox="1"/>
                                  <wps:spPr>
                                    <a:xfrm>
                                      <a:off x="2020570" y="5970905"/>
                                      <a:ext cx="767080" cy="320040"/>
                                    </a:xfrm>
                                    <a:prstGeom prst="rect">
                                      <a:avLst/>
                                    </a:prstGeom>
                                    <a:noFill/>
                                    <a:ln w="6350">
                                      <a:noFill/>
                                    </a:ln>
                                    <a:effectLst/>
                                  </wps:spPr>
                                  <wps:txbx>
                                    <w:txbxContent>
                                      <w:p w14:paraId="3E979E6A">
                                        <w:pPr>
                                          <w:rPr>
                                            <w:rFonts w:hint="default" w:eastAsia="宋体"/>
                                            <w:b/>
                                            <w:bCs/>
                                            <w:lang w:val="en-US" w:eastAsia="zh-CN"/>
                                          </w:rPr>
                                        </w:pPr>
                                        <w:r>
                                          <w:rPr>
                                            <w:rFonts w:hint="eastAsia"/>
                                            <w:b/>
                                            <w:bCs/>
                                            <w:lang w:val="en-US" w:eastAsia="zh-CN"/>
                                          </w:rPr>
                                          <w:t>环评类别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5pt;margin-top:4.85pt;height:25.2pt;width:60.4pt;z-index:251661312;mso-width-relative:page;mso-height-relative:page;" filled="f" stroked="f" coordsize="21600,21600" o:gfxdata="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Mx7bc2AAAAAcBAAAPAAAA&#10;AAAAAAEAIAAAACIAAABkcnMvZG93bnJldi54bWxQSwECFAAUAAAACACHTuJAIt7ruk4CAACBBAAA&#10;DgAAAAAAAAABACAAAAAnAQAAZHJzL2Uyb0RvYy54bWxQSwUGAAAAAAYABgBZAQAA5wUAAAAA&#10;">
                            <v:fill on="f" focussize="0,0"/>
                            <v:stroke on="f" weight="0.5pt"/>
                            <v:imagedata o:title=""/>
                            <o:lock v:ext="edit" aspectratio="f"/>
                            <v:textbox>
                              <w:txbxContent>
                                <w:p w14:paraId="3E979E6A">
                                  <w:pPr>
                                    <w:rPr>
                                      <w:rFonts w:hint="default" w:eastAsia="宋体"/>
                                      <w:b/>
                                      <w:bCs/>
                                      <w:lang w:val="en-US" w:eastAsia="zh-CN"/>
                                    </w:rPr>
                                  </w:pPr>
                                  <w:r>
                                    <w:rPr>
                                      <w:rFonts w:hint="eastAsia"/>
                                      <w:b/>
                                      <w:bCs/>
                                      <w:lang w:val="en-US" w:eastAsia="zh-CN"/>
                                    </w:rPr>
                                    <w:t>环评类别</w:t>
                                  </w:r>
                                </w:p>
                              </w:txbxContent>
                            </v:textbox>
                          </v:shape>
                        </w:pict>
                      </mc:Fallback>
                    </mc:AlternateContent>
                  </w:r>
                  <w:r>
                    <w:rPr>
                      <w:rFonts w:hint="default" w:ascii="Times New Roman" w:hAnsi="Times New Roman" w:cs="Times New Roman"/>
                      <w:b/>
                      <w:bCs/>
                      <w:color w:val="000000" w:themeColor="text1"/>
                      <w:sz w:val="21"/>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-97155</wp:posOffset>
                            </wp:positionH>
                            <wp:positionV relativeFrom="paragraph">
                              <wp:posOffset>576580</wp:posOffset>
                            </wp:positionV>
                            <wp:extent cx="767080" cy="27051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767080" cy="270510"/>
                                    </a:xfrm>
                                    <a:prstGeom prst="rect">
                                      <a:avLst/>
                                    </a:prstGeom>
                                    <a:noFill/>
                                    <a:ln w="6350">
                                      <a:noFill/>
                                    </a:ln>
                                    <a:effectLst/>
                                  </wps:spPr>
                                  <wps:txbx>
                                    <w:txbxContent>
                                      <w:p w14:paraId="62FB0B63">
                                        <w:pPr>
                                          <w:rPr>
                                            <w:rFonts w:hint="default" w:eastAsia="宋体"/>
                                            <w:b/>
                                            <w:bCs/>
                                            <w:lang w:val="en-US" w:eastAsia="zh-CN"/>
                                          </w:rPr>
                                        </w:pPr>
                                        <w:r>
                                          <w:rPr>
                                            <w:rFonts w:hint="eastAsia"/>
                                            <w:b/>
                                            <w:bCs/>
                                            <w:lang w:val="en-US" w:eastAsia="zh-CN"/>
                                          </w:rPr>
                                          <w:t>项目类别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65pt;margin-top:45.4pt;height:21.3pt;width:60.4pt;z-index:251662336;mso-width-relative:page;mso-height-relative:page;" filled="f" stroked="f" coordsize="21600,21600" o:gfxdata="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LSCrwtsAAAAKAQAADwAAAAAAAAABACAA&#10;AAAiAAAAZHJzL2Rvd25yZXYueG1sUEsBAhQAFAAAAAgAh07iQDWag5tDAgAAdQQAAA4AAAAAAAAA&#10;AQAgAAAAKgEAAGRycy9lMm9Eb2MueG1sUEsFBgAAAAAGAAYAWQEAAN8FAAAAAA==&#10;">
                            <v:fill on="f" focussize="0,0"/>
                            <v:stroke on="f" weight="0.5pt"/>
                            <v:imagedata o:title=""/>
                            <o:lock v:ext="edit" aspectratio="f"/>
                            <v:textbox>
                              <w:txbxContent>
                                <w:p w14:paraId="62FB0B63">
                                  <w:pPr>
                                    <w:rPr>
                                      <w:rFonts w:hint="default" w:eastAsia="宋体"/>
                                      <w:b/>
                                      <w:bCs/>
                                      <w:lang w:val="en-US" w:eastAsia="zh-CN"/>
                                    </w:rPr>
                                  </w:pPr>
                                  <w:r>
                                    <w:rPr>
                                      <w:rFonts w:hint="eastAsia"/>
                                      <w:b/>
                                      <w:bCs/>
                                      <w:lang w:val="en-US" w:eastAsia="zh-CN"/>
                                    </w:rPr>
                                    <w:t>项目类别</w:t>
                                  </w:r>
                                </w:p>
                              </w:txbxContent>
                            </v:textbox>
                          </v:shape>
                        </w:pict>
                      </mc:Fallback>
                    </mc:AlternateContent>
                  </w:r>
                  <w:r>
                    <w:rPr>
                      <w:rFonts w:hint="default" w:ascii="Times New Roman" w:hAnsi="Times New Roman" w:cs="Times New Roman"/>
                      <w:b/>
                      <w:bCs/>
                      <w:color w:val="000000" w:themeColor="text1"/>
                      <w:sz w:val="2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-77470</wp:posOffset>
                            </wp:positionH>
                            <wp:positionV relativeFrom="paragraph">
                              <wp:posOffset>-15240</wp:posOffset>
                            </wp:positionV>
                            <wp:extent cx="1049655" cy="869950"/>
                            <wp:effectExtent l="3175" t="3810" r="13970" b="21590"/>
                            <wp:wrapNone/>
                            <wp:docPr id="15" name="直接箭头连接符 15"/>
                            <wp:cNvGraphicFramePr/>
                            <a:graphic xmlns:a="http://schemas.openxmlformats.org/drawingml/2006/main">
                              <a:graphicData uri="http://schemas.microsoft.com/office/word/2010/wordprocessingShape">
                                <wps:wsp>
                                  <wps:cNvCnPr/>
                                  <wps:spPr>
                                    <a:xfrm>
                                      <a:off x="0" y="0"/>
                                      <a:ext cx="1049655" cy="86995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6.1pt;margin-top:-1.2pt;height:68.5pt;width:82.65pt;z-index:251660288;mso-width-relative:page;mso-height-relative:page;" filled="f" stroked="t" coordsize="21600,21600" o:gfxdata="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dyYjt2AAAAAoBAAAPAAAAAAAAAAEAIAAAACIA&#10;AABkcnMvZG93bnJldi54bWxQSwECFAAUAAAACACHTuJAaX8n/wkCAAD9AwAADgAAAAAAAAABACAA&#10;AAAnAQAAZHJzL2Uyb0RvYy54bWxQSwUGAAAAAAYABgBZAQAAogUAAAAA&#10;">
                            <v:fill on="f" focussize="0,0"/>
                            <v:stroke color="#000000" joinstyle="round"/>
                            <v:imagedata o:title=""/>
                            <o:lock v:ext="edit" aspectratio="f"/>
                          </v:shape>
                        </w:pict>
                      </mc:Fallback>
                    </mc:AlternateContent>
                  </w:r>
                </w:p>
              </w:tc>
              <w:tc>
                <w:tcPr>
                  <w:tcW w:w="1135" w:type="pct"/>
                  <w:tcBorders>
                    <w:tl2br w:val="nil"/>
                    <w:tr2bl w:val="nil"/>
                  </w:tcBorders>
                  <w:noWrap w:val="0"/>
                  <w:vAlign w:val="center"/>
                </w:tcPr>
                <w:p w14:paraId="07E2BD5D">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t>报告书</w:t>
                  </w:r>
                </w:p>
              </w:tc>
              <w:tc>
                <w:tcPr>
                  <w:tcW w:w="752" w:type="pct"/>
                  <w:tcBorders>
                    <w:tl2br w:val="nil"/>
                    <w:tr2bl w:val="nil"/>
                  </w:tcBorders>
                  <w:noWrap w:val="0"/>
                  <w:vAlign w:val="center"/>
                </w:tcPr>
                <w:p w14:paraId="6EB96982">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t>报告表</w:t>
                  </w:r>
                </w:p>
              </w:tc>
              <w:tc>
                <w:tcPr>
                  <w:tcW w:w="467" w:type="pct"/>
                  <w:tcBorders>
                    <w:tl2br w:val="nil"/>
                    <w:tr2bl w:val="nil"/>
                  </w:tcBorders>
                  <w:noWrap w:val="0"/>
                  <w:vAlign w:val="center"/>
                </w:tcPr>
                <w:p w14:paraId="0F87A2C4">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t>登记表</w:t>
                  </w:r>
                </w:p>
              </w:tc>
              <w:tc>
                <w:tcPr>
                  <w:tcW w:w="499" w:type="pct"/>
                  <w:tcBorders>
                    <w:tl2br w:val="nil"/>
                    <w:tr2bl w:val="nil"/>
                  </w:tcBorders>
                  <w:noWrap w:val="0"/>
                  <w:vAlign w:val="center"/>
                </w:tcPr>
                <w:p w14:paraId="75C6FFE3">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t>本栏目环境敏感区含义</w:t>
                  </w:r>
                </w:p>
              </w:tc>
              <w:tc>
                <w:tcPr>
                  <w:tcW w:w="1110" w:type="pct"/>
                  <w:tcBorders>
                    <w:tl2br w:val="nil"/>
                    <w:tr2bl w:val="nil"/>
                  </w:tcBorders>
                  <w:noWrap w:val="0"/>
                  <w:vAlign w:val="center"/>
                </w:tcPr>
                <w:p w14:paraId="4954433C">
                  <w:pPr>
                    <w:keepNext w:val="0"/>
                    <w:keepLines w:val="0"/>
                    <w:suppressLineNumbers w:val="0"/>
                    <w:spacing w:before="0" w:beforeAutospacing="0" w:after="0" w:afterAutospacing="0"/>
                    <w:ind w:left="0" w:right="0"/>
                    <w:jc w:val="cente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t>本项目情况</w:t>
                  </w:r>
                </w:p>
              </w:tc>
            </w:tr>
            <w:tr w14:paraId="63DFD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5000" w:type="pct"/>
                  <w:gridSpan w:val="7"/>
                  <w:tcBorders>
                    <w:tl2br w:val="nil"/>
                    <w:tr2bl w:val="nil"/>
                  </w:tcBorders>
                  <w:noWrap w:val="0"/>
                  <w:vAlign w:val="top"/>
                </w:tcPr>
                <w:p w14:paraId="5AA7E6BD">
                  <w:pPr>
                    <w:keepNext w:val="0"/>
                    <w:keepLines w:val="0"/>
                    <w:suppressLineNumbers w:val="0"/>
                    <w:spacing w:before="0" w:beforeAutospacing="0" w:after="0" w:afterAutospacing="0"/>
                    <w:ind w:left="0" w:right="0"/>
                    <w:jc w:val="both"/>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三十</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金属制品</w:t>
                  </w:r>
                  <w:r>
                    <w:rPr>
                      <w:rFonts w:hint="default" w:ascii="Times New Roman" w:hAnsi="Times New Roman" w:cs="Times New Roman"/>
                      <w:color w:val="000000" w:themeColor="text1"/>
                      <w:sz w:val="21"/>
                      <w:szCs w:val="21"/>
                      <w14:textFill>
                        <w14:solidFill>
                          <w14:schemeClr w14:val="tx1"/>
                        </w14:solidFill>
                      </w14:textFill>
                    </w:rPr>
                    <w:t>业</w:t>
                  </w:r>
                </w:p>
              </w:tc>
            </w:tr>
            <w:tr w14:paraId="33ED26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317" w:type="pct"/>
                  <w:tcBorders>
                    <w:tl2br w:val="nil"/>
                    <w:tr2bl w:val="nil"/>
                  </w:tcBorders>
                  <w:noWrap w:val="0"/>
                  <w:vAlign w:val="center"/>
                </w:tcPr>
                <w:p w14:paraId="1E56BE67">
                  <w:pPr>
                    <w:keepNext w:val="0"/>
                    <w:keepLines w:val="0"/>
                    <w:suppressLineNumbers w:val="0"/>
                    <w:spacing w:before="0" w:beforeAutospacing="0" w:after="0" w:afterAutospacing="0"/>
                    <w:ind w:left="0" w:leftChars="0" w:right="0" w:rightChars="0"/>
                    <w:jc w:val="left"/>
                    <w:rPr>
                      <w:rFonts w:hint="default" w:ascii="Times New Roman" w:hAnsi="Times New Roman" w:cs="Times New Roman"/>
                      <w:b/>
                      <w:bCs/>
                      <w:color w:val="000000" w:themeColor="text1"/>
                      <w:sz w:val="21"/>
                      <w:highlight w:val="none"/>
                      <w:lang w:val="en-US"/>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6</w:t>
                  </w:r>
                  <w:r>
                    <w:rPr>
                      <w:rFonts w:hint="eastAsia" w:cs="Times New Roman"/>
                      <w:color w:val="000000" w:themeColor="text1"/>
                      <w:highlight w:val="none"/>
                      <w:vertAlign w:val="baseline"/>
                      <w:lang w:val="en-US" w:eastAsia="zh-CN"/>
                      <w14:textFill>
                        <w14:solidFill>
                          <w14:schemeClr w14:val="tx1"/>
                        </w14:solidFill>
                      </w14:textFill>
                    </w:rPr>
                    <w:t>8</w:t>
                  </w:r>
                </w:p>
              </w:tc>
              <w:tc>
                <w:tcPr>
                  <w:tcW w:w="715" w:type="pct"/>
                  <w:tcBorders>
                    <w:tl2br w:val="nil"/>
                    <w:tr2bl w:val="nil"/>
                  </w:tcBorders>
                  <w:noWrap w:val="0"/>
                  <w:vAlign w:val="center"/>
                </w:tcPr>
                <w:p w14:paraId="16662862">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color w:val="000000" w:themeColor="text1"/>
                      <w:sz w:val="21"/>
                      <w:highlight w:val="none"/>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铸造及其他金属制品制造339</w:t>
                  </w:r>
                </w:p>
              </w:tc>
              <w:tc>
                <w:tcPr>
                  <w:tcW w:w="1135" w:type="pct"/>
                  <w:tcBorders>
                    <w:tl2br w:val="nil"/>
                    <w:tr2bl w:val="nil"/>
                  </w:tcBorders>
                  <w:noWrap w:val="0"/>
                  <w:vAlign w:val="center"/>
                </w:tcPr>
                <w:p w14:paraId="5EA409B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黑色金属铸造年产10万吨及以上的；有色金属铸造年产10万吨及以上的</w:t>
                  </w:r>
                </w:p>
              </w:tc>
              <w:tc>
                <w:tcPr>
                  <w:tcW w:w="752" w:type="pct"/>
                  <w:tcBorders>
                    <w:tl2br w:val="nil"/>
                    <w:tr2bl w:val="nil"/>
                  </w:tcBorders>
                  <w:noWrap w:val="0"/>
                  <w:vAlign w:val="center"/>
                </w:tcPr>
                <w:p w14:paraId="4D9A37E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其他（仅分割、焊接、组装的除外）</w:t>
                  </w:r>
                </w:p>
              </w:tc>
              <w:tc>
                <w:tcPr>
                  <w:tcW w:w="467" w:type="pct"/>
                  <w:tcBorders>
                    <w:tl2br w:val="nil"/>
                    <w:tr2bl w:val="nil"/>
                  </w:tcBorders>
                  <w:noWrap w:val="0"/>
                  <w:vAlign w:val="center"/>
                </w:tcPr>
                <w:p w14:paraId="739894F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color w:val="000000" w:themeColor="text1"/>
                      <w:highlight w:val="none"/>
                      <w:vertAlign w:val="baseline"/>
                      <w:lang w:val="en-US" w:eastAsia="zh-CN"/>
                      <w14:textFill>
                        <w14:solidFill>
                          <w14:schemeClr w14:val="tx1"/>
                        </w14:solidFill>
                      </w14:textFill>
                    </w:rPr>
                    <w:t>/</w:t>
                  </w:r>
                </w:p>
              </w:tc>
              <w:tc>
                <w:tcPr>
                  <w:tcW w:w="499" w:type="pct"/>
                  <w:tcBorders>
                    <w:tl2br w:val="nil"/>
                    <w:tr2bl w:val="nil"/>
                  </w:tcBorders>
                  <w:noWrap w:val="0"/>
                  <w:vAlign w:val="center"/>
                </w:tcPr>
                <w:p w14:paraId="7569D4C7">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pPr>
                  <w: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t>/</w:t>
                  </w:r>
                </w:p>
              </w:tc>
              <w:tc>
                <w:tcPr>
                  <w:tcW w:w="1110" w:type="pct"/>
                  <w:tcBorders>
                    <w:tl2br w:val="nil"/>
                    <w:tr2bl w:val="nil"/>
                  </w:tcBorders>
                  <w:noWrap w:val="0"/>
                  <w:vAlign w:val="center"/>
                </w:tcPr>
                <w:p w14:paraId="3613D8F3">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b/>
                      <w:bCs/>
                      <w:color w:val="000000" w:themeColor="text1"/>
                      <w:highlight w:val="none"/>
                      <w:vertAlign w:val="baseli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本</w:t>
                  </w:r>
                  <w:r>
                    <w:rPr>
                      <w:rFonts w:hint="default" w:cs="Times New Roman"/>
                      <w:color w:val="000000" w:themeColor="text1"/>
                      <w:sz w:val="21"/>
                      <w:szCs w:val="21"/>
                      <w:lang w:val="en-US" w:eastAsia="zh-CN"/>
                      <w14:textFill>
                        <w14:solidFill>
                          <w14:schemeClr w14:val="tx1"/>
                        </w14:solidFill>
                      </w14:textFill>
                    </w:rPr>
                    <w:t>项目</w:t>
                  </w:r>
                  <w:r>
                    <w:rPr>
                      <w:rFonts w:hint="eastAsia" w:cs="Times New Roman"/>
                      <w:color w:val="000000" w:themeColor="text1"/>
                      <w:sz w:val="21"/>
                      <w:szCs w:val="21"/>
                      <w:lang w:val="en-US" w:eastAsia="zh-CN"/>
                      <w14:textFill>
                        <w14:solidFill>
                          <w14:schemeClr w14:val="tx1"/>
                        </w14:solidFill>
                      </w14:textFill>
                    </w:rPr>
                    <w:t>原料为不锈钢粉及纯海绵钛粉，主要涉及粉末</w:t>
                  </w:r>
                  <w:r>
                    <w:rPr>
                      <w:rFonts w:hint="eastAsia"/>
                      <w:color w:val="000000" w:themeColor="text1"/>
                      <w:lang w:val="en-US" w:eastAsia="zh-CN"/>
                      <w14:textFill>
                        <w14:solidFill>
                          <w14:schemeClr w14:val="tx1"/>
                        </w14:solidFill>
                      </w14:textFill>
                    </w:rPr>
                    <w:t>压制成型，烧结工艺</w:t>
                  </w:r>
                  <w:r>
                    <w:rPr>
                      <w:rFonts w:hint="eastAsia" w:cs="Times New Roman"/>
                      <w:color w:val="000000" w:themeColor="text1"/>
                      <w:sz w:val="21"/>
                      <w:szCs w:val="21"/>
                      <w:lang w:val="en-US" w:eastAsia="zh-CN"/>
                      <w14:textFill>
                        <w14:solidFill>
                          <w14:schemeClr w14:val="tx1"/>
                        </w14:solidFill>
                      </w14:textFill>
                    </w:rPr>
                    <w:t>，</w:t>
                  </w:r>
                  <w:r>
                    <w:rPr>
                      <w:rFonts w:hint="eastAsia" w:cs="Times New Roman"/>
                      <w:b w:val="0"/>
                      <w:bCs w:val="0"/>
                      <w:color w:val="000000" w:themeColor="text1"/>
                      <w:highlight w:val="none"/>
                      <w:vertAlign w:val="baseline"/>
                      <w:lang w:val="en-US" w:eastAsia="zh-CN"/>
                      <w14:textFill>
                        <w14:solidFill>
                          <w14:schemeClr w14:val="tx1"/>
                        </w14:solidFill>
                      </w14:textFill>
                    </w:rPr>
                    <w:t>因此需编制报告表</w:t>
                  </w:r>
                </w:p>
              </w:tc>
            </w:tr>
          </w:tbl>
          <w:p w14:paraId="508E1979">
            <w:pPr>
              <w:keepNext w:val="0"/>
              <w:keepLines w:val="0"/>
              <w:pageBreakBefore w:val="0"/>
              <w:widowControl w:val="0"/>
              <w:suppressLineNumbers w:val="0"/>
              <w:kinsoku/>
              <w:wordWrap w:val="0"/>
              <w:overflowPunct/>
              <w:topLinePunct w:val="0"/>
              <w:bidi w:val="0"/>
              <w:adjustRightInd w:val="0"/>
              <w:snapToGrid w:val="0"/>
              <w:spacing w:before="0" w:beforeAutospacing="0" w:after="0" w:afterAutospacing="0" w:line="360" w:lineRule="auto"/>
              <w:ind w:left="0" w:right="0" w:firstLine="408"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3"/>
                <w:kern w:val="2"/>
                <w:sz w:val="21"/>
                <w:szCs w:val="24"/>
                <w:highlight w:val="none"/>
                <w:lang w:val="en-US" w:eastAsia="zh-CN" w:bidi="zh-CN"/>
                <w14:textFill>
                  <w14:solidFill>
                    <w14:schemeClr w14:val="tx1"/>
                  </w14:solidFill>
                </w14:textFill>
              </w:rPr>
              <w:t>为此</w:t>
            </w:r>
            <w:r>
              <w:rPr>
                <w:rFonts w:hint="eastAsia" w:cs="Times New Roman"/>
                <w:color w:val="000000" w:themeColor="text1"/>
                <w:spacing w:val="-3"/>
                <w:kern w:val="2"/>
                <w:sz w:val="21"/>
                <w:szCs w:val="24"/>
                <w:highlight w:val="none"/>
                <w:lang w:val="en-US" w:eastAsia="zh-CN" w:bidi="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宝鸡玖宝鑫新材科技有限公司于2026年7月</w:t>
            </w:r>
            <w:r>
              <w:rPr>
                <w:rFonts w:hint="default" w:ascii="Times New Roman" w:hAnsi="Times New Roman" w:eastAsia="宋体" w:cs="Times New Roman"/>
                <w:color w:val="000000" w:themeColor="text1"/>
                <w:spacing w:val="-3"/>
                <w:kern w:val="2"/>
                <w:sz w:val="21"/>
                <w:szCs w:val="24"/>
                <w:highlight w:val="none"/>
                <w:lang w:val="zh-CN" w:eastAsia="zh-CN" w:bidi="zh-CN"/>
                <w14:textFill>
                  <w14:solidFill>
                    <w14:schemeClr w14:val="tx1"/>
                  </w14:solidFill>
                </w14:textFill>
              </w:rPr>
              <w:t>委托我单位承担本项目环境影响报告表的编制工作</w:t>
            </w:r>
            <w:r>
              <w:rPr>
                <w:rFonts w:hint="eastAsia" w:cs="Times New Roman"/>
                <w:color w:val="000000" w:themeColor="text1"/>
                <w:spacing w:val="-3"/>
                <w:kern w:val="2"/>
                <w:sz w:val="21"/>
                <w:szCs w:val="24"/>
                <w:highlight w:val="none"/>
                <w:lang w:val="zh-CN" w:eastAsia="zh-CN" w:bidi="zh-CN"/>
                <w14:textFill>
                  <w14:solidFill>
                    <w14:schemeClr w14:val="tx1"/>
                  </w14:solidFill>
                </w14:textFill>
              </w:rPr>
              <w:t>，</w:t>
            </w:r>
            <w:r>
              <w:rPr>
                <w:rFonts w:hint="default" w:ascii="Times New Roman" w:hAnsi="Times New Roman" w:eastAsia="宋体" w:cs="Times New Roman"/>
                <w:color w:val="000000" w:themeColor="text1"/>
                <w:spacing w:val="-3"/>
                <w:kern w:val="2"/>
                <w:sz w:val="21"/>
                <w:szCs w:val="24"/>
                <w:highlight w:val="none"/>
                <w:lang w:val="zh-CN" w:eastAsia="zh-CN" w:bidi="zh-CN"/>
                <w14:textFill>
                  <w14:solidFill>
                    <w14:schemeClr w14:val="tx1"/>
                  </w14:solidFill>
                </w14:textFill>
              </w:rPr>
              <w:t>委托书见附件1</w:t>
            </w:r>
            <w:r>
              <w:rPr>
                <w:rFonts w:hint="eastAsia" w:cs="Times New Roman"/>
                <w:color w:val="000000" w:themeColor="text1"/>
                <w:spacing w:val="-3"/>
                <w:kern w:val="2"/>
                <w:sz w:val="21"/>
                <w:szCs w:val="24"/>
                <w:highlight w:val="none"/>
                <w:lang w:val="zh-CN" w:eastAsia="zh-CN" w:bidi="zh-CN"/>
                <w14:textFill>
                  <w14:solidFill>
                    <w14:schemeClr w14:val="tx1"/>
                  </w14:solidFill>
                </w14:textFill>
              </w:rPr>
              <w:t>，</w:t>
            </w:r>
            <w:r>
              <w:rPr>
                <w:rFonts w:hint="default" w:ascii="Times New Roman" w:hAnsi="Times New Roman" w:eastAsia="宋体" w:cs="Times New Roman"/>
                <w:color w:val="000000" w:themeColor="text1"/>
                <w:spacing w:val="-3"/>
                <w:kern w:val="2"/>
                <w:sz w:val="21"/>
                <w:szCs w:val="24"/>
                <w:highlight w:val="none"/>
                <w:lang w:val="zh-CN" w:eastAsia="zh-CN" w:bidi="zh-CN"/>
                <w14:textFill>
                  <w14:solidFill>
                    <w14:schemeClr w14:val="tx1"/>
                  </w14:solidFill>
                </w14:textFill>
              </w:rPr>
              <w:t>接受委托后</w:t>
            </w:r>
            <w:r>
              <w:rPr>
                <w:rFonts w:hint="eastAsia" w:cs="Times New Roman"/>
                <w:color w:val="000000" w:themeColor="text1"/>
                <w:spacing w:val="-3"/>
                <w:kern w:val="2"/>
                <w:sz w:val="21"/>
                <w:szCs w:val="24"/>
                <w:highlight w:val="none"/>
                <w:lang w:val="zh-CN" w:eastAsia="zh-CN" w:bidi="zh-CN"/>
                <w14:textFill>
                  <w14:solidFill>
                    <w14:schemeClr w14:val="tx1"/>
                  </w14:solidFill>
                </w14:textFill>
              </w:rPr>
              <w:t>，</w:t>
            </w:r>
            <w:r>
              <w:rPr>
                <w:rFonts w:hint="default" w:ascii="Times New Roman" w:hAnsi="Times New Roman" w:eastAsia="宋体" w:cs="Times New Roman"/>
                <w:color w:val="000000" w:themeColor="text1"/>
                <w:spacing w:val="-3"/>
                <w:kern w:val="2"/>
                <w:sz w:val="21"/>
                <w:szCs w:val="24"/>
                <w:highlight w:val="none"/>
                <w:lang w:val="zh-CN" w:eastAsia="zh-CN" w:bidi="zh-CN"/>
                <w14:textFill>
                  <w14:solidFill>
                    <w14:schemeClr w14:val="tx1"/>
                  </w14:solidFill>
                </w14:textFill>
              </w:rPr>
              <w:t>我单位组织有关技术人员对本项目</w:t>
            </w:r>
            <w:r>
              <w:rPr>
                <w:rFonts w:hint="eastAsia" w:cs="Times New Roman"/>
                <w:color w:val="000000" w:themeColor="text1"/>
                <w:spacing w:val="-3"/>
                <w:kern w:val="2"/>
                <w:sz w:val="21"/>
                <w:szCs w:val="24"/>
                <w:highlight w:val="none"/>
                <w:lang w:val="en-US" w:eastAsia="zh-CN" w:bidi="zh-CN"/>
                <w14:textFill>
                  <w14:solidFill>
                    <w14:schemeClr w14:val="tx1"/>
                  </w14:solidFill>
                </w14:textFill>
              </w:rPr>
              <w:t>拟建</w:t>
            </w:r>
            <w:r>
              <w:rPr>
                <w:rFonts w:hint="default" w:ascii="Times New Roman" w:hAnsi="Times New Roman" w:eastAsia="宋体" w:cs="Times New Roman"/>
                <w:color w:val="000000" w:themeColor="text1"/>
                <w:spacing w:val="-3"/>
                <w:kern w:val="2"/>
                <w:sz w:val="21"/>
                <w:szCs w:val="24"/>
                <w:highlight w:val="none"/>
                <w:lang w:val="zh-CN" w:eastAsia="zh-CN" w:bidi="zh-CN"/>
                <w14:textFill>
                  <w14:solidFill>
                    <w14:schemeClr w14:val="tx1"/>
                  </w14:solidFill>
                </w14:textFill>
              </w:rPr>
              <w:t>地进行了详细的现场踏勘、资料收集</w:t>
            </w:r>
            <w:r>
              <w:rPr>
                <w:rFonts w:hint="eastAsia" w:cs="Times New Roman"/>
                <w:color w:val="000000" w:themeColor="text1"/>
                <w:spacing w:val="-3"/>
                <w:kern w:val="2"/>
                <w:sz w:val="21"/>
                <w:szCs w:val="24"/>
                <w:highlight w:val="none"/>
                <w:lang w:val="zh-CN" w:eastAsia="zh-CN" w:bidi="zh-CN"/>
                <w14:textFill>
                  <w14:solidFill>
                    <w14:schemeClr w14:val="tx1"/>
                  </w14:solidFill>
                </w14:textFill>
              </w:rPr>
              <w:t>，</w:t>
            </w:r>
            <w:r>
              <w:rPr>
                <w:rFonts w:hint="default" w:ascii="Times New Roman" w:hAnsi="Times New Roman" w:eastAsia="宋体" w:cs="Times New Roman"/>
                <w:color w:val="000000" w:themeColor="text1"/>
                <w:spacing w:val="-3"/>
                <w:kern w:val="2"/>
                <w:sz w:val="21"/>
                <w:szCs w:val="24"/>
                <w:highlight w:val="none"/>
                <w:lang w:val="zh-CN" w:eastAsia="zh-CN" w:bidi="zh-CN"/>
                <w14:textFill>
                  <w14:solidFill>
                    <w14:schemeClr w14:val="tx1"/>
                  </w14:solidFill>
                </w14:textFill>
              </w:rPr>
              <w:t>在对有关环境现状和可能造成的环境影响进行分析的基础上</w:t>
            </w:r>
            <w:r>
              <w:rPr>
                <w:rFonts w:hint="eastAsia" w:cs="Times New Roman"/>
                <w:color w:val="000000" w:themeColor="text1"/>
                <w:spacing w:val="-3"/>
                <w:kern w:val="2"/>
                <w:sz w:val="21"/>
                <w:szCs w:val="24"/>
                <w:highlight w:val="none"/>
                <w:lang w:val="zh-CN" w:eastAsia="zh-CN" w:bidi="zh-CN"/>
                <w14:textFill>
                  <w14:solidFill>
                    <w14:schemeClr w14:val="tx1"/>
                  </w14:solidFill>
                </w14:textFill>
              </w:rPr>
              <w:t>，</w:t>
            </w:r>
            <w:r>
              <w:rPr>
                <w:rFonts w:hint="default" w:ascii="Times New Roman" w:hAnsi="Times New Roman" w:eastAsia="宋体" w:cs="Times New Roman"/>
                <w:color w:val="000000" w:themeColor="text1"/>
                <w:spacing w:val="-3"/>
                <w:kern w:val="2"/>
                <w:sz w:val="21"/>
                <w:szCs w:val="24"/>
                <w:highlight w:val="none"/>
                <w:lang w:val="zh-CN" w:eastAsia="zh-CN" w:bidi="zh-CN"/>
                <w14:textFill>
                  <w14:solidFill>
                    <w14:schemeClr w14:val="tx1"/>
                  </w14:solidFill>
                </w14:textFill>
              </w:rPr>
              <w:t>完成《</w:t>
            </w:r>
            <w:r>
              <w:rPr>
                <w:rFonts w:hint="eastAsia" w:cs="Times New Roman"/>
                <w:color w:val="000000" w:themeColor="text1"/>
                <w:sz w:val="21"/>
                <w:szCs w:val="21"/>
                <w:lang w:val="en-US" w:eastAsia="zh-CN"/>
                <w14:textFill>
                  <w14:solidFill>
                    <w14:schemeClr w14:val="tx1"/>
                  </w14:solidFill>
                </w14:textFill>
              </w:rPr>
              <w:t>金属过滤元件生产线建设项目</w:t>
            </w:r>
            <w:r>
              <w:rPr>
                <w:rFonts w:hint="default" w:ascii="Times New Roman" w:hAnsi="Times New Roman" w:eastAsia="宋体" w:cs="Times New Roman"/>
                <w:color w:val="000000" w:themeColor="text1"/>
                <w:spacing w:val="-3"/>
                <w:kern w:val="2"/>
                <w:sz w:val="21"/>
                <w:szCs w:val="24"/>
                <w:highlight w:val="none"/>
                <w:lang w:val="zh-CN" w:eastAsia="zh-CN" w:bidi="zh-CN"/>
                <w14:textFill>
                  <w14:solidFill>
                    <w14:schemeClr w14:val="tx1"/>
                  </w14:solidFill>
                </w14:textFill>
              </w:rPr>
              <w:t>环境影响报告表》。</w:t>
            </w:r>
          </w:p>
          <w:p w14:paraId="79342458">
            <w:pPr>
              <w:spacing w:line="360" w:lineRule="auto"/>
              <w:ind w:firstLine="422" w:firstLineChars="200"/>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2、项目建设内容</w:t>
            </w:r>
          </w:p>
          <w:p w14:paraId="2A1A8F49">
            <w:pPr>
              <w:spacing w:line="360" w:lineRule="auto"/>
              <w:ind w:firstLine="420" w:firstLineChars="20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项目名称：</w:t>
            </w:r>
            <w:r>
              <w:rPr>
                <w:rFonts w:hint="eastAsia" w:cs="Times New Roman"/>
                <w:color w:val="000000" w:themeColor="text1"/>
                <w:sz w:val="21"/>
                <w:szCs w:val="21"/>
                <w:lang w:val="en-US" w:eastAsia="zh-CN"/>
                <w14:textFill>
                  <w14:solidFill>
                    <w14:schemeClr w14:val="tx1"/>
                  </w14:solidFill>
                </w14:textFill>
              </w:rPr>
              <w:t>金属过滤元件生产线建设项目；</w:t>
            </w:r>
          </w:p>
          <w:p w14:paraId="14D80737">
            <w:pPr>
              <w:spacing w:line="360" w:lineRule="auto"/>
              <w:ind w:firstLine="420" w:firstLineChars="200"/>
              <w:rPr>
                <w:rFonts w:hint="default"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建设性质：</w:t>
            </w:r>
            <w:r>
              <w:rPr>
                <w:rFonts w:hint="eastAsia" w:cs="Times New Roman"/>
                <w:color w:val="000000" w:themeColor="text1"/>
                <w:sz w:val="21"/>
                <w:szCs w:val="21"/>
                <w:lang w:val="en-US" w:eastAsia="zh-CN"/>
                <w14:textFill>
                  <w14:solidFill>
                    <w14:schemeClr w14:val="tx1"/>
                  </w14:solidFill>
                </w14:textFill>
              </w:rPr>
              <w:t>新建；</w:t>
            </w:r>
          </w:p>
          <w:p w14:paraId="5AC09410">
            <w:pPr>
              <w:spacing w:line="360" w:lineRule="auto"/>
              <w:ind w:firstLine="420" w:firstLineChars="20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建设单位：</w:t>
            </w:r>
            <w:r>
              <w:rPr>
                <w:rFonts w:hint="eastAsia" w:cs="Times New Roman"/>
                <w:color w:val="000000" w:themeColor="text1"/>
                <w:sz w:val="21"/>
                <w:szCs w:val="21"/>
                <w:lang w:val="en-US" w:eastAsia="zh-CN"/>
                <w14:textFill>
                  <w14:solidFill>
                    <w14:schemeClr w14:val="tx1"/>
                  </w14:solidFill>
                </w14:textFill>
              </w:rPr>
              <w:t>宝鸡玖宝鑫新材科技有限公司；</w:t>
            </w:r>
          </w:p>
          <w:p w14:paraId="2BC2B53D">
            <w:pPr>
              <w:spacing w:line="360" w:lineRule="auto"/>
              <w:ind w:firstLine="420" w:firstLineChars="20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建设地点：</w:t>
            </w:r>
            <w:r>
              <w:rPr>
                <w:rFonts w:hint="eastAsia" w:cs="Times New Roman"/>
                <w:color w:val="000000" w:themeColor="text1"/>
                <w:sz w:val="21"/>
                <w:szCs w:val="21"/>
                <w:lang w:val="en-US" w:eastAsia="zh-CN"/>
                <w14:textFill>
                  <w14:solidFill>
                    <w14:schemeClr w14:val="tx1"/>
                  </w14:solidFill>
                </w14:textFill>
              </w:rPr>
              <w:t>位于宝鸡市陈仓区千河镇，租赁宝鸡得力隆纺织有限公司厂区内1#厂房，地理位置图详见附图1；</w:t>
            </w:r>
          </w:p>
          <w:p w14:paraId="779E9848">
            <w:pPr>
              <w:spacing w:line="360" w:lineRule="auto"/>
              <w:ind w:firstLine="420" w:firstLineChars="20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建设投资：</w:t>
            </w:r>
            <w:r>
              <w:rPr>
                <w:rFonts w:hint="eastAsia" w:cs="Times New Roman"/>
                <w:color w:val="000000" w:themeColor="text1"/>
                <w:sz w:val="21"/>
                <w:szCs w:val="21"/>
                <w:lang w:val="en-US" w:eastAsia="zh-CN"/>
                <w14:textFill>
                  <w14:solidFill>
                    <w14:schemeClr w14:val="tx1"/>
                  </w14:solidFill>
                </w14:textFill>
              </w:rPr>
              <w:t>260</w:t>
            </w:r>
            <w:r>
              <w:rPr>
                <w:rFonts w:hint="default" w:ascii="Times New Roman" w:hAnsi="Times New Roman" w:cs="Times New Roman"/>
                <w:color w:val="000000" w:themeColor="text1"/>
                <w:sz w:val="21"/>
                <w:szCs w:val="21"/>
                <w:lang w:val="en-US" w:eastAsia="zh-CN"/>
                <w14:textFill>
                  <w14:solidFill>
                    <w14:schemeClr w14:val="tx1"/>
                  </w14:solidFill>
                </w14:textFill>
              </w:rPr>
              <w:t>万元</w:t>
            </w:r>
            <w:r>
              <w:rPr>
                <w:rFonts w:hint="eastAsia" w:cs="Times New Roman"/>
                <w:color w:val="000000" w:themeColor="text1"/>
                <w:sz w:val="21"/>
                <w:szCs w:val="21"/>
                <w:lang w:val="en-US" w:eastAsia="zh-CN"/>
                <w14:textFill>
                  <w14:solidFill>
                    <w14:schemeClr w14:val="tx1"/>
                  </w14:solidFill>
                </w14:textFill>
              </w:rPr>
              <w:t>；</w:t>
            </w:r>
          </w:p>
          <w:p w14:paraId="40391E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建设进度：根据现场踏勘，目前尚未动工建设；</w:t>
            </w:r>
          </w:p>
          <w:p w14:paraId="756591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建设内容：</w:t>
            </w:r>
            <w:r>
              <w:rPr>
                <w:rFonts w:hint="eastAsia" w:cs="Times New Roman"/>
                <w:color w:val="000000" w:themeColor="text1"/>
                <w:sz w:val="21"/>
                <w:szCs w:val="21"/>
                <w:highlight w:val="none"/>
                <w:lang w:val="en-US" w:eastAsia="zh-CN"/>
                <w14:textFill>
                  <w14:solidFill>
                    <w14:schemeClr w14:val="tx1"/>
                  </w14:solidFill>
                </w14:textFill>
              </w:rPr>
              <w:t>购置高温真空烧结炉、轧机、油压机等生产设备，建成后预计可形成年生产金属过滤元件25吨的生产</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规模。</w:t>
            </w:r>
          </w:p>
          <w:p w14:paraId="62C42C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四邻关系：项目北侧隔</w:t>
            </w:r>
            <w:r>
              <w:rPr>
                <w:rFonts w:hint="eastAsia" w:cs="Times New Roman"/>
                <w:color w:val="000000" w:themeColor="text1"/>
                <w:sz w:val="21"/>
                <w:szCs w:val="21"/>
                <w:highlight w:val="none"/>
                <w:lang w:val="en-US" w:eastAsia="zh-CN"/>
                <w14:textFill>
                  <w14:solidFill>
                    <w14:schemeClr w14:val="tx1"/>
                  </w14:solidFill>
                </w14:textFill>
              </w:rPr>
              <w:t>园区内部</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路为宝鸡高新商砼有限责任公司</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西侧</w:t>
            </w:r>
            <w:r>
              <w:rPr>
                <w:rFonts w:hint="eastAsia" w:cs="Times New Roman"/>
                <w:color w:val="000000" w:themeColor="text1"/>
                <w:sz w:val="21"/>
                <w:szCs w:val="21"/>
                <w:highlight w:val="none"/>
                <w:lang w:val="en-US" w:eastAsia="zh-CN"/>
                <w14:textFill>
                  <w14:solidFill>
                    <w14:schemeClr w14:val="tx1"/>
                  </w14:solidFill>
                </w14:textFill>
              </w:rPr>
              <w:t>园区内部</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路为宝鸡石羽节能科技发展有限公司</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东侧、南侧均紧邻宝鸡得力隆纺织有限公司</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东侧280m处为千河</w:t>
            </w:r>
            <w:r>
              <w:rPr>
                <w:rFonts w:hint="eastAsia" w:cs="Times New Roman"/>
                <w:color w:val="000000" w:themeColor="text1"/>
                <w:sz w:val="21"/>
                <w:szCs w:val="21"/>
                <w:highlight w:val="none"/>
                <w:lang w:val="en-US" w:eastAsia="zh-CN"/>
                <w14:textFill>
                  <w14:solidFill>
                    <w14:schemeClr w14:val="tx1"/>
                  </w14:solidFill>
                </w14:textFill>
              </w:rPr>
              <w:t>。具体详见附图2。</w:t>
            </w:r>
          </w:p>
          <w:p w14:paraId="0B77C02A">
            <w:pPr>
              <w:adjustRightInd w:val="0"/>
              <w:spacing w:line="360" w:lineRule="auto"/>
              <w:ind w:firstLine="420" w:firstLineChars="200"/>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具</w:t>
            </w:r>
            <w:r>
              <w:rPr>
                <w:rFonts w:hint="default" w:ascii="Times New Roman" w:hAnsi="Times New Roman" w:eastAsia="宋体" w:cs="Times New Roman"/>
                <w:color w:val="000000" w:themeColor="text1"/>
                <w:sz w:val="21"/>
                <w:szCs w:val="21"/>
                <w14:textFill>
                  <w14:solidFill>
                    <w14:schemeClr w14:val="tx1"/>
                  </w14:solidFill>
                </w14:textFill>
              </w:rPr>
              <w:t>体建设内容见下表。</w:t>
            </w:r>
          </w:p>
          <w:p w14:paraId="6DF1B25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表</w:t>
            </w:r>
            <w:r>
              <w:rPr>
                <w:rFonts w:hint="default" w:ascii="Times New Roman" w:hAnsi="Times New Roman" w:cs="Times New Roman"/>
                <w:b/>
                <w:bCs/>
                <w:color w:val="000000" w:themeColor="text1"/>
                <w:sz w:val="21"/>
                <w:szCs w:val="21"/>
                <w:lang w:val="en-US" w:eastAsia="zh-CN"/>
                <w14:textFill>
                  <w14:solidFill>
                    <w14:schemeClr w14:val="tx1"/>
                  </w14:solidFill>
                </w14:textFill>
              </w:rPr>
              <w:t>2-</w:t>
            </w:r>
            <w:r>
              <w:rPr>
                <w:rFonts w:hint="eastAsia" w:cs="Times New Roman"/>
                <w:b/>
                <w:bCs/>
                <w:color w:val="000000" w:themeColor="text1"/>
                <w:sz w:val="21"/>
                <w:szCs w:val="21"/>
                <w:lang w:val="en-US" w:eastAsia="zh-CN"/>
                <w14:textFill>
                  <w14:solidFill>
                    <w14:schemeClr w14:val="tx1"/>
                  </w14:solidFill>
                </w14:textFill>
              </w:rPr>
              <w:t xml:space="preserve">2  </w:t>
            </w:r>
            <w:r>
              <w:rPr>
                <w:rFonts w:hint="default" w:ascii="Times New Roman" w:hAnsi="Times New Roman" w:eastAsia="宋体" w:cs="Times New Roman"/>
                <w:b/>
                <w:bCs/>
                <w:color w:val="000000" w:themeColor="text1"/>
                <w:sz w:val="21"/>
                <w:szCs w:val="21"/>
                <w14:textFill>
                  <w14:solidFill>
                    <w14:schemeClr w14:val="tx1"/>
                  </w14:solidFill>
                </w14:textFill>
              </w:rPr>
              <w:t>建设内容及规模一览表</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6"/>
              <w:gridCol w:w="439"/>
              <w:gridCol w:w="1005"/>
              <w:gridCol w:w="5360"/>
              <w:gridCol w:w="1033"/>
            </w:tblGrid>
            <w:tr w14:paraId="40668A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1" w:hRule="atLeast"/>
                <w:tblHeader/>
                <w:jc w:val="center"/>
              </w:trPr>
              <w:tc>
                <w:tcPr>
                  <w:tcW w:w="264" w:type="pct"/>
                  <w:tcBorders>
                    <w:tl2br w:val="nil"/>
                    <w:tr2bl w:val="nil"/>
                  </w:tcBorders>
                  <w:noWrap w:val="0"/>
                  <w:vAlign w:val="center"/>
                </w:tcPr>
                <w:p w14:paraId="0380F7F4">
                  <w:pPr>
                    <w:jc w:val="center"/>
                    <w:rPr>
                      <w:rFonts w:hint="default" w:ascii="Times New Roman" w:hAnsi="Times New Roman" w:cs="Times New Roman"/>
                      <w:b/>
                      <w:color w:val="000000" w:themeColor="text1"/>
                      <w:sz w:val="21"/>
                      <w:szCs w:val="21"/>
                      <w14:textFill>
                        <w14:solidFill>
                          <w14:schemeClr w14:val="tx1"/>
                        </w14:solidFill>
                      </w14:textFill>
                    </w:rPr>
                  </w:pPr>
                  <w:bookmarkStart w:id="1" w:name="OLE_LINK249"/>
                  <w:bookmarkStart w:id="2" w:name="OLE_LINK248"/>
                  <w:bookmarkStart w:id="3" w:name="OLE_LINK58"/>
                  <w:bookmarkStart w:id="4" w:name="OLE_LINK57"/>
                  <w:r>
                    <w:rPr>
                      <w:rFonts w:hint="default" w:ascii="Times New Roman" w:hAnsi="Times New Roman" w:cs="Times New Roman"/>
                      <w:b/>
                      <w:color w:val="000000" w:themeColor="text1"/>
                      <w:sz w:val="21"/>
                      <w:szCs w:val="21"/>
                      <w14:textFill>
                        <w14:solidFill>
                          <w14:schemeClr w14:val="tx1"/>
                        </w14:solidFill>
                      </w14:textFill>
                    </w:rPr>
                    <w:t>序号</w:t>
                  </w:r>
                </w:p>
              </w:tc>
              <w:tc>
                <w:tcPr>
                  <w:tcW w:w="872" w:type="pct"/>
                  <w:gridSpan w:val="2"/>
                  <w:tcBorders>
                    <w:tl2br w:val="nil"/>
                    <w:tr2bl w:val="nil"/>
                  </w:tcBorders>
                  <w:noWrap w:val="0"/>
                  <w:vAlign w:val="center"/>
                </w:tcPr>
                <w:p w14:paraId="037203BE">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项目组成</w:t>
                  </w:r>
                </w:p>
              </w:tc>
              <w:tc>
                <w:tcPr>
                  <w:tcW w:w="3238" w:type="pct"/>
                  <w:tcBorders>
                    <w:tl2br w:val="nil"/>
                    <w:tr2bl w:val="nil"/>
                  </w:tcBorders>
                  <w:noWrap w:val="0"/>
                  <w:vAlign w:val="center"/>
                </w:tcPr>
                <w:p w14:paraId="0670894F">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建设规模</w:t>
                  </w:r>
                </w:p>
              </w:tc>
              <w:tc>
                <w:tcPr>
                  <w:tcW w:w="624" w:type="pct"/>
                  <w:tcBorders>
                    <w:tl2br w:val="nil"/>
                    <w:tr2bl w:val="nil"/>
                  </w:tcBorders>
                  <w:noWrap w:val="0"/>
                  <w:vAlign w:val="center"/>
                </w:tcPr>
                <w:p w14:paraId="6BE2939C">
                  <w:pPr>
                    <w:jc w:val="center"/>
                    <w:rPr>
                      <w:rFonts w:hint="eastAsia"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cs="Times New Roman"/>
                      <w:b/>
                      <w:color w:val="000000" w:themeColor="text1"/>
                      <w:sz w:val="21"/>
                      <w:szCs w:val="21"/>
                      <w:lang w:val="en-US" w:eastAsia="zh-CN"/>
                      <w14:textFill>
                        <w14:solidFill>
                          <w14:schemeClr w14:val="tx1"/>
                        </w14:solidFill>
                      </w14:textFill>
                    </w:rPr>
                    <w:t>备注</w:t>
                  </w:r>
                </w:p>
              </w:tc>
            </w:tr>
            <w:tr w14:paraId="203BFA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264" w:type="pct"/>
                  <w:tcBorders>
                    <w:tl2br w:val="nil"/>
                    <w:tr2bl w:val="nil"/>
                  </w:tcBorders>
                  <w:noWrap w:val="0"/>
                  <w:vAlign w:val="center"/>
                </w:tcPr>
                <w:p w14:paraId="7912304D">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265" w:type="pct"/>
                  <w:tcBorders>
                    <w:tl2br w:val="nil"/>
                    <w:tr2bl w:val="nil"/>
                  </w:tcBorders>
                  <w:noWrap w:val="0"/>
                  <w:vAlign w:val="center"/>
                </w:tcPr>
                <w:p w14:paraId="13CD4DA6">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主体</w:t>
                  </w:r>
                </w:p>
                <w:p w14:paraId="089B586D">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工程</w:t>
                  </w:r>
                </w:p>
              </w:tc>
              <w:tc>
                <w:tcPr>
                  <w:tcW w:w="606" w:type="pct"/>
                  <w:tcBorders>
                    <w:tl2br w:val="nil"/>
                    <w:tr2bl w:val="nil"/>
                  </w:tcBorders>
                  <w:noWrap w:val="0"/>
                  <w:vAlign w:val="center"/>
                </w:tcPr>
                <w:p w14:paraId="533FC2C8">
                  <w:pPr>
                    <w:widowControl/>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生产</w:t>
                  </w:r>
                </w:p>
                <w:p w14:paraId="30B97C0D">
                  <w:pPr>
                    <w:widowControl/>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车间</w:t>
                  </w:r>
                </w:p>
              </w:tc>
              <w:tc>
                <w:tcPr>
                  <w:tcW w:w="3238" w:type="pct"/>
                  <w:tcBorders>
                    <w:tl2br w:val="nil"/>
                    <w:tr2bl w:val="nil"/>
                  </w:tcBorders>
                  <w:noWrap w:val="0"/>
                  <w:vAlign w:val="center"/>
                </w:tcPr>
                <w:p w14:paraId="10953D18">
                  <w:pPr>
                    <w:rPr>
                      <w:rFonts w:hint="default" w:ascii="Times New Roman" w:hAnsi="Times New Roman"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租赁</w:t>
                  </w:r>
                  <w:r>
                    <w:rPr>
                      <w:rFonts w:hint="eastAsia" w:cs="Times New Roman"/>
                      <w:color w:val="000000" w:themeColor="text1"/>
                      <w:kern w:val="2"/>
                      <w:sz w:val="21"/>
                      <w:szCs w:val="21"/>
                      <w:lang w:val="en-US" w:eastAsia="zh-CN" w:bidi="ar-SA"/>
                      <w14:textFill>
                        <w14:solidFill>
                          <w14:schemeClr w14:val="tx1"/>
                        </w14:solidFill>
                      </w14:textFill>
                    </w:rPr>
                    <w:t>现有标准化</w:t>
                  </w:r>
                  <w:r>
                    <w:rPr>
                      <w:rFonts w:hint="eastAsia" w:cs="Times New Roman"/>
                      <w:color w:val="000000" w:themeColor="text1"/>
                      <w:kern w:val="0"/>
                      <w:sz w:val="21"/>
                      <w:szCs w:val="21"/>
                      <w:lang w:val="en-US" w:eastAsia="zh-CN"/>
                      <w14:textFill>
                        <w14:solidFill>
                          <w14:schemeClr w14:val="tx1"/>
                        </w14:solidFill>
                      </w14:textFill>
                    </w:rPr>
                    <w:t>车间</w:t>
                  </w:r>
                  <w:r>
                    <w:rPr>
                      <w:rFonts w:hint="eastAsia"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1F</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钢结构</w:t>
                  </w:r>
                  <w:r>
                    <w:rPr>
                      <w:rFonts w:hint="eastAsia" w:cs="Times New Roman"/>
                      <w:color w:val="000000" w:themeColor="text1"/>
                      <w:sz w:val="21"/>
                      <w:szCs w:val="21"/>
                      <w:lang w:val="en-US" w:eastAsia="zh-CN"/>
                      <w14:textFill>
                        <w14:solidFill>
                          <w14:schemeClr w14:val="tx1"/>
                        </w14:solidFill>
                      </w14:textFill>
                    </w:rPr>
                    <w:t>，车间尺寸：长42m，宽24.31m，高10米，</w:t>
                  </w:r>
                  <w:r>
                    <w:rPr>
                      <w:rFonts w:hint="default" w:ascii="Times New Roman" w:hAnsi="Times New Roman" w:cs="Times New Roman"/>
                      <w:color w:val="000000" w:themeColor="text1"/>
                      <w:sz w:val="21"/>
                      <w:szCs w:val="21"/>
                      <w:lang w:eastAsia="zh-CN"/>
                      <w14:textFill>
                        <w14:solidFill>
                          <w14:schemeClr w14:val="tx1"/>
                        </w14:solidFill>
                      </w14:textFill>
                    </w:rPr>
                    <w:t>占地面积约</w:t>
                  </w:r>
                  <w:r>
                    <w:rPr>
                      <w:rFonts w:hint="eastAsia" w:cs="Times New Roman"/>
                      <w:color w:val="000000" w:themeColor="text1"/>
                      <w:sz w:val="21"/>
                      <w:szCs w:val="21"/>
                      <w:lang w:val="en-US" w:eastAsia="zh-CN"/>
                      <w14:textFill>
                        <w14:solidFill>
                          <w14:schemeClr w14:val="tx1"/>
                        </w14:solidFill>
                      </w14:textFill>
                    </w:rPr>
                    <w:t>1020.99</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shd w:val="clear"/>
                      <w:vertAlign w:val="superscript"/>
                      <w:lang w:val="en-US" w:eastAsia="zh-CN"/>
                      <w14:textFill>
                        <w14:solidFill>
                          <w14:schemeClr w14:val="tx1"/>
                        </w14:solidFill>
                      </w14:textFill>
                    </w:rPr>
                    <w:t>2</w:t>
                  </w:r>
                  <w:r>
                    <w:rPr>
                      <w:rFonts w:hint="eastAsia" w:cs="Times New Roman"/>
                      <w:color w:val="000000" w:themeColor="text1"/>
                      <w:sz w:val="21"/>
                      <w:szCs w:val="21"/>
                      <w:shd w:val="clear"/>
                      <w:lang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主要</w:t>
                  </w:r>
                  <w:r>
                    <w:rPr>
                      <w:rFonts w:hint="eastAsia" w:cs="Times New Roman"/>
                      <w:color w:val="000000" w:themeColor="text1"/>
                      <w:sz w:val="21"/>
                      <w:szCs w:val="21"/>
                      <w:lang w:val="en-US" w:eastAsia="zh-CN"/>
                      <w14:textFill>
                        <w14:solidFill>
                          <w14:schemeClr w14:val="tx1"/>
                        </w14:solidFill>
                      </w14:textFill>
                    </w:rPr>
                    <w:t>布置办公区、原料贮存区、加工区</w:t>
                  </w:r>
                </w:p>
              </w:tc>
              <w:tc>
                <w:tcPr>
                  <w:tcW w:w="624" w:type="pct"/>
                  <w:tcBorders>
                    <w:tl2br w:val="nil"/>
                    <w:tr2bl w:val="nil"/>
                  </w:tcBorders>
                  <w:noWrap w:val="0"/>
                  <w:vAlign w:val="center"/>
                </w:tcPr>
                <w:p w14:paraId="2615F696">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依托现有厂房。新购设备</w:t>
                  </w:r>
                </w:p>
              </w:tc>
            </w:tr>
            <w:bookmarkEnd w:id="1"/>
            <w:bookmarkEnd w:id="2"/>
            <w:tr w14:paraId="1CA92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264" w:type="pct"/>
                  <w:vMerge w:val="restart"/>
                  <w:tcBorders>
                    <w:tl2br w:val="nil"/>
                    <w:tr2bl w:val="nil"/>
                  </w:tcBorders>
                  <w:noWrap w:val="0"/>
                  <w:vAlign w:val="center"/>
                </w:tcPr>
                <w:p w14:paraId="6F28CD76">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w:t>
                  </w:r>
                </w:p>
              </w:tc>
              <w:tc>
                <w:tcPr>
                  <w:tcW w:w="265" w:type="pct"/>
                  <w:vMerge w:val="restart"/>
                  <w:tcBorders>
                    <w:tl2br w:val="nil"/>
                    <w:tr2bl w:val="nil"/>
                  </w:tcBorders>
                  <w:noWrap w:val="0"/>
                  <w:vAlign w:val="center"/>
                </w:tcPr>
                <w:p w14:paraId="2B6B3798">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储运工程</w:t>
                  </w:r>
                </w:p>
              </w:tc>
              <w:tc>
                <w:tcPr>
                  <w:tcW w:w="606" w:type="pct"/>
                  <w:tcBorders>
                    <w:tl2br w:val="nil"/>
                    <w:tr2bl w:val="nil"/>
                  </w:tcBorders>
                  <w:noWrap w:val="0"/>
                  <w:vAlign w:val="center"/>
                </w:tcPr>
                <w:p w14:paraId="4F27ADCE">
                  <w:pPr>
                    <w:widowControl/>
                    <w:jc w:val="center"/>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钛粉</w:t>
                  </w:r>
                </w:p>
                <w:p w14:paraId="79A7D2FA">
                  <w:pPr>
                    <w:widowControl/>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库房</w:t>
                  </w:r>
                </w:p>
              </w:tc>
              <w:tc>
                <w:tcPr>
                  <w:tcW w:w="3238" w:type="pct"/>
                  <w:tcBorders>
                    <w:tl2br w:val="nil"/>
                    <w:tr2bl w:val="nil"/>
                  </w:tcBorders>
                  <w:noWrap w:val="0"/>
                  <w:vAlign w:val="center"/>
                </w:tcPr>
                <w:p w14:paraId="194CB751">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规范建设海绵钛粉库1座，位于</w:t>
                  </w:r>
                  <w:r>
                    <w:rPr>
                      <w:rFonts w:hint="eastAsia" w:cs="Times New Roman"/>
                      <w:color w:val="000000" w:themeColor="text1"/>
                      <w:kern w:val="0"/>
                      <w:sz w:val="21"/>
                      <w:szCs w:val="21"/>
                      <w:lang w:val="en-US" w:eastAsia="zh-CN"/>
                      <w14:textFill>
                        <w14:solidFill>
                          <w14:schemeClr w14:val="tx1"/>
                        </w14:solidFill>
                      </w14:textFill>
                    </w:rPr>
                    <w:t>车间</w:t>
                  </w:r>
                  <w:r>
                    <w:rPr>
                      <w:rFonts w:hint="eastAsia"/>
                      <w:b w:val="0"/>
                      <w:bCs w:val="0"/>
                      <w:color w:val="000000" w:themeColor="text1"/>
                      <w:sz w:val="21"/>
                      <w:szCs w:val="21"/>
                      <w:highlight w:val="none"/>
                      <w:lang w:val="en-US" w:eastAsia="zh-CN"/>
                      <w14:textFill>
                        <w14:solidFill>
                          <w14:schemeClr w14:val="tx1"/>
                        </w14:solidFill>
                      </w14:textFill>
                    </w:rPr>
                    <w:t>东侧区域，占地面积60m</w:t>
                  </w:r>
                  <w:r>
                    <w:rPr>
                      <w:rFonts w:hint="eastAsia"/>
                      <w:b w:val="0"/>
                      <w:bCs w:val="0"/>
                      <w:color w:val="000000" w:themeColor="text1"/>
                      <w:sz w:val="21"/>
                      <w:szCs w:val="21"/>
                      <w:highlight w:val="none"/>
                      <w:vertAlign w:val="superscript"/>
                      <w:lang w:val="en-US" w:eastAsia="zh-CN"/>
                      <w14:textFill>
                        <w14:solidFill>
                          <w14:schemeClr w14:val="tx1"/>
                        </w14:solidFill>
                      </w14:textFill>
                    </w:rPr>
                    <w:t>2</w:t>
                  </w:r>
                  <w:r>
                    <w:rPr>
                      <w:rFonts w:hint="eastAsia"/>
                      <w:b w:val="0"/>
                      <w:bCs w:val="0"/>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尺寸为10m×6m×3m</w:t>
                  </w:r>
                  <w:r>
                    <w:rPr>
                      <w:rFonts w:hint="eastAsia"/>
                      <w:b w:val="0"/>
                      <w:bCs w:val="0"/>
                      <w:color w:val="000000" w:themeColor="text1"/>
                      <w:sz w:val="21"/>
                      <w:szCs w:val="21"/>
                      <w:highlight w:val="none"/>
                      <w:lang w:val="en-US" w:eastAsia="zh-CN"/>
                      <w14:textFill>
                        <w14:solidFill>
                          <w14:schemeClr w14:val="tx1"/>
                        </w14:solidFill>
                      </w14:textFill>
                    </w:rPr>
                    <w:t>），并配套灭火器、防静电等相关应急设施</w:t>
                  </w:r>
                </w:p>
              </w:tc>
              <w:tc>
                <w:tcPr>
                  <w:tcW w:w="624" w:type="pct"/>
                  <w:vMerge w:val="restart"/>
                  <w:tcBorders>
                    <w:tl2br w:val="nil"/>
                    <w:tr2bl w:val="nil"/>
                  </w:tcBorders>
                  <w:noWrap w:val="0"/>
                  <w:vAlign w:val="center"/>
                </w:tcPr>
                <w:p w14:paraId="25EFB236">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在现有厂房内新建</w:t>
                  </w:r>
                </w:p>
              </w:tc>
            </w:tr>
            <w:tr w14:paraId="18DBD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264" w:type="pct"/>
                  <w:vMerge w:val="continue"/>
                  <w:tcBorders>
                    <w:tl2br w:val="nil"/>
                    <w:tr2bl w:val="nil"/>
                  </w:tcBorders>
                  <w:noWrap w:val="0"/>
                  <w:vAlign w:val="center"/>
                </w:tcPr>
                <w:p w14:paraId="0E0E7DDC">
                  <w:pPr>
                    <w:jc w:val="center"/>
                    <w:rPr>
                      <w:rFonts w:hint="eastAsia" w:cs="Times New Roman"/>
                      <w:color w:val="000000" w:themeColor="text1"/>
                      <w:sz w:val="21"/>
                      <w:szCs w:val="21"/>
                      <w:lang w:val="en-US" w:eastAsia="zh-CN"/>
                      <w14:textFill>
                        <w14:solidFill>
                          <w14:schemeClr w14:val="tx1"/>
                        </w14:solidFill>
                      </w14:textFill>
                    </w:rPr>
                  </w:pPr>
                </w:p>
              </w:tc>
              <w:tc>
                <w:tcPr>
                  <w:tcW w:w="265" w:type="pct"/>
                  <w:vMerge w:val="continue"/>
                  <w:tcBorders>
                    <w:tl2br w:val="nil"/>
                    <w:tr2bl w:val="nil"/>
                  </w:tcBorders>
                  <w:noWrap w:val="0"/>
                  <w:vAlign w:val="center"/>
                </w:tcPr>
                <w:p w14:paraId="23F33804">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606" w:type="pct"/>
                  <w:tcBorders>
                    <w:tl2br w:val="nil"/>
                    <w:tr2bl w:val="nil"/>
                  </w:tcBorders>
                  <w:noWrap w:val="0"/>
                  <w:vAlign w:val="center"/>
                </w:tcPr>
                <w:p w14:paraId="609BEAA5">
                  <w:pPr>
                    <w:widowControl/>
                    <w:jc w:val="center"/>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不锈钢粉库</w:t>
                  </w:r>
                </w:p>
              </w:tc>
              <w:tc>
                <w:tcPr>
                  <w:tcW w:w="3238" w:type="pct"/>
                  <w:tcBorders>
                    <w:tl2br w:val="nil"/>
                    <w:tr2bl w:val="nil"/>
                  </w:tcBorders>
                  <w:noWrap w:val="0"/>
                  <w:vAlign w:val="center"/>
                </w:tcPr>
                <w:p w14:paraId="0A41272D">
                  <w:pPr>
                    <w:rPr>
                      <w:rFonts w:hint="default"/>
                      <w:b w:val="0"/>
                      <w:bCs w:val="0"/>
                      <w:color w:val="000000" w:themeColor="text1"/>
                      <w:sz w:val="21"/>
                      <w:szCs w:val="21"/>
                      <w:highlight w:val="none"/>
                      <w:lang w:val="en-US" w:eastAsia="zh-CN"/>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规范建设不锈钢粉库1座，位于</w:t>
                  </w:r>
                  <w:r>
                    <w:rPr>
                      <w:rFonts w:hint="eastAsia" w:cs="Times New Roman"/>
                      <w:color w:val="000000" w:themeColor="text1"/>
                      <w:kern w:val="0"/>
                      <w:sz w:val="21"/>
                      <w:szCs w:val="21"/>
                      <w:lang w:val="en-US" w:eastAsia="zh-CN"/>
                      <w14:textFill>
                        <w14:solidFill>
                          <w14:schemeClr w14:val="tx1"/>
                        </w14:solidFill>
                      </w14:textFill>
                    </w:rPr>
                    <w:t>车间</w:t>
                  </w:r>
                  <w:r>
                    <w:rPr>
                      <w:rFonts w:hint="eastAsia"/>
                      <w:b w:val="0"/>
                      <w:bCs w:val="0"/>
                      <w:color w:val="000000" w:themeColor="text1"/>
                      <w:sz w:val="21"/>
                      <w:szCs w:val="21"/>
                      <w:highlight w:val="none"/>
                      <w:lang w:val="en-US" w:eastAsia="zh-CN"/>
                      <w14:textFill>
                        <w14:solidFill>
                          <w14:schemeClr w14:val="tx1"/>
                        </w14:solidFill>
                      </w14:textFill>
                    </w:rPr>
                    <w:t>东南区域</w:t>
                  </w:r>
                  <w:r>
                    <w:rPr>
                      <w:rFonts w:hint="eastAsia" w:cs="Times New Roman"/>
                      <w:color w:val="000000" w:themeColor="text1"/>
                      <w:kern w:val="0"/>
                      <w:sz w:val="21"/>
                      <w:szCs w:val="21"/>
                      <w:lang w:val="en-US" w:eastAsia="zh-CN"/>
                      <w14:textFill>
                        <w14:solidFill>
                          <w14:schemeClr w14:val="tx1"/>
                        </w14:solidFill>
                      </w14:textFill>
                    </w:rPr>
                    <w:t>，</w:t>
                  </w:r>
                  <w:r>
                    <w:rPr>
                      <w:rFonts w:hint="eastAsia"/>
                      <w:b w:val="0"/>
                      <w:bCs w:val="0"/>
                      <w:color w:val="000000" w:themeColor="text1"/>
                      <w:sz w:val="21"/>
                      <w:szCs w:val="21"/>
                      <w:highlight w:val="none"/>
                      <w:lang w:val="en-US" w:eastAsia="zh-CN"/>
                      <w14:textFill>
                        <w14:solidFill>
                          <w14:schemeClr w14:val="tx1"/>
                        </w14:solidFill>
                      </w14:textFill>
                    </w:rPr>
                    <w:t>占地面积16.8m</w:t>
                  </w:r>
                  <w:r>
                    <w:rPr>
                      <w:rFonts w:hint="eastAsia"/>
                      <w:b w:val="0"/>
                      <w:bCs w:val="0"/>
                      <w:color w:val="000000" w:themeColor="text1"/>
                      <w:sz w:val="21"/>
                      <w:szCs w:val="21"/>
                      <w:highlight w:val="none"/>
                      <w:vertAlign w:val="superscript"/>
                      <w:lang w:val="en-US" w:eastAsia="zh-CN"/>
                      <w14:textFill>
                        <w14:solidFill>
                          <w14:schemeClr w14:val="tx1"/>
                        </w14:solidFill>
                      </w14:textFill>
                    </w:rPr>
                    <w:t>2</w:t>
                  </w:r>
                  <w:r>
                    <w:rPr>
                      <w:rFonts w:hint="eastAsia"/>
                      <w:b w:val="0"/>
                      <w:bCs w:val="0"/>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尺寸为5.6m×3m×3m</w:t>
                  </w:r>
                  <w:r>
                    <w:rPr>
                      <w:rFonts w:hint="eastAsia"/>
                      <w:b w:val="0"/>
                      <w:bCs w:val="0"/>
                      <w:color w:val="000000" w:themeColor="text1"/>
                      <w:sz w:val="21"/>
                      <w:szCs w:val="21"/>
                      <w:highlight w:val="none"/>
                      <w:lang w:val="en-US" w:eastAsia="zh-CN"/>
                      <w14:textFill>
                        <w14:solidFill>
                          <w14:schemeClr w14:val="tx1"/>
                        </w14:solidFill>
                      </w14:textFill>
                    </w:rPr>
                    <w:t>，用于不锈钢粉的贮存。</w:t>
                  </w:r>
                </w:p>
              </w:tc>
              <w:tc>
                <w:tcPr>
                  <w:tcW w:w="624" w:type="pct"/>
                  <w:vMerge w:val="continue"/>
                  <w:tcBorders>
                    <w:tl2br w:val="nil"/>
                    <w:tr2bl w:val="nil"/>
                  </w:tcBorders>
                  <w:noWrap w:val="0"/>
                  <w:vAlign w:val="center"/>
                </w:tcPr>
                <w:p w14:paraId="57F9FBAF">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14:paraId="1B3E92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264" w:type="pct"/>
                  <w:vMerge w:val="continue"/>
                  <w:tcBorders>
                    <w:tl2br w:val="nil"/>
                    <w:tr2bl w:val="nil"/>
                  </w:tcBorders>
                  <w:noWrap w:val="0"/>
                  <w:vAlign w:val="center"/>
                </w:tcPr>
                <w:p w14:paraId="5201CA86">
                  <w:pPr>
                    <w:jc w:val="center"/>
                    <w:rPr>
                      <w:rFonts w:hint="eastAsia" w:cs="Times New Roman"/>
                      <w:color w:val="000000" w:themeColor="text1"/>
                      <w:sz w:val="21"/>
                      <w:szCs w:val="21"/>
                      <w:lang w:val="en-US" w:eastAsia="zh-CN"/>
                      <w14:textFill>
                        <w14:solidFill>
                          <w14:schemeClr w14:val="tx1"/>
                        </w14:solidFill>
                      </w14:textFill>
                    </w:rPr>
                  </w:pPr>
                </w:p>
              </w:tc>
              <w:tc>
                <w:tcPr>
                  <w:tcW w:w="265" w:type="pct"/>
                  <w:vMerge w:val="continue"/>
                  <w:tcBorders>
                    <w:tl2br w:val="nil"/>
                    <w:tr2bl w:val="nil"/>
                  </w:tcBorders>
                  <w:noWrap w:val="0"/>
                  <w:vAlign w:val="center"/>
                </w:tcPr>
                <w:p w14:paraId="7AE53C52">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606" w:type="pct"/>
                  <w:tcBorders>
                    <w:tl2br w:val="nil"/>
                    <w:tr2bl w:val="nil"/>
                  </w:tcBorders>
                  <w:shd w:val="clear" w:color="auto" w:fill="auto"/>
                  <w:noWrap w:val="0"/>
                  <w:vAlign w:val="center"/>
                </w:tcPr>
                <w:p w14:paraId="4580E475">
                  <w:pPr>
                    <w:widowControl/>
                    <w:jc w:val="center"/>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成品</w:t>
                  </w:r>
                </w:p>
                <w:p w14:paraId="189951D2">
                  <w:pPr>
                    <w:widowControl/>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库房</w:t>
                  </w:r>
                </w:p>
              </w:tc>
              <w:tc>
                <w:tcPr>
                  <w:tcW w:w="3238" w:type="pct"/>
                  <w:tcBorders>
                    <w:tl2br w:val="nil"/>
                    <w:tr2bl w:val="nil"/>
                  </w:tcBorders>
                  <w:shd w:val="clear" w:color="auto" w:fill="auto"/>
                  <w:noWrap w:val="0"/>
                  <w:vAlign w:val="center"/>
                </w:tcPr>
                <w:p w14:paraId="0A5F47C2">
                  <w:pP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b w:val="0"/>
                      <w:bCs w:val="0"/>
                      <w:color w:val="000000" w:themeColor="text1"/>
                      <w:sz w:val="21"/>
                      <w:szCs w:val="21"/>
                      <w:highlight w:val="none"/>
                      <w:lang w:val="en-US" w:eastAsia="zh-CN"/>
                      <w14:textFill>
                        <w14:solidFill>
                          <w14:schemeClr w14:val="tx1"/>
                        </w14:solidFill>
                      </w14:textFill>
                    </w:rPr>
                    <w:t>建设库房1座，</w:t>
                  </w:r>
                  <w:r>
                    <w:rPr>
                      <w:rFonts w:hint="default" w:ascii="Times New Roman" w:hAnsi="Times New Roman" w:cs="Times New Roman"/>
                      <w:color w:val="000000" w:themeColor="text1"/>
                      <w:sz w:val="21"/>
                      <w:szCs w:val="21"/>
                      <w14:textFill>
                        <w14:solidFill>
                          <w14:schemeClr w14:val="tx1"/>
                        </w14:solidFill>
                      </w14:textFill>
                    </w:rPr>
                    <w:t>位于</w:t>
                  </w:r>
                  <w:r>
                    <w:rPr>
                      <w:rFonts w:hint="eastAsia" w:cs="Times New Roman"/>
                      <w:color w:val="000000" w:themeColor="text1"/>
                      <w:kern w:val="0"/>
                      <w:sz w:val="21"/>
                      <w:szCs w:val="21"/>
                      <w:lang w:val="en-US" w:eastAsia="zh-CN"/>
                      <w14:textFill>
                        <w14:solidFill>
                          <w14:schemeClr w14:val="tx1"/>
                        </w14:solidFill>
                      </w14:textFill>
                    </w:rPr>
                    <w:t>车间南侧中部区域</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占地面积为</w:t>
                  </w:r>
                  <w:r>
                    <w:rPr>
                      <w:rFonts w:hint="eastAsia" w:cs="Times New Roman"/>
                      <w:color w:val="000000" w:themeColor="text1"/>
                      <w:sz w:val="21"/>
                      <w:szCs w:val="21"/>
                      <w:lang w:val="en-US" w:eastAsia="zh-CN"/>
                      <w14:textFill>
                        <w14:solidFill>
                          <w14:schemeClr w14:val="tx1"/>
                        </w14:solidFill>
                      </w14:textFill>
                    </w:rPr>
                    <w:t>75</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2</w:t>
                  </w:r>
                  <w:r>
                    <w:rPr>
                      <w:rFonts w:hint="eastAsia" w:cs="Times New Roman"/>
                      <w:color w:val="000000" w:themeColor="text1"/>
                      <w:sz w:val="21"/>
                      <w:szCs w:val="21"/>
                      <w:vertAlign w:val="baseli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尺寸为7.5m×10m×3m，</w:t>
                  </w:r>
                  <w:r>
                    <w:rPr>
                      <w:rFonts w:hint="default" w:ascii="Times New Roman" w:hAnsi="Times New Roman" w:cs="Times New Roman"/>
                      <w:color w:val="000000" w:themeColor="text1"/>
                      <w:sz w:val="21"/>
                      <w:szCs w:val="21"/>
                      <w14:textFill>
                        <w14:solidFill>
                          <w14:schemeClr w14:val="tx1"/>
                        </w14:solidFill>
                      </w14:textFill>
                    </w:rPr>
                    <w:t>主要用于</w:t>
                  </w:r>
                  <w:r>
                    <w:rPr>
                      <w:rFonts w:hint="eastAsia" w:cs="Times New Roman"/>
                      <w:color w:val="000000" w:themeColor="text1"/>
                      <w:sz w:val="21"/>
                      <w:szCs w:val="21"/>
                      <w:lang w:val="en-US" w:eastAsia="zh-CN"/>
                      <w14:textFill>
                        <w14:solidFill>
                          <w14:schemeClr w14:val="tx1"/>
                        </w14:solidFill>
                      </w14:textFill>
                    </w:rPr>
                    <w:t>贮存成品</w:t>
                  </w:r>
                </w:p>
              </w:tc>
              <w:tc>
                <w:tcPr>
                  <w:tcW w:w="624" w:type="pct"/>
                  <w:vMerge w:val="continue"/>
                  <w:tcBorders>
                    <w:tl2br w:val="nil"/>
                    <w:tr2bl w:val="nil"/>
                  </w:tcBorders>
                  <w:shd w:val="clear" w:color="auto" w:fill="auto"/>
                  <w:noWrap w:val="0"/>
                  <w:vAlign w:val="center"/>
                </w:tcPr>
                <w:p w14:paraId="3136B4FF">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p>
              </w:tc>
            </w:tr>
            <w:tr w14:paraId="16C009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264" w:type="pct"/>
                  <w:vMerge w:val="restart"/>
                  <w:tcBorders>
                    <w:tl2br w:val="nil"/>
                    <w:tr2bl w:val="nil"/>
                  </w:tcBorders>
                  <w:noWrap w:val="0"/>
                  <w:vAlign w:val="center"/>
                </w:tcPr>
                <w:p w14:paraId="0B330202">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265" w:type="pct"/>
                  <w:vMerge w:val="restart"/>
                  <w:tcBorders>
                    <w:tl2br w:val="nil"/>
                    <w:tr2bl w:val="nil"/>
                  </w:tcBorders>
                  <w:noWrap w:val="0"/>
                  <w:vAlign w:val="center"/>
                </w:tcPr>
                <w:p w14:paraId="02F4AA8D">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公用</w:t>
                  </w:r>
                </w:p>
                <w:p w14:paraId="5E7BB74A">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工程</w:t>
                  </w:r>
                </w:p>
              </w:tc>
              <w:tc>
                <w:tcPr>
                  <w:tcW w:w="606" w:type="pct"/>
                  <w:tcBorders>
                    <w:tl2br w:val="nil"/>
                    <w:tr2bl w:val="nil"/>
                  </w:tcBorders>
                  <w:noWrap w:val="0"/>
                  <w:vAlign w:val="center"/>
                </w:tcPr>
                <w:p w14:paraId="631F60F8">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办公室</w:t>
                  </w:r>
                </w:p>
              </w:tc>
              <w:tc>
                <w:tcPr>
                  <w:tcW w:w="3238" w:type="pct"/>
                  <w:tcBorders>
                    <w:tl2br w:val="nil"/>
                    <w:tr2bl w:val="nil"/>
                  </w:tcBorders>
                  <w:noWrap w:val="0"/>
                  <w:vAlign w:val="center"/>
                </w:tcPr>
                <w:p w14:paraId="088F0B5B">
                  <w:pPr>
                    <w:rPr>
                      <w:rFonts w:hint="default" w:ascii="Times New Roman" w:hAnsi="Times New Roman" w:eastAsia="宋体" w:cs="Times New Roman"/>
                      <w:snapToGrid w:val="0"/>
                      <w:color w:val="000000" w:themeColor="text1"/>
                      <w:spacing w:val="6"/>
                      <w:sz w:val="21"/>
                      <w:szCs w:val="21"/>
                      <w:lang w:val="en-US" w:eastAsia="zh-CN"/>
                      <w14:textFill>
                        <w14:solidFill>
                          <w14:schemeClr w14:val="tx1"/>
                        </w14:solidFill>
                      </w14:textFill>
                    </w:rPr>
                  </w:pPr>
                  <w:r>
                    <w:rPr>
                      <w:rFonts w:hint="eastAsia" w:cs="Times New Roman"/>
                      <w:snapToGrid w:val="0"/>
                      <w:color w:val="000000" w:themeColor="text1"/>
                      <w:spacing w:val="6"/>
                      <w:sz w:val="21"/>
                      <w:szCs w:val="21"/>
                      <w:lang w:val="en-US" w:eastAsia="zh-CN"/>
                      <w14:textFill>
                        <w14:solidFill>
                          <w14:schemeClr w14:val="tx1"/>
                        </w14:solidFill>
                      </w14:textFill>
                    </w:rPr>
                    <w:t>建设办公室4间，位于车间西南角区域，</w:t>
                  </w:r>
                  <w:r>
                    <w:rPr>
                      <w:rFonts w:hint="default" w:ascii="Times New Roman" w:hAnsi="Times New Roman" w:cs="Times New Roman"/>
                      <w:color w:val="000000" w:themeColor="text1"/>
                      <w:sz w:val="21"/>
                      <w:szCs w:val="21"/>
                      <w14:textFill>
                        <w14:solidFill>
                          <w14:schemeClr w14:val="tx1"/>
                        </w14:solidFill>
                      </w14:textFill>
                    </w:rPr>
                    <w:t>占地面积为</w:t>
                  </w:r>
                  <w:r>
                    <w:rPr>
                      <w:rFonts w:hint="eastAsia" w:cs="Times New Roman"/>
                      <w:color w:val="000000" w:themeColor="text1"/>
                      <w:sz w:val="21"/>
                      <w:szCs w:val="21"/>
                      <w:lang w:val="en-US" w:eastAsia="zh-CN"/>
                      <w14:textFill>
                        <w14:solidFill>
                          <w14:schemeClr w14:val="tx1"/>
                        </w14:solidFill>
                      </w14:textFill>
                    </w:rPr>
                    <w:t>90</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2</w:t>
                  </w:r>
                  <w:r>
                    <w:rPr>
                      <w:rFonts w:hint="eastAsia" w:cs="Times New Roman"/>
                      <w:color w:val="000000" w:themeColor="text1"/>
                      <w:sz w:val="21"/>
                      <w:szCs w:val="21"/>
                      <w:vertAlign w:val="baseli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尺寸为12m×7.5m×3m，</w:t>
                  </w:r>
                  <w:r>
                    <w:rPr>
                      <w:rFonts w:hint="eastAsia" w:cs="Times New Roman"/>
                      <w:snapToGrid w:val="0"/>
                      <w:color w:val="000000" w:themeColor="text1"/>
                      <w:spacing w:val="6"/>
                      <w:sz w:val="21"/>
                      <w:szCs w:val="21"/>
                      <w:lang w:val="en-US" w:eastAsia="zh-CN"/>
                      <w14:textFill>
                        <w14:solidFill>
                          <w14:schemeClr w14:val="tx1"/>
                        </w14:solidFill>
                      </w14:textFill>
                    </w:rPr>
                    <w:t>主要用于日常办公</w:t>
                  </w:r>
                </w:p>
              </w:tc>
              <w:tc>
                <w:tcPr>
                  <w:tcW w:w="624" w:type="pct"/>
                  <w:tcBorders>
                    <w:tl2br w:val="nil"/>
                    <w:tr2bl w:val="nil"/>
                  </w:tcBorders>
                  <w:noWrap w:val="0"/>
                  <w:vAlign w:val="center"/>
                </w:tcPr>
                <w:p w14:paraId="6E12F2EC">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w:t>
                  </w:r>
                </w:p>
                <w:p w14:paraId="1FDB3F8E">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现有</w:t>
                  </w:r>
                </w:p>
              </w:tc>
            </w:tr>
            <w:tr w14:paraId="1A48BE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264" w:type="pct"/>
                  <w:vMerge w:val="continue"/>
                  <w:tcBorders>
                    <w:tl2br w:val="nil"/>
                    <w:tr2bl w:val="nil"/>
                  </w:tcBorders>
                  <w:noWrap w:val="0"/>
                  <w:vAlign w:val="center"/>
                </w:tcPr>
                <w:p w14:paraId="4B8F1988">
                  <w:pPr>
                    <w:jc w:val="center"/>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3741DD48">
                  <w:pPr>
                    <w:jc w:val="center"/>
                    <w:rPr>
                      <w:rFonts w:hint="default" w:ascii="Times New Roman" w:hAnsi="Times New Roman" w:cs="Times New Roman"/>
                      <w:color w:val="000000" w:themeColor="text1"/>
                      <w:sz w:val="21"/>
                      <w:szCs w:val="21"/>
                      <w14:textFill>
                        <w14:solidFill>
                          <w14:schemeClr w14:val="tx1"/>
                        </w14:solidFill>
                      </w14:textFill>
                    </w:rPr>
                  </w:pPr>
                </w:p>
              </w:tc>
              <w:tc>
                <w:tcPr>
                  <w:tcW w:w="606" w:type="pct"/>
                  <w:tcBorders>
                    <w:tl2br w:val="nil"/>
                    <w:tr2bl w:val="nil"/>
                  </w:tcBorders>
                  <w:shd w:val="clear" w:color="auto" w:fill="auto"/>
                  <w:noWrap w:val="0"/>
                  <w:vAlign w:val="center"/>
                </w:tcPr>
                <w:p w14:paraId="3CF760AD">
                  <w:pPr>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给</w:t>
                  </w:r>
                  <w:r>
                    <w:rPr>
                      <w:rFonts w:hint="default" w:ascii="Times New Roman" w:hAnsi="Times New Roman" w:cs="Times New Roman"/>
                      <w:color w:val="000000" w:themeColor="text1"/>
                      <w:sz w:val="21"/>
                      <w:szCs w:val="21"/>
                      <w:lang w:val="en-US" w:eastAsia="zh-CN"/>
                      <w14:textFill>
                        <w14:solidFill>
                          <w14:schemeClr w14:val="tx1"/>
                        </w14:solidFill>
                      </w14:textFill>
                    </w:rPr>
                    <w:t>水</w:t>
                  </w:r>
                </w:p>
              </w:tc>
              <w:tc>
                <w:tcPr>
                  <w:tcW w:w="3238" w:type="pct"/>
                  <w:tcBorders>
                    <w:tl2br w:val="nil"/>
                    <w:tr2bl w:val="nil"/>
                  </w:tcBorders>
                  <w:shd w:val="clear" w:color="auto" w:fill="auto"/>
                  <w:noWrap w:val="0"/>
                  <w:vAlign w:val="center"/>
                </w:tcPr>
                <w:p w14:paraId="36A38E9E">
                  <w:pPr>
                    <w:rPr>
                      <w:rFonts w:hint="default" w:ascii="Times New Roman" w:hAnsi="Times New Roman" w:eastAsia="宋体" w:cs="Times New Roman"/>
                      <w:snapToGrid w:val="0"/>
                      <w:color w:val="000000" w:themeColor="text1"/>
                      <w:spacing w:val="6"/>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由</w:t>
                  </w:r>
                  <w:r>
                    <w:rPr>
                      <w:rFonts w:hint="eastAsia" w:cs="Times New Roman"/>
                      <w:color w:val="000000" w:themeColor="text1"/>
                      <w:sz w:val="21"/>
                      <w:szCs w:val="21"/>
                      <w:lang w:val="en-US" w:eastAsia="zh-CN"/>
                      <w14:textFill>
                        <w14:solidFill>
                          <w14:schemeClr w14:val="tx1"/>
                        </w14:solidFill>
                      </w14:textFill>
                    </w:rPr>
                    <w:t>市政</w:t>
                  </w:r>
                  <w:r>
                    <w:rPr>
                      <w:rFonts w:hint="default" w:ascii="Times New Roman" w:hAnsi="Times New Roman" w:cs="Times New Roman"/>
                      <w:color w:val="000000" w:themeColor="text1"/>
                      <w:sz w:val="21"/>
                      <w:szCs w:val="21"/>
                      <w:lang w:val="en-US" w:eastAsia="zh-CN"/>
                      <w14:textFill>
                        <w14:solidFill>
                          <w14:schemeClr w14:val="tx1"/>
                        </w14:solidFill>
                      </w14:textFill>
                    </w:rPr>
                    <w:t>自来水管网供给</w:t>
                  </w:r>
                  <w:r>
                    <w:rPr>
                      <w:rFonts w:hint="eastAsia" w:cs="Times New Roman"/>
                      <w:color w:val="000000" w:themeColor="text1"/>
                      <w:sz w:val="21"/>
                      <w:szCs w:val="21"/>
                      <w:lang w:val="en-US" w:eastAsia="zh-CN"/>
                      <w14:textFill>
                        <w14:solidFill>
                          <w14:schemeClr w14:val="tx1"/>
                        </w14:solidFill>
                      </w14:textFill>
                    </w:rPr>
                    <w:t>；</w:t>
                  </w:r>
                </w:p>
              </w:tc>
              <w:tc>
                <w:tcPr>
                  <w:tcW w:w="624" w:type="pct"/>
                  <w:tcBorders>
                    <w:tl2br w:val="nil"/>
                    <w:tr2bl w:val="nil"/>
                  </w:tcBorders>
                  <w:shd w:val="clear" w:color="auto" w:fill="auto"/>
                  <w:noWrap w:val="0"/>
                  <w:vAlign w:val="center"/>
                </w:tcPr>
                <w:p w14:paraId="16C9285F">
                  <w:pPr>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w:t>
                  </w:r>
                </w:p>
              </w:tc>
            </w:tr>
            <w:tr w14:paraId="1F9BD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264" w:type="pct"/>
                  <w:vMerge w:val="continue"/>
                  <w:tcBorders>
                    <w:tl2br w:val="nil"/>
                    <w:tr2bl w:val="nil"/>
                  </w:tcBorders>
                  <w:noWrap w:val="0"/>
                  <w:vAlign w:val="center"/>
                </w:tcPr>
                <w:p w14:paraId="742FAE24">
                  <w:pPr>
                    <w:jc w:val="center"/>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2EB2E486">
                  <w:pPr>
                    <w:jc w:val="center"/>
                    <w:rPr>
                      <w:rFonts w:hint="default" w:ascii="Times New Roman" w:hAnsi="Times New Roman" w:cs="Times New Roman"/>
                      <w:color w:val="000000" w:themeColor="text1"/>
                      <w:sz w:val="21"/>
                      <w:szCs w:val="21"/>
                      <w14:textFill>
                        <w14:solidFill>
                          <w14:schemeClr w14:val="tx1"/>
                        </w14:solidFill>
                      </w14:textFill>
                    </w:rPr>
                  </w:pPr>
                </w:p>
              </w:tc>
              <w:tc>
                <w:tcPr>
                  <w:tcW w:w="606" w:type="pct"/>
                  <w:tcBorders>
                    <w:tl2br w:val="nil"/>
                    <w:tr2bl w:val="nil"/>
                  </w:tcBorders>
                  <w:noWrap w:val="0"/>
                  <w:vAlign w:val="center"/>
                </w:tcPr>
                <w:p w14:paraId="1D6E0C89">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排水</w:t>
                  </w:r>
                </w:p>
              </w:tc>
              <w:tc>
                <w:tcPr>
                  <w:tcW w:w="3238" w:type="pct"/>
                  <w:tcBorders>
                    <w:tl2br w:val="nil"/>
                    <w:tr2bl w:val="nil"/>
                  </w:tcBorders>
                  <w:noWrap w:val="0"/>
                  <w:vAlign w:val="center"/>
                </w:tcPr>
                <w:p w14:paraId="1278A3B9">
                  <w:pPr>
                    <w:adjustRightInd w:val="0"/>
                    <w:snapToGrid w:val="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①</w:t>
                  </w:r>
                  <w:r>
                    <w:rPr>
                      <w:rFonts w:hint="default" w:ascii="Times New Roman" w:hAnsi="Times New Roman" w:cs="Times New Roman"/>
                      <w:color w:val="000000" w:themeColor="text1"/>
                      <w:sz w:val="21"/>
                      <w:szCs w:val="21"/>
                      <w14:textFill>
                        <w14:solidFill>
                          <w14:schemeClr w14:val="tx1"/>
                        </w14:solidFill>
                      </w14:textFill>
                    </w:rPr>
                    <w:t>雨污分流制</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雨水沿雨水渠排入雨水管网；</w:t>
                  </w:r>
                </w:p>
                <w:p w14:paraId="344F4FCE">
                  <w:pPr>
                    <w:rPr>
                      <w:rFonts w:hint="default"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②生活污水依托厂区内化粪池处理后排</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入</w:t>
                  </w:r>
                  <w:r>
                    <w:rPr>
                      <w:rFonts w:hint="eastAsia" w:ascii="Times New Roman" w:hAnsi="Times New Roman" w:cs="Times New Roman"/>
                      <w:color w:val="000000" w:themeColor="text1"/>
                      <w:sz w:val="21"/>
                      <w:szCs w:val="21"/>
                      <w:lang w:val="en-US" w:eastAsia="zh-CN"/>
                      <w14:textFill>
                        <w14:solidFill>
                          <w14:schemeClr w14:val="tx1"/>
                        </w14:solidFill>
                      </w14:textFill>
                    </w:rPr>
                    <w:t>宝鸡市陈仓金信安水务有限公司（宝鸡市陈仓区虢镇污水处理厂）处理</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624" w:type="pct"/>
                  <w:tcBorders>
                    <w:tl2br w:val="nil"/>
                    <w:tr2bl w:val="nil"/>
                  </w:tcBorders>
                  <w:noWrap w:val="0"/>
                  <w:vAlign w:val="center"/>
                </w:tcPr>
                <w:p w14:paraId="414366E2">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w:t>
                  </w:r>
                </w:p>
              </w:tc>
            </w:tr>
            <w:tr w14:paraId="076A39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264" w:type="pct"/>
                  <w:vMerge w:val="continue"/>
                  <w:tcBorders>
                    <w:tl2br w:val="nil"/>
                    <w:tr2bl w:val="nil"/>
                  </w:tcBorders>
                  <w:noWrap w:val="0"/>
                  <w:vAlign w:val="center"/>
                </w:tcPr>
                <w:p w14:paraId="4C76836A">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7F15E3B5">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606" w:type="pct"/>
                  <w:tcBorders>
                    <w:tl2br w:val="nil"/>
                    <w:tr2bl w:val="nil"/>
                  </w:tcBorders>
                  <w:noWrap w:val="0"/>
                  <w:vAlign w:val="center"/>
                </w:tcPr>
                <w:p w14:paraId="738C4DA2">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供电</w:t>
                  </w:r>
                </w:p>
              </w:tc>
              <w:tc>
                <w:tcPr>
                  <w:tcW w:w="3238" w:type="pct"/>
                  <w:tcBorders>
                    <w:tl2br w:val="nil"/>
                    <w:tr2bl w:val="nil"/>
                  </w:tcBorders>
                  <w:noWrap w:val="0"/>
                  <w:vAlign w:val="center"/>
                </w:tcPr>
                <w:p w14:paraId="30D3561C">
                  <w:pPr>
                    <w:rPr>
                      <w:rFonts w:hint="default" w:ascii="Times New Roman" w:hAnsi="Times New Roman" w:cs="Times New Roman"/>
                      <w:snapToGrid w:val="0"/>
                      <w:color w:val="000000" w:themeColor="text1"/>
                      <w:spacing w:val="6"/>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由市政电网接入</w:t>
                  </w:r>
                </w:p>
              </w:tc>
              <w:tc>
                <w:tcPr>
                  <w:tcW w:w="624" w:type="pct"/>
                  <w:tcBorders>
                    <w:tl2br w:val="nil"/>
                    <w:tr2bl w:val="nil"/>
                  </w:tcBorders>
                  <w:noWrap w:val="0"/>
                  <w:vAlign w:val="center"/>
                </w:tcPr>
                <w:p w14:paraId="430C169D">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w:t>
                  </w:r>
                </w:p>
              </w:tc>
            </w:tr>
            <w:tr w14:paraId="1C8518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01" w:hRule="atLeast"/>
                <w:jc w:val="center"/>
              </w:trPr>
              <w:tc>
                <w:tcPr>
                  <w:tcW w:w="264" w:type="pct"/>
                  <w:vMerge w:val="continue"/>
                  <w:tcBorders>
                    <w:tl2br w:val="nil"/>
                    <w:tr2bl w:val="nil"/>
                  </w:tcBorders>
                  <w:noWrap w:val="0"/>
                  <w:vAlign w:val="center"/>
                </w:tcPr>
                <w:p w14:paraId="6DA1DE41">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2290B893">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606" w:type="pct"/>
                  <w:tcBorders>
                    <w:tl2br w:val="nil"/>
                    <w:tr2bl w:val="nil"/>
                  </w:tcBorders>
                  <w:noWrap w:val="0"/>
                  <w:vAlign w:val="center"/>
                </w:tcPr>
                <w:p w14:paraId="048CE83F">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采暖与制冷</w:t>
                  </w:r>
                </w:p>
              </w:tc>
              <w:tc>
                <w:tcPr>
                  <w:tcW w:w="3238" w:type="pct"/>
                  <w:tcBorders>
                    <w:tl2br w:val="nil"/>
                    <w:tr2bl w:val="nil"/>
                  </w:tcBorders>
                  <w:noWrap w:val="0"/>
                  <w:vAlign w:val="center"/>
                </w:tcPr>
                <w:p w14:paraId="61DD0240">
                  <w:pPr>
                    <w:rPr>
                      <w:rFonts w:hint="eastAsia"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①</w:t>
                  </w:r>
                  <w:r>
                    <w:rPr>
                      <w:rFonts w:hint="default" w:ascii="Times New Roman" w:hAnsi="Times New Roman" w:cs="Times New Roman"/>
                      <w:color w:val="000000" w:themeColor="text1"/>
                      <w:sz w:val="21"/>
                      <w:szCs w:val="21"/>
                      <w14:textFill>
                        <w14:solidFill>
                          <w14:schemeClr w14:val="tx1"/>
                        </w14:solidFill>
                      </w14:textFill>
                    </w:rPr>
                    <w:t>办公采用分体空调采暖制冷</w:t>
                  </w:r>
                  <w:r>
                    <w:rPr>
                      <w:rFonts w:hint="eastAsia" w:cs="Times New Roman"/>
                      <w:color w:val="000000" w:themeColor="text1"/>
                      <w:sz w:val="21"/>
                      <w:szCs w:val="21"/>
                      <w:lang w:eastAsia="zh-CN"/>
                      <w14:textFill>
                        <w14:solidFill>
                          <w14:schemeClr w14:val="tx1"/>
                        </w14:solidFill>
                      </w14:textFill>
                    </w:rPr>
                    <w:t>；</w:t>
                  </w:r>
                </w:p>
                <w:p w14:paraId="16715ACB">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②</w:t>
                  </w:r>
                  <w:r>
                    <w:rPr>
                      <w:rFonts w:hint="eastAsia" w:cs="Times New Roman"/>
                      <w:color w:val="000000" w:themeColor="text1"/>
                      <w:sz w:val="21"/>
                      <w:szCs w:val="21"/>
                      <w:lang w:val="en-US" w:eastAsia="zh-CN"/>
                      <w14:textFill>
                        <w14:solidFill>
                          <w14:schemeClr w14:val="tx1"/>
                        </w14:solidFill>
                      </w14:textFill>
                    </w:rPr>
                    <w:t>工艺涉及的加热、退火、烧结均为电加热；</w:t>
                  </w:r>
                </w:p>
              </w:tc>
              <w:tc>
                <w:tcPr>
                  <w:tcW w:w="624" w:type="pct"/>
                  <w:tcBorders>
                    <w:tl2br w:val="nil"/>
                    <w:tr2bl w:val="nil"/>
                  </w:tcBorders>
                  <w:noWrap w:val="0"/>
                  <w:vAlign w:val="center"/>
                </w:tcPr>
                <w:p w14:paraId="079EA342">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r>
            <w:tr w14:paraId="0EE26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4" w:type="pct"/>
                  <w:vMerge w:val="restart"/>
                  <w:tcBorders>
                    <w:tl2br w:val="nil"/>
                    <w:tr2bl w:val="nil"/>
                  </w:tcBorders>
                  <w:noWrap w:val="0"/>
                  <w:vAlign w:val="center"/>
                </w:tcPr>
                <w:p w14:paraId="70944B8E">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w:t>
                  </w:r>
                </w:p>
              </w:tc>
              <w:tc>
                <w:tcPr>
                  <w:tcW w:w="265" w:type="pct"/>
                  <w:vMerge w:val="restart"/>
                  <w:tcBorders>
                    <w:tl2br w:val="nil"/>
                    <w:tr2bl w:val="nil"/>
                  </w:tcBorders>
                  <w:noWrap w:val="0"/>
                  <w:vAlign w:val="center"/>
                </w:tcPr>
                <w:p w14:paraId="0B40D824">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环保工程</w:t>
                  </w:r>
                </w:p>
              </w:tc>
              <w:tc>
                <w:tcPr>
                  <w:tcW w:w="606" w:type="pct"/>
                  <w:tcBorders>
                    <w:tl2br w:val="nil"/>
                    <w:tr2bl w:val="nil"/>
                  </w:tcBorders>
                  <w:noWrap w:val="0"/>
                  <w:vAlign w:val="center"/>
                </w:tcPr>
                <w:p w14:paraId="5CA0E88A">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废水</w:t>
                  </w:r>
                </w:p>
              </w:tc>
              <w:tc>
                <w:tcPr>
                  <w:tcW w:w="3238" w:type="pct"/>
                  <w:tcBorders>
                    <w:tl2br w:val="nil"/>
                    <w:tr2bl w:val="nil"/>
                  </w:tcBorders>
                  <w:noWrap w:val="0"/>
                  <w:vAlign w:val="center"/>
                </w:tcPr>
                <w:p w14:paraId="491AA982">
                  <w:pPr>
                    <w:rPr>
                      <w:rFonts w:hint="default"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生活污水依托</w:t>
                  </w:r>
                  <w:r>
                    <w:rPr>
                      <w:rFonts w:hint="eastAsia" w:cs="Times New Roman"/>
                      <w:color w:val="000000" w:themeColor="text1"/>
                      <w:sz w:val="21"/>
                      <w:szCs w:val="21"/>
                      <w:lang w:val="en-US" w:eastAsia="zh-CN"/>
                      <w14:textFill>
                        <w14:solidFill>
                          <w14:schemeClr w14:val="tx1"/>
                        </w14:solidFill>
                      </w14:textFill>
                    </w:rPr>
                    <w:t>宝鸡得力隆纺织有限公司厂</w:t>
                  </w:r>
                  <w:r>
                    <w:rPr>
                      <w:rFonts w:hint="default" w:ascii="Times New Roman" w:hAnsi="Times New Roman" w:cs="Times New Roman"/>
                      <w:color w:val="000000" w:themeColor="text1"/>
                      <w:sz w:val="21"/>
                      <w:szCs w:val="21"/>
                      <w:lang w:val="en-US" w:eastAsia="zh-CN"/>
                      <w14:textFill>
                        <w14:solidFill>
                          <w14:schemeClr w14:val="tx1"/>
                        </w14:solidFill>
                      </w14:textFill>
                    </w:rPr>
                    <w:t>区内</w:t>
                  </w:r>
                  <w:r>
                    <w:rPr>
                      <w:rFonts w:hint="eastAsia" w:cs="Times New Roman"/>
                      <w:color w:val="000000" w:themeColor="text1"/>
                      <w:sz w:val="21"/>
                      <w:szCs w:val="21"/>
                      <w:lang w:val="en-US" w:eastAsia="zh-CN"/>
                      <w14:textFill>
                        <w14:solidFill>
                          <w14:schemeClr w14:val="tx1"/>
                        </w14:solidFill>
                      </w14:textFill>
                    </w:rPr>
                    <w:t>现有</w:t>
                  </w:r>
                  <w:r>
                    <w:rPr>
                      <w:rFonts w:hint="default" w:ascii="Times New Roman" w:hAnsi="Times New Roman" w:cs="Times New Roman"/>
                      <w:color w:val="000000" w:themeColor="text1"/>
                      <w:sz w:val="21"/>
                      <w:szCs w:val="21"/>
                      <w:lang w:val="en-US" w:eastAsia="zh-CN"/>
                      <w14:textFill>
                        <w14:solidFill>
                          <w14:schemeClr w14:val="tx1"/>
                        </w14:solidFill>
                      </w14:textFill>
                    </w:rPr>
                    <w:t>化粪池</w:t>
                  </w:r>
                  <w:r>
                    <w:rPr>
                      <w:rFonts w:hint="eastAsia" w:cs="Times New Roman"/>
                      <w:color w:val="000000" w:themeColor="text1"/>
                      <w:sz w:val="21"/>
                      <w:szCs w:val="21"/>
                      <w:lang w:val="en-US" w:eastAsia="zh-CN"/>
                      <w14:textFill>
                        <w14:solidFill>
                          <w14:schemeClr w14:val="tx1"/>
                        </w14:solidFill>
                      </w14:textFill>
                    </w:rPr>
                    <w:t>（30m</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处理后排入</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宝鸡市陈仓金信安水务有限公司（宝鸡市陈仓区虢镇污水处理厂）</w:t>
                  </w:r>
                  <w:r>
                    <w:rPr>
                      <w:rFonts w:hint="eastAsia" w:cs="Times New Roman"/>
                      <w:color w:val="000000" w:themeColor="text1"/>
                      <w:sz w:val="21"/>
                      <w:szCs w:val="21"/>
                      <w:lang w:val="en-US" w:eastAsia="zh-CN"/>
                      <w14:textFill>
                        <w14:solidFill>
                          <w14:schemeClr w14:val="tx1"/>
                        </w14:solidFill>
                      </w14:textFill>
                    </w:rPr>
                    <w:t>；</w:t>
                  </w:r>
                </w:p>
              </w:tc>
              <w:tc>
                <w:tcPr>
                  <w:tcW w:w="624" w:type="pct"/>
                  <w:tcBorders>
                    <w:tl2br w:val="nil"/>
                    <w:tr2bl w:val="nil"/>
                  </w:tcBorders>
                  <w:noWrap w:val="0"/>
                  <w:vAlign w:val="center"/>
                </w:tcPr>
                <w:p w14:paraId="444CFCFC">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w:t>
                  </w:r>
                </w:p>
              </w:tc>
            </w:tr>
            <w:tr w14:paraId="507D14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4" w:type="pct"/>
                  <w:vMerge w:val="continue"/>
                  <w:tcBorders>
                    <w:tl2br w:val="nil"/>
                    <w:tr2bl w:val="nil"/>
                  </w:tcBorders>
                  <w:noWrap w:val="0"/>
                  <w:vAlign w:val="center"/>
                </w:tcPr>
                <w:p w14:paraId="64540381">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202EE9F9">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606" w:type="pct"/>
                  <w:tcBorders>
                    <w:tl2br w:val="nil"/>
                    <w:tr2bl w:val="nil"/>
                  </w:tcBorders>
                  <w:noWrap w:val="0"/>
                  <w:vAlign w:val="center"/>
                </w:tcPr>
                <w:p w14:paraId="1DE0EFBA">
                  <w:pPr>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废气</w:t>
                  </w:r>
                </w:p>
              </w:tc>
              <w:tc>
                <w:tcPr>
                  <w:tcW w:w="3238" w:type="pct"/>
                  <w:tcBorders>
                    <w:tl2br w:val="nil"/>
                    <w:tr2bl w:val="nil"/>
                  </w:tcBorders>
                  <w:noWrap w:val="0"/>
                  <w:vAlign w:val="center"/>
                </w:tcPr>
                <w:p w14:paraId="1DC0FF67">
                  <w:pPr>
                    <w:autoSpaceDE w:val="0"/>
                    <w:autoSpaceDN w:val="0"/>
                    <w:adjustRightInd w:val="0"/>
                    <w:jc w:val="left"/>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①</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激光切割</w:t>
                  </w:r>
                  <w:r>
                    <w:rPr>
                      <w:rFonts w:hint="eastAsia" w:cs="Times New Roman"/>
                      <w:color w:val="000000" w:themeColor="text1"/>
                      <w:sz w:val="21"/>
                      <w:szCs w:val="21"/>
                      <w:highlight w:val="none"/>
                      <w:lang w:val="en-US" w:eastAsia="zh-CN"/>
                      <w14:textFill>
                        <w14:solidFill>
                          <w14:schemeClr w14:val="tx1"/>
                        </w14:solidFill>
                      </w14:textFill>
                    </w:rPr>
                    <w:t>工序配套同步移动集气罩+密闭集气管道；</w:t>
                  </w:r>
                </w:p>
                <w:p w14:paraId="3BE2AEBF">
                  <w:pPr>
                    <w:autoSpaceDE w:val="0"/>
                    <w:autoSpaceDN w:val="0"/>
                    <w:adjustRightInd w:val="0"/>
                    <w:jc w:val="left"/>
                    <w:rPr>
                      <w:rFonts w:hint="default"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②</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焊接烟尘</w:t>
                  </w:r>
                  <w:r>
                    <w:rPr>
                      <w:rFonts w:hint="eastAsia" w:cs="Times New Roman"/>
                      <w:color w:val="000000" w:themeColor="text1"/>
                      <w:sz w:val="21"/>
                      <w:szCs w:val="21"/>
                      <w:highlight w:val="none"/>
                      <w:lang w:val="en-US" w:eastAsia="zh-CN"/>
                      <w14:textFill>
                        <w14:solidFill>
                          <w14:schemeClr w14:val="tx1"/>
                        </w14:solidFill>
                      </w14:textFill>
                    </w:rPr>
                    <w:t>设置1个固定工位（三面封闭、出入口安装软帘）+1个顶吸集气罩+密闭集气管道；</w:t>
                  </w:r>
                </w:p>
                <w:p w14:paraId="201E7333">
                  <w:pPr>
                    <w:autoSpaceDE w:val="0"/>
                    <w:autoSpaceDN w:val="0"/>
                    <w:adjustRightInd w:val="0"/>
                    <w:jc w:val="left"/>
                    <w:rPr>
                      <w:rFonts w:hint="default"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③</w:t>
                  </w:r>
                  <w:r>
                    <w:rPr>
                      <w:rFonts w:hint="eastAsia" w:cs="Times New Roman"/>
                      <w:color w:val="000000" w:themeColor="text1"/>
                      <w:sz w:val="21"/>
                      <w:szCs w:val="21"/>
                      <w:highlight w:val="none"/>
                      <w:lang w:val="en-US" w:eastAsia="zh-CN"/>
                      <w14:textFill>
                        <w14:solidFill>
                          <w14:schemeClr w14:val="tx1"/>
                        </w14:solidFill>
                      </w14:textFill>
                    </w:rPr>
                    <w:t>修磨工序设置2个固定工位（三面封闭、出入口安装软帘）+2个顶吸集气装置+密闭集气管道；</w:t>
                  </w:r>
                </w:p>
                <w:p w14:paraId="056963C2">
                  <w:pPr>
                    <w:autoSpaceDE w:val="0"/>
                    <w:autoSpaceDN w:val="0"/>
                    <w:adjustRightInd w:val="0"/>
                    <w:jc w:val="left"/>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上述废气经收集后引入1套高效脉冲布袋除尘器（TA001）+1根15m排气筒（DA001）处理后</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排放</w:t>
                  </w:r>
                </w:p>
              </w:tc>
              <w:tc>
                <w:tcPr>
                  <w:tcW w:w="624" w:type="pct"/>
                  <w:tcBorders>
                    <w:tl2br w:val="nil"/>
                    <w:tr2bl w:val="nil"/>
                  </w:tcBorders>
                  <w:noWrap w:val="0"/>
                  <w:vAlign w:val="center"/>
                </w:tcPr>
                <w:p w14:paraId="6DC3622F">
                  <w:pPr>
                    <w:pStyle w:val="4"/>
                    <w:jc w:val="cente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t>新建</w:t>
                  </w:r>
                </w:p>
              </w:tc>
            </w:tr>
            <w:tr w14:paraId="4FF96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4" w:type="pct"/>
                  <w:vMerge w:val="continue"/>
                  <w:tcBorders>
                    <w:tl2br w:val="nil"/>
                    <w:tr2bl w:val="nil"/>
                  </w:tcBorders>
                  <w:noWrap w:val="0"/>
                  <w:vAlign w:val="center"/>
                </w:tcPr>
                <w:p w14:paraId="5EAD5819">
                  <w:pPr>
                    <w:widowControl/>
                    <w:jc w:val="left"/>
                    <w:rPr>
                      <w:rFonts w:hint="default" w:ascii="Times New Roman" w:hAnsi="Times New Roman" w:cs="Times New Roman"/>
                      <w:color w:val="000000" w:themeColor="text1"/>
                      <w:sz w:val="21"/>
                      <w:szCs w:val="21"/>
                      <w14:textFill>
                        <w14:solidFill>
                          <w14:schemeClr w14:val="tx1"/>
                        </w14:solidFill>
                      </w14:textFill>
                    </w:rPr>
                  </w:pPr>
                  <w:bookmarkStart w:id="5" w:name="OLE_LINK14" w:colFirst="3" w:colLast="67"/>
                  <w:bookmarkStart w:id="6" w:name="OLE_LINK15" w:colFirst="3" w:colLast="67"/>
                  <w:bookmarkStart w:id="7" w:name="_Hlk91763815"/>
                </w:p>
              </w:tc>
              <w:tc>
                <w:tcPr>
                  <w:tcW w:w="265" w:type="pct"/>
                  <w:vMerge w:val="continue"/>
                  <w:tcBorders>
                    <w:tl2br w:val="nil"/>
                    <w:tr2bl w:val="nil"/>
                  </w:tcBorders>
                  <w:noWrap w:val="0"/>
                  <w:vAlign w:val="center"/>
                </w:tcPr>
                <w:p w14:paraId="35808B95">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606" w:type="pct"/>
                  <w:tcBorders>
                    <w:tl2br w:val="nil"/>
                    <w:tr2bl w:val="nil"/>
                  </w:tcBorders>
                  <w:noWrap w:val="0"/>
                  <w:vAlign w:val="center"/>
                </w:tcPr>
                <w:p w14:paraId="295F7E37">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噪声</w:t>
                  </w:r>
                </w:p>
              </w:tc>
              <w:tc>
                <w:tcPr>
                  <w:tcW w:w="3238" w:type="pct"/>
                  <w:tcBorders>
                    <w:tl2br w:val="nil"/>
                    <w:tr2bl w:val="nil"/>
                  </w:tcBorders>
                  <w:noWrap w:val="0"/>
                  <w:vAlign w:val="center"/>
                </w:tcPr>
                <w:p w14:paraId="219487F9">
                  <w:pPr>
                    <w:autoSpaceDE w:val="0"/>
                    <w:autoSpaceDN w:val="0"/>
                    <w:adjustRightInd w:val="0"/>
                    <w:jc w:val="left"/>
                    <w:rPr>
                      <w:rFonts w:hint="eastAsia" w:cs="Times New Roman"/>
                      <w:color w:val="000000" w:themeColor="text1"/>
                      <w:kern w:val="0"/>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①</w:t>
                  </w:r>
                  <w:r>
                    <w:rPr>
                      <w:rFonts w:hint="eastAsia" w:cs="Times New Roman"/>
                      <w:color w:val="000000" w:themeColor="text1"/>
                      <w:sz w:val="21"/>
                      <w:szCs w:val="21"/>
                      <w:lang w:val="en-US" w:eastAsia="zh-CN"/>
                      <w14:textFill>
                        <w14:solidFill>
                          <w14:schemeClr w14:val="tx1"/>
                        </w14:solidFill>
                      </w14:textFill>
                    </w:rPr>
                    <w:t>厂房隔声、距离衰减</w:t>
                  </w:r>
                  <w:r>
                    <w:rPr>
                      <w:rFonts w:hint="eastAsia" w:cs="Times New Roman"/>
                      <w:color w:val="000000" w:themeColor="text1"/>
                      <w:kern w:val="0"/>
                      <w:sz w:val="21"/>
                      <w:szCs w:val="21"/>
                      <w:lang w:eastAsia="zh-CN"/>
                      <w14:textFill>
                        <w14:solidFill>
                          <w14:schemeClr w14:val="tx1"/>
                        </w14:solidFill>
                      </w14:textFill>
                    </w:rPr>
                    <w:t>；</w:t>
                  </w:r>
                </w:p>
                <w:p w14:paraId="66FC48E5">
                  <w:pPr>
                    <w:autoSpaceDE w:val="0"/>
                    <w:autoSpaceDN w:val="0"/>
                    <w:adjustRightInd w:val="0"/>
                    <w:jc w:val="left"/>
                    <w:rPr>
                      <w:rFonts w:hint="eastAsia" w:cs="Times New Roman"/>
                      <w:color w:val="000000" w:themeColor="text1"/>
                      <w:kern w:val="0"/>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②</w:t>
                  </w:r>
                  <w:r>
                    <w:rPr>
                      <w:rFonts w:hint="default" w:ascii="Times New Roman" w:hAnsi="Times New Roman" w:cs="Times New Roman"/>
                      <w:color w:val="000000" w:themeColor="text1"/>
                      <w:kern w:val="0"/>
                      <w:sz w:val="21"/>
                      <w:szCs w:val="21"/>
                      <w14:textFill>
                        <w14:solidFill>
                          <w14:schemeClr w14:val="tx1"/>
                        </w14:solidFill>
                      </w14:textFill>
                    </w:rPr>
                    <w:t>采用低噪声设备</w:t>
                  </w:r>
                  <w:r>
                    <w:rPr>
                      <w:rFonts w:hint="eastAsia" w:cs="Times New Roman"/>
                      <w:color w:val="000000" w:themeColor="text1"/>
                      <w:kern w:val="0"/>
                      <w:sz w:val="21"/>
                      <w:szCs w:val="21"/>
                      <w:lang w:eastAsia="zh-CN"/>
                      <w14:textFill>
                        <w14:solidFill>
                          <w14:schemeClr w14:val="tx1"/>
                        </w14:solidFill>
                      </w14:textFill>
                    </w:rPr>
                    <w:t>、</w:t>
                  </w:r>
                  <w:r>
                    <w:rPr>
                      <w:rFonts w:hint="eastAsia" w:cs="Times New Roman"/>
                      <w:color w:val="000000" w:themeColor="text1"/>
                      <w:kern w:val="0"/>
                      <w:sz w:val="21"/>
                      <w:szCs w:val="21"/>
                      <w:lang w:val="en-US" w:eastAsia="zh-CN"/>
                      <w14:textFill>
                        <w14:solidFill>
                          <w14:schemeClr w14:val="tx1"/>
                        </w14:solidFill>
                      </w14:textFill>
                    </w:rPr>
                    <w:t>风机安装隔声罩</w:t>
                  </w:r>
                  <w:r>
                    <w:rPr>
                      <w:rFonts w:hint="eastAsia" w:cs="Times New Roman"/>
                      <w:color w:val="000000" w:themeColor="text1"/>
                      <w:kern w:val="0"/>
                      <w:sz w:val="21"/>
                      <w:szCs w:val="21"/>
                      <w:lang w:eastAsia="zh-CN"/>
                      <w14:textFill>
                        <w14:solidFill>
                          <w14:schemeClr w14:val="tx1"/>
                        </w14:solidFill>
                      </w14:textFill>
                    </w:rPr>
                    <w:t>；</w:t>
                  </w:r>
                </w:p>
                <w:p w14:paraId="7B44531C">
                  <w:pPr>
                    <w:autoSpaceDE w:val="0"/>
                    <w:autoSpaceDN w:val="0"/>
                    <w:adjustRightInd w:val="0"/>
                    <w:jc w:val="left"/>
                    <w:rPr>
                      <w:rFonts w:hint="eastAsia"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③</w:t>
                  </w:r>
                  <w:r>
                    <w:rPr>
                      <w:rFonts w:hint="eastAsia" w:cs="Times New Roman"/>
                      <w:color w:val="000000" w:themeColor="text1"/>
                      <w:sz w:val="21"/>
                      <w:szCs w:val="21"/>
                      <w:lang w:val="en-US" w:eastAsia="zh-CN"/>
                      <w14:textFill>
                        <w14:solidFill>
                          <w14:schemeClr w14:val="tx1"/>
                        </w14:solidFill>
                      </w14:textFill>
                    </w:rPr>
                    <w:t>液压机、轧机设置减振沟</w:t>
                  </w:r>
                  <w:r>
                    <w:rPr>
                      <w:rFonts w:hint="eastAsia" w:cs="Times New Roman"/>
                      <w:color w:val="000000" w:themeColor="text1"/>
                      <w:kern w:val="0"/>
                      <w:sz w:val="21"/>
                      <w:szCs w:val="21"/>
                      <w:lang w:eastAsia="zh-CN"/>
                      <w14:textFill>
                        <w14:solidFill>
                          <w14:schemeClr w14:val="tx1"/>
                        </w14:solidFill>
                      </w14:textFill>
                    </w:rPr>
                    <w:t>；</w:t>
                  </w:r>
                </w:p>
              </w:tc>
              <w:tc>
                <w:tcPr>
                  <w:tcW w:w="624" w:type="pct"/>
                  <w:tcBorders>
                    <w:tl2br w:val="nil"/>
                    <w:tr2bl w:val="nil"/>
                  </w:tcBorders>
                  <w:noWrap w:val="0"/>
                  <w:vAlign w:val="center"/>
                </w:tcPr>
                <w:p w14:paraId="571E053D">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新建</w:t>
                  </w:r>
                </w:p>
              </w:tc>
            </w:tr>
            <w:bookmarkEnd w:id="5"/>
            <w:bookmarkEnd w:id="6"/>
            <w:bookmarkEnd w:id="7"/>
            <w:tr w14:paraId="7489DB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64" w:type="pct"/>
                  <w:vMerge w:val="continue"/>
                  <w:tcBorders>
                    <w:tl2br w:val="nil"/>
                    <w:tr2bl w:val="nil"/>
                  </w:tcBorders>
                  <w:noWrap w:val="0"/>
                  <w:vAlign w:val="center"/>
                </w:tcPr>
                <w:p w14:paraId="3C86A8BD">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54375B72">
                  <w:pPr>
                    <w:widowControl/>
                    <w:jc w:val="left"/>
                    <w:rPr>
                      <w:rFonts w:hint="default" w:ascii="Times New Roman" w:hAnsi="Times New Roman" w:cs="Times New Roman"/>
                      <w:color w:val="000000" w:themeColor="text1"/>
                      <w:sz w:val="21"/>
                      <w:szCs w:val="21"/>
                      <w14:textFill>
                        <w14:solidFill>
                          <w14:schemeClr w14:val="tx1"/>
                        </w14:solidFill>
                      </w14:textFill>
                    </w:rPr>
                  </w:pPr>
                </w:p>
              </w:tc>
              <w:tc>
                <w:tcPr>
                  <w:tcW w:w="606" w:type="pct"/>
                  <w:tcBorders>
                    <w:tl2br w:val="nil"/>
                    <w:tr2bl w:val="nil"/>
                  </w:tcBorders>
                  <w:noWrap w:val="0"/>
                  <w:vAlign w:val="center"/>
                </w:tcPr>
                <w:p w14:paraId="3091F222">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固废</w:t>
                  </w:r>
                </w:p>
              </w:tc>
              <w:tc>
                <w:tcPr>
                  <w:tcW w:w="3238" w:type="pct"/>
                  <w:tcBorders>
                    <w:tl2br w:val="nil"/>
                    <w:tr2bl w:val="nil"/>
                  </w:tcBorders>
                  <w:noWrap w:val="0"/>
                  <w:vAlign w:val="center"/>
                </w:tcPr>
                <w:p w14:paraId="4C24544B">
                  <w:pPr>
                    <w:adjustRightInd w:val="0"/>
                    <w:snapToGrid w:val="0"/>
                    <w:rPr>
                      <w:rFonts w:hint="default" w:ascii="Times New Roman" w:hAnsi="Times New Roman" w:cs="Times New Roman"/>
                      <w:color w:val="000000" w:themeColor="text1"/>
                      <w:sz w:val="21"/>
                      <w:szCs w:val="21"/>
                      <w:lang w:val="en-US" w:eastAsia="zh-CN"/>
                      <w14:textFill>
                        <w14:solidFill>
                          <w14:schemeClr w14:val="tx1"/>
                        </w14:solidFill>
                      </w14:textFill>
                    </w:rPr>
                  </w:pPr>
                  <w:bookmarkStart w:id="8" w:name="OLE_LINK17"/>
                  <w:bookmarkStart w:id="9" w:name="OLE_LINK16"/>
                  <w:r>
                    <w:rPr>
                      <w:rFonts w:hint="default" w:ascii="Times New Roman" w:hAnsi="Times New Roman" w:cs="Times New Roman"/>
                      <w:color w:val="000000" w:themeColor="text1"/>
                      <w:sz w:val="21"/>
                      <w:szCs w:val="21"/>
                      <w:lang w:val="en-US" w:eastAsia="zh-CN"/>
                      <w14:textFill>
                        <w14:solidFill>
                          <w14:schemeClr w14:val="tx1"/>
                        </w14:solidFill>
                      </w14:textFill>
                    </w:rPr>
                    <w:t>①生活垃圾集中收集</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定期交由环卫部门处理；</w:t>
                  </w:r>
                </w:p>
                <w:p w14:paraId="5A25D1DA">
                  <w:pPr>
                    <w:adjustRightInd w:val="0"/>
                    <w:snapToGrid w:val="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②</w:t>
                  </w:r>
                  <w:r>
                    <w:rPr>
                      <w:rFonts w:hint="eastAsia" w:cs="Times New Roman"/>
                      <w:color w:val="000000" w:themeColor="text1"/>
                      <w:sz w:val="21"/>
                      <w:szCs w:val="21"/>
                      <w:lang w:val="en-US" w:eastAsia="zh-CN"/>
                      <w14:textFill>
                        <w14:solidFill>
                          <w14:schemeClr w14:val="tx1"/>
                        </w14:solidFill>
                      </w14:textFill>
                    </w:rPr>
                    <w:t>车间东南角区域设置一般固废暂存间1处，</w:t>
                  </w:r>
                  <w:r>
                    <w:rPr>
                      <w:rFonts w:hint="eastAsia" w:cs="Times New Roman"/>
                      <w:color w:val="000000" w:themeColor="text1"/>
                      <w:kern w:val="0"/>
                      <w:sz w:val="21"/>
                      <w:szCs w:val="21"/>
                      <w:lang w:val="en-US" w:eastAsia="zh-CN"/>
                      <w14:textFill>
                        <w14:solidFill>
                          <w14:schemeClr w14:val="tx1"/>
                        </w14:solidFill>
                      </w14:textFill>
                    </w:rPr>
                    <w:t>建筑面积10m</w:t>
                  </w:r>
                  <w:r>
                    <w:rPr>
                      <w:rFonts w:hint="eastAsia" w:cs="Times New Roman"/>
                      <w:color w:val="000000" w:themeColor="text1"/>
                      <w:kern w:val="0"/>
                      <w:sz w:val="21"/>
                      <w:szCs w:val="21"/>
                      <w:vertAlign w:val="superscript"/>
                      <w:lang w:val="en-US" w:eastAsia="zh-CN"/>
                      <w14:textFill>
                        <w14:solidFill>
                          <w14:schemeClr w14:val="tx1"/>
                        </w14:solidFill>
                      </w14:textFill>
                    </w:rPr>
                    <w:t>2</w:t>
                  </w:r>
                  <w:r>
                    <w:rPr>
                      <w:rFonts w:hint="eastAsia" w:cs="Times New Roman"/>
                      <w:color w:val="000000" w:themeColor="text1"/>
                      <w:kern w:val="0"/>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一般</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工业</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固废</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（除尘灰、</w:t>
                  </w:r>
                  <w:r>
                    <w:rPr>
                      <w:rFonts w:hint="eastAsia" w:cs="Times New Roman"/>
                      <w:color w:val="000000" w:themeColor="text1"/>
                      <w:sz w:val="21"/>
                      <w:szCs w:val="21"/>
                      <w:lang w:val="en-US" w:eastAsia="zh-CN"/>
                      <w14:textFill>
                        <w14:solidFill>
                          <w14:schemeClr w14:val="tx1"/>
                        </w14:solidFill>
                      </w14:textFill>
                    </w:rPr>
                    <w:t>金属边角料</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暂存于</w:t>
                  </w:r>
                  <w:r>
                    <w:rPr>
                      <w:rFonts w:hint="eastAsia" w:cs="Times New Roman"/>
                      <w:color w:val="000000" w:themeColor="text1"/>
                      <w:sz w:val="21"/>
                      <w:szCs w:val="21"/>
                      <w:lang w:val="en-US" w:eastAsia="zh-CN"/>
                      <w14:textFill>
                        <w14:solidFill>
                          <w14:schemeClr w14:val="tx1"/>
                        </w14:solidFill>
                      </w14:textFill>
                    </w:rPr>
                    <w:t>一般固废暂存间，</w:t>
                  </w:r>
                  <w:r>
                    <w:rPr>
                      <w:rFonts w:hint="default" w:ascii="Times New Roman" w:hAnsi="Times New Roman" w:cs="Times New Roman"/>
                      <w:color w:val="000000" w:themeColor="text1"/>
                      <w:sz w:val="21"/>
                      <w:szCs w:val="21"/>
                      <w:lang w:val="en-US" w:eastAsia="zh-CN"/>
                      <w14:textFill>
                        <w14:solidFill>
                          <w14:schemeClr w14:val="tx1"/>
                        </w14:solidFill>
                      </w14:textFill>
                    </w:rPr>
                    <w:t>定期外售处理；</w:t>
                  </w:r>
                </w:p>
                <w:p w14:paraId="7ECCCA95">
                  <w:pPr>
                    <w:adjustRightInd w:val="0"/>
                    <w:snapToGrid w:val="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③</w:t>
                  </w:r>
                  <w:r>
                    <w:rPr>
                      <w:rFonts w:hint="eastAsia" w:cs="Times New Roman"/>
                      <w:color w:val="000000" w:themeColor="text1"/>
                      <w:sz w:val="21"/>
                      <w:szCs w:val="21"/>
                      <w:lang w:val="en-US" w:eastAsia="zh-CN"/>
                      <w14:textFill>
                        <w14:solidFill>
                          <w14:schemeClr w14:val="tx1"/>
                        </w14:solidFill>
                      </w14:textFill>
                    </w:rPr>
                    <w:t>车间</w:t>
                  </w:r>
                  <w:r>
                    <w:rPr>
                      <w:rFonts w:hint="eastAsia" w:cs="Times New Roman"/>
                      <w:color w:val="000000" w:themeColor="text1"/>
                      <w:kern w:val="0"/>
                      <w:sz w:val="21"/>
                      <w:szCs w:val="21"/>
                      <w:lang w:val="en-US" w:eastAsia="zh-CN"/>
                      <w14:textFill>
                        <w14:solidFill>
                          <w14:schemeClr w14:val="tx1"/>
                        </w14:solidFill>
                      </w14:textFill>
                    </w:rPr>
                    <w:t>不锈钢粉库西侧</w:t>
                  </w:r>
                  <w:r>
                    <w:rPr>
                      <w:rFonts w:hint="eastAsia" w:cs="Times New Roman"/>
                      <w:color w:val="000000" w:themeColor="text1"/>
                      <w:sz w:val="21"/>
                      <w:szCs w:val="21"/>
                      <w:lang w:val="en-US" w:eastAsia="zh-CN"/>
                      <w14:textFill>
                        <w14:solidFill>
                          <w14:schemeClr w14:val="tx1"/>
                        </w14:solidFill>
                      </w14:textFill>
                    </w:rPr>
                    <w:t>规范设置危废贮存库1座，建筑面积15m</w:t>
                  </w:r>
                  <w:r>
                    <w:rPr>
                      <w:rFonts w:hint="eastAsia" w:cs="Times New Roman"/>
                      <w:color w:val="000000" w:themeColor="text1"/>
                      <w:sz w:val="21"/>
                      <w:szCs w:val="21"/>
                      <w:vertAlign w:val="superscript"/>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危险废物（</w:t>
                  </w:r>
                  <w:r>
                    <w:rPr>
                      <w:rFonts w:hint="eastAsia" w:cs="Times New Roman"/>
                      <w:color w:val="000000" w:themeColor="text1"/>
                      <w:sz w:val="21"/>
                      <w:szCs w:val="21"/>
                      <w:highlight w:val="none"/>
                      <w:lang w:val="en-US" w:eastAsia="zh-CN"/>
                      <w14:textFill>
                        <w14:solidFill>
                          <w14:schemeClr w14:val="tx1"/>
                        </w14:solidFill>
                      </w14:textFill>
                    </w:rPr>
                    <w:t>废液压油、</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废切削液、</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润滑油</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w:t>
                  </w:r>
                  <w:r>
                    <w:rPr>
                      <w:rFonts w:hint="eastAsia" w:cs="Times New Roman"/>
                      <w:color w:val="000000" w:themeColor="text1"/>
                      <w:sz w:val="21"/>
                      <w:szCs w:val="21"/>
                      <w:highlight w:val="none"/>
                      <w:lang w:val="en-US" w:eastAsia="zh-CN"/>
                      <w14:textFill>
                        <w14:solidFill>
                          <w14:schemeClr w14:val="tx1"/>
                        </w14:solidFill>
                      </w14:textFill>
                    </w:rPr>
                    <w:t>包装桶、</w:t>
                  </w:r>
                  <w:r>
                    <w:rPr>
                      <w:rFonts w:hint="eastAsia"/>
                      <w:color w:val="000000" w:themeColor="text1"/>
                      <w:highlight w:val="none"/>
                      <w:lang w:val="en-US" w:eastAsia="zh-CN"/>
                      <w14:textFill>
                        <w14:solidFill>
                          <w14:schemeClr w14:val="tx1"/>
                        </w14:solidFill>
                      </w14:textFill>
                    </w:rPr>
                    <w:t>沾染切削液的金属屑</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bookmarkEnd w:id="8"/>
                  <w:bookmarkEnd w:id="9"/>
                  <w:r>
                    <w:rPr>
                      <w:rFonts w:hint="eastAsia" w:cs="Times New Roman"/>
                      <w:color w:val="000000" w:themeColor="text1"/>
                      <w:sz w:val="21"/>
                      <w:szCs w:val="21"/>
                      <w:highlight w:val="none"/>
                      <w:lang w:val="en-US" w:eastAsia="zh-CN"/>
                      <w14:textFill>
                        <w14:solidFill>
                          <w14:schemeClr w14:val="tx1"/>
                        </w14:solidFill>
                      </w14:textFill>
                    </w:rPr>
                    <w:t>分</w:t>
                  </w:r>
                  <w:r>
                    <w:rPr>
                      <w:rFonts w:hint="eastAsia" w:cs="Times New Roman"/>
                      <w:color w:val="000000" w:themeColor="text1"/>
                      <w:sz w:val="21"/>
                      <w:szCs w:val="21"/>
                      <w:lang w:val="en-US" w:eastAsia="zh-CN"/>
                      <w14:textFill>
                        <w14:solidFill>
                          <w14:schemeClr w14:val="tx1"/>
                        </w14:solidFill>
                      </w14:textFill>
                    </w:rPr>
                    <w:t>区</w:t>
                  </w:r>
                  <w:r>
                    <w:rPr>
                      <w:rFonts w:hint="default" w:ascii="Times New Roman" w:hAnsi="Times New Roman" w:cs="Times New Roman"/>
                      <w:color w:val="000000" w:themeColor="text1"/>
                      <w:sz w:val="21"/>
                      <w:szCs w:val="21"/>
                      <w:lang w:val="en-US" w:eastAsia="zh-CN"/>
                      <w14:textFill>
                        <w14:solidFill>
                          <w14:schemeClr w14:val="tx1"/>
                        </w14:solidFill>
                      </w14:textFill>
                    </w:rPr>
                    <w:t>暂存于</w:t>
                  </w:r>
                  <w:r>
                    <w:rPr>
                      <w:rFonts w:hint="eastAsia" w:cs="Times New Roman"/>
                      <w:color w:val="000000" w:themeColor="text1"/>
                      <w:sz w:val="21"/>
                      <w:szCs w:val="21"/>
                      <w:lang w:val="en-US" w:eastAsia="zh-CN"/>
                      <w14:textFill>
                        <w14:solidFill>
                          <w14:schemeClr w14:val="tx1"/>
                        </w14:solidFill>
                      </w14:textFill>
                    </w:rPr>
                    <w:t>危废贮存库，</w:t>
                  </w:r>
                  <w:r>
                    <w:rPr>
                      <w:rFonts w:hint="default" w:ascii="Times New Roman" w:hAnsi="Times New Roman" w:cs="Times New Roman"/>
                      <w:color w:val="000000" w:themeColor="text1"/>
                      <w:sz w:val="21"/>
                      <w:szCs w:val="21"/>
                      <w:lang w:val="en-US" w:eastAsia="zh-CN"/>
                      <w14:textFill>
                        <w14:solidFill>
                          <w14:schemeClr w14:val="tx1"/>
                        </w14:solidFill>
                      </w14:textFill>
                    </w:rPr>
                    <w:t>定期交由有资质单位处理。</w:t>
                  </w:r>
                </w:p>
              </w:tc>
              <w:tc>
                <w:tcPr>
                  <w:tcW w:w="624" w:type="pct"/>
                  <w:tcBorders>
                    <w:tl2br w:val="nil"/>
                    <w:tr2bl w:val="nil"/>
                  </w:tcBorders>
                  <w:noWrap w:val="0"/>
                  <w:vAlign w:val="center"/>
                </w:tcPr>
                <w:p w14:paraId="3C61D070">
                  <w:pPr>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新建</w:t>
                  </w:r>
                </w:p>
              </w:tc>
            </w:tr>
            <w:bookmarkEnd w:id="3"/>
            <w:bookmarkEnd w:id="4"/>
          </w:tbl>
          <w:p w14:paraId="72E0BB5E">
            <w:pPr>
              <w:spacing w:line="360" w:lineRule="auto"/>
              <w:ind w:firstLine="422" w:firstLineChars="20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3、产品方案及建设规模</w:t>
            </w:r>
          </w:p>
          <w:p w14:paraId="33873788">
            <w:pPr>
              <w:adjustRightInd w:val="0"/>
              <w:spacing w:line="360" w:lineRule="auto"/>
              <w:ind w:firstLine="420" w:firstLineChars="20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本项目产品方案详见下表。</w:t>
            </w:r>
          </w:p>
          <w:p w14:paraId="2CD85CC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2-</w:t>
            </w:r>
            <w:r>
              <w:rPr>
                <w:rFonts w:hint="eastAsia" w:cs="Times New Roman"/>
                <w:b/>
                <w:bCs/>
                <w:color w:val="000000" w:themeColor="text1"/>
                <w:sz w:val="21"/>
                <w:szCs w:val="21"/>
                <w:highlight w:val="none"/>
                <w:lang w:val="en-US" w:eastAsia="zh-CN"/>
                <w14:textFill>
                  <w14:solidFill>
                    <w14:schemeClr w14:val="tx1"/>
                  </w14:solidFill>
                </w14:textFill>
              </w:rPr>
              <w:t xml:space="preserve">3  </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项目产品方案一览表</w:t>
            </w:r>
          </w:p>
          <w:tbl>
            <w:tblPr>
              <w:tblStyle w:val="24"/>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96"/>
              <w:gridCol w:w="1048"/>
              <w:gridCol w:w="2592"/>
              <w:gridCol w:w="1481"/>
              <w:gridCol w:w="1756"/>
            </w:tblGrid>
            <w:tr w14:paraId="6F3A7C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7" w:hRule="atLeast"/>
                <w:tblHeader/>
              </w:trPr>
              <w:tc>
                <w:tcPr>
                  <w:tcW w:w="844" w:type="pct"/>
                  <w:tcBorders>
                    <w:tl2br w:val="nil"/>
                    <w:tr2bl w:val="nil"/>
                  </w:tcBorders>
                  <w:noWrap w:val="0"/>
                  <w:vAlign w:val="center"/>
                </w:tcPr>
                <w:p w14:paraId="4646694E">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产品名称</w:t>
                  </w:r>
                </w:p>
              </w:tc>
              <w:tc>
                <w:tcPr>
                  <w:tcW w:w="633" w:type="pct"/>
                  <w:tcBorders>
                    <w:tl2br w:val="nil"/>
                    <w:tr2bl w:val="nil"/>
                  </w:tcBorders>
                  <w:noWrap w:val="0"/>
                  <w:vAlign w:val="center"/>
                </w:tcPr>
                <w:p w14:paraId="24A528FB">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本项目</w:t>
                  </w:r>
                </w:p>
                <w:p w14:paraId="3317E260">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产能</w:t>
                  </w:r>
                </w:p>
              </w:tc>
              <w:tc>
                <w:tcPr>
                  <w:tcW w:w="1566" w:type="pct"/>
                  <w:tcBorders>
                    <w:tl2br w:val="nil"/>
                    <w:tr2bl w:val="nil"/>
                  </w:tcBorders>
                  <w:noWrap w:val="0"/>
                  <w:vAlign w:val="center"/>
                </w:tcPr>
                <w:p w14:paraId="0E1DDC02">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规格</w:t>
                  </w:r>
                </w:p>
              </w:tc>
              <w:tc>
                <w:tcPr>
                  <w:tcW w:w="1956" w:type="pct"/>
                  <w:gridSpan w:val="2"/>
                  <w:tcBorders>
                    <w:tl2br w:val="nil"/>
                    <w:tr2bl w:val="nil"/>
                  </w:tcBorders>
                  <w:noWrap w:val="0"/>
                  <w:vAlign w:val="center"/>
                </w:tcPr>
                <w:p w14:paraId="47DE328C">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外观</w:t>
                  </w:r>
                </w:p>
              </w:tc>
            </w:tr>
            <w:tr w14:paraId="7263B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5" w:hRule="atLeast"/>
                <w:tblHeader/>
              </w:trPr>
              <w:tc>
                <w:tcPr>
                  <w:tcW w:w="844" w:type="pct"/>
                  <w:tcBorders>
                    <w:tl2br w:val="nil"/>
                    <w:tr2bl w:val="nil"/>
                  </w:tcBorders>
                  <w:noWrap w:val="0"/>
                  <w:vAlign w:val="center"/>
                </w:tcPr>
                <w:p w14:paraId="1014F418">
                  <w:pPr>
                    <w:keepNext w:val="0"/>
                    <w:keepLines w:val="0"/>
                    <w:pageBreakBefore w:val="0"/>
                    <w:widowControl w:val="0"/>
                    <w:kinsoku/>
                    <w:wordWrap/>
                    <w:overflowPunct/>
                    <w:topLinePunct w:val="0"/>
                    <w:autoSpaceDE w:val="0"/>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不锈钢过滤元件</w:t>
                  </w:r>
                </w:p>
              </w:tc>
              <w:tc>
                <w:tcPr>
                  <w:tcW w:w="633" w:type="pct"/>
                  <w:tcBorders>
                    <w:tl2br w:val="nil"/>
                    <w:tr2bl w:val="nil"/>
                  </w:tcBorders>
                  <w:shd w:val="clear" w:color="auto" w:fill="auto"/>
                  <w:noWrap w:val="0"/>
                  <w:vAlign w:val="center"/>
                </w:tcPr>
                <w:p w14:paraId="44AAC50F">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5t</w:t>
                  </w:r>
                  <w:r>
                    <w:rPr>
                      <w:rFonts w:hint="default" w:ascii="Times New Roman" w:hAnsi="Times New Roman" w:eastAsia="宋体" w:cs="Times New Roman"/>
                      <w:color w:val="000000" w:themeColor="text1"/>
                      <w:sz w:val="21"/>
                      <w:szCs w:val="21"/>
                      <w14:textFill>
                        <w14:solidFill>
                          <w14:schemeClr w14:val="tx1"/>
                        </w14:solidFill>
                      </w14:textFill>
                    </w:rPr>
                    <w:t>/a</w:t>
                  </w:r>
                </w:p>
              </w:tc>
              <w:tc>
                <w:tcPr>
                  <w:tcW w:w="1566" w:type="pct"/>
                  <w:vMerge w:val="restart"/>
                  <w:tcBorders>
                    <w:tl2br w:val="nil"/>
                    <w:tr2bl w:val="nil"/>
                  </w:tcBorders>
                  <w:noWrap w:val="0"/>
                  <w:vAlign w:val="center"/>
                </w:tcPr>
                <w:p w14:paraId="7C67CC7B">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非标件；①板材最大尺寸1.0mm</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330mm</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440mm（厚</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宽</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长）；②管材最大尺寸φ60mm、L1000mm、厚1.0mm</w:t>
                  </w:r>
                </w:p>
              </w:tc>
              <w:tc>
                <w:tcPr>
                  <w:tcW w:w="895" w:type="pct"/>
                  <w:vMerge w:val="restart"/>
                  <w:tcBorders>
                    <w:tl2br w:val="nil"/>
                    <w:tr2bl w:val="nil"/>
                  </w:tcBorders>
                  <w:noWrap w:val="0"/>
                  <w:vAlign w:val="center"/>
                </w:tcPr>
                <w:p w14:paraId="3018E441">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eastAsia="宋体" w:cs="Times New Roman"/>
                      <w:color w:val="000000" w:themeColor="text1"/>
                      <w:sz w:val="21"/>
                      <w:szCs w:val="2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①管材：</w:t>
                  </w:r>
                  <w:r>
                    <w:rPr>
                      <w:color w:val="000000" w:themeColor="text1"/>
                      <w14:textFill>
                        <w14:solidFill>
                          <w14:schemeClr w14:val="tx1"/>
                        </w14:solidFill>
                      </w14:textFill>
                    </w:rPr>
                    <w:drawing>
                      <wp:inline distT="0" distB="0" distL="114300" distR="114300">
                        <wp:extent cx="574040" cy="781685"/>
                        <wp:effectExtent l="0" t="0" r="16510" b="1841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3"/>
                                <a:srcRect t="13449" b="10053"/>
                                <a:stretch>
                                  <a:fillRect/>
                                </a:stretch>
                              </pic:blipFill>
                              <pic:spPr>
                                <a:xfrm>
                                  <a:off x="0" y="0"/>
                                  <a:ext cx="574040" cy="781685"/>
                                </a:xfrm>
                                <a:prstGeom prst="rect">
                                  <a:avLst/>
                                </a:prstGeom>
                                <a:noFill/>
                                <a:ln>
                                  <a:noFill/>
                                </a:ln>
                              </pic:spPr>
                            </pic:pic>
                          </a:graphicData>
                        </a:graphic>
                      </wp:inline>
                    </w:drawing>
                  </w:r>
                </w:p>
              </w:tc>
              <w:tc>
                <w:tcPr>
                  <w:tcW w:w="1060" w:type="pct"/>
                  <w:vMerge w:val="restart"/>
                  <w:tcBorders>
                    <w:tl2br w:val="nil"/>
                    <w:tr2bl w:val="nil"/>
                  </w:tcBorders>
                  <w:noWrap w:val="0"/>
                  <w:vAlign w:val="center"/>
                </w:tcPr>
                <w:p w14:paraId="08BA298A">
                  <w:pPr>
                    <w:keepNext w:val="0"/>
                    <w:keepLines w:val="0"/>
                    <w:pageBreakBefore w:val="0"/>
                    <w:widowControl w:val="0"/>
                    <w:kinsoku/>
                    <w:wordWrap/>
                    <w:overflowPunct/>
                    <w:topLinePunct w:val="0"/>
                    <w:autoSpaceDE w:val="0"/>
                    <w:autoSpaceDN w:val="0"/>
                    <w:bidi w:val="0"/>
                    <w:adjustRightInd/>
                    <w:snapToGrid/>
                    <w:jc w:val="left"/>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②板材：</w:t>
                  </w:r>
                </w:p>
                <w:p w14:paraId="41B28417">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drawing>
                      <wp:inline distT="0" distB="0" distL="114300" distR="114300">
                        <wp:extent cx="706755" cy="720725"/>
                        <wp:effectExtent l="0" t="0" r="17145" b="3175"/>
                        <wp:docPr id="24" name="图片 24" descr="545ee64a6bc9a85ea2c54f655a6bcf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545ee64a6bc9a85ea2c54f655a6bcffa"/>
                                <pic:cNvPicPr>
                                  <a:picLocks noChangeAspect="1"/>
                                </pic:cNvPicPr>
                              </pic:nvPicPr>
                              <pic:blipFill>
                                <a:blip r:embed="rId14"/>
                                <a:stretch>
                                  <a:fillRect/>
                                </a:stretch>
                              </pic:blipFill>
                              <pic:spPr>
                                <a:xfrm>
                                  <a:off x="0" y="0"/>
                                  <a:ext cx="706755" cy="720725"/>
                                </a:xfrm>
                                <a:prstGeom prst="rect">
                                  <a:avLst/>
                                </a:prstGeom>
                              </pic:spPr>
                            </pic:pic>
                          </a:graphicData>
                        </a:graphic>
                      </wp:inline>
                    </w:drawing>
                  </w:r>
                </w:p>
              </w:tc>
            </w:tr>
            <w:tr w14:paraId="4F4203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atLeast"/>
                <w:tblHeader/>
              </w:trPr>
              <w:tc>
                <w:tcPr>
                  <w:tcW w:w="844" w:type="pct"/>
                  <w:tcBorders>
                    <w:tl2br w:val="nil"/>
                    <w:tr2bl w:val="nil"/>
                  </w:tcBorders>
                  <w:noWrap w:val="0"/>
                  <w:vAlign w:val="center"/>
                </w:tcPr>
                <w:p w14:paraId="0AE36B4F">
                  <w:pPr>
                    <w:keepNext w:val="0"/>
                    <w:keepLines w:val="0"/>
                    <w:pageBreakBefore w:val="0"/>
                    <w:widowControl w:val="0"/>
                    <w:kinsoku/>
                    <w:wordWrap/>
                    <w:overflowPunct/>
                    <w:topLinePunct w:val="0"/>
                    <w:autoSpaceDE w:val="0"/>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纯钛过滤元件</w:t>
                  </w:r>
                </w:p>
              </w:tc>
              <w:tc>
                <w:tcPr>
                  <w:tcW w:w="633" w:type="pct"/>
                  <w:tcBorders>
                    <w:tl2br w:val="nil"/>
                    <w:tr2bl w:val="nil"/>
                  </w:tcBorders>
                  <w:shd w:val="clear" w:color="auto" w:fill="auto"/>
                  <w:noWrap w:val="0"/>
                  <w:vAlign w:val="center"/>
                </w:tcPr>
                <w:p w14:paraId="515BAD96">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eastAsia="宋体" w:cs="Times New Roman"/>
                      <w:color w:val="000000" w:themeColor="text1"/>
                      <w:sz w:val="21"/>
                      <w:szCs w:val="21"/>
                      <w14:textFill>
                        <w14:solidFill>
                          <w14:schemeClr w14:val="tx1"/>
                        </w14:solidFill>
                      </w14:textFill>
                    </w:rPr>
                    <w:t>/a</w:t>
                  </w:r>
                </w:p>
              </w:tc>
              <w:tc>
                <w:tcPr>
                  <w:tcW w:w="1566" w:type="pct"/>
                  <w:vMerge w:val="continue"/>
                  <w:tcBorders>
                    <w:tl2br w:val="nil"/>
                    <w:tr2bl w:val="nil"/>
                  </w:tcBorders>
                  <w:noWrap w:val="0"/>
                  <w:vAlign w:val="center"/>
                </w:tcPr>
                <w:p w14:paraId="56D313C6">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cs="Times New Roman"/>
                      <w:color w:val="000000" w:themeColor="text1"/>
                      <w:sz w:val="21"/>
                      <w:szCs w:val="21"/>
                      <w:lang w:val="en-US" w:eastAsia="zh-CN"/>
                      <w14:textFill>
                        <w14:solidFill>
                          <w14:schemeClr w14:val="tx1"/>
                        </w14:solidFill>
                      </w14:textFill>
                    </w:rPr>
                  </w:pPr>
                </w:p>
              </w:tc>
              <w:tc>
                <w:tcPr>
                  <w:tcW w:w="895" w:type="pct"/>
                  <w:vMerge w:val="continue"/>
                  <w:tcBorders>
                    <w:tl2br w:val="nil"/>
                    <w:tr2bl w:val="nil"/>
                  </w:tcBorders>
                  <w:noWrap w:val="0"/>
                  <w:vAlign w:val="center"/>
                </w:tcPr>
                <w:p w14:paraId="2E5B15ED">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cs="Times New Roman"/>
                      <w:color w:val="000000" w:themeColor="text1"/>
                      <w:sz w:val="21"/>
                      <w:szCs w:val="21"/>
                      <w:lang w:val="en-US" w:eastAsia="zh-CN"/>
                      <w14:textFill>
                        <w14:solidFill>
                          <w14:schemeClr w14:val="tx1"/>
                        </w14:solidFill>
                      </w14:textFill>
                    </w:rPr>
                  </w:pPr>
                </w:p>
              </w:tc>
              <w:tc>
                <w:tcPr>
                  <w:tcW w:w="1060" w:type="pct"/>
                  <w:vMerge w:val="continue"/>
                  <w:tcBorders>
                    <w:tl2br w:val="nil"/>
                    <w:tr2bl w:val="nil"/>
                  </w:tcBorders>
                  <w:noWrap w:val="0"/>
                  <w:vAlign w:val="center"/>
                </w:tcPr>
                <w:p w14:paraId="09088BC2">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cs="Times New Roman"/>
                      <w:color w:val="000000" w:themeColor="text1"/>
                      <w:sz w:val="21"/>
                      <w:szCs w:val="21"/>
                      <w:lang w:val="en-US" w:eastAsia="zh-CN"/>
                      <w14:textFill>
                        <w14:solidFill>
                          <w14:schemeClr w14:val="tx1"/>
                        </w14:solidFill>
                      </w14:textFill>
                    </w:rPr>
                  </w:pPr>
                </w:p>
              </w:tc>
            </w:tr>
            <w:tr w14:paraId="0D2A4D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1" w:hRule="atLeast"/>
                <w:tblHeader/>
              </w:trPr>
              <w:tc>
                <w:tcPr>
                  <w:tcW w:w="844" w:type="pct"/>
                  <w:tcBorders>
                    <w:tl2br w:val="nil"/>
                    <w:tr2bl w:val="nil"/>
                  </w:tcBorders>
                  <w:noWrap w:val="0"/>
                  <w:vAlign w:val="center"/>
                </w:tcPr>
                <w:p w14:paraId="4AE0CD9D">
                  <w:pPr>
                    <w:keepNext w:val="0"/>
                    <w:keepLines w:val="0"/>
                    <w:pageBreakBefore w:val="0"/>
                    <w:widowControl w:val="0"/>
                    <w:kinsoku/>
                    <w:wordWrap/>
                    <w:overflowPunct/>
                    <w:topLinePunct w:val="0"/>
                    <w:autoSpaceDE w:val="0"/>
                    <w:bidi w:val="0"/>
                    <w:adjustRightInd/>
                    <w:snapToGrid/>
                    <w:spacing w:line="240" w:lineRule="auto"/>
                    <w:jc w:val="center"/>
                    <w:textAlignment w:val="auto"/>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合计</w:t>
                  </w:r>
                </w:p>
              </w:tc>
              <w:tc>
                <w:tcPr>
                  <w:tcW w:w="633" w:type="pct"/>
                  <w:tcBorders>
                    <w:tl2br w:val="nil"/>
                    <w:tr2bl w:val="nil"/>
                  </w:tcBorders>
                  <w:shd w:val="clear" w:color="auto" w:fill="auto"/>
                  <w:noWrap w:val="0"/>
                  <w:vAlign w:val="center"/>
                </w:tcPr>
                <w:p w14:paraId="5CFA542B">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25t/a</w:t>
                  </w:r>
                </w:p>
              </w:tc>
              <w:tc>
                <w:tcPr>
                  <w:tcW w:w="1566" w:type="pct"/>
                  <w:tcBorders>
                    <w:tl2br w:val="nil"/>
                    <w:tr2bl w:val="nil"/>
                  </w:tcBorders>
                  <w:noWrap w:val="0"/>
                  <w:vAlign w:val="center"/>
                </w:tcPr>
                <w:p w14:paraId="2605B76B">
                  <w:pPr>
                    <w:keepNext w:val="0"/>
                    <w:keepLines w:val="0"/>
                    <w:pageBreakBefore w:val="0"/>
                    <w:widowControl w:val="0"/>
                    <w:kinsoku/>
                    <w:wordWrap/>
                    <w:overflowPunct/>
                    <w:topLinePunct w:val="0"/>
                    <w:autoSpaceDE w:val="0"/>
                    <w:autoSpaceDN w:val="0"/>
                    <w:bidi w:val="0"/>
                    <w:adjustRightInd/>
                    <w:snapToGrid/>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895" w:type="pct"/>
                  <w:tcBorders>
                    <w:tl2br w:val="nil"/>
                    <w:tr2bl w:val="nil"/>
                  </w:tcBorders>
                  <w:noWrap w:val="0"/>
                  <w:vAlign w:val="center"/>
                </w:tcPr>
                <w:p w14:paraId="151A1B3D">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060" w:type="pct"/>
                  <w:tcBorders>
                    <w:tl2br w:val="nil"/>
                    <w:tr2bl w:val="nil"/>
                  </w:tcBorders>
                  <w:noWrap w:val="0"/>
                  <w:vAlign w:val="center"/>
                </w:tcPr>
                <w:p w14:paraId="34CE2E02">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r>
          </w:tbl>
          <w:p w14:paraId="5D89BAB1">
            <w:pPr>
              <w:spacing w:line="360" w:lineRule="auto"/>
              <w:ind w:firstLine="422" w:firstLineChars="200"/>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4</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、主要生产设备</w:t>
            </w:r>
          </w:p>
          <w:p w14:paraId="2BFD9808">
            <w:pPr>
              <w:adjustRightInd w:val="0"/>
              <w:spacing w:line="360" w:lineRule="auto"/>
              <w:ind w:firstLine="420" w:firstLineChars="20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本项目主要生产设备情况见下表。</w:t>
            </w:r>
          </w:p>
          <w:p w14:paraId="65DA06A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表</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2-</w:t>
            </w:r>
            <w:r>
              <w:rPr>
                <w:rFonts w:hint="eastAsia" w:cs="Times New Roman"/>
                <w:b/>
                <w:bCs/>
                <w:color w:val="000000" w:themeColor="text1"/>
                <w:sz w:val="21"/>
                <w:szCs w:val="21"/>
                <w:lang w:val="en-US" w:eastAsia="zh-CN"/>
                <w14:textFill>
                  <w14:solidFill>
                    <w14:schemeClr w14:val="tx1"/>
                  </w14:solidFill>
                </w14:textFill>
              </w:rPr>
              <w:t xml:space="preserve">4  </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主</w:t>
            </w:r>
            <w:r>
              <w:rPr>
                <w:rFonts w:hint="default" w:ascii="Times New Roman" w:hAnsi="Times New Roman" w:eastAsia="宋体" w:cs="Times New Roman"/>
                <w:b/>
                <w:bCs/>
                <w:color w:val="000000" w:themeColor="text1"/>
                <w:sz w:val="21"/>
                <w:szCs w:val="21"/>
                <w14:textFill>
                  <w14:solidFill>
                    <w14:schemeClr w14:val="tx1"/>
                  </w14:solidFill>
                </w14:textFill>
              </w:rPr>
              <w:t>要</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生产设施</w:t>
            </w:r>
            <w:r>
              <w:rPr>
                <w:rFonts w:hint="default" w:ascii="Times New Roman" w:hAnsi="Times New Roman" w:eastAsia="宋体" w:cs="Times New Roman"/>
                <w:b/>
                <w:bCs/>
                <w:color w:val="000000" w:themeColor="text1"/>
                <w:sz w:val="21"/>
                <w:szCs w:val="21"/>
                <w14:textFill>
                  <w14:solidFill>
                    <w14:schemeClr w14:val="tx1"/>
                  </w14:solidFill>
                </w14:textFill>
              </w:rPr>
              <w:t>一览表</w:t>
            </w:r>
          </w:p>
          <w:tbl>
            <w:tblPr>
              <w:tblStyle w:val="2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95"/>
              <w:gridCol w:w="1276"/>
              <w:gridCol w:w="4090"/>
              <w:gridCol w:w="791"/>
              <w:gridCol w:w="1621"/>
            </w:tblGrid>
            <w:tr w14:paraId="77285C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99" w:type="pct"/>
                  <w:tcBorders>
                    <w:tl2br w:val="nil"/>
                    <w:tr2bl w:val="nil"/>
                  </w:tcBorders>
                  <w:noWrap w:val="0"/>
                  <w:vAlign w:val="center"/>
                </w:tcPr>
                <w:p w14:paraId="3D16404E">
                  <w:pPr>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序号</w:t>
                  </w:r>
                </w:p>
              </w:tc>
              <w:tc>
                <w:tcPr>
                  <w:tcW w:w="771" w:type="pct"/>
                  <w:tcBorders>
                    <w:tl2br w:val="nil"/>
                    <w:tr2bl w:val="nil"/>
                  </w:tcBorders>
                  <w:noWrap w:val="0"/>
                  <w:vAlign w:val="center"/>
                </w:tcPr>
                <w:p w14:paraId="738456EF">
                  <w:pPr>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设备名称</w:t>
                  </w:r>
                </w:p>
              </w:tc>
              <w:tc>
                <w:tcPr>
                  <w:tcW w:w="2471" w:type="pct"/>
                  <w:tcBorders>
                    <w:tl2br w:val="nil"/>
                    <w:tr2bl w:val="nil"/>
                  </w:tcBorders>
                  <w:noWrap w:val="0"/>
                  <w:vAlign w:val="center"/>
                </w:tcPr>
                <w:p w14:paraId="0ECE9F85">
                  <w:pPr>
                    <w:jc w:val="center"/>
                    <w:rPr>
                      <w:rFonts w:hint="eastAsia"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t>参数</w:t>
                  </w:r>
                </w:p>
              </w:tc>
              <w:tc>
                <w:tcPr>
                  <w:tcW w:w="478" w:type="pct"/>
                  <w:tcBorders>
                    <w:tl2br w:val="nil"/>
                    <w:tr2bl w:val="nil"/>
                  </w:tcBorders>
                  <w:noWrap w:val="0"/>
                  <w:vAlign w:val="center"/>
                </w:tcPr>
                <w:p w14:paraId="1463B141">
                  <w:pPr>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数量</w:t>
                  </w:r>
                </w:p>
              </w:tc>
              <w:tc>
                <w:tcPr>
                  <w:tcW w:w="979" w:type="pct"/>
                  <w:tcBorders>
                    <w:tl2br w:val="nil"/>
                    <w:tr2bl w:val="nil"/>
                  </w:tcBorders>
                  <w:noWrap w:val="0"/>
                  <w:vAlign w:val="center"/>
                </w:tcPr>
                <w:p w14:paraId="6C110D83">
                  <w:pPr>
                    <w:jc w:val="center"/>
                    <w:rPr>
                      <w:rFonts w:hint="default" w:ascii="Times New Roman" w:hAnsi="Times New Roman"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备注</w:t>
                  </w:r>
                </w:p>
              </w:tc>
            </w:tr>
            <w:tr w14:paraId="0FE460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37153694">
                  <w:pPr>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1</w:t>
                  </w:r>
                </w:p>
              </w:tc>
              <w:tc>
                <w:tcPr>
                  <w:tcW w:w="771" w:type="pct"/>
                  <w:tcBorders>
                    <w:tl2br w:val="nil"/>
                    <w:tr2bl w:val="nil"/>
                  </w:tcBorders>
                  <w:noWrap w:val="0"/>
                  <w:vAlign w:val="center"/>
                </w:tcPr>
                <w:p w14:paraId="2F1F56E6">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高温真空</w:t>
                  </w:r>
                </w:p>
                <w:p w14:paraId="0FA721E9">
                  <w:pPr>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平式烧结炉</w:t>
                  </w:r>
                </w:p>
              </w:tc>
              <w:tc>
                <w:tcPr>
                  <w:tcW w:w="2471" w:type="pct"/>
                  <w:tcBorders>
                    <w:tl2br w:val="nil"/>
                    <w:tr2bl w:val="nil"/>
                  </w:tcBorders>
                  <w:noWrap w:val="0"/>
                  <w:vAlign w:val="center"/>
                </w:tcPr>
                <w:p w14:paraId="35D92FCC">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尺寸400×400×800mm，最高设计温度1300℃，极限真空度2×10</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cs="Times New Roman"/>
                      <w:color w:val="000000" w:themeColor="text1"/>
                      <w:sz w:val="21"/>
                      <w:szCs w:val="21"/>
                      <w:vertAlign w:val="baseline"/>
                      <w:lang w:val="en-US" w:eastAsia="zh-CN"/>
                      <w14:textFill>
                        <w14:solidFill>
                          <w14:schemeClr w14:val="tx1"/>
                        </w14:solidFill>
                      </w14:textFill>
                    </w:rPr>
                    <w:t>Pa，压升率0.5Pa/h，1100℃时保温区温度均匀性≤±5℃，冷却方式外循环水冷，采用PLC控制系统，智能温控仪控温，自动化程度高，可实现全自动/手动无扰动切换，带异常报警功能</w:t>
                  </w:r>
                </w:p>
              </w:tc>
              <w:tc>
                <w:tcPr>
                  <w:tcW w:w="478" w:type="pct"/>
                  <w:tcBorders>
                    <w:tl2br w:val="nil"/>
                    <w:tr2bl w:val="nil"/>
                  </w:tcBorders>
                  <w:noWrap w:val="0"/>
                  <w:vAlign w:val="center"/>
                </w:tcPr>
                <w:p w14:paraId="0E89958A">
                  <w:pPr>
                    <w:jc w:val="center"/>
                    <w:rPr>
                      <w:rFonts w:hint="default" w:ascii="Times New Roman" w:hAnsi="Times New Roman"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2</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台</w:t>
                  </w:r>
                </w:p>
              </w:tc>
              <w:tc>
                <w:tcPr>
                  <w:tcW w:w="979" w:type="pct"/>
                  <w:tcBorders>
                    <w:tl2br w:val="nil"/>
                    <w:tr2bl w:val="nil"/>
                  </w:tcBorders>
                  <w:noWrap w:val="0"/>
                  <w:vAlign w:val="center"/>
                </w:tcPr>
                <w:p w14:paraId="1D01D216">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用于烧结</w:t>
                  </w:r>
                </w:p>
              </w:tc>
            </w:tr>
            <w:tr w14:paraId="71EC45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9" w:type="pct"/>
                  <w:tcBorders>
                    <w:tl2br w:val="nil"/>
                    <w:tr2bl w:val="nil"/>
                  </w:tcBorders>
                  <w:noWrap w:val="0"/>
                  <w:vAlign w:val="center"/>
                </w:tcPr>
                <w:p w14:paraId="6DFDF443">
                  <w:pPr>
                    <w:jc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2</w:t>
                  </w:r>
                </w:p>
              </w:tc>
              <w:tc>
                <w:tcPr>
                  <w:tcW w:w="771" w:type="pct"/>
                  <w:tcBorders>
                    <w:tl2br w:val="nil"/>
                    <w:tr2bl w:val="nil"/>
                  </w:tcBorders>
                  <w:noWrap w:val="0"/>
                  <w:vAlign w:val="center"/>
                </w:tcPr>
                <w:p w14:paraId="2D439332">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轧机</w:t>
                  </w:r>
                </w:p>
              </w:tc>
              <w:tc>
                <w:tcPr>
                  <w:tcW w:w="2471" w:type="pct"/>
                  <w:tcBorders>
                    <w:tl2br w:val="nil"/>
                    <w:tr2bl w:val="nil"/>
                  </w:tcBorders>
                  <w:noWrap w:val="0"/>
                  <w:vAlign w:val="center"/>
                </w:tcPr>
                <w:p w14:paraId="38E1ADAE">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405FZ20.01</w:t>
                  </w:r>
                </w:p>
                <w:p w14:paraId="2DA9DD37">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轧制压力可调，辊速可控，带厚度在线检测系统，轧制精度±0.02mm</w:t>
                  </w:r>
                </w:p>
              </w:tc>
              <w:tc>
                <w:tcPr>
                  <w:tcW w:w="478" w:type="pct"/>
                  <w:tcBorders>
                    <w:tl2br w:val="nil"/>
                    <w:tr2bl w:val="nil"/>
                  </w:tcBorders>
                  <w:noWrap w:val="0"/>
                  <w:vAlign w:val="center"/>
                </w:tcPr>
                <w:p w14:paraId="6E3396A4">
                  <w:pPr>
                    <w:keepNext w:val="0"/>
                    <w:keepLines w:val="0"/>
                    <w:widowControl/>
                    <w:suppressLineNumbers w:val="0"/>
                    <w:adjustRightInd/>
                    <w:snapToGrid/>
                    <w:spacing w:after="0"/>
                    <w:jc w:val="center"/>
                    <w:textAlignment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2</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台</w:t>
                  </w:r>
                </w:p>
              </w:tc>
              <w:tc>
                <w:tcPr>
                  <w:tcW w:w="979" w:type="pct"/>
                  <w:tcBorders>
                    <w:tl2br w:val="nil"/>
                    <w:tr2bl w:val="nil"/>
                  </w:tcBorders>
                  <w:noWrap w:val="0"/>
                  <w:vAlign w:val="center"/>
                </w:tcPr>
                <w:p w14:paraId="3A72735C">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金属轧制成型</w:t>
                  </w:r>
                </w:p>
              </w:tc>
            </w:tr>
            <w:tr w14:paraId="6ABCC2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150B7724">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3</w:t>
                  </w:r>
                </w:p>
              </w:tc>
              <w:tc>
                <w:tcPr>
                  <w:tcW w:w="771" w:type="pct"/>
                  <w:tcBorders>
                    <w:tl2br w:val="nil"/>
                    <w:tr2bl w:val="nil"/>
                  </w:tcBorders>
                  <w:noWrap w:val="0"/>
                  <w:vAlign w:val="center"/>
                </w:tcPr>
                <w:p w14:paraId="34EDDD84">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平板机</w:t>
                  </w:r>
                </w:p>
              </w:tc>
              <w:tc>
                <w:tcPr>
                  <w:tcW w:w="2471" w:type="pct"/>
                  <w:tcBorders>
                    <w:tl2br w:val="nil"/>
                    <w:tr2bl w:val="nil"/>
                  </w:tcBorders>
                  <w:noWrap w:val="0"/>
                  <w:vAlign w:val="center"/>
                </w:tcPr>
                <w:p w14:paraId="59C0C850">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校平精度±0.05mm，采用多辊式校平结构，</w:t>
                  </w:r>
                </w:p>
              </w:tc>
              <w:tc>
                <w:tcPr>
                  <w:tcW w:w="478" w:type="pct"/>
                  <w:tcBorders>
                    <w:tl2br w:val="nil"/>
                    <w:tr2bl w:val="nil"/>
                  </w:tcBorders>
                  <w:noWrap w:val="0"/>
                  <w:vAlign w:val="center"/>
                </w:tcPr>
                <w:p w14:paraId="2DECA0F3">
                  <w:pPr>
                    <w:keepNext w:val="0"/>
                    <w:keepLines w:val="0"/>
                    <w:widowControl/>
                    <w:suppressLineNumbers w:val="0"/>
                    <w:adjustRightInd/>
                    <w:snapToGrid/>
                    <w:spacing w:after="0"/>
                    <w:jc w:val="center"/>
                    <w:textAlignment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台</w:t>
                  </w:r>
                </w:p>
              </w:tc>
              <w:tc>
                <w:tcPr>
                  <w:tcW w:w="979" w:type="pct"/>
                  <w:tcBorders>
                    <w:tl2br w:val="nil"/>
                    <w:tr2bl w:val="nil"/>
                  </w:tcBorders>
                  <w:noWrap w:val="0"/>
                  <w:vAlign w:val="center"/>
                </w:tcPr>
                <w:p w14:paraId="29BFB4FC">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板材整平校平</w:t>
                  </w:r>
                </w:p>
              </w:tc>
            </w:tr>
            <w:tr w14:paraId="7BEAD0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18E1DFDF">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4</w:t>
                  </w:r>
                </w:p>
              </w:tc>
              <w:tc>
                <w:tcPr>
                  <w:tcW w:w="771" w:type="pct"/>
                  <w:tcBorders>
                    <w:tl2br w:val="nil"/>
                    <w:tr2bl w:val="nil"/>
                  </w:tcBorders>
                  <w:noWrap w:val="0"/>
                  <w:vAlign w:val="center"/>
                </w:tcPr>
                <w:p w14:paraId="5A331100">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激光切割机</w:t>
                  </w:r>
                </w:p>
              </w:tc>
              <w:tc>
                <w:tcPr>
                  <w:tcW w:w="2471" w:type="pct"/>
                  <w:tcBorders>
                    <w:tl2br w:val="nil"/>
                    <w:tr2bl w:val="nil"/>
                  </w:tcBorders>
                  <w:noWrap w:val="0"/>
                  <w:vAlign w:val="center"/>
                </w:tcPr>
                <w:p w14:paraId="471E60FC">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加工幅面3000×1500mm，激光波长1080nm，伺服电机驱动，数控系统双边同步控制，带分段集中抽尘功能，</w:t>
                  </w:r>
                </w:p>
              </w:tc>
              <w:tc>
                <w:tcPr>
                  <w:tcW w:w="478" w:type="pct"/>
                  <w:tcBorders>
                    <w:tl2br w:val="nil"/>
                    <w:tr2bl w:val="nil"/>
                  </w:tcBorders>
                  <w:noWrap w:val="0"/>
                  <w:vAlign w:val="center"/>
                </w:tcPr>
                <w:p w14:paraId="0F72C1A2">
                  <w:pPr>
                    <w:keepNext w:val="0"/>
                    <w:keepLines w:val="0"/>
                    <w:widowControl/>
                    <w:suppressLineNumbers w:val="0"/>
                    <w:adjustRightInd/>
                    <w:snapToGrid/>
                    <w:spacing w:after="0"/>
                    <w:jc w:val="center"/>
                    <w:textAlignment w:val="cente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台</w:t>
                  </w:r>
                </w:p>
              </w:tc>
              <w:tc>
                <w:tcPr>
                  <w:tcW w:w="979" w:type="pct"/>
                  <w:tcBorders>
                    <w:tl2br w:val="nil"/>
                    <w:tr2bl w:val="nil"/>
                  </w:tcBorders>
                  <w:noWrap w:val="0"/>
                  <w:vAlign w:val="center"/>
                </w:tcPr>
                <w:p w14:paraId="3D08E473">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数控精密下料</w:t>
                  </w:r>
                </w:p>
              </w:tc>
            </w:tr>
            <w:tr w14:paraId="570BC5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583361FA">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5</w:t>
                  </w:r>
                </w:p>
              </w:tc>
              <w:tc>
                <w:tcPr>
                  <w:tcW w:w="771" w:type="pct"/>
                  <w:tcBorders>
                    <w:tl2br w:val="nil"/>
                    <w:tr2bl w:val="nil"/>
                  </w:tcBorders>
                  <w:noWrap w:val="0"/>
                  <w:vAlign w:val="center"/>
                </w:tcPr>
                <w:p w14:paraId="2621CF50">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车床</w:t>
                  </w:r>
                </w:p>
              </w:tc>
              <w:tc>
                <w:tcPr>
                  <w:tcW w:w="2471" w:type="pct"/>
                  <w:tcBorders>
                    <w:tl2br w:val="nil"/>
                    <w:tr2bl w:val="nil"/>
                  </w:tcBorders>
                  <w:noWrap w:val="0"/>
                  <w:vAlign w:val="center"/>
                </w:tcPr>
                <w:p w14:paraId="3A565F19">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478" w:type="pct"/>
                  <w:tcBorders>
                    <w:tl2br w:val="nil"/>
                    <w:tr2bl w:val="nil"/>
                  </w:tcBorders>
                  <w:noWrap w:val="0"/>
                  <w:vAlign w:val="center"/>
                </w:tcPr>
                <w:p w14:paraId="68856EA9">
                  <w:pPr>
                    <w:keepNext w:val="0"/>
                    <w:keepLines w:val="0"/>
                    <w:widowControl/>
                    <w:suppressLineNumbers w:val="0"/>
                    <w:adjustRightInd/>
                    <w:snapToGrid/>
                    <w:spacing w:after="0"/>
                    <w:jc w:val="center"/>
                    <w:textAlignment w:val="cente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台</w:t>
                  </w:r>
                </w:p>
              </w:tc>
              <w:tc>
                <w:tcPr>
                  <w:tcW w:w="979" w:type="pct"/>
                  <w:tcBorders>
                    <w:tl2br w:val="nil"/>
                    <w:tr2bl w:val="nil"/>
                  </w:tcBorders>
                  <w:noWrap w:val="0"/>
                  <w:vAlign w:val="center"/>
                </w:tcPr>
                <w:p w14:paraId="3A69AEF3">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机械车削加工</w:t>
                  </w:r>
                </w:p>
              </w:tc>
            </w:tr>
            <w:tr w14:paraId="626F9A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7DD4F7A3">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6</w:t>
                  </w:r>
                </w:p>
              </w:tc>
              <w:tc>
                <w:tcPr>
                  <w:tcW w:w="771" w:type="pct"/>
                  <w:tcBorders>
                    <w:tl2br w:val="nil"/>
                    <w:tr2bl w:val="nil"/>
                  </w:tcBorders>
                  <w:noWrap w:val="0"/>
                  <w:vAlign w:val="center"/>
                </w:tcPr>
                <w:p w14:paraId="53B2126E">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剪板机</w:t>
                  </w:r>
                </w:p>
              </w:tc>
              <w:tc>
                <w:tcPr>
                  <w:tcW w:w="2471" w:type="pct"/>
                  <w:tcBorders>
                    <w:tl2br w:val="nil"/>
                    <w:tr2bl w:val="nil"/>
                  </w:tcBorders>
                  <w:noWrap w:val="0"/>
                  <w:vAlign w:val="center"/>
                </w:tcPr>
                <w:p w14:paraId="279451B3">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制板材剪切设备，可剪切最大厚度30mm、宽度1500mm的金属板材，剪切精度±0.5mm，采用液压驱动，剪切力可调，带刀口间隙快速调节装置、板材定位系统，配套压料装置、安全防护装置；适用于金属板材的定尺剪切、裁断加工。</w:t>
                  </w:r>
                </w:p>
              </w:tc>
              <w:tc>
                <w:tcPr>
                  <w:tcW w:w="478" w:type="pct"/>
                  <w:tcBorders>
                    <w:tl2br w:val="nil"/>
                    <w:tr2bl w:val="nil"/>
                  </w:tcBorders>
                  <w:noWrap w:val="0"/>
                  <w:vAlign w:val="center"/>
                </w:tcPr>
                <w:p w14:paraId="2E34F45A">
                  <w:pPr>
                    <w:keepNext w:val="0"/>
                    <w:keepLines w:val="0"/>
                    <w:widowControl/>
                    <w:suppressLineNumbers w:val="0"/>
                    <w:adjustRightInd/>
                    <w:snapToGrid/>
                    <w:spacing w:after="0"/>
                    <w:jc w:val="center"/>
                    <w:textAlignment w:val="cente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台</w:t>
                  </w:r>
                </w:p>
              </w:tc>
              <w:tc>
                <w:tcPr>
                  <w:tcW w:w="979" w:type="pct"/>
                  <w:tcBorders>
                    <w:tl2br w:val="nil"/>
                    <w:tr2bl w:val="nil"/>
                  </w:tcBorders>
                  <w:noWrap w:val="0"/>
                  <w:vAlign w:val="center"/>
                </w:tcPr>
                <w:p w14:paraId="7E6BF6B9">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板材剪切裁断</w:t>
                  </w:r>
                </w:p>
              </w:tc>
            </w:tr>
            <w:tr w14:paraId="17EAC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0DAAEEE8">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7</w:t>
                  </w:r>
                </w:p>
              </w:tc>
              <w:tc>
                <w:tcPr>
                  <w:tcW w:w="771" w:type="pct"/>
                  <w:tcBorders>
                    <w:tl2br w:val="nil"/>
                    <w:tr2bl w:val="nil"/>
                  </w:tcBorders>
                  <w:noWrap w:val="0"/>
                  <w:vAlign w:val="center"/>
                </w:tcPr>
                <w:p w14:paraId="74387F6E">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油压机</w:t>
                  </w:r>
                </w:p>
              </w:tc>
              <w:tc>
                <w:tcPr>
                  <w:tcW w:w="2471" w:type="pct"/>
                  <w:tcBorders>
                    <w:tl2br w:val="nil"/>
                    <w:tr2bl w:val="nil"/>
                  </w:tcBorders>
                  <w:noWrap w:val="0"/>
                  <w:vAlign w:val="center"/>
                </w:tcPr>
                <w:p w14:paraId="06173615">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压力500吨，滑块行程1500mm，最大开口高度3600mm，工作台尺寸2000×2500mm，液体最大工作压力25MPa，采用四柱式结构，整体锻打油缸，精密研磨缸体，液压系统采用进口阀组，带压力、行程、速度闭环控制，可实现定压、定程压制，配套安全防护装置、快速换模系统</w:t>
                  </w:r>
                </w:p>
              </w:tc>
              <w:tc>
                <w:tcPr>
                  <w:tcW w:w="478" w:type="pct"/>
                  <w:tcBorders>
                    <w:tl2br w:val="nil"/>
                    <w:tr2bl w:val="nil"/>
                  </w:tcBorders>
                  <w:noWrap w:val="0"/>
                  <w:vAlign w:val="center"/>
                </w:tcPr>
                <w:p w14:paraId="65AA5597">
                  <w:pPr>
                    <w:keepNext w:val="0"/>
                    <w:keepLines w:val="0"/>
                    <w:widowControl/>
                    <w:suppressLineNumbers w:val="0"/>
                    <w:adjustRightInd/>
                    <w:snapToGrid/>
                    <w:spacing w:after="0"/>
                    <w:jc w:val="center"/>
                    <w:textAlignment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1套</w:t>
                  </w:r>
                </w:p>
              </w:tc>
              <w:tc>
                <w:tcPr>
                  <w:tcW w:w="979" w:type="pct"/>
                  <w:tcBorders>
                    <w:tl2br w:val="nil"/>
                    <w:tr2bl w:val="nil"/>
                  </w:tcBorders>
                  <w:noWrap w:val="0"/>
                  <w:vAlign w:val="center"/>
                </w:tcPr>
                <w:p w14:paraId="5195A224">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液压压制成型</w:t>
                  </w:r>
                </w:p>
              </w:tc>
            </w:tr>
            <w:tr w14:paraId="289161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120438DC">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8</w:t>
                  </w:r>
                </w:p>
              </w:tc>
              <w:tc>
                <w:tcPr>
                  <w:tcW w:w="771" w:type="pct"/>
                  <w:tcBorders>
                    <w:tl2br w:val="nil"/>
                    <w:tr2bl w:val="nil"/>
                  </w:tcBorders>
                  <w:noWrap w:val="0"/>
                  <w:vAlign w:val="center"/>
                </w:tcPr>
                <w:p w14:paraId="6FD83A7F">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手持修磨机</w:t>
                  </w:r>
                </w:p>
              </w:tc>
              <w:tc>
                <w:tcPr>
                  <w:tcW w:w="2471" w:type="pct"/>
                  <w:tcBorders>
                    <w:tl2br w:val="nil"/>
                    <w:tr2bl w:val="nil"/>
                  </w:tcBorders>
                  <w:noWrap w:val="0"/>
                  <w:vAlign w:val="center"/>
                </w:tcPr>
                <w:p w14:paraId="4DA452D3">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非标</w:t>
                  </w:r>
                </w:p>
              </w:tc>
              <w:tc>
                <w:tcPr>
                  <w:tcW w:w="478" w:type="pct"/>
                  <w:tcBorders>
                    <w:tl2br w:val="nil"/>
                    <w:tr2bl w:val="nil"/>
                  </w:tcBorders>
                  <w:noWrap w:val="0"/>
                  <w:vAlign w:val="center"/>
                </w:tcPr>
                <w:p w14:paraId="440FF916">
                  <w:pPr>
                    <w:keepNext w:val="0"/>
                    <w:keepLines w:val="0"/>
                    <w:widowControl/>
                    <w:suppressLineNumbers w:val="0"/>
                    <w:adjustRightInd/>
                    <w:snapToGrid/>
                    <w:spacing w:after="0"/>
                    <w:jc w:val="center"/>
                    <w:textAlignment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4台</w:t>
                  </w:r>
                </w:p>
              </w:tc>
              <w:tc>
                <w:tcPr>
                  <w:tcW w:w="979" w:type="pct"/>
                  <w:tcBorders>
                    <w:tl2br w:val="nil"/>
                    <w:tr2bl w:val="nil"/>
                  </w:tcBorders>
                  <w:noWrap w:val="0"/>
                  <w:vAlign w:val="center"/>
                </w:tcPr>
                <w:p w14:paraId="770D7A9A">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去表面毛刺</w:t>
                  </w:r>
                </w:p>
              </w:tc>
            </w:tr>
            <w:tr w14:paraId="7A740B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53257F74">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9</w:t>
                  </w:r>
                </w:p>
              </w:tc>
              <w:tc>
                <w:tcPr>
                  <w:tcW w:w="771" w:type="pct"/>
                  <w:tcBorders>
                    <w:tl2br w:val="nil"/>
                    <w:tr2bl w:val="nil"/>
                  </w:tcBorders>
                  <w:noWrap w:val="0"/>
                  <w:vAlign w:val="center"/>
                </w:tcPr>
                <w:p w14:paraId="354BC38B">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台钻</w:t>
                  </w:r>
                </w:p>
              </w:tc>
              <w:tc>
                <w:tcPr>
                  <w:tcW w:w="2471" w:type="pct"/>
                  <w:tcBorders>
                    <w:tl2br w:val="nil"/>
                    <w:tr2bl w:val="nil"/>
                  </w:tcBorders>
                  <w:noWrap w:val="0"/>
                  <w:vAlign w:val="center"/>
                </w:tcPr>
                <w:p w14:paraId="0710F277">
                  <w:pPr>
                    <w:keepNext w:val="0"/>
                    <w:keepLines w:val="0"/>
                    <w:widowControl/>
                    <w:suppressLineNumbers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最大钻孔直径18mm，主轴锥度MT2，主轴转速范围50-2800r/min（12级），主电机功率0.75KW，额定电压380V，主轴最大行程125mm，工作台尺寸300×300mm，立柱直径60mm，整体尺寸700×350×850mm；</w:t>
                  </w:r>
                </w:p>
              </w:tc>
              <w:tc>
                <w:tcPr>
                  <w:tcW w:w="478" w:type="pct"/>
                  <w:tcBorders>
                    <w:tl2br w:val="nil"/>
                    <w:tr2bl w:val="nil"/>
                  </w:tcBorders>
                  <w:noWrap w:val="0"/>
                  <w:vAlign w:val="center"/>
                </w:tcPr>
                <w:p w14:paraId="2A218515">
                  <w:pPr>
                    <w:keepNext w:val="0"/>
                    <w:keepLines w:val="0"/>
                    <w:widowControl/>
                    <w:suppressLineNumbers w:val="0"/>
                    <w:adjustRightInd/>
                    <w:snapToGrid/>
                    <w:spacing w:after="0"/>
                    <w:jc w:val="center"/>
                    <w:textAlignment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1台</w:t>
                  </w:r>
                </w:p>
              </w:tc>
              <w:tc>
                <w:tcPr>
                  <w:tcW w:w="979" w:type="pct"/>
                  <w:tcBorders>
                    <w:tl2br w:val="nil"/>
                    <w:tr2bl w:val="nil"/>
                  </w:tcBorders>
                  <w:noWrap w:val="0"/>
                  <w:vAlign w:val="center"/>
                </w:tcPr>
                <w:p w14:paraId="43D4FB64">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工件钻孔加工</w:t>
                  </w:r>
                </w:p>
              </w:tc>
            </w:tr>
            <w:tr w14:paraId="40C14B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03DF2828">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10</w:t>
                  </w:r>
                </w:p>
              </w:tc>
              <w:tc>
                <w:tcPr>
                  <w:tcW w:w="771" w:type="pct"/>
                  <w:tcBorders>
                    <w:tl2br w:val="nil"/>
                    <w:tr2bl w:val="nil"/>
                  </w:tcBorders>
                  <w:noWrap w:val="0"/>
                  <w:vAlign w:val="center"/>
                </w:tcPr>
                <w:p w14:paraId="1054E77D">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切割机</w:t>
                  </w:r>
                </w:p>
              </w:tc>
              <w:tc>
                <w:tcPr>
                  <w:tcW w:w="2471" w:type="pct"/>
                  <w:tcBorders>
                    <w:tl2br w:val="nil"/>
                    <w:tr2bl w:val="nil"/>
                  </w:tcBorders>
                  <w:noWrap w:val="0"/>
                  <w:vAlign w:val="center"/>
                </w:tcPr>
                <w:p w14:paraId="76D89A55">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工业级型材管材切断设备，可切割最大直径100mm的圆管、50×50mm的方管，切割厚度最大5mm，采用高速锯片切割，锯片转速2800r/min，带快速夹紧装置、安全防护装置，切割精度±0.5mm，切口无毛刺，适配型材、管材的定尺切断加工</w:t>
                  </w:r>
                </w:p>
              </w:tc>
              <w:tc>
                <w:tcPr>
                  <w:tcW w:w="478" w:type="pct"/>
                  <w:tcBorders>
                    <w:tl2br w:val="nil"/>
                    <w:tr2bl w:val="nil"/>
                  </w:tcBorders>
                  <w:noWrap w:val="0"/>
                  <w:vAlign w:val="center"/>
                </w:tcPr>
                <w:p w14:paraId="261F0307">
                  <w:pPr>
                    <w:keepNext w:val="0"/>
                    <w:keepLines w:val="0"/>
                    <w:widowControl/>
                    <w:suppressLineNumbers w:val="0"/>
                    <w:adjustRightInd/>
                    <w:snapToGrid/>
                    <w:spacing w:after="0"/>
                    <w:jc w:val="center"/>
                    <w:textAlignment w:val="cente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1台</w:t>
                  </w:r>
                </w:p>
              </w:tc>
              <w:tc>
                <w:tcPr>
                  <w:tcW w:w="1644" w:type="dxa"/>
                  <w:tcBorders>
                    <w:tl2br w:val="nil"/>
                    <w:tr2bl w:val="nil"/>
                  </w:tcBorders>
                  <w:noWrap w:val="0"/>
                  <w:vAlign w:val="center"/>
                </w:tcPr>
                <w:p w14:paraId="2963F32D">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型材管材切断</w:t>
                  </w:r>
                </w:p>
              </w:tc>
            </w:tr>
            <w:tr w14:paraId="3A611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58FCEE5C">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11</w:t>
                  </w:r>
                </w:p>
              </w:tc>
              <w:tc>
                <w:tcPr>
                  <w:tcW w:w="771" w:type="pct"/>
                  <w:tcBorders>
                    <w:tl2br w:val="nil"/>
                    <w:tr2bl w:val="nil"/>
                  </w:tcBorders>
                  <w:noWrap w:val="0"/>
                  <w:vAlign w:val="center"/>
                </w:tcPr>
                <w:p w14:paraId="43E661FF">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液压机</w:t>
                  </w:r>
                </w:p>
              </w:tc>
              <w:tc>
                <w:tcPr>
                  <w:tcW w:w="2471" w:type="pct"/>
                  <w:tcBorders>
                    <w:tl2br w:val="nil"/>
                    <w:tr2bl w:val="nil"/>
                  </w:tcBorders>
                  <w:noWrap w:val="0"/>
                  <w:vAlign w:val="center"/>
                </w:tcPr>
                <w:p w14:paraId="50CCB40A">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公称压力200吨，滑块行程1200mm，最大开口高度3000mm，工作台尺寸1800×2000mm，液体最大工作压力20MPa，采用四柱式整体焊接结构，主油缸采用整体锻打精密研磨，液压系统采用进口伺服阀，带位置、压力闭环控制，可实现定压、定程、定速压制，配套快速换模系统、安全光栅；适用于大型零件的压制成型、冲压、校直、弯曲、拉伸等工艺</w:t>
                  </w:r>
                </w:p>
              </w:tc>
              <w:tc>
                <w:tcPr>
                  <w:tcW w:w="478" w:type="pct"/>
                  <w:tcBorders>
                    <w:tl2br w:val="nil"/>
                    <w:tr2bl w:val="nil"/>
                  </w:tcBorders>
                  <w:noWrap w:val="0"/>
                  <w:vAlign w:val="center"/>
                </w:tcPr>
                <w:p w14:paraId="4B054F9D">
                  <w:pPr>
                    <w:keepNext w:val="0"/>
                    <w:keepLines w:val="0"/>
                    <w:widowControl/>
                    <w:suppressLineNumbers w:val="0"/>
                    <w:adjustRightInd/>
                    <w:snapToGrid/>
                    <w:spacing w:after="0"/>
                    <w:jc w:val="center"/>
                    <w:textAlignment w:val="cente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1台</w:t>
                  </w:r>
                </w:p>
              </w:tc>
              <w:tc>
                <w:tcPr>
                  <w:tcW w:w="1644" w:type="dxa"/>
                  <w:tcBorders>
                    <w:tl2br w:val="nil"/>
                    <w:tr2bl w:val="nil"/>
                  </w:tcBorders>
                  <w:noWrap w:val="0"/>
                  <w:vAlign w:val="center"/>
                </w:tcPr>
                <w:p w14:paraId="3919AAD5">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压制成型、冲压、校直、压力加工</w:t>
                  </w:r>
                </w:p>
              </w:tc>
            </w:tr>
            <w:tr w14:paraId="304260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3DB9D506">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12</w:t>
                  </w:r>
                </w:p>
              </w:tc>
              <w:tc>
                <w:tcPr>
                  <w:tcW w:w="771" w:type="pct"/>
                  <w:tcBorders>
                    <w:tl2br w:val="nil"/>
                    <w:tr2bl w:val="nil"/>
                  </w:tcBorders>
                  <w:noWrap w:val="0"/>
                  <w:vAlign w:val="center"/>
                </w:tcPr>
                <w:p w14:paraId="490641D0">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压片机</w:t>
                  </w:r>
                </w:p>
              </w:tc>
              <w:tc>
                <w:tcPr>
                  <w:tcW w:w="2471" w:type="pct"/>
                  <w:tcBorders>
                    <w:tl2br w:val="nil"/>
                    <w:tr2bl w:val="nil"/>
                  </w:tcBorders>
                  <w:noWrap w:val="0"/>
                  <w:vAlign w:val="center"/>
                </w:tcPr>
                <w:p w14:paraId="39C83CB4">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定制原料压片/板材压实设备，可压制最大宽度1200mm、厚度0.1-10mm的板材，</w:t>
                  </w:r>
                </w:p>
                <w:p w14:paraId="194761BF">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带厚度在线检测、压力自动调节系统，配套板材输送、收卷装置</w:t>
                  </w:r>
                </w:p>
              </w:tc>
              <w:tc>
                <w:tcPr>
                  <w:tcW w:w="478" w:type="pct"/>
                  <w:tcBorders>
                    <w:tl2br w:val="nil"/>
                    <w:tr2bl w:val="nil"/>
                  </w:tcBorders>
                  <w:noWrap w:val="0"/>
                  <w:vAlign w:val="center"/>
                </w:tcPr>
                <w:p w14:paraId="12824619">
                  <w:pPr>
                    <w:keepNext w:val="0"/>
                    <w:keepLines w:val="0"/>
                    <w:widowControl/>
                    <w:suppressLineNumbers w:val="0"/>
                    <w:adjustRightInd/>
                    <w:snapToGrid/>
                    <w:spacing w:after="0"/>
                    <w:jc w:val="center"/>
                    <w:textAlignment w:val="cente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1台</w:t>
                  </w:r>
                </w:p>
              </w:tc>
              <w:tc>
                <w:tcPr>
                  <w:tcW w:w="979" w:type="pct"/>
                  <w:tcBorders>
                    <w:tl2br w:val="nil"/>
                    <w:tr2bl w:val="nil"/>
                  </w:tcBorders>
                  <w:noWrap w:val="0"/>
                  <w:vAlign w:val="center"/>
                </w:tcPr>
                <w:p w14:paraId="7A9D1798">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料压片、板材压实、工件压型整平</w:t>
                  </w:r>
                </w:p>
              </w:tc>
            </w:tr>
            <w:tr w14:paraId="48AA59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384E0154">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13</w:t>
                  </w:r>
                </w:p>
              </w:tc>
              <w:tc>
                <w:tcPr>
                  <w:tcW w:w="771" w:type="pct"/>
                  <w:tcBorders>
                    <w:tl2br w:val="nil"/>
                    <w:tr2bl w:val="nil"/>
                  </w:tcBorders>
                  <w:noWrap w:val="0"/>
                  <w:vAlign w:val="center"/>
                </w:tcPr>
                <w:p w14:paraId="422E6E72">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氩弧焊机</w:t>
                  </w:r>
                </w:p>
              </w:tc>
              <w:tc>
                <w:tcPr>
                  <w:tcW w:w="2471" w:type="pct"/>
                  <w:tcBorders>
                    <w:tl2br w:val="nil"/>
                    <w:tr2bl w:val="nil"/>
                  </w:tcBorders>
                  <w:noWrap w:val="0"/>
                  <w:vAlign w:val="center"/>
                </w:tcPr>
                <w:p w14:paraId="1CCAF2C4">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业级氩弧焊机，额定焊接电流50-400A，额定输入功率15KVA，额定电压380V，焊接厚度0.5-20mm</w:t>
                  </w:r>
                </w:p>
              </w:tc>
              <w:tc>
                <w:tcPr>
                  <w:tcW w:w="478" w:type="pct"/>
                  <w:tcBorders>
                    <w:tl2br w:val="nil"/>
                    <w:tr2bl w:val="nil"/>
                  </w:tcBorders>
                  <w:noWrap w:val="0"/>
                  <w:vAlign w:val="center"/>
                </w:tcPr>
                <w:p w14:paraId="07DF884C">
                  <w:pPr>
                    <w:keepNext w:val="0"/>
                    <w:keepLines w:val="0"/>
                    <w:widowControl/>
                    <w:suppressLineNumbers w:val="0"/>
                    <w:adjustRightInd/>
                    <w:snapToGrid/>
                    <w:spacing w:after="0"/>
                    <w:jc w:val="center"/>
                    <w:textAlignment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1台</w:t>
                  </w:r>
                </w:p>
              </w:tc>
              <w:tc>
                <w:tcPr>
                  <w:tcW w:w="979" w:type="pct"/>
                  <w:tcBorders>
                    <w:tl2br w:val="nil"/>
                    <w:tr2bl w:val="nil"/>
                  </w:tcBorders>
                  <w:noWrap w:val="0"/>
                  <w:vAlign w:val="center"/>
                </w:tcPr>
                <w:p w14:paraId="6B8931F0">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焊接支架</w:t>
                  </w:r>
                </w:p>
              </w:tc>
            </w:tr>
            <w:tr w14:paraId="7DF41C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559B7DD3">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14</w:t>
                  </w:r>
                </w:p>
              </w:tc>
              <w:tc>
                <w:tcPr>
                  <w:tcW w:w="771" w:type="pct"/>
                  <w:tcBorders>
                    <w:tl2br w:val="nil"/>
                    <w:tr2bl w:val="nil"/>
                  </w:tcBorders>
                  <w:noWrap w:val="0"/>
                  <w:vAlign w:val="center"/>
                </w:tcPr>
                <w:p w14:paraId="430135E4">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气泵</w:t>
                  </w:r>
                </w:p>
              </w:tc>
              <w:tc>
                <w:tcPr>
                  <w:tcW w:w="2471" w:type="pct"/>
                  <w:tcBorders>
                    <w:tl2br w:val="nil"/>
                    <w:tr2bl w:val="nil"/>
                  </w:tcBorders>
                  <w:noWrap w:val="0"/>
                  <w:vAlign w:val="center"/>
                </w:tcPr>
                <w:p w14:paraId="41091FCF">
                  <w:pPr>
                    <w:keepNext w:val="0"/>
                    <w:keepLines w:val="0"/>
                    <w:widowControl/>
                    <w:suppressLineNumbers w:val="0"/>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工业级空气压缩机，GT400-ED为涡旋式静音气泵，额定功率4KW，排气量0.4m</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cs="Times New Roman"/>
                      <w:color w:val="000000" w:themeColor="text1"/>
                      <w:sz w:val="21"/>
                      <w:szCs w:val="21"/>
                      <w:vertAlign w:val="baseline"/>
                      <w:lang w:val="en-US" w:eastAsia="zh-CN"/>
                      <w14:textFill>
                        <w14:solidFill>
                          <w14:schemeClr w14:val="tx1"/>
                        </w14:solidFill>
                      </w14:textFill>
                    </w:rPr>
                    <w:t>/min，排气压力0.8MPa，噪音≤65DB，额定功率2.2KW，排气量0.25m³/min，排气压力0.8MPa。</w:t>
                  </w:r>
                </w:p>
              </w:tc>
              <w:tc>
                <w:tcPr>
                  <w:tcW w:w="478" w:type="pct"/>
                  <w:tcBorders>
                    <w:tl2br w:val="nil"/>
                    <w:tr2bl w:val="nil"/>
                  </w:tcBorders>
                  <w:noWrap w:val="0"/>
                  <w:vAlign w:val="center"/>
                </w:tcPr>
                <w:p w14:paraId="4D516A59">
                  <w:pPr>
                    <w:keepNext w:val="0"/>
                    <w:keepLines w:val="0"/>
                    <w:widowControl/>
                    <w:suppressLineNumbers w:val="0"/>
                    <w:adjustRightInd/>
                    <w:snapToGrid/>
                    <w:spacing w:after="0"/>
                    <w:jc w:val="center"/>
                    <w:textAlignment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1台</w:t>
                  </w:r>
                </w:p>
              </w:tc>
              <w:tc>
                <w:tcPr>
                  <w:tcW w:w="979" w:type="pct"/>
                  <w:tcBorders>
                    <w:tl2br w:val="nil"/>
                    <w:tr2bl w:val="nil"/>
                  </w:tcBorders>
                  <w:noWrap w:val="0"/>
                  <w:vAlign w:val="center"/>
                </w:tcPr>
                <w:p w14:paraId="7FD5B2E3">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驱动气体工具</w:t>
                  </w:r>
                </w:p>
              </w:tc>
            </w:tr>
            <w:tr w14:paraId="23D326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5FACFE49">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15</w:t>
                  </w:r>
                </w:p>
              </w:tc>
              <w:tc>
                <w:tcPr>
                  <w:tcW w:w="771" w:type="pct"/>
                  <w:tcBorders>
                    <w:tl2br w:val="nil"/>
                    <w:tr2bl w:val="nil"/>
                  </w:tcBorders>
                  <w:noWrap w:val="0"/>
                  <w:vAlign w:val="center"/>
                </w:tcPr>
                <w:p w14:paraId="0F647A9E">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水泵</w:t>
                  </w:r>
                </w:p>
              </w:tc>
              <w:tc>
                <w:tcPr>
                  <w:tcW w:w="2471" w:type="pct"/>
                  <w:tcBorders>
                    <w:tl2br w:val="nil"/>
                    <w:tr2bl w:val="nil"/>
                  </w:tcBorders>
                  <w:noWrap w:val="0"/>
                  <w:vAlign w:val="center"/>
                </w:tcPr>
                <w:p w14:paraId="5542473B">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w:t>
                  </w:r>
                </w:p>
              </w:tc>
              <w:tc>
                <w:tcPr>
                  <w:tcW w:w="478" w:type="pct"/>
                  <w:tcBorders>
                    <w:tl2br w:val="nil"/>
                    <w:tr2bl w:val="nil"/>
                  </w:tcBorders>
                  <w:noWrap w:val="0"/>
                  <w:vAlign w:val="center"/>
                </w:tcPr>
                <w:p w14:paraId="6FEB598D">
                  <w:pPr>
                    <w:keepNext w:val="0"/>
                    <w:keepLines w:val="0"/>
                    <w:widowControl/>
                    <w:suppressLineNumbers w:val="0"/>
                    <w:adjustRightInd/>
                    <w:snapToGrid/>
                    <w:spacing w:after="0"/>
                    <w:jc w:val="center"/>
                    <w:textAlignment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3台</w:t>
                  </w:r>
                </w:p>
              </w:tc>
              <w:tc>
                <w:tcPr>
                  <w:tcW w:w="979" w:type="pct"/>
                  <w:tcBorders>
                    <w:tl2br w:val="nil"/>
                    <w:tr2bl w:val="nil"/>
                  </w:tcBorders>
                  <w:noWrap w:val="0"/>
                  <w:vAlign w:val="center"/>
                </w:tcPr>
                <w:p w14:paraId="6D289043">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设备冷却循环供水</w:t>
                  </w:r>
                </w:p>
              </w:tc>
            </w:tr>
            <w:tr w14:paraId="577FC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99" w:type="pct"/>
                  <w:tcBorders>
                    <w:tl2br w:val="nil"/>
                    <w:tr2bl w:val="nil"/>
                  </w:tcBorders>
                  <w:noWrap w:val="0"/>
                  <w:vAlign w:val="center"/>
                </w:tcPr>
                <w:p w14:paraId="3795D41A">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16</w:t>
                  </w:r>
                </w:p>
              </w:tc>
              <w:tc>
                <w:tcPr>
                  <w:tcW w:w="771" w:type="pct"/>
                  <w:tcBorders>
                    <w:tl2br w:val="nil"/>
                    <w:tr2bl w:val="nil"/>
                  </w:tcBorders>
                  <w:noWrap w:val="0"/>
                  <w:vAlign w:val="center"/>
                </w:tcPr>
                <w:p w14:paraId="3A25BC58">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冷却塔</w:t>
                  </w:r>
                </w:p>
              </w:tc>
              <w:tc>
                <w:tcPr>
                  <w:tcW w:w="2471" w:type="pct"/>
                  <w:tcBorders>
                    <w:tl2br w:val="nil"/>
                    <w:tr2bl w:val="nil"/>
                  </w:tcBorders>
                  <w:noWrap w:val="0"/>
                  <w:vAlign w:val="center"/>
                </w:tcPr>
                <w:p w14:paraId="42D154D0">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工业型闭式冷却水塔，冷却水量4m³/h，</w:t>
                  </w:r>
                </w:p>
                <w:p w14:paraId="6DADA067">
                  <w:pPr>
                    <w:jc w:val="center"/>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采用逆流式结构，填料采用PVC材质</w:t>
                  </w:r>
                </w:p>
              </w:tc>
              <w:tc>
                <w:tcPr>
                  <w:tcW w:w="478" w:type="pct"/>
                  <w:tcBorders>
                    <w:tl2br w:val="nil"/>
                    <w:tr2bl w:val="nil"/>
                  </w:tcBorders>
                  <w:noWrap w:val="0"/>
                  <w:vAlign w:val="center"/>
                </w:tcPr>
                <w:p w14:paraId="799DFD41">
                  <w:pPr>
                    <w:keepNext w:val="0"/>
                    <w:keepLines w:val="0"/>
                    <w:widowControl/>
                    <w:suppressLineNumbers w:val="0"/>
                    <w:adjustRightInd/>
                    <w:snapToGrid/>
                    <w:spacing w:after="0"/>
                    <w:jc w:val="center"/>
                    <w:textAlignment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1座</w:t>
                  </w:r>
                </w:p>
              </w:tc>
              <w:tc>
                <w:tcPr>
                  <w:tcW w:w="979" w:type="pct"/>
                  <w:tcBorders>
                    <w:tl2br w:val="nil"/>
                    <w:tr2bl w:val="nil"/>
                  </w:tcBorders>
                  <w:noWrap w:val="0"/>
                  <w:vAlign w:val="center"/>
                </w:tcPr>
                <w:p w14:paraId="65F08CCC">
                  <w:pPr>
                    <w:jc w:val="center"/>
                    <w:rPr>
                      <w:rFonts w:hint="default"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烧结炉冷却</w:t>
                  </w:r>
                </w:p>
              </w:tc>
            </w:tr>
          </w:tbl>
          <w:p w14:paraId="06745CB9">
            <w:pPr>
              <w:spacing w:line="360" w:lineRule="auto"/>
              <w:ind w:firstLine="422" w:firstLineChars="200"/>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、主要原辅材料消耗及能源消耗</w:t>
            </w:r>
          </w:p>
          <w:p w14:paraId="60FE270E">
            <w:pPr>
              <w:adjustRightInd w:val="0"/>
              <w:spacing w:line="360" w:lineRule="auto"/>
              <w:ind w:firstLine="420" w:firstLineChars="200"/>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本</w:t>
            </w:r>
            <w:r>
              <w:rPr>
                <w:rFonts w:hint="default" w:ascii="Times New Roman" w:hAnsi="Times New Roman" w:eastAsia="宋体" w:cs="Times New Roman"/>
                <w:color w:val="000000" w:themeColor="text1"/>
                <w:sz w:val="21"/>
                <w:szCs w:val="21"/>
                <w14:textFill>
                  <w14:solidFill>
                    <w14:schemeClr w14:val="tx1"/>
                  </w14:solidFill>
                </w14:textFill>
              </w:rPr>
              <w:t>项目主要原辅材料及能源</w:t>
            </w:r>
            <w:r>
              <w:rPr>
                <w:rFonts w:hint="default" w:ascii="Times New Roman" w:hAnsi="Times New Roman" w:eastAsia="宋体" w:cs="Times New Roman"/>
                <w:color w:val="000000" w:themeColor="text1"/>
                <w:sz w:val="21"/>
                <w:szCs w:val="21"/>
                <w:highlight w:val="none"/>
                <w14:textFill>
                  <w14:solidFill>
                    <w14:schemeClr w14:val="tx1"/>
                  </w14:solidFill>
                </w14:textFill>
              </w:rPr>
              <w:t>消耗见</w:t>
            </w:r>
            <w:r>
              <w:rPr>
                <w:rFonts w:hint="default" w:ascii="Times New Roman" w:hAnsi="Times New Roman" w:cs="Times New Roman"/>
                <w:color w:val="000000" w:themeColor="text1"/>
                <w:sz w:val="21"/>
                <w:szCs w:val="21"/>
                <w:highlight w:val="none"/>
                <w:lang w:eastAsia="zh-CN"/>
                <w14:textFill>
                  <w14:solidFill>
                    <w14:schemeClr w14:val="tx1"/>
                  </w14:solidFill>
                </w14:textFill>
              </w:rPr>
              <w:t>下</w:t>
            </w:r>
            <w:r>
              <w:rPr>
                <w:rFonts w:hint="default" w:ascii="Times New Roman" w:hAnsi="Times New Roman" w:eastAsia="宋体" w:cs="Times New Roman"/>
                <w:color w:val="000000" w:themeColor="text1"/>
                <w:sz w:val="21"/>
                <w:szCs w:val="21"/>
                <w14:textFill>
                  <w14:solidFill>
                    <w14:schemeClr w14:val="tx1"/>
                  </w14:solidFill>
                </w14:textFill>
              </w:rPr>
              <w:t>表。</w:t>
            </w:r>
          </w:p>
          <w:p w14:paraId="4E8DD493">
            <w:pPr>
              <w:adjustRightInd w:val="0"/>
              <w:snapToGrid w:val="0"/>
              <w:ind w:firstLine="422" w:firstLineChars="200"/>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表2-</w:t>
            </w:r>
            <w:r>
              <w:rPr>
                <w:rFonts w:hint="eastAsia" w:cs="Times New Roman"/>
                <w:b/>
                <w:color w:val="000000" w:themeColor="text1"/>
                <w:sz w:val="21"/>
                <w:szCs w:val="21"/>
                <w:highlight w:val="none"/>
                <w:lang w:val="en-US" w:eastAsia="zh-CN"/>
                <w14:textFill>
                  <w14:solidFill>
                    <w14:schemeClr w14:val="tx1"/>
                  </w14:solidFill>
                </w14:textFill>
              </w:rPr>
              <w:t xml:space="preserve">5  </w:t>
            </w:r>
            <w:r>
              <w:rPr>
                <w:rFonts w:hint="default" w:ascii="Times New Roman" w:hAnsi="Times New Roman" w:cs="Times New Roman"/>
                <w:b/>
                <w:color w:val="000000" w:themeColor="text1"/>
                <w:sz w:val="21"/>
                <w:szCs w:val="21"/>
                <w:highlight w:val="none"/>
                <w14:textFill>
                  <w14:solidFill>
                    <w14:schemeClr w14:val="tx1"/>
                  </w14:solidFill>
                </w14:textFill>
              </w:rPr>
              <w:t>原辅材料及燃料一览表</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10"/>
              <w:gridCol w:w="800"/>
              <w:gridCol w:w="1608"/>
              <w:gridCol w:w="1608"/>
              <w:gridCol w:w="1249"/>
              <w:gridCol w:w="1058"/>
              <w:gridCol w:w="1540"/>
            </w:tblGrid>
            <w:tr w14:paraId="37886D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6DD4B02A">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序号</w:t>
                  </w:r>
                </w:p>
              </w:tc>
              <w:tc>
                <w:tcPr>
                  <w:tcW w:w="483" w:type="pct"/>
                  <w:tcBorders>
                    <w:tl2br w:val="nil"/>
                    <w:tr2bl w:val="nil"/>
                  </w:tcBorders>
                  <w:shd w:val="clear" w:color="auto" w:fill="FFFFFF"/>
                  <w:noWrap w:val="0"/>
                  <w:vAlign w:val="center"/>
                </w:tcPr>
                <w:p w14:paraId="7EEE6393">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工艺</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1F4B49F6">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材料名称</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0C71D762">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包装规格</w:t>
                  </w:r>
                </w:p>
              </w:tc>
              <w:tc>
                <w:tcPr>
                  <w:tcW w:w="754" w:type="pct"/>
                  <w:tcBorders>
                    <w:tl2br w:val="nil"/>
                    <w:tr2bl w:val="nil"/>
                  </w:tcBorders>
                  <w:shd w:val="clear" w:color="auto" w:fill="FFFFFF"/>
                  <w:noWrap w:val="0"/>
                  <w:tcMar>
                    <w:top w:w="15" w:type="dxa"/>
                    <w:left w:w="15" w:type="dxa"/>
                    <w:bottom w:w="15" w:type="dxa"/>
                    <w:right w:w="15" w:type="dxa"/>
                  </w:tcMar>
                  <w:vAlign w:val="center"/>
                </w:tcPr>
                <w:p w14:paraId="6377953D">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年用量</w:t>
                  </w:r>
                </w:p>
              </w:tc>
              <w:tc>
                <w:tcPr>
                  <w:tcW w:w="639" w:type="pct"/>
                  <w:tcBorders>
                    <w:tl2br w:val="nil"/>
                    <w:tr2bl w:val="nil"/>
                  </w:tcBorders>
                  <w:shd w:val="clear" w:color="auto" w:fill="FFFFFF"/>
                  <w:noWrap w:val="0"/>
                  <w:vAlign w:val="center"/>
                </w:tcPr>
                <w:p w14:paraId="0B90A936">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来源</w:t>
                  </w:r>
                </w:p>
              </w:tc>
              <w:tc>
                <w:tcPr>
                  <w:tcW w:w="930" w:type="pct"/>
                  <w:tcBorders>
                    <w:tl2br w:val="nil"/>
                    <w:tr2bl w:val="nil"/>
                  </w:tcBorders>
                  <w:shd w:val="clear" w:color="auto" w:fill="FFFFFF"/>
                  <w:noWrap w:val="0"/>
                  <w:vAlign w:val="center"/>
                </w:tcPr>
                <w:p w14:paraId="0C3CB2AB">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cs="Times New Roman"/>
                      <w:b/>
                      <w:color w:val="000000" w:themeColor="text1"/>
                      <w:sz w:val="21"/>
                      <w:szCs w:val="21"/>
                      <w:lang w:val="en-US" w:eastAsia="zh-CN"/>
                      <w14:textFill>
                        <w14:solidFill>
                          <w14:schemeClr w14:val="tx1"/>
                        </w14:solidFill>
                      </w14:textFill>
                    </w:rPr>
                    <w:t>本项目</w:t>
                  </w: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最大储存量</w:t>
                  </w:r>
                </w:p>
              </w:tc>
            </w:tr>
            <w:tr w14:paraId="24CD9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4FE78EC0">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w:t>
                  </w:r>
                </w:p>
              </w:tc>
              <w:tc>
                <w:tcPr>
                  <w:tcW w:w="483" w:type="pct"/>
                  <w:vMerge w:val="restart"/>
                  <w:tcBorders>
                    <w:tl2br w:val="nil"/>
                    <w:tr2bl w:val="nil"/>
                  </w:tcBorders>
                  <w:shd w:val="clear" w:color="auto" w:fill="FFFFFF"/>
                  <w:noWrap w:val="0"/>
                  <w:vAlign w:val="center"/>
                </w:tcPr>
                <w:p w14:paraId="68CEEF2E">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原料</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7A88752F">
                  <w:pPr>
                    <w:pStyle w:val="51"/>
                    <w:keepNext w:val="0"/>
                    <w:keepLines w:val="0"/>
                    <w:pageBreakBefore w:val="0"/>
                    <w:kinsoku/>
                    <w:wordWrap/>
                    <w:overflowPunct/>
                    <w:topLinePunct w:val="0"/>
                    <w:bidi w:val="0"/>
                    <w:adjustRightInd w:val="0"/>
                    <w:snapToGrid w:val="0"/>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不锈钢粉</w:t>
                  </w:r>
                </w:p>
                <w:p w14:paraId="0D498784">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160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目</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264558E4">
                  <w:pPr>
                    <w:pStyle w:val="51"/>
                    <w:keepNext w:val="0"/>
                    <w:keepLines w:val="0"/>
                    <w:pageBreakBefore w:val="0"/>
                    <w:kinsoku/>
                    <w:wordWrap/>
                    <w:overflowPunct/>
                    <w:topLinePunct w:val="0"/>
                    <w:bidi w:val="0"/>
                    <w:adjustRightInd w:val="0"/>
                    <w:snapToGrid w:val="0"/>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25k</w:t>
                  </w:r>
                  <w:r>
                    <w:rPr>
                      <w:rFonts w:hint="default" w:ascii="Times New Roman" w:hAnsi="Times New Roman" w:eastAsia="宋体" w:cs="Times New Roman"/>
                      <w:color w:val="000000" w:themeColor="text1"/>
                      <w:kern w:val="0"/>
                      <w:sz w:val="21"/>
                      <w:szCs w:val="21"/>
                      <w14:textFill>
                        <w14:solidFill>
                          <w14:schemeClr w14:val="tx1"/>
                        </w14:solidFill>
                      </w14:textFill>
                    </w:rPr>
                    <w:t>g</w:t>
                  </w:r>
                  <w:r>
                    <w:rPr>
                      <w:rFonts w:hint="eastAsia" w:cs="Times New Roman"/>
                      <w:color w:val="000000" w:themeColor="text1"/>
                      <w:kern w:val="0"/>
                      <w:sz w:val="21"/>
                      <w:szCs w:val="21"/>
                      <w:lang w:val="en-US" w:eastAsia="zh-CN"/>
                      <w14:textFill>
                        <w14:solidFill>
                          <w14:schemeClr w14:val="tx1"/>
                        </w14:solidFill>
                      </w14:textFill>
                    </w:rPr>
                    <w:t>/桶</w:t>
                  </w:r>
                </w:p>
              </w:tc>
              <w:tc>
                <w:tcPr>
                  <w:tcW w:w="754" w:type="pct"/>
                  <w:tcBorders>
                    <w:tl2br w:val="nil"/>
                    <w:tr2bl w:val="nil"/>
                  </w:tcBorders>
                  <w:shd w:val="clear" w:color="auto" w:fill="FFFFFF"/>
                  <w:noWrap w:val="0"/>
                  <w:tcMar>
                    <w:top w:w="15" w:type="dxa"/>
                    <w:left w:w="15" w:type="dxa"/>
                    <w:bottom w:w="15" w:type="dxa"/>
                    <w:right w:w="15" w:type="dxa"/>
                  </w:tcMar>
                  <w:vAlign w:val="center"/>
                </w:tcPr>
                <w:p w14:paraId="3859474A">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639" w:type="pct"/>
                  <w:tcBorders>
                    <w:tl2br w:val="nil"/>
                    <w:tr2bl w:val="nil"/>
                  </w:tcBorders>
                  <w:shd w:val="clear" w:color="auto" w:fill="FFFFFF"/>
                  <w:noWrap w:val="0"/>
                  <w:vAlign w:val="center"/>
                </w:tcPr>
                <w:p w14:paraId="6516B4B6">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外购</w:t>
                  </w:r>
                </w:p>
              </w:tc>
              <w:tc>
                <w:tcPr>
                  <w:tcW w:w="930" w:type="pct"/>
                  <w:tcBorders>
                    <w:tl2br w:val="nil"/>
                    <w:tr2bl w:val="nil"/>
                  </w:tcBorders>
                  <w:shd w:val="clear" w:color="auto" w:fill="FFFFFF"/>
                  <w:noWrap w:val="0"/>
                  <w:vAlign w:val="center"/>
                </w:tcPr>
                <w:p w14:paraId="75767BE9">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0.5t</w:t>
                  </w:r>
                </w:p>
              </w:tc>
            </w:tr>
            <w:tr w14:paraId="173132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662BDE3D">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bookmarkStart w:id="10" w:name="OLE_LINK252" w:colFirst="2" w:colLast="66"/>
                  <w:bookmarkStart w:id="11" w:name="_Hlk91253017"/>
                  <w:bookmarkStart w:id="12" w:name="OLE_LINK253" w:colFirst="2" w:colLast="66"/>
                  <w:r>
                    <w:rPr>
                      <w:rFonts w:hint="eastAsia" w:cs="Times New Roman"/>
                      <w:color w:val="000000" w:themeColor="text1"/>
                      <w:kern w:val="2"/>
                      <w:sz w:val="21"/>
                      <w:szCs w:val="21"/>
                      <w:lang w:val="en-US" w:eastAsia="zh-CN" w:bidi="ar-SA"/>
                      <w14:textFill>
                        <w14:solidFill>
                          <w14:schemeClr w14:val="tx1"/>
                        </w14:solidFill>
                      </w14:textFill>
                    </w:rPr>
                    <w:t>2</w:t>
                  </w:r>
                </w:p>
              </w:tc>
              <w:tc>
                <w:tcPr>
                  <w:tcW w:w="483" w:type="pct"/>
                  <w:vMerge w:val="continue"/>
                  <w:tcBorders>
                    <w:tl2br w:val="nil"/>
                    <w:tr2bl w:val="nil"/>
                  </w:tcBorders>
                  <w:shd w:val="clear" w:color="auto" w:fill="FFFFFF"/>
                  <w:noWrap w:val="0"/>
                  <w:vAlign w:val="center"/>
                </w:tcPr>
                <w:p w14:paraId="277781FF">
                  <w:pPr>
                    <w:pStyle w:val="51"/>
                    <w:keepNext w:val="0"/>
                    <w:keepLines w:val="0"/>
                    <w:pageBreakBefore w:val="0"/>
                    <w:kinsoku/>
                    <w:wordWrap/>
                    <w:overflowPunct/>
                    <w:topLinePunct w:val="0"/>
                    <w:bidi w:val="0"/>
                    <w:adjustRightInd w:val="0"/>
                    <w:snapToGrid w:val="0"/>
                    <w:textAlignment w:val="auto"/>
                    <w:rPr>
                      <w:rFonts w:hint="eastAsia" w:cs="Times New Roman"/>
                      <w:color w:val="000000" w:themeColor="text1"/>
                      <w:sz w:val="21"/>
                      <w:szCs w:val="21"/>
                      <w:lang w:val="en-US" w:eastAsia="zh-CN"/>
                      <w14:textFill>
                        <w14:solidFill>
                          <w14:schemeClr w14:val="tx1"/>
                        </w14:solidFill>
                      </w14:textFill>
                    </w:rPr>
                  </w:pPr>
                </w:p>
              </w:tc>
              <w:tc>
                <w:tcPr>
                  <w:tcW w:w="971" w:type="pct"/>
                  <w:tcBorders>
                    <w:tl2br w:val="nil"/>
                    <w:tr2bl w:val="nil"/>
                  </w:tcBorders>
                  <w:shd w:val="clear" w:color="auto" w:fill="FFFFFF"/>
                  <w:noWrap w:val="0"/>
                  <w:tcMar>
                    <w:top w:w="15" w:type="dxa"/>
                    <w:left w:w="15" w:type="dxa"/>
                    <w:bottom w:w="15" w:type="dxa"/>
                    <w:right w:w="15" w:type="dxa"/>
                  </w:tcMar>
                  <w:vAlign w:val="center"/>
                </w:tcPr>
                <w:p w14:paraId="2E10E23C">
                  <w:pPr>
                    <w:pStyle w:val="51"/>
                    <w:keepNext w:val="0"/>
                    <w:keepLines w:val="0"/>
                    <w:pageBreakBefore w:val="0"/>
                    <w:kinsoku/>
                    <w:wordWrap/>
                    <w:overflowPunct/>
                    <w:topLinePunct w:val="0"/>
                    <w:bidi w:val="0"/>
                    <w:adjustRightInd w:val="0"/>
                    <w:snapToGrid w:val="0"/>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纯海绵钛粉</w:t>
                  </w:r>
                </w:p>
                <w:p w14:paraId="733512C2">
                  <w:pPr>
                    <w:pStyle w:val="51"/>
                    <w:keepNext w:val="0"/>
                    <w:keepLines w:val="0"/>
                    <w:pageBreakBefore w:val="0"/>
                    <w:kinsoku/>
                    <w:wordWrap/>
                    <w:overflowPunct/>
                    <w:topLinePunct w:val="0"/>
                    <w:bidi w:val="0"/>
                    <w:adjustRightInd w:val="0"/>
                    <w:snapToGrid w:val="0"/>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（-100目）</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0A7C111D">
                  <w:pPr>
                    <w:pStyle w:val="51"/>
                    <w:keepNext w:val="0"/>
                    <w:keepLines w:val="0"/>
                    <w:pageBreakBefore w:val="0"/>
                    <w:kinsoku/>
                    <w:wordWrap/>
                    <w:overflowPunct/>
                    <w:topLinePunct w:val="0"/>
                    <w:bidi w:val="0"/>
                    <w:adjustRightInd w:val="0"/>
                    <w:snapToGrid w:val="0"/>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25k</w:t>
                  </w:r>
                  <w:r>
                    <w:rPr>
                      <w:rFonts w:hint="default" w:ascii="Times New Roman" w:hAnsi="Times New Roman" w:eastAsia="宋体" w:cs="Times New Roman"/>
                      <w:color w:val="000000" w:themeColor="text1"/>
                      <w:kern w:val="0"/>
                      <w:sz w:val="21"/>
                      <w:szCs w:val="21"/>
                      <w14:textFill>
                        <w14:solidFill>
                          <w14:schemeClr w14:val="tx1"/>
                        </w14:solidFill>
                      </w14:textFill>
                    </w:rPr>
                    <w:t>g</w:t>
                  </w:r>
                  <w:r>
                    <w:rPr>
                      <w:rFonts w:hint="eastAsia" w:cs="Times New Roman"/>
                      <w:color w:val="000000" w:themeColor="text1"/>
                      <w:kern w:val="0"/>
                      <w:sz w:val="21"/>
                      <w:szCs w:val="21"/>
                      <w:lang w:val="en-US" w:eastAsia="zh-CN"/>
                      <w14:textFill>
                        <w14:solidFill>
                          <w14:schemeClr w14:val="tx1"/>
                        </w14:solidFill>
                      </w14:textFill>
                    </w:rPr>
                    <w:t>/桶</w:t>
                  </w:r>
                </w:p>
              </w:tc>
              <w:tc>
                <w:tcPr>
                  <w:tcW w:w="754" w:type="pct"/>
                  <w:tcBorders>
                    <w:tl2br w:val="nil"/>
                    <w:tr2bl w:val="nil"/>
                  </w:tcBorders>
                  <w:shd w:val="clear" w:color="auto" w:fill="FFFFFF"/>
                  <w:noWrap w:val="0"/>
                  <w:tcMar>
                    <w:top w:w="15" w:type="dxa"/>
                    <w:left w:w="15" w:type="dxa"/>
                    <w:bottom w:w="15" w:type="dxa"/>
                    <w:right w:w="15" w:type="dxa"/>
                  </w:tcMar>
                  <w:vAlign w:val="center"/>
                </w:tcPr>
                <w:p w14:paraId="35C1BD4D">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22</w:t>
                  </w: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639" w:type="pct"/>
                  <w:tcBorders>
                    <w:tl2br w:val="nil"/>
                    <w:tr2bl w:val="nil"/>
                  </w:tcBorders>
                  <w:shd w:val="clear" w:color="auto" w:fill="FFFFFF"/>
                  <w:noWrap w:val="0"/>
                  <w:vAlign w:val="center"/>
                </w:tcPr>
                <w:p w14:paraId="15AA746E">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外购</w:t>
                  </w:r>
                </w:p>
              </w:tc>
              <w:tc>
                <w:tcPr>
                  <w:tcW w:w="930" w:type="pct"/>
                  <w:tcBorders>
                    <w:tl2br w:val="nil"/>
                    <w:tr2bl w:val="nil"/>
                  </w:tcBorders>
                  <w:shd w:val="clear" w:color="auto" w:fill="FFFFFF"/>
                  <w:noWrap w:val="0"/>
                  <w:vAlign w:val="center"/>
                </w:tcPr>
                <w:p w14:paraId="3EAA70BC">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1t</w:t>
                  </w:r>
                </w:p>
              </w:tc>
            </w:tr>
            <w:tr w14:paraId="549FD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0693DF69">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w:t>
                  </w:r>
                </w:p>
              </w:tc>
              <w:tc>
                <w:tcPr>
                  <w:tcW w:w="483" w:type="pct"/>
                  <w:vMerge w:val="restart"/>
                  <w:tcBorders>
                    <w:tl2br w:val="nil"/>
                    <w:tr2bl w:val="nil"/>
                  </w:tcBorders>
                  <w:shd w:val="clear" w:color="auto" w:fill="auto"/>
                  <w:noWrap w:val="0"/>
                  <w:vAlign w:val="center"/>
                </w:tcPr>
                <w:p w14:paraId="4F2EDEFD">
                  <w:pPr>
                    <w:keepNext w:val="0"/>
                    <w:keepLines w:val="0"/>
                    <w:pageBreakBefore w:val="0"/>
                    <w:widowControl/>
                    <w:kinsoku/>
                    <w:wordWrap/>
                    <w:overflowPunct/>
                    <w:topLinePunct w:val="0"/>
                    <w:bidi w:val="0"/>
                    <w:adjustRightInd w:val="0"/>
                    <w:snapToGrid w:val="0"/>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辅料</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0202BF10">
                  <w:pPr>
                    <w:pStyle w:val="51"/>
                    <w:keepNext w:val="0"/>
                    <w:keepLines w:val="0"/>
                    <w:pageBreakBefore w:val="0"/>
                    <w:kinsoku/>
                    <w:wordWrap/>
                    <w:overflowPunct/>
                    <w:topLinePunct w:val="0"/>
                    <w:bidi w:val="0"/>
                    <w:adjustRightInd w:val="0"/>
                    <w:snapToGrid w:val="0"/>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石英砂</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04D75B9B">
                  <w:pPr>
                    <w:keepNext w:val="0"/>
                    <w:keepLines w:val="0"/>
                    <w:pageBreakBefore w:val="0"/>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1"/>
                      <w:szCs w:val="21"/>
                      <w14:textFill>
                        <w14:solidFill>
                          <w14:schemeClr w14:val="tx1"/>
                        </w14:solidFill>
                      </w14:textFill>
                    </w:rPr>
                    <w:t>0</w:t>
                  </w:r>
                  <w:r>
                    <w:rPr>
                      <w:rFonts w:hint="eastAsia" w:cs="Times New Roman"/>
                      <w:color w:val="000000" w:themeColor="text1"/>
                      <w:kern w:val="0"/>
                      <w:sz w:val="21"/>
                      <w:szCs w:val="21"/>
                      <w:lang w:val="en-US" w:eastAsia="zh-CN"/>
                      <w14:textFill>
                        <w14:solidFill>
                          <w14:schemeClr w14:val="tx1"/>
                        </w14:solidFill>
                      </w14:textFill>
                    </w:rPr>
                    <w:t>k</w:t>
                  </w:r>
                  <w:r>
                    <w:rPr>
                      <w:rFonts w:hint="default" w:ascii="Times New Roman" w:hAnsi="Times New Roman" w:eastAsia="宋体" w:cs="Times New Roman"/>
                      <w:color w:val="000000" w:themeColor="text1"/>
                      <w:kern w:val="0"/>
                      <w:sz w:val="21"/>
                      <w:szCs w:val="21"/>
                      <w14:textFill>
                        <w14:solidFill>
                          <w14:schemeClr w14:val="tx1"/>
                        </w14:solidFill>
                      </w14:textFill>
                    </w:rPr>
                    <w:t>g</w:t>
                  </w:r>
                  <w:r>
                    <w:rPr>
                      <w:rFonts w:hint="eastAsia" w:cs="Times New Roman"/>
                      <w:color w:val="000000" w:themeColor="text1"/>
                      <w:kern w:val="0"/>
                      <w:sz w:val="21"/>
                      <w:szCs w:val="21"/>
                      <w:lang w:val="en-US" w:eastAsia="zh-CN"/>
                      <w14:textFill>
                        <w14:solidFill>
                          <w14:schemeClr w14:val="tx1"/>
                        </w14:solidFill>
                      </w14:textFill>
                    </w:rPr>
                    <w:t>/袋</w:t>
                  </w:r>
                </w:p>
              </w:tc>
              <w:tc>
                <w:tcPr>
                  <w:tcW w:w="754" w:type="pct"/>
                  <w:tcBorders>
                    <w:tl2br w:val="nil"/>
                    <w:tr2bl w:val="nil"/>
                  </w:tcBorders>
                  <w:shd w:val="clear" w:color="auto" w:fill="FFFFFF"/>
                  <w:noWrap w:val="0"/>
                  <w:tcMar>
                    <w:top w:w="15" w:type="dxa"/>
                    <w:left w:w="15" w:type="dxa"/>
                    <w:bottom w:w="15" w:type="dxa"/>
                    <w:right w:w="15" w:type="dxa"/>
                  </w:tcMar>
                  <w:vAlign w:val="center"/>
                </w:tcPr>
                <w:p w14:paraId="7DF5126E">
                  <w:pPr>
                    <w:keepNext w:val="0"/>
                    <w:keepLines w:val="0"/>
                    <w:pageBreakBefore w:val="0"/>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0.15</w:t>
                  </w:r>
                  <w:r>
                    <w:rPr>
                      <w:rFonts w:hint="default" w:ascii="Times New Roman" w:hAnsi="Times New Roman" w:eastAsia="宋体" w:cs="Times New Roman"/>
                      <w:color w:val="000000" w:themeColor="text1"/>
                      <w:sz w:val="21"/>
                      <w:szCs w:val="21"/>
                      <w14:textFill>
                        <w14:solidFill>
                          <w14:schemeClr w14:val="tx1"/>
                        </w14:solidFill>
                      </w14:textFill>
                    </w:rPr>
                    <w:t>t/a</w:t>
                  </w:r>
                </w:p>
              </w:tc>
              <w:tc>
                <w:tcPr>
                  <w:tcW w:w="639" w:type="pct"/>
                  <w:tcBorders>
                    <w:tl2br w:val="nil"/>
                    <w:tr2bl w:val="nil"/>
                  </w:tcBorders>
                  <w:shd w:val="clear" w:color="auto" w:fill="FFFFFF"/>
                  <w:noWrap w:val="0"/>
                  <w:vAlign w:val="center"/>
                </w:tcPr>
                <w:p w14:paraId="36D52E8E">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外购</w:t>
                  </w:r>
                </w:p>
              </w:tc>
              <w:tc>
                <w:tcPr>
                  <w:tcW w:w="930" w:type="pct"/>
                  <w:tcBorders>
                    <w:tl2br w:val="nil"/>
                    <w:tr2bl w:val="nil"/>
                  </w:tcBorders>
                  <w:shd w:val="clear" w:color="auto" w:fill="FFFFFF"/>
                  <w:noWrap w:val="0"/>
                  <w:vAlign w:val="center"/>
                </w:tcPr>
                <w:p w14:paraId="514339E6">
                  <w:pPr>
                    <w:pStyle w:val="51"/>
                    <w:keepNext w:val="0"/>
                    <w:keepLines w:val="0"/>
                    <w:pageBreakBefore w:val="0"/>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0.05t</w:t>
                  </w:r>
                </w:p>
              </w:tc>
            </w:tr>
            <w:tr w14:paraId="0A379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1BBB7EB0">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w:t>
                  </w:r>
                </w:p>
              </w:tc>
              <w:tc>
                <w:tcPr>
                  <w:tcW w:w="483" w:type="pct"/>
                  <w:vMerge w:val="continue"/>
                  <w:tcBorders>
                    <w:tl2br w:val="nil"/>
                    <w:tr2bl w:val="nil"/>
                  </w:tcBorders>
                  <w:shd w:val="clear" w:color="auto" w:fill="auto"/>
                  <w:noWrap w:val="0"/>
                  <w:vAlign w:val="center"/>
                </w:tcPr>
                <w:p w14:paraId="0B870727">
                  <w:pPr>
                    <w:keepNext w:val="0"/>
                    <w:keepLines w:val="0"/>
                    <w:pageBreakBefore w:val="0"/>
                    <w:widowControl/>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71" w:type="pct"/>
                  <w:tcBorders>
                    <w:tl2br w:val="nil"/>
                    <w:tr2bl w:val="nil"/>
                  </w:tcBorders>
                  <w:shd w:val="clear" w:color="auto" w:fill="FFFFFF"/>
                  <w:noWrap w:val="0"/>
                  <w:tcMar>
                    <w:top w:w="15" w:type="dxa"/>
                    <w:left w:w="15" w:type="dxa"/>
                    <w:bottom w:w="15" w:type="dxa"/>
                    <w:right w:w="15" w:type="dxa"/>
                  </w:tcMar>
                  <w:vAlign w:val="center"/>
                </w:tcPr>
                <w:p w14:paraId="45DB28F7">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液压油</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4CB47AB3">
                  <w:pPr>
                    <w:keepNext w:val="0"/>
                    <w:keepLines w:val="0"/>
                    <w:pageBreakBefore w:val="0"/>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1"/>
                      <w:szCs w:val="21"/>
                      <w14:textFill>
                        <w14:solidFill>
                          <w14:schemeClr w14:val="tx1"/>
                        </w14:solidFill>
                      </w14:textFill>
                    </w:rPr>
                    <w:t>0</w:t>
                  </w:r>
                  <w:r>
                    <w:rPr>
                      <w:rFonts w:hint="eastAsia" w:cs="Times New Roman"/>
                      <w:color w:val="000000" w:themeColor="text1"/>
                      <w:kern w:val="0"/>
                      <w:sz w:val="21"/>
                      <w:szCs w:val="21"/>
                      <w:lang w:val="en-US" w:eastAsia="zh-CN"/>
                      <w14:textFill>
                        <w14:solidFill>
                          <w14:schemeClr w14:val="tx1"/>
                        </w14:solidFill>
                      </w14:textFill>
                    </w:rPr>
                    <w:t>k</w:t>
                  </w:r>
                  <w:r>
                    <w:rPr>
                      <w:rFonts w:hint="default" w:ascii="Times New Roman" w:hAnsi="Times New Roman" w:eastAsia="宋体" w:cs="Times New Roman"/>
                      <w:color w:val="000000" w:themeColor="text1"/>
                      <w:kern w:val="0"/>
                      <w:sz w:val="21"/>
                      <w:szCs w:val="21"/>
                      <w14:textFill>
                        <w14:solidFill>
                          <w14:schemeClr w14:val="tx1"/>
                        </w14:solidFill>
                      </w14:textFill>
                    </w:rPr>
                    <w:t>g</w:t>
                  </w:r>
                  <w:r>
                    <w:rPr>
                      <w:rFonts w:hint="eastAsia" w:cs="Times New Roman"/>
                      <w:color w:val="000000" w:themeColor="text1"/>
                      <w:kern w:val="0"/>
                      <w:sz w:val="21"/>
                      <w:szCs w:val="21"/>
                      <w:lang w:val="en-US" w:eastAsia="zh-CN"/>
                      <w14:textFill>
                        <w14:solidFill>
                          <w14:schemeClr w14:val="tx1"/>
                        </w14:solidFill>
                      </w14:textFill>
                    </w:rPr>
                    <w:t>/桶</w:t>
                  </w:r>
                </w:p>
              </w:tc>
              <w:tc>
                <w:tcPr>
                  <w:tcW w:w="754" w:type="pct"/>
                  <w:tcBorders>
                    <w:tl2br w:val="nil"/>
                    <w:tr2bl w:val="nil"/>
                  </w:tcBorders>
                  <w:shd w:val="clear" w:color="auto" w:fill="FFFFFF"/>
                  <w:noWrap w:val="0"/>
                  <w:tcMar>
                    <w:top w:w="15" w:type="dxa"/>
                    <w:left w:w="15" w:type="dxa"/>
                    <w:bottom w:w="15" w:type="dxa"/>
                    <w:right w:w="15" w:type="dxa"/>
                  </w:tcMar>
                  <w:vAlign w:val="center"/>
                </w:tcPr>
                <w:p w14:paraId="75873D6F">
                  <w:pPr>
                    <w:keepNext w:val="0"/>
                    <w:keepLines w:val="0"/>
                    <w:pageBreakBefore w:val="0"/>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0.05</w:t>
                  </w:r>
                  <w:r>
                    <w:rPr>
                      <w:rFonts w:hint="default" w:ascii="Times New Roman" w:hAnsi="Times New Roman" w:eastAsia="宋体" w:cs="Times New Roman"/>
                      <w:color w:val="000000" w:themeColor="text1"/>
                      <w:sz w:val="21"/>
                      <w:szCs w:val="21"/>
                      <w14:textFill>
                        <w14:solidFill>
                          <w14:schemeClr w14:val="tx1"/>
                        </w14:solidFill>
                      </w14:textFill>
                    </w:rPr>
                    <w:t>t/a</w:t>
                  </w:r>
                </w:p>
              </w:tc>
              <w:tc>
                <w:tcPr>
                  <w:tcW w:w="639" w:type="pct"/>
                  <w:tcBorders>
                    <w:tl2br w:val="nil"/>
                    <w:tr2bl w:val="nil"/>
                  </w:tcBorders>
                  <w:shd w:val="clear" w:color="auto" w:fill="FFFFFF"/>
                  <w:noWrap w:val="0"/>
                  <w:vAlign w:val="center"/>
                </w:tcPr>
                <w:p w14:paraId="69FF4B00">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外购</w:t>
                  </w:r>
                </w:p>
              </w:tc>
              <w:tc>
                <w:tcPr>
                  <w:tcW w:w="930" w:type="pct"/>
                  <w:tcBorders>
                    <w:tl2br w:val="nil"/>
                    <w:tr2bl w:val="nil"/>
                  </w:tcBorders>
                  <w:shd w:val="clear" w:color="auto" w:fill="FFFFFF"/>
                  <w:noWrap w:val="0"/>
                  <w:vAlign w:val="center"/>
                </w:tcPr>
                <w:p w14:paraId="67FAA89B">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0.05t</w:t>
                  </w:r>
                </w:p>
              </w:tc>
            </w:tr>
            <w:tr w14:paraId="5552C9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1997C21B">
                  <w:pPr>
                    <w:pStyle w:val="51"/>
                    <w:keepNext w:val="0"/>
                    <w:keepLines w:val="0"/>
                    <w:pageBreakBefore w:val="0"/>
                    <w:kinsoku/>
                    <w:wordWrap/>
                    <w:overflowPunct/>
                    <w:topLinePunct w:val="0"/>
                    <w:bidi w:val="0"/>
                    <w:adjustRightInd w:val="0"/>
                    <w:snapToGrid w:val="0"/>
                    <w:textAlignment w:val="auto"/>
                    <w:rPr>
                      <w:rFonts w:hint="eastAsia" w:cs="Times New Roman"/>
                      <w:color w:val="000000" w:themeColor="text1"/>
                      <w:kern w:val="2"/>
                      <w:sz w:val="21"/>
                      <w:szCs w:val="21"/>
                      <w:lang w:val="en-US" w:eastAsia="zh-CN" w:bidi="ar-SA"/>
                      <w14:textFill>
                        <w14:solidFill>
                          <w14:schemeClr w14:val="tx1"/>
                        </w14:solidFill>
                      </w14:textFill>
                    </w:rPr>
                  </w:pPr>
                </w:p>
              </w:tc>
              <w:tc>
                <w:tcPr>
                  <w:tcW w:w="483" w:type="pct"/>
                  <w:vMerge w:val="continue"/>
                  <w:tcBorders>
                    <w:tl2br w:val="nil"/>
                    <w:tr2bl w:val="nil"/>
                  </w:tcBorders>
                  <w:shd w:val="clear" w:color="auto" w:fill="auto"/>
                  <w:noWrap w:val="0"/>
                  <w:vAlign w:val="center"/>
                </w:tcPr>
                <w:p w14:paraId="56F3A586">
                  <w:pPr>
                    <w:keepNext w:val="0"/>
                    <w:keepLines w:val="0"/>
                    <w:pageBreakBefore w:val="0"/>
                    <w:widowControl/>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71" w:type="pct"/>
                  <w:tcBorders>
                    <w:tl2br w:val="nil"/>
                    <w:tr2bl w:val="nil"/>
                  </w:tcBorders>
                  <w:shd w:val="clear" w:color="auto" w:fill="FFFFFF"/>
                  <w:noWrap w:val="0"/>
                  <w:tcMar>
                    <w:top w:w="15" w:type="dxa"/>
                    <w:left w:w="15" w:type="dxa"/>
                    <w:bottom w:w="15" w:type="dxa"/>
                    <w:right w:w="15" w:type="dxa"/>
                  </w:tcMar>
                  <w:vAlign w:val="center"/>
                </w:tcPr>
                <w:p w14:paraId="70E807CC">
                  <w:pPr>
                    <w:pStyle w:val="51"/>
                    <w:keepNext w:val="0"/>
                    <w:keepLines w:val="0"/>
                    <w:pageBreakBefore w:val="0"/>
                    <w:kinsoku/>
                    <w:wordWrap/>
                    <w:overflowPunct/>
                    <w:topLinePunct w:val="0"/>
                    <w:bidi w:val="0"/>
                    <w:adjustRightInd w:val="0"/>
                    <w:snapToGrid w:val="0"/>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陶瓷砂轮</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3B38C9BC">
                  <w:pPr>
                    <w:keepNext w:val="0"/>
                    <w:keepLines w:val="0"/>
                    <w:pageBreakBefore w:val="0"/>
                    <w:kinsoku/>
                    <w:wordWrap/>
                    <w:overflowPunct/>
                    <w:topLinePunct w:val="0"/>
                    <w:bidi w:val="0"/>
                    <w:adjustRightInd w:val="0"/>
                    <w:snapToGrid w:val="0"/>
                    <w:jc w:val="center"/>
                    <w:textAlignment w:val="auto"/>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1kg/片  500片/a</w:t>
                  </w:r>
                </w:p>
              </w:tc>
              <w:tc>
                <w:tcPr>
                  <w:tcW w:w="754" w:type="pct"/>
                  <w:tcBorders>
                    <w:tl2br w:val="nil"/>
                    <w:tr2bl w:val="nil"/>
                  </w:tcBorders>
                  <w:shd w:val="clear" w:color="auto" w:fill="FFFFFF"/>
                  <w:noWrap w:val="0"/>
                  <w:tcMar>
                    <w:top w:w="15" w:type="dxa"/>
                    <w:left w:w="15" w:type="dxa"/>
                    <w:bottom w:w="15" w:type="dxa"/>
                    <w:right w:w="15" w:type="dxa"/>
                  </w:tcMar>
                  <w:vAlign w:val="center"/>
                </w:tcPr>
                <w:p w14:paraId="4CE6FECB">
                  <w:pPr>
                    <w:keepNext w:val="0"/>
                    <w:keepLines w:val="0"/>
                    <w:pageBreakBefore w:val="0"/>
                    <w:kinsoku/>
                    <w:wordWrap/>
                    <w:overflowPunct/>
                    <w:topLinePunct w:val="0"/>
                    <w:bidi w:val="0"/>
                    <w:adjustRightInd w:val="0"/>
                    <w:snapToGrid w:val="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r>
                    <w:rPr>
                      <w:rFonts w:hint="default" w:ascii="Times New Roman" w:hAnsi="Times New Roman" w:eastAsia="宋体" w:cs="Times New Roman"/>
                      <w:color w:val="000000" w:themeColor="text1"/>
                      <w:sz w:val="21"/>
                      <w:szCs w:val="21"/>
                      <w14:textFill>
                        <w14:solidFill>
                          <w14:schemeClr w14:val="tx1"/>
                        </w14:solidFill>
                      </w14:textFill>
                    </w:rPr>
                    <w:t>t/a</w:t>
                  </w:r>
                </w:p>
              </w:tc>
              <w:tc>
                <w:tcPr>
                  <w:tcW w:w="639" w:type="pct"/>
                  <w:tcBorders>
                    <w:tl2br w:val="nil"/>
                    <w:tr2bl w:val="nil"/>
                  </w:tcBorders>
                  <w:shd w:val="clear" w:color="auto" w:fill="FFFFFF"/>
                  <w:noWrap w:val="0"/>
                  <w:vAlign w:val="center"/>
                </w:tcPr>
                <w:p w14:paraId="3C294F84">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外购</w:t>
                  </w:r>
                </w:p>
              </w:tc>
              <w:tc>
                <w:tcPr>
                  <w:tcW w:w="930" w:type="pct"/>
                  <w:tcBorders>
                    <w:tl2br w:val="nil"/>
                    <w:tr2bl w:val="nil"/>
                  </w:tcBorders>
                  <w:shd w:val="clear" w:color="auto" w:fill="FFFFFF"/>
                  <w:noWrap w:val="0"/>
                  <w:vAlign w:val="center"/>
                </w:tcPr>
                <w:p w14:paraId="1F7E585E">
                  <w:pPr>
                    <w:pStyle w:val="51"/>
                    <w:keepNext w:val="0"/>
                    <w:keepLines w:val="0"/>
                    <w:pageBreakBefore w:val="0"/>
                    <w:kinsoku/>
                    <w:wordWrap/>
                    <w:overflowPunct/>
                    <w:topLinePunct w:val="0"/>
                    <w:bidi w:val="0"/>
                    <w:adjustRightInd w:val="0"/>
                    <w:snapToGrid w:val="0"/>
                    <w:textAlignment w:val="auto"/>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0.02t（20片）</w:t>
                  </w:r>
                </w:p>
              </w:tc>
            </w:tr>
            <w:tr w14:paraId="7A26EB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1D38F6C0">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5</w:t>
                  </w:r>
                </w:p>
              </w:tc>
              <w:tc>
                <w:tcPr>
                  <w:tcW w:w="483" w:type="pct"/>
                  <w:vMerge w:val="continue"/>
                  <w:tcBorders>
                    <w:tl2br w:val="nil"/>
                    <w:tr2bl w:val="nil"/>
                  </w:tcBorders>
                  <w:shd w:val="clear" w:color="auto" w:fill="auto"/>
                  <w:noWrap w:val="0"/>
                  <w:vAlign w:val="center"/>
                </w:tcPr>
                <w:p w14:paraId="2A30BEE2">
                  <w:pPr>
                    <w:keepNext w:val="0"/>
                    <w:keepLines w:val="0"/>
                    <w:pageBreakBefore w:val="0"/>
                    <w:widowControl/>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71" w:type="pct"/>
                  <w:tcBorders>
                    <w:tl2br w:val="nil"/>
                    <w:tr2bl w:val="nil"/>
                  </w:tcBorders>
                  <w:shd w:val="clear" w:color="auto" w:fill="FFFFFF"/>
                  <w:noWrap w:val="0"/>
                  <w:tcMar>
                    <w:top w:w="15" w:type="dxa"/>
                    <w:left w:w="15" w:type="dxa"/>
                    <w:bottom w:w="15" w:type="dxa"/>
                    <w:right w:w="15" w:type="dxa"/>
                  </w:tcMar>
                  <w:vAlign w:val="center"/>
                </w:tcPr>
                <w:p w14:paraId="528115CA">
                  <w:pPr>
                    <w:pStyle w:val="51"/>
                    <w:keepNext w:val="0"/>
                    <w:keepLines w:val="0"/>
                    <w:pageBreakBefore w:val="0"/>
                    <w:kinsoku/>
                    <w:wordWrap/>
                    <w:overflowPunct/>
                    <w:topLinePunct w:val="0"/>
                    <w:bidi w:val="0"/>
                    <w:adjustRightInd w:val="0"/>
                    <w:snapToGrid w:val="0"/>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焊丝</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5C302C05">
                  <w:pPr>
                    <w:keepNext w:val="0"/>
                    <w:keepLines w:val="0"/>
                    <w:pageBreakBefore w:val="0"/>
                    <w:kinsoku/>
                    <w:wordWrap/>
                    <w:overflowPunct/>
                    <w:topLinePunct w:val="0"/>
                    <w:bidi w:val="0"/>
                    <w:adjustRightInd w:val="0"/>
                    <w:snapToGrid w:val="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754" w:type="pct"/>
                  <w:tcBorders>
                    <w:tl2br w:val="nil"/>
                    <w:tr2bl w:val="nil"/>
                  </w:tcBorders>
                  <w:shd w:val="clear" w:color="auto" w:fill="FFFFFF"/>
                  <w:noWrap w:val="0"/>
                  <w:tcMar>
                    <w:top w:w="15" w:type="dxa"/>
                    <w:left w:w="15" w:type="dxa"/>
                    <w:bottom w:w="15" w:type="dxa"/>
                    <w:right w:w="15" w:type="dxa"/>
                  </w:tcMar>
                  <w:vAlign w:val="center"/>
                </w:tcPr>
                <w:p w14:paraId="1A568416">
                  <w:pPr>
                    <w:keepNext w:val="0"/>
                    <w:keepLines w:val="0"/>
                    <w:pageBreakBefore w:val="0"/>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w:t>
                  </w:r>
                  <w:r>
                    <w:rPr>
                      <w:rFonts w:hint="default" w:ascii="Times New Roman" w:hAnsi="Times New Roman" w:eastAsia="宋体" w:cs="Times New Roman"/>
                      <w:color w:val="000000" w:themeColor="text1"/>
                      <w:sz w:val="21"/>
                      <w:szCs w:val="21"/>
                      <w14:textFill>
                        <w14:solidFill>
                          <w14:schemeClr w14:val="tx1"/>
                        </w14:solidFill>
                      </w14:textFill>
                    </w:rPr>
                    <w:t>t/a</w:t>
                  </w:r>
                </w:p>
              </w:tc>
              <w:tc>
                <w:tcPr>
                  <w:tcW w:w="639" w:type="pct"/>
                  <w:tcBorders>
                    <w:tl2br w:val="nil"/>
                    <w:tr2bl w:val="nil"/>
                  </w:tcBorders>
                  <w:shd w:val="clear" w:color="auto" w:fill="FFFFFF"/>
                  <w:noWrap w:val="0"/>
                  <w:vAlign w:val="center"/>
                </w:tcPr>
                <w:p w14:paraId="17FB9FE6">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外购</w:t>
                  </w:r>
                </w:p>
              </w:tc>
              <w:tc>
                <w:tcPr>
                  <w:tcW w:w="930" w:type="pct"/>
                  <w:tcBorders>
                    <w:tl2br w:val="nil"/>
                    <w:tr2bl w:val="nil"/>
                  </w:tcBorders>
                  <w:shd w:val="clear" w:color="auto" w:fill="FFFFFF"/>
                  <w:noWrap w:val="0"/>
                  <w:vAlign w:val="center"/>
                </w:tcPr>
                <w:p w14:paraId="2905615C">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bidi="ar-SA"/>
                      <w14:textFill>
                        <w14:solidFill>
                          <w14:schemeClr w14:val="tx1"/>
                        </w14:solidFill>
                      </w14:textFill>
                    </w:rPr>
                    <w:t>/</w:t>
                  </w:r>
                </w:p>
              </w:tc>
            </w:tr>
            <w:tr w14:paraId="6EC7C1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14248344">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6</w:t>
                  </w:r>
                </w:p>
              </w:tc>
              <w:tc>
                <w:tcPr>
                  <w:tcW w:w="483" w:type="pct"/>
                  <w:vMerge w:val="continue"/>
                  <w:tcBorders>
                    <w:tl2br w:val="nil"/>
                    <w:tr2bl w:val="nil"/>
                  </w:tcBorders>
                  <w:shd w:val="clear" w:color="auto" w:fill="auto"/>
                  <w:noWrap w:val="0"/>
                  <w:vAlign w:val="center"/>
                </w:tcPr>
                <w:p w14:paraId="40DCB9A8">
                  <w:pPr>
                    <w:keepNext w:val="0"/>
                    <w:keepLines w:val="0"/>
                    <w:pageBreakBefore w:val="0"/>
                    <w:widowControl/>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71" w:type="pct"/>
                  <w:tcBorders>
                    <w:tl2br w:val="nil"/>
                    <w:tr2bl w:val="nil"/>
                  </w:tcBorders>
                  <w:shd w:val="clear" w:color="auto" w:fill="FFFFFF"/>
                  <w:noWrap w:val="0"/>
                  <w:tcMar>
                    <w:top w:w="15" w:type="dxa"/>
                    <w:left w:w="15" w:type="dxa"/>
                    <w:bottom w:w="15" w:type="dxa"/>
                    <w:right w:w="15" w:type="dxa"/>
                  </w:tcMar>
                  <w:vAlign w:val="center"/>
                </w:tcPr>
                <w:p w14:paraId="6B9F2761">
                  <w:pPr>
                    <w:pStyle w:val="51"/>
                    <w:keepNext w:val="0"/>
                    <w:keepLines w:val="0"/>
                    <w:pageBreakBefore w:val="0"/>
                    <w:kinsoku/>
                    <w:wordWrap/>
                    <w:overflowPunct/>
                    <w:topLinePunct w:val="0"/>
                    <w:bidi w:val="0"/>
                    <w:adjustRightInd w:val="0"/>
                    <w:snapToGrid w:val="0"/>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切削液</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5B57FBD3">
                  <w:pPr>
                    <w:keepNext w:val="0"/>
                    <w:keepLines w:val="0"/>
                    <w:pageBreakBefore w:val="0"/>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10kg</w:t>
                  </w:r>
                  <w:r>
                    <w:rPr>
                      <w:rFonts w:hint="eastAsia" w:cs="Times New Roman"/>
                      <w:color w:val="000000" w:themeColor="text1"/>
                      <w:kern w:val="0"/>
                      <w:sz w:val="21"/>
                      <w:szCs w:val="21"/>
                      <w:lang w:val="en-US" w:eastAsia="zh-CN"/>
                      <w14:textFill>
                        <w14:solidFill>
                          <w14:schemeClr w14:val="tx1"/>
                        </w14:solidFill>
                      </w14:textFill>
                    </w:rPr>
                    <w:t>/桶</w:t>
                  </w:r>
                </w:p>
              </w:tc>
              <w:tc>
                <w:tcPr>
                  <w:tcW w:w="754" w:type="pct"/>
                  <w:tcBorders>
                    <w:tl2br w:val="nil"/>
                    <w:tr2bl w:val="nil"/>
                  </w:tcBorders>
                  <w:shd w:val="clear" w:color="auto" w:fill="FFFFFF"/>
                  <w:noWrap w:val="0"/>
                  <w:tcMar>
                    <w:top w:w="15" w:type="dxa"/>
                    <w:left w:w="15" w:type="dxa"/>
                    <w:bottom w:w="15" w:type="dxa"/>
                    <w:right w:w="15" w:type="dxa"/>
                  </w:tcMar>
                  <w:vAlign w:val="center"/>
                </w:tcPr>
                <w:p w14:paraId="5FC24085">
                  <w:pPr>
                    <w:keepNext w:val="0"/>
                    <w:keepLines w:val="0"/>
                    <w:pageBreakBefore w:val="0"/>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0.1</w:t>
                  </w:r>
                  <w:r>
                    <w:rPr>
                      <w:rFonts w:hint="default" w:ascii="Times New Roman" w:hAnsi="Times New Roman" w:eastAsia="宋体" w:cs="Times New Roman"/>
                      <w:color w:val="000000" w:themeColor="text1"/>
                      <w:sz w:val="21"/>
                      <w:szCs w:val="21"/>
                      <w14:textFill>
                        <w14:solidFill>
                          <w14:schemeClr w14:val="tx1"/>
                        </w14:solidFill>
                      </w14:textFill>
                    </w:rPr>
                    <w:t>t/a</w:t>
                  </w:r>
                </w:p>
              </w:tc>
              <w:tc>
                <w:tcPr>
                  <w:tcW w:w="639" w:type="pct"/>
                  <w:tcBorders>
                    <w:tl2br w:val="nil"/>
                    <w:tr2bl w:val="nil"/>
                  </w:tcBorders>
                  <w:shd w:val="clear" w:color="auto" w:fill="FFFFFF"/>
                  <w:noWrap w:val="0"/>
                  <w:vAlign w:val="center"/>
                </w:tcPr>
                <w:p w14:paraId="70A691CF">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外购</w:t>
                  </w:r>
                </w:p>
              </w:tc>
              <w:tc>
                <w:tcPr>
                  <w:tcW w:w="930" w:type="pct"/>
                  <w:tcBorders>
                    <w:tl2br w:val="nil"/>
                    <w:tr2bl w:val="nil"/>
                  </w:tcBorders>
                  <w:shd w:val="clear" w:color="auto" w:fill="FFFFFF"/>
                  <w:noWrap w:val="0"/>
                  <w:vAlign w:val="center"/>
                </w:tcPr>
                <w:p w14:paraId="040EBE4F">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0.02t</w:t>
                  </w:r>
                </w:p>
              </w:tc>
            </w:tr>
            <w:tr w14:paraId="506C64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64C73573">
                  <w:pPr>
                    <w:pStyle w:val="51"/>
                    <w:keepNext w:val="0"/>
                    <w:keepLines w:val="0"/>
                    <w:pageBreakBefore w:val="0"/>
                    <w:kinsoku/>
                    <w:wordWrap/>
                    <w:overflowPunct/>
                    <w:topLinePunct w:val="0"/>
                    <w:bidi w:val="0"/>
                    <w:adjustRightInd w:val="0"/>
                    <w:snapToGrid w:val="0"/>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7</w:t>
                  </w:r>
                </w:p>
              </w:tc>
              <w:tc>
                <w:tcPr>
                  <w:tcW w:w="483" w:type="pct"/>
                  <w:vMerge w:val="continue"/>
                  <w:tcBorders>
                    <w:tl2br w:val="nil"/>
                    <w:tr2bl w:val="nil"/>
                  </w:tcBorders>
                  <w:shd w:val="clear" w:color="auto" w:fill="auto"/>
                  <w:noWrap w:val="0"/>
                  <w:vAlign w:val="center"/>
                </w:tcPr>
                <w:p w14:paraId="00EC123E">
                  <w:pPr>
                    <w:keepNext w:val="0"/>
                    <w:keepLines w:val="0"/>
                    <w:pageBreakBefore w:val="0"/>
                    <w:widowControl/>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71" w:type="pct"/>
                  <w:tcBorders>
                    <w:tl2br w:val="nil"/>
                    <w:tr2bl w:val="nil"/>
                  </w:tcBorders>
                  <w:shd w:val="clear" w:color="auto" w:fill="FFFFFF"/>
                  <w:noWrap w:val="0"/>
                  <w:tcMar>
                    <w:top w:w="15" w:type="dxa"/>
                    <w:left w:w="15" w:type="dxa"/>
                    <w:bottom w:w="15" w:type="dxa"/>
                    <w:right w:w="15" w:type="dxa"/>
                  </w:tcMar>
                  <w:vAlign w:val="center"/>
                </w:tcPr>
                <w:p w14:paraId="099D0221">
                  <w:pPr>
                    <w:pStyle w:val="51"/>
                    <w:keepNext w:val="0"/>
                    <w:keepLines w:val="0"/>
                    <w:pageBreakBefore w:val="0"/>
                    <w:kinsoku/>
                    <w:wordWrap/>
                    <w:overflowPunct/>
                    <w:topLinePunct w:val="0"/>
                    <w:bidi w:val="0"/>
                    <w:adjustRightInd w:val="0"/>
                    <w:snapToGrid w:val="0"/>
                    <w:textAlignment w:val="auto"/>
                    <w:rPr>
                      <w:rFonts w:hint="eastAsia"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润滑油</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3B1863CA">
                  <w:pPr>
                    <w:keepNext w:val="0"/>
                    <w:keepLines w:val="0"/>
                    <w:pageBreakBefore w:val="0"/>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10kg</w:t>
                  </w:r>
                  <w:r>
                    <w:rPr>
                      <w:rFonts w:hint="eastAsia" w:cs="Times New Roman"/>
                      <w:color w:val="000000" w:themeColor="text1"/>
                      <w:kern w:val="0"/>
                      <w:sz w:val="21"/>
                      <w:szCs w:val="21"/>
                      <w:lang w:val="en-US" w:eastAsia="zh-CN"/>
                      <w14:textFill>
                        <w14:solidFill>
                          <w14:schemeClr w14:val="tx1"/>
                        </w14:solidFill>
                      </w14:textFill>
                    </w:rPr>
                    <w:t>/桶</w:t>
                  </w:r>
                </w:p>
              </w:tc>
              <w:tc>
                <w:tcPr>
                  <w:tcW w:w="754" w:type="pct"/>
                  <w:tcBorders>
                    <w:tl2br w:val="nil"/>
                    <w:tr2bl w:val="nil"/>
                  </w:tcBorders>
                  <w:shd w:val="clear" w:color="auto" w:fill="FFFFFF"/>
                  <w:noWrap w:val="0"/>
                  <w:tcMar>
                    <w:top w:w="15" w:type="dxa"/>
                    <w:left w:w="15" w:type="dxa"/>
                    <w:bottom w:w="15" w:type="dxa"/>
                    <w:right w:w="15" w:type="dxa"/>
                  </w:tcMar>
                  <w:vAlign w:val="center"/>
                </w:tcPr>
                <w:p w14:paraId="3964FCB6">
                  <w:pPr>
                    <w:keepNext w:val="0"/>
                    <w:keepLines w:val="0"/>
                    <w:pageBreakBefore w:val="0"/>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0.05</w:t>
                  </w:r>
                  <w:r>
                    <w:rPr>
                      <w:rFonts w:hint="default" w:ascii="Times New Roman" w:hAnsi="Times New Roman" w:eastAsia="宋体" w:cs="Times New Roman"/>
                      <w:color w:val="000000" w:themeColor="text1"/>
                      <w:sz w:val="21"/>
                      <w:szCs w:val="21"/>
                      <w14:textFill>
                        <w14:solidFill>
                          <w14:schemeClr w14:val="tx1"/>
                        </w14:solidFill>
                      </w14:textFill>
                    </w:rPr>
                    <w:t>t/a</w:t>
                  </w:r>
                </w:p>
              </w:tc>
              <w:tc>
                <w:tcPr>
                  <w:tcW w:w="639" w:type="pct"/>
                  <w:tcBorders>
                    <w:tl2br w:val="nil"/>
                    <w:tr2bl w:val="nil"/>
                  </w:tcBorders>
                  <w:shd w:val="clear" w:color="auto" w:fill="FFFFFF"/>
                  <w:noWrap w:val="0"/>
                  <w:vAlign w:val="center"/>
                </w:tcPr>
                <w:p w14:paraId="6657FE60">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外购</w:t>
                  </w:r>
                </w:p>
              </w:tc>
              <w:tc>
                <w:tcPr>
                  <w:tcW w:w="930" w:type="pct"/>
                  <w:tcBorders>
                    <w:tl2br w:val="nil"/>
                    <w:tr2bl w:val="nil"/>
                  </w:tcBorders>
                  <w:shd w:val="clear" w:color="auto" w:fill="FFFFFF"/>
                  <w:noWrap w:val="0"/>
                  <w:vAlign w:val="center"/>
                </w:tcPr>
                <w:p w14:paraId="0A41866E">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0.02t</w:t>
                  </w:r>
                </w:p>
              </w:tc>
            </w:tr>
            <w:tr w14:paraId="45C13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53338E0C">
                  <w:pPr>
                    <w:pStyle w:val="51"/>
                    <w:keepNext w:val="0"/>
                    <w:keepLines w:val="0"/>
                    <w:pageBreakBefore w:val="0"/>
                    <w:kinsoku/>
                    <w:wordWrap/>
                    <w:overflowPunct/>
                    <w:topLinePunct w:val="0"/>
                    <w:bidi w:val="0"/>
                    <w:adjustRightInd w:val="0"/>
                    <w:snapToGrid w:val="0"/>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8</w:t>
                  </w:r>
                </w:p>
              </w:tc>
              <w:tc>
                <w:tcPr>
                  <w:tcW w:w="483" w:type="pct"/>
                  <w:vMerge w:val="continue"/>
                  <w:tcBorders>
                    <w:tl2br w:val="nil"/>
                    <w:tr2bl w:val="nil"/>
                  </w:tcBorders>
                  <w:shd w:val="clear" w:color="auto" w:fill="auto"/>
                  <w:noWrap w:val="0"/>
                  <w:vAlign w:val="center"/>
                </w:tcPr>
                <w:p w14:paraId="737553CF">
                  <w:pPr>
                    <w:keepNext w:val="0"/>
                    <w:keepLines w:val="0"/>
                    <w:pageBreakBefore w:val="0"/>
                    <w:widowControl/>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71" w:type="pct"/>
                  <w:tcBorders>
                    <w:tl2br w:val="nil"/>
                    <w:tr2bl w:val="nil"/>
                  </w:tcBorders>
                  <w:shd w:val="clear" w:color="auto" w:fill="FFFFFF"/>
                  <w:noWrap w:val="0"/>
                  <w:tcMar>
                    <w:top w:w="15" w:type="dxa"/>
                    <w:left w:w="15" w:type="dxa"/>
                    <w:bottom w:w="15" w:type="dxa"/>
                    <w:right w:w="15" w:type="dxa"/>
                  </w:tcMar>
                  <w:vAlign w:val="center"/>
                </w:tcPr>
                <w:p w14:paraId="399EA065">
                  <w:pPr>
                    <w:pStyle w:val="51"/>
                    <w:keepNext w:val="0"/>
                    <w:keepLines w:val="0"/>
                    <w:pageBreakBefore w:val="0"/>
                    <w:kinsoku/>
                    <w:wordWrap/>
                    <w:overflowPunct/>
                    <w:topLinePunct w:val="0"/>
                    <w:bidi w:val="0"/>
                    <w:adjustRightInd w:val="0"/>
                    <w:snapToGrid w:val="0"/>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真空泵油</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1B13C804">
                  <w:pPr>
                    <w:keepNext w:val="0"/>
                    <w:keepLines w:val="0"/>
                    <w:pageBreakBefore w:val="0"/>
                    <w:kinsoku/>
                    <w:wordWrap/>
                    <w:overflowPunct/>
                    <w:topLinePunct w:val="0"/>
                    <w:bidi w:val="0"/>
                    <w:adjustRightInd w:val="0"/>
                    <w:snapToGrid w:val="0"/>
                    <w:jc w:val="center"/>
                    <w:textAlignment w:val="auto"/>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20kg</w:t>
                  </w:r>
                  <w:r>
                    <w:rPr>
                      <w:rFonts w:hint="eastAsia" w:cs="Times New Roman"/>
                      <w:color w:val="000000" w:themeColor="text1"/>
                      <w:kern w:val="0"/>
                      <w:sz w:val="21"/>
                      <w:szCs w:val="21"/>
                      <w:lang w:val="en-US" w:eastAsia="zh-CN"/>
                      <w14:textFill>
                        <w14:solidFill>
                          <w14:schemeClr w14:val="tx1"/>
                        </w14:solidFill>
                      </w14:textFill>
                    </w:rPr>
                    <w:t>/桶</w:t>
                  </w:r>
                </w:p>
              </w:tc>
              <w:tc>
                <w:tcPr>
                  <w:tcW w:w="754" w:type="pct"/>
                  <w:tcBorders>
                    <w:tl2br w:val="nil"/>
                    <w:tr2bl w:val="nil"/>
                  </w:tcBorders>
                  <w:shd w:val="clear" w:color="auto" w:fill="FFFFFF"/>
                  <w:noWrap w:val="0"/>
                  <w:tcMar>
                    <w:top w:w="15" w:type="dxa"/>
                    <w:left w:w="15" w:type="dxa"/>
                    <w:bottom w:w="15" w:type="dxa"/>
                    <w:right w:w="15" w:type="dxa"/>
                  </w:tcMar>
                  <w:vAlign w:val="center"/>
                </w:tcPr>
                <w:p w14:paraId="18CD9EF4">
                  <w:pPr>
                    <w:keepNext w:val="0"/>
                    <w:keepLines w:val="0"/>
                    <w:pageBreakBefore w:val="0"/>
                    <w:kinsoku/>
                    <w:wordWrap/>
                    <w:overflowPunct/>
                    <w:topLinePunct w:val="0"/>
                    <w:bidi w:val="0"/>
                    <w:adjustRightInd w:val="0"/>
                    <w:snapToGrid w:val="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0.2</w:t>
                  </w:r>
                  <w:r>
                    <w:rPr>
                      <w:rFonts w:hint="default" w:ascii="Times New Roman" w:hAnsi="Times New Roman" w:eastAsia="宋体" w:cs="Times New Roman"/>
                      <w:color w:val="000000" w:themeColor="text1"/>
                      <w:sz w:val="21"/>
                      <w:szCs w:val="21"/>
                      <w14:textFill>
                        <w14:solidFill>
                          <w14:schemeClr w14:val="tx1"/>
                        </w14:solidFill>
                      </w14:textFill>
                    </w:rPr>
                    <w:t>t/a</w:t>
                  </w:r>
                </w:p>
              </w:tc>
              <w:tc>
                <w:tcPr>
                  <w:tcW w:w="639" w:type="pct"/>
                  <w:tcBorders>
                    <w:tl2br w:val="nil"/>
                    <w:tr2bl w:val="nil"/>
                  </w:tcBorders>
                  <w:shd w:val="clear" w:color="auto" w:fill="FFFFFF"/>
                  <w:noWrap w:val="0"/>
                  <w:vAlign w:val="center"/>
                </w:tcPr>
                <w:p w14:paraId="763A7E27">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外购</w:t>
                  </w:r>
                </w:p>
              </w:tc>
              <w:tc>
                <w:tcPr>
                  <w:tcW w:w="930" w:type="pct"/>
                  <w:tcBorders>
                    <w:tl2br w:val="nil"/>
                    <w:tr2bl w:val="nil"/>
                  </w:tcBorders>
                  <w:shd w:val="clear" w:color="auto" w:fill="FFFFFF"/>
                  <w:noWrap w:val="0"/>
                  <w:vAlign w:val="center"/>
                </w:tcPr>
                <w:p w14:paraId="5EAABDEA">
                  <w:pPr>
                    <w:pStyle w:val="51"/>
                    <w:keepNext w:val="0"/>
                    <w:keepLines w:val="0"/>
                    <w:pageBreakBefore w:val="0"/>
                    <w:kinsoku/>
                    <w:wordWrap/>
                    <w:overflowPunct/>
                    <w:topLinePunct w:val="0"/>
                    <w:bidi w:val="0"/>
                    <w:adjustRightInd w:val="0"/>
                    <w:snapToGrid w:val="0"/>
                    <w:textAlignment w:val="auto"/>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0.02t</w:t>
                  </w:r>
                </w:p>
              </w:tc>
            </w:tr>
            <w:tr w14:paraId="7BE3A0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09C566B3">
                  <w:pPr>
                    <w:pStyle w:val="51"/>
                    <w:keepNext w:val="0"/>
                    <w:keepLines w:val="0"/>
                    <w:pageBreakBefore w:val="0"/>
                    <w:kinsoku/>
                    <w:wordWrap/>
                    <w:overflowPunct/>
                    <w:topLinePunct w:val="0"/>
                    <w:bidi w:val="0"/>
                    <w:adjustRightInd w:val="0"/>
                    <w:snapToGrid w:val="0"/>
                    <w:textAlignment w:val="auto"/>
                    <w:rPr>
                      <w:rFonts w:hint="eastAsia" w:cs="Times New Roman"/>
                      <w:color w:val="000000" w:themeColor="text1"/>
                      <w:kern w:val="2"/>
                      <w:sz w:val="21"/>
                      <w:szCs w:val="21"/>
                      <w:lang w:val="en-US" w:eastAsia="zh-CN" w:bidi="ar-SA"/>
                      <w14:textFill>
                        <w14:solidFill>
                          <w14:schemeClr w14:val="tx1"/>
                        </w14:solidFill>
                      </w14:textFill>
                    </w:rPr>
                  </w:pPr>
                </w:p>
              </w:tc>
              <w:tc>
                <w:tcPr>
                  <w:tcW w:w="483" w:type="pct"/>
                  <w:vMerge w:val="continue"/>
                  <w:tcBorders>
                    <w:tl2br w:val="nil"/>
                    <w:tr2bl w:val="nil"/>
                  </w:tcBorders>
                  <w:shd w:val="clear" w:color="auto" w:fill="auto"/>
                  <w:noWrap w:val="0"/>
                  <w:vAlign w:val="center"/>
                </w:tcPr>
                <w:p w14:paraId="32CC9307">
                  <w:pPr>
                    <w:keepNext w:val="0"/>
                    <w:keepLines w:val="0"/>
                    <w:pageBreakBefore w:val="0"/>
                    <w:widowControl/>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71" w:type="pct"/>
                  <w:tcBorders>
                    <w:tl2br w:val="nil"/>
                    <w:tr2bl w:val="nil"/>
                  </w:tcBorders>
                  <w:shd w:val="clear" w:color="auto" w:fill="FFFFFF"/>
                  <w:noWrap w:val="0"/>
                  <w:tcMar>
                    <w:top w:w="15" w:type="dxa"/>
                    <w:left w:w="15" w:type="dxa"/>
                    <w:bottom w:w="15" w:type="dxa"/>
                    <w:right w:w="15" w:type="dxa"/>
                  </w:tcMar>
                  <w:vAlign w:val="center"/>
                </w:tcPr>
                <w:p w14:paraId="749407D9">
                  <w:pPr>
                    <w:pStyle w:val="51"/>
                    <w:keepNext w:val="0"/>
                    <w:keepLines w:val="0"/>
                    <w:pageBreakBefore w:val="0"/>
                    <w:kinsoku/>
                    <w:wordWrap/>
                    <w:overflowPunct/>
                    <w:topLinePunct w:val="0"/>
                    <w:bidi w:val="0"/>
                    <w:adjustRightInd w:val="0"/>
                    <w:snapToGrid w:val="0"/>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液氮</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256436A7">
                  <w:pPr>
                    <w:keepNext w:val="0"/>
                    <w:keepLines w:val="0"/>
                    <w:pageBreakBefore w:val="0"/>
                    <w:kinsoku/>
                    <w:wordWrap/>
                    <w:overflowPunct/>
                    <w:topLinePunct w:val="0"/>
                    <w:bidi w:val="0"/>
                    <w:adjustRightInd w:val="0"/>
                    <w:snapToGrid w:val="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267" w:type="dxa"/>
                  <w:tcBorders>
                    <w:tl2br w:val="nil"/>
                    <w:tr2bl w:val="nil"/>
                  </w:tcBorders>
                  <w:shd w:val="clear" w:color="auto" w:fill="FFFFFF"/>
                  <w:noWrap w:val="0"/>
                  <w:tcMar>
                    <w:top w:w="15" w:type="dxa"/>
                    <w:left w:w="15" w:type="dxa"/>
                    <w:bottom w:w="15" w:type="dxa"/>
                    <w:right w:w="15" w:type="dxa"/>
                  </w:tcMar>
                  <w:vAlign w:val="center"/>
                </w:tcPr>
                <w:p w14:paraId="6C54A87F">
                  <w:pPr>
                    <w:keepNext w:val="0"/>
                    <w:keepLines w:val="0"/>
                    <w:pageBreakBefore w:val="0"/>
                    <w:kinsoku/>
                    <w:wordWrap/>
                    <w:overflowPunct/>
                    <w:topLinePunct w:val="0"/>
                    <w:bidi w:val="0"/>
                    <w:adjustRightInd w:val="0"/>
                    <w:snapToGrid w:val="0"/>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40瓶/a</w:t>
                  </w:r>
                </w:p>
              </w:tc>
              <w:tc>
                <w:tcPr>
                  <w:tcW w:w="1073" w:type="dxa"/>
                  <w:tcBorders>
                    <w:tl2br w:val="nil"/>
                    <w:tr2bl w:val="nil"/>
                  </w:tcBorders>
                  <w:shd w:val="clear" w:color="auto" w:fill="FFFFFF"/>
                  <w:noWrap w:val="0"/>
                  <w:vAlign w:val="center"/>
                </w:tcPr>
                <w:p w14:paraId="2C8BAE35">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外购</w:t>
                  </w:r>
                </w:p>
              </w:tc>
              <w:tc>
                <w:tcPr>
                  <w:tcW w:w="1562" w:type="dxa"/>
                  <w:tcBorders>
                    <w:tl2br w:val="nil"/>
                    <w:tr2bl w:val="nil"/>
                  </w:tcBorders>
                  <w:shd w:val="clear" w:color="auto" w:fill="FFFFFF"/>
                  <w:noWrap w:val="0"/>
                  <w:vAlign w:val="center"/>
                </w:tcPr>
                <w:p w14:paraId="13A79042">
                  <w:pPr>
                    <w:pStyle w:val="51"/>
                    <w:keepNext w:val="0"/>
                    <w:keepLines w:val="0"/>
                    <w:pageBreakBefore w:val="0"/>
                    <w:kinsoku/>
                    <w:wordWrap/>
                    <w:overflowPunct/>
                    <w:topLinePunct w:val="0"/>
                    <w:bidi w:val="0"/>
                    <w:adjustRightInd w:val="0"/>
                    <w:snapToGrid w:val="0"/>
                    <w:textAlignment w:val="auto"/>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2瓶</w:t>
                  </w:r>
                </w:p>
              </w:tc>
            </w:tr>
            <w:tr w14:paraId="057FCC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2CBA5AA9">
                  <w:pPr>
                    <w:pStyle w:val="51"/>
                    <w:keepNext w:val="0"/>
                    <w:keepLines w:val="0"/>
                    <w:pageBreakBefore w:val="0"/>
                    <w:kinsoku/>
                    <w:wordWrap/>
                    <w:overflowPunct/>
                    <w:topLinePunct w:val="0"/>
                    <w:bidi w:val="0"/>
                    <w:adjustRightInd w:val="0"/>
                    <w:snapToGrid w:val="0"/>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9</w:t>
                  </w:r>
                </w:p>
              </w:tc>
              <w:tc>
                <w:tcPr>
                  <w:tcW w:w="483" w:type="pct"/>
                  <w:vMerge w:val="continue"/>
                  <w:tcBorders>
                    <w:tl2br w:val="nil"/>
                    <w:tr2bl w:val="nil"/>
                  </w:tcBorders>
                  <w:shd w:val="clear" w:color="auto" w:fill="auto"/>
                  <w:noWrap w:val="0"/>
                  <w:vAlign w:val="center"/>
                </w:tcPr>
                <w:p w14:paraId="5ED587A9">
                  <w:pPr>
                    <w:keepNext w:val="0"/>
                    <w:keepLines w:val="0"/>
                    <w:pageBreakBefore w:val="0"/>
                    <w:widowControl/>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71" w:type="pct"/>
                  <w:tcBorders>
                    <w:tl2br w:val="nil"/>
                    <w:tr2bl w:val="nil"/>
                  </w:tcBorders>
                  <w:shd w:val="clear" w:color="auto" w:fill="FFFFFF"/>
                  <w:noWrap w:val="0"/>
                  <w:tcMar>
                    <w:top w:w="15" w:type="dxa"/>
                    <w:left w:w="15" w:type="dxa"/>
                    <w:bottom w:w="15" w:type="dxa"/>
                    <w:right w:w="15" w:type="dxa"/>
                  </w:tcMar>
                  <w:vAlign w:val="center"/>
                </w:tcPr>
                <w:p w14:paraId="296D66FB">
                  <w:pPr>
                    <w:pStyle w:val="51"/>
                    <w:keepNext w:val="0"/>
                    <w:keepLines w:val="0"/>
                    <w:pageBreakBefore w:val="0"/>
                    <w:kinsoku/>
                    <w:wordWrap/>
                    <w:overflowPunct/>
                    <w:topLinePunct w:val="0"/>
                    <w:bidi w:val="0"/>
                    <w:adjustRightInd w:val="0"/>
                    <w:snapToGrid w:val="0"/>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氩气</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70304782">
                  <w:pPr>
                    <w:keepNext w:val="0"/>
                    <w:keepLines w:val="0"/>
                    <w:pageBreakBefore w:val="0"/>
                    <w:kinsoku/>
                    <w:wordWrap/>
                    <w:overflowPunct/>
                    <w:topLinePunct w:val="0"/>
                    <w:bidi w:val="0"/>
                    <w:adjustRightInd w:val="0"/>
                    <w:snapToGrid w:val="0"/>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754" w:type="pct"/>
                  <w:tcBorders>
                    <w:tl2br w:val="nil"/>
                    <w:tr2bl w:val="nil"/>
                  </w:tcBorders>
                  <w:shd w:val="clear" w:color="auto" w:fill="FFFFFF"/>
                  <w:noWrap w:val="0"/>
                  <w:tcMar>
                    <w:top w:w="15" w:type="dxa"/>
                    <w:left w:w="15" w:type="dxa"/>
                    <w:bottom w:w="15" w:type="dxa"/>
                    <w:right w:w="15" w:type="dxa"/>
                  </w:tcMar>
                  <w:vAlign w:val="center"/>
                </w:tcPr>
                <w:p w14:paraId="7EA83A31">
                  <w:pPr>
                    <w:keepNext w:val="0"/>
                    <w:keepLines w:val="0"/>
                    <w:pageBreakBefore w:val="0"/>
                    <w:kinsoku/>
                    <w:wordWrap/>
                    <w:overflowPunct/>
                    <w:topLinePunct w:val="0"/>
                    <w:bidi w:val="0"/>
                    <w:adjustRightInd w:val="0"/>
                    <w:snapToGrid w:val="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200瓶/a</w:t>
                  </w:r>
                </w:p>
              </w:tc>
              <w:tc>
                <w:tcPr>
                  <w:tcW w:w="639" w:type="pct"/>
                  <w:tcBorders>
                    <w:tl2br w:val="nil"/>
                    <w:tr2bl w:val="nil"/>
                  </w:tcBorders>
                  <w:shd w:val="clear" w:color="auto" w:fill="FFFFFF"/>
                  <w:noWrap w:val="0"/>
                  <w:vAlign w:val="center"/>
                </w:tcPr>
                <w:p w14:paraId="3B987778">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外购</w:t>
                  </w:r>
                </w:p>
              </w:tc>
              <w:tc>
                <w:tcPr>
                  <w:tcW w:w="930" w:type="pct"/>
                  <w:tcBorders>
                    <w:tl2br w:val="nil"/>
                    <w:tr2bl w:val="nil"/>
                  </w:tcBorders>
                  <w:shd w:val="clear" w:color="auto" w:fill="FFFFFF"/>
                  <w:noWrap w:val="0"/>
                  <w:vAlign w:val="center"/>
                </w:tcPr>
                <w:p w14:paraId="39B6B6E8">
                  <w:pPr>
                    <w:pStyle w:val="51"/>
                    <w:keepNext w:val="0"/>
                    <w:keepLines w:val="0"/>
                    <w:pageBreakBefore w:val="0"/>
                    <w:kinsoku/>
                    <w:wordWrap/>
                    <w:overflowPunct/>
                    <w:topLinePunct w:val="0"/>
                    <w:bidi w:val="0"/>
                    <w:adjustRightInd w:val="0"/>
                    <w:snapToGrid w:val="0"/>
                    <w:textAlignment w:val="auto"/>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5瓶</w:t>
                  </w:r>
                </w:p>
              </w:tc>
            </w:tr>
            <w:bookmarkEnd w:id="10"/>
            <w:bookmarkEnd w:id="11"/>
            <w:bookmarkEnd w:id="12"/>
            <w:tr w14:paraId="64DDA3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0E4F68BC">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10</w:t>
                  </w:r>
                </w:p>
              </w:tc>
              <w:tc>
                <w:tcPr>
                  <w:tcW w:w="1454" w:type="pct"/>
                  <w:gridSpan w:val="2"/>
                  <w:tcBorders>
                    <w:tl2br w:val="nil"/>
                    <w:tr2bl w:val="nil"/>
                  </w:tcBorders>
                  <w:shd w:val="clear" w:color="auto" w:fill="FFFFFF"/>
                  <w:noWrap w:val="0"/>
                  <w:vAlign w:val="center"/>
                </w:tcPr>
                <w:p w14:paraId="07124937">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电</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76965420">
                  <w:pPr>
                    <w:pStyle w:val="51"/>
                    <w:keepNext w:val="0"/>
                    <w:keepLines w:val="0"/>
                    <w:pageBreakBefore w:val="0"/>
                    <w:kinsoku/>
                    <w:wordWrap/>
                    <w:overflowPunct/>
                    <w:topLinePunct w:val="0"/>
                    <w:bidi w:val="0"/>
                    <w:adjustRightInd w:val="0"/>
                    <w:snapToGrid w:val="0"/>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754" w:type="pct"/>
                  <w:tcBorders>
                    <w:tl2br w:val="nil"/>
                    <w:tr2bl w:val="nil"/>
                  </w:tcBorders>
                  <w:shd w:val="clear" w:color="auto" w:fill="FFFFFF"/>
                  <w:noWrap w:val="0"/>
                  <w:tcMar>
                    <w:top w:w="15" w:type="dxa"/>
                    <w:left w:w="15" w:type="dxa"/>
                    <w:bottom w:w="15" w:type="dxa"/>
                    <w:right w:w="15" w:type="dxa"/>
                  </w:tcMar>
                  <w:vAlign w:val="center"/>
                </w:tcPr>
                <w:p w14:paraId="54A49615">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14:textFill>
                        <w14:solidFill>
                          <w14:schemeClr w14:val="tx1"/>
                        </w14:solidFill>
                      </w14:textFill>
                    </w:rPr>
                    <w:t>万</w:t>
                  </w:r>
                  <w:r>
                    <w:rPr>
                      <w:rFonts w:hint="eastAsia" w:cs="Times New Roman"/>
                      <w:color w:val="000000" w:themeColor="text1"/>
                      <w:sz w:val="21"/>
                      <w:szCs w:val="21"/>
                      <w:lang w:val="en-US" w:eastAsia="zh-CN"/>
                      <w14:textFill>
                        <w14:solidFill>
                          <w14:schemeClr w14:val="tx1"/>
                        </w14:solidFill>
                      </w14:textFill>
                    </w:rPr>
                    <w:t>kwh</w:t>
                  </w:r>
                  <w:r>
                    <w:rPr>
                      <w:rFonts w:hint="default" w:ascii="Times New Roman" w:hAnsi="Times New Roman" w:eastAsia="宋体" w:cs="Times New Roman"/>
                      <w:color w:val="000000" w:themeColor="text1"/>
                      <w:sz w:val="21"/>
                      <w:szCs w:val="21"/>
                      <w14:textFill>
                        <w14:solidFill>
                          <w14:schemeClr w14:val="tx1"/>
                        </w14:solidFill>
                      </w14:textFill>
                    </w:rPr>
                    <w:t>/a</w:t>
                  </w:r>
                </w:p>
              </w:tc>
              <w:tc>
                <w:tcPr>
                  <w:tcW w:w="639" w:type="pct"/>
                  <w:tcBorders>
                    <w:tl2br w:val="nil"/>
                    <w:tr2bl w:val="nil"/>
                  </w:tcBorders>
                  <w:shd w:val="clear" w:color="auto" w:fill="FFFFFF"/>
                  <w:noWrap w:val="0"/>
                  <w:vAlign w:val="center"/>
                </w:tcPr>
                <w:p w14:paraId="24E39F6E">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市政</w:t>
                  </w:r>
                </w:p>
                <w:p w14:paraId="24AD5723">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电网</w:t>
                  </w:r>
                </w:p>
              </w:tc>
              <w:tc>
                <w:tcPr>
                  <w:tcW w:w="930" w:type="pct"/>
                  <w:tcBorders>
                    <w:tl2br w:val="nil"/>
                    <w:tr2bl w:val="nil"/>
                  </w:tcBorders>
                  <w:shd w:val="clear" w:color="auto" w:fill="FFFFFF"/>
                  <w:noWrap w:val="0"/>
                  <w:vAlign w:val="center"/>
                </w:tcPr>
                <w:p w14:paraId="7080F46B">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150162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6067C95C">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11</w:t>
                  </w:r>
                </w:p>
              </w:tc>
              <w:tc>
                <w:tcPr>
                  <w:tcW w:w="1454" w:type="pct"/>
                  <w:gridSpan w:val="2"/>
                  <w:tcBorders>
                    <w:tl2br w:val="nil"/>
                    <w:tr2bl w:val="nil"/>
                  </w:tcBorders>
                  <w:shd w:val="clear" w:color="auto" w:fill="FFFFFF"/>
                  <w:noWrap w:val="0"/>
                  <w:vAlign w:val="center"/>
                </w:tcPr>
                <w:p w14:paraId="63EBAF45">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水</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2CB0DEE2">
                  <w:pPr>
                    <w:pStyle w:val="51"/>
                    <w:keepNext w:val="0"/>
                    <w:keepLines w:val="0"/>
                    <w:pageBreakBefore w:val="0"/>
                    <w:kinsoku/>
                    <w:wordWrap/>
                    <w:overflowPunct/>
                    <w:topLinePunct w:val="0"/>
                    <w:bidi w:val="0"/>
                    <w:adjustRightInd w:val="0"/>
                    <w:snapToGrid w:val="0"/>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754" w:type="pct"/>
                  <w:tcBorders>
                    <w:tl2br w:val="nil"/>
                    <w:tr2bl w:val="nil"/>
                  </w:tcBorders>
                  <w:shd w:val="clear" w:color="auto" w:fill="FFFFFF"/>
                  <w:noWrap w:val="0"/>
                  <w:tcMar>
                    <w:top w:w="15" w:type="dxa"/>
                    <w:left w:w="15" w:type="dxa"/>
                    <w:bottom w:w="15" w:type="dxa"/>
                    <w:right w:w="15" w:type="dxa"/>
                  </w:tcMar>
                  <w:vAlign w:val="center"/>
                </w:tcPr>
                <w:p w14:paraId="7942E2F3">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107</w:t>
                  </w:r>
                  <w:r>
                    <w:rPr>
                      <w:rFonts w:hint="default" w:ascii="Times New Roman" w:hAnsi="Times New Roman" w:eastAsia="宋体" w:cs="Times New Roman"/>
                      <w:color w:val="000000" w:themeColor="text1"/>
                      <w:sz w:val="21"/>
                      <w:szCs w:val="21"/>
                      <w:highlight w:val="none"/>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/a</w:t>
                  </w:r>
                </w:p>
              </w:tc>
              <w:tc>
                <w:tcPr>
                  <w:tcW w:w="639" w:type="pct"/>
                  <w:tcBorders>
                    <w:tl2br w:val="nil"/>
                    <w:tr2bl w:val="nil"/>
                  </w:tcBorders>
                  <w:shd w:val="clear" w:color="auto" w:fill="FFFFFF"/>
                  <w:noWrap w:val="0"/>
                  <w:vAlign w:val="center"/>
                </w:tcPr>
                <w:p w14:paraId="6D5F05BD">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自来水</w:t>
                  </w:r>
                </w:p>
              </w:tc>
              <w:tc>
                <w:tcPr>
                  <w:tcW w:w="930" w:type="pct"/>
                  <w:tcBorders>
                    <w:tl2br w:val="nil"/>
                    <w:tr2bl w:val="nil"/>
                  </w:tcBorders>
                  <w:shd w:val="clear" w:color="auto" w:fill="FFFFFF"/>
                  <w:noWrap w:val="0"/>
                  <w:vAlign w:val="center"/>
                </w:tcPr>
                <w:p w14:paraId="6C69676C">
                  <w:pPr>
                    <w:pStyle w:val="51"/>
                    <w:keepNext w:val="0"/>
                    <w:keepLines w:val="0"/>
                    <w:pageBreakBefore w:val="0"/>
                    <w:kinsoku/>
                    <w:wordWrap/>
                    <w:overflowPunct/>
                    <w:topLinePunct w:val="0"/>
                    <w:bidi w:val="0"/>
                    <w:adjustRightInd w:val="0"/>
                    <w:snapToGrid w:val="0"/>
                    <w:jc w:val="center"/>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r w14:paraId="7EA329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8" w:type="pct"/>
                  <w:tcBorders>
                    <w:tl2br w:val="nil"/>
                    <w:tr2bl w:val="nil"/>
                  </w:tcBorders>
                  <w:shd w:val="clear" w:color="auto" w:fill="FFFFFF"/>
                  <w:noWrap w:val="0"/>
                  <w:tcMar>
                    <w:top w:w="15" w:type="dxa"/>
                    <w:left w:w="15" w:type="dxa"/>
                    <w:bottom w:w="15" w:type="dxa"/>
                    <w:right w:w="15" w:type="dxa"/>
                  </w:tcMar>
                  <w:vAlign w:val="center"/>
                </w:tcPr>
                <w:p w14:paraId="4E08CC60">
                  <w:pPr>
                    <w:pStyle w:val="51"/>
                    <w:keepNext w:val="0"/>
                    <w:keepLines w:val="0"/>
                    <w:pageBreakBefore w:val="0"/>
                    <w:kinsoku/>
                    <w:wordWrap/>
                    <w:overflowPunct/>
                    <w:topLinePunct w:val="0"/>
                    <w:bidi w:val="0"/>
                    <w:adjustRightInd w:val="0"/>
                    <w:snapToGrid w:val="0"/>
                    <w:textAlignment w:val="auto"/>
                    <w:rPr>
                      <w:rFonts w:hint="default"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12</w:t>
                  </w:r>
                </w:p>
              </w:tc>
              <w:tc>
                <w:tcPr>
                  <w:tcW w:w="1454" w:type="pct"/>
                  <w:gridSpan w:val="2"/>
                  <w:tcBorders>
                    <w:tl2br w:val="nil"/>
                    <w:tr2bl w:val="nil"/>
                  </w:tcBorders>
                  <w:shd w:val="clear" w:color="auto" w:fill="FFFFFF"/>
                  <w:noWrap w:val="0"/>
                  <w:vAlign w:val="center"/>
                </w:tcPr>
                <w:p w14:paraId="09593A8A">
                  <w:pPr>
                    <w:pStyle w:val="51"/>
                    <w:keepNext w:val="0"/>
                    <w:keepLines w:val="0"/>
                    <w:pageBreakBefore w:val="0"/>
                    <w:kinsoku/>
                    <w:wordWrap/>
                    <w:overflowPunct/>
                    <w:topLinePunct w:val="0"/>
                    <w:bidi w:val="0"/>
                    <w:adjustRightInd w:val="0"/>
                    <w:snapToGrid w:val="0"/>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纯水</w:t>
                  </w:r>
                </w:p>
              </w:tc>
              <w:tc>
                <w:tcPr>
                  <w:tcW w:w="971" w:type="pct"/>
                  <w:tcBorders>
                    <w:tl2br w:val="nil"/>
                    <w:tr2bl w:val="nil"/>
                  </w:tcBorders>
                  <w:shd w:val="clear" w:color="auto" w:fill="FFFFFF"/>
                  <w:noWrap w:val="0"/>
                  <w:tcMar>
                    <w:top w:w="15" w:type="dxa"/>
                    <w:left w:w="15" w:type="dxa"/>
                    <w:bottom w:w="15" w:type="dxa"/>
                    <w:right w:w="15" w:type="dxa"/>
                  </w:tcMar>
                  <w:vAlign w:val="center"/>
                </w:tcPr>
                <w:p w14:paraId="264A145E">
                  <w:pPr>
                    <w:pStyle w:val="51"/>
                    <w:keepNext w:val="0"/>
                    <w:keepLines w:val="0"/>
                    <w:pageBreakBefore w:val="0"/>
                    <w:kinsoku/>
                    <w:wordWrap/>
                    <w:overflowPunct/>
                    <w:topLinePunct w:val="0"/>
                    <w:bidi w:val="0"/>
                    <w:adjustRightInd w:val="0"/>
                    <w:snapToGrid w:val="0"/>
                    <w:textAlignment w:val="auto"/>
                    <w:rPr>
                      <w:rFonts w:hint="eastAsia" w:cs="Times New Roman"/>
                      <w:color w:val="000000" w:themeColor="text1"/>
                      <w:sz w:val="21"/>
                      <w:szCs w:val="21"/>
                      <w:highlight w:val="none"/>
                      <w:lang w:val="en-US" w:eastAsia="zh-CN"/>
                      <w14:textFill>
                        <w14:solidFill>
                          <w14:schemeClr w14:val="tx1"/>
                        </w14:solidFill>
                      </w14:textFill>
                    </w:rPr>
                  </w:pPr>
                </w:p>
              </w:tc>
              <w:tc>
                <w:tcPr>
                  <w:tcW w:w="754" w:type="pct"/>
                  <w:tcBorders>
                    <w:tl2br w:val="nil"/>
                    <w:tr2bl w:val="nil"/>
                  </w:tcBorders>
                  <w:shd w:val="clear" w:color="auto" w:fill="FFFFFF"/>
                  <w:noWrap w:val="0"/>
                  <w:tcMar>
                    <w:top w:w="15" w:type="dxa"/>
                    <w:left w:w="15" w:type="dxa"/>
                    <w:bottom w:w="15" w:type="dxa"/>
                    <w:right w:w="15" w:type="dxa"/>
                  </w:tcMar>
                  <w:vAlign w:val="center"/>
                </w:tcPr>
                <w:p w14:paraId="3A610372">
                  <w:pPr>
                    <w:pStyle w:val="51"/>
                    <w:keepNext w:val="0"/>
                    <w:keepLines w:val="0"/>
                    <w:pageBreakBefore w:val="0"/>
                    <w:kinsoku/>
                    <w:wordWrap/>
                    <w:overflowPunct/>
                    <w:topLinePunct w:val="0"/>
                    <w:bidi w:val="0"/>
                    <w:adjustRightInd w:val="0"/>
                    <w:snapToGrid w:val="0"/>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326.4</w:t>
                  </w:r>
                  <w:r>
                    <w:rPr>
                      <w:rFonts w:hint="default" w:ascii="Times New Roman" w:hAnsi="Times New Roman" w:eastAsia="宋体" w:cs="Times New Roman"/>
                      <w:color w:val="000000" w:themeColor="text1"/>
                      <w:sz w:val="21"/>
                      <w:szCs w:val="21"/>
                      <w:highlight w:val="none"/>
                      <w14:textFill>
                        <w14:solidFill>
                          <w14:schemeClr w14:val="tx1"/>
                        </w14:solidFill>
                      </w14:textFill>
                    </w:rPr>
                    <w:t>m</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/a</w:t>
                  </w:r>
                </w:p>
              </w:tc>
              <w:tc>
                <w:tcPr>
                  <w:tcW w:w="639" w:type="pct"/>
                  <w:tcBorders>
                    <w:tl2br w:val="nil"/>
                    <w:tr2bl w:val="nil"/>
                  </w:tcBorders>
                  <w:shd w:val="clear" w:color="auto" w:fill="FFFFFF"/>
                  <w:noWrap w:val="0"/>
                  <w:vAlign w:val="center"/>
                </w:tcPr>
                <w:p w14:paraId="27A293A9">
                  <w:pPr>
                    <w:pStyle w:val="51"/>
                    <w:keepNext w:val="0"/>
                    <w:keepLines w:val="0"/>
                    <w:pageBreakBefore w:val="0"/>
                    <w:kinsoku/>
                    <w:wordWrap/>
                    <w:overflowPunct/>
                    <w:topLinePunct w:val="0"/>
                    <w:bidi w:val="0"/>
                    <w:adjustRightInd w:val="0"/>
                    <w:snapToGrid w:val="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纯水</w:t>
                  </w:r>
                </w:p>
              </w:tc>
              <w:tc>
                <w:tcPr>
                  <w:tcW w:w="930" w:type="pct"/>
                  <w:tcBorders>
                    <w:tl2br w:val="nil"/>
                    <w:tr2bl w:val="nil"/>
                  </w:tcBorders>
                  <w:shd w:val="clear" w:color="auto" w:fill="FFFFFF"/>
                  <w:noWrap w:val="0"/>
                  <w:vAlign w:val="center"/>
                </w:tcPr>
                <w:p w14:paraId="764593FE">
                  <w:pPr>
                    <w:pStyle w:val="51"/>
                    <w:keepNext w:val="0"/>
                    <w:keepLines w:val="0"/>
                    <w:pageBreakBefore w:val="0"/>
                    <w:kinsoku/>
                    <w:wordWrap/>
                    <w:overflowPunct/>
                    <w:topLinePunct w:val="0"/>
                    <w:bidi w:val="0"/>
                    <w:adjustRightInd w:val="0"/>
                    <w:snapToGrid w:val="0"/>
                    <w:jc w:val="center"/>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bl>
          <w:p w14:paraId="13745824">
            <w:pPr>
              <w:adjustRightInd w:val="0"/>
              <w:snapToGrid w:val="0"/>
              <w:spacing w:line="360" w:lineRule="auto"/>
              <w:ind w:firstLine="420" w:firstLineChars="200"/>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与污染物排放有关的</w:t>
            </w:r>
            <w:r>
              <w:rPr>
                <w:rFonts w:hint="eastAsia" w:cs="Times New Roman"/>
                <w:bCs/>
                <w:color w:val="000000" w:themeColor="text1"/>
                <w:sz w:val="21"/>
                <w:szCs w:val="21"/>
                <w:lang w:val="en-US" w:eastAsia="zh-CN"/>
                <w14:textFill>
                  <w14:solidFill>
                    <w14:schemeClr w14:val="tx1"/>
                  </w14:solidFill>
                </w14:textFill>
              </w:rPr>
              <w:t>主要</w:t>
            </w:r>
            <w:r>
              <w:rPr>
                <w:rFonts w:hint="default" w:ascii="Times New Roman" w:hAnsi="Times New Roman" w:cs="Times New Roman"/>
                <w:bCs/>
                <w:color w:val="000000" w:themeColor="text1"/>
                <w:sz w:val="21"/>
                <w:szCs w:val="21"/>
                <w14:textFill>
                  <w14:solidFill>
                    <w14:schemeClr w14:val="tx1"/>
                  </w14:solidFill>
                </w14:textFill>
              </w:rPr>
              <w:t>原辅材料成分及含量见</w:t>
            </w:r>
            <w:r>
              <w:rPr>
                <w:rFonts w:hint="eastAsia" w:cs="Times New Roman"/>
                <w:bCs/>
                <w:color w:val="000000" w:themeColor="text1"/>
                <w:sz w:val="21"/>
                <w:szCs w:val="21"/>
                <w:lang w:val="en-US" w:eastAsia="zh-CN"/>
                <w14:textFill>
                  <w14:solidFill>
                    <w14:schemeClr w14:val="tx1"/>
                  </w14:solidFill>
                </w14:textFill>
              </w:rPr>
              <w:t>下</w:t>
            </w:r>
            <w:r>
              <w:rPr>
                <w:rFonts w:hint="default" w:ascii="Times New Roman" w:hAnsi="Times New Roman" w:cs="Times New Roman"/>
                <w:bCs/>
                <w:color w:val="000000" w:themeColor="text1"/>
                <w:sz w:val="21"/>
                <w:szCs w:val="21"/>
                <w14:textFill>
                  <w14:solidFill>
                    <w14:schemeClr w14:val="tx1"/>
                  </w14:solidFill>
                </w14:textFill>
              </w:rPr>
              <w:t>表</w:t>
            </w:r>
            <w:r>
              <w:rPr>
                <w:rFonts w:hint="eastAsia" w:cs="Times New Roman"/>
                <w:bCs/>
                <w:color w:val="000000" w:themeColor="text1"/>
                <w:sz w:val="21"/>
                <w:szCs w:val="21"/>
                <w:lang w:eastAsia="zh-CN"/>
                <w14:textFill>
                  <w14:solidFill>
                    <w14:schemeClr w14:val="tx1"/>
                  </w14:solidFill>
                </w14:textFill>
              </w:rPr>
              <w:t>，</w:t>
            </w:r>
            <w:r>
              <w:rPr>
                <w:rFonts w:hint="eastAsia" w:cs="Times New Roman"/>
                <w:bCs/>
                <w:color w:val="000000" w:themeColor="text1"/>
                <w:sz w:val="21"/>
                <w:szCs w:val="21"/>
                <w:lang w:val="en-US" w:eastAsia="zh-CN"/>
                <w14:textFill>
                  <w14:solidFill>
                    <w14:schemeClr w14:val="tx1"/>
                  </w14:solidFill>
                </w14:textFill>
              </w:rPr>
              <w:t>检测报告详见附件</w:t>
            </w:r>
            <w:r>
              <w:rPr>
                <w:rFonts w:hint="default" w:cs="Times New Roman"/>
                <w:bCs/>
                <w:color w:val="000000" w:themeColor="text1"/>
                <w:sz w:val="21"/>
                <w:szCs w:val="21"/>
                <w:lang w:val="en-US" w:eastAsia="zh-CN"/>
                <w14:textFill>
                  <w14:solidFill>
                    <w14:schemeClr w14:val="tx1"/>
                  </w14:solidFill>
                </w14:textFill>
              </w:rPr>
              <w:t>。</w:t>
            </w:r>
          </w:p>
          <w:p w14:paraId="30C6C028">
            <w:pPr>
              <w:adjustRightInd w:val="0"/>
              <w:snapToGrid w:val="0"/>
              <w:ind w:firstLine="422" w:firstLineChars="200"/>
              <w:jc w:val="center"/>
              <w:rPr>
                <w:rFonts w:hint="default" w:ascii="Times New Roman" w:hAnsi="Times New Roman" w:cs="Times New Roman"/>
                <w:b/>
                <w:color w:val="000000" w:themeColor="text1"/>
                <w:sz w:val="21"/>
                <w:szCs w:val="21"/>
                <w14:textFill>
                  <w14:solidFill>
                    <w14:schemeClr w14:val="tx1"/>
                  </w14:solidFill>
                </w14:textFill>
              </w:rPr>
            </w:pPr>
          </w:p>
          <w:p w14:paraId="36502977">
            <w:pPr>
              <w:adjustRightInd w:val="0"/>
              <w:snapToGrid w:val="0"/>
              <w:ind w:firstLine="422" w:firstLineChars="200"/>
              <w:jc w:val="center"/>
              <w:rPr>
                <w:rFonts w:hint="default" w:ascii="Times New Roman" w:hAnsi="Times New Roman" w:cs="Times New Roman"/>
                <w:b/>
                <w:color w:val="000000" w:themeColor="text1"/>
                <w:sz w:val="21"/>
                <w:szCs w:val="21"/>
                <w14:textFill>
                  <w14:solidFill>
                    <w14:schemeClr w14:val="tx1"/>
                  </w14:solidFill>
                </w14:textFill>
              </w:rPr>
            </w:pPr>
          </w:p>
          <w:p w14:paraId="4B5FEE19">
            <w:pPr>
              <w:adjustRightInd w:val="0"/>
              <w:snapToGrid w:val="0"/>
              <w:ind w:firstLine="422" w:firstLineChars="200"/>
              <w:jc w:val="center"/>
              <w:rPr>
                <w:rFonts w:hint="default" w:ascii="Times New Roman" w:hAnsi="Times New Roman" w:cs="Times New Roman"/>
                <w:b/>
                <w:color w:val="000000" w:themeColor="text1"/>
                <w:sz w:val="21"/>
                <w:szCs w:val="21"/>
                <w14:textFill>
                  <w14:solidFill>
                    <w14:schemeClr w14:val="tx1"/>
                  </w14:solidFill>
                </w14:textFill>
              </w:rPr>
            </w:pPr>
          </w:p>
          <w:p w14:paraId="6B6E024C">
            <w:pPr>
              <w:adjustRightInd w:val="0"/>
              <w:snapToGrid w:val="0"/>
              <w:ind w:firstLine="422" w:firstLineChars="200"/>
              <w:jc w:val="center"/>
              <w:rPr>
                <w:rFonts w:hint="default" w:ascii="Times New Roman" w:hAnsi="Times New Roman" w:cs="Times New Roman"/>
                <w:b/>
                <w:color w:val="000000" w:themeColor="text1"/>
                <w:sz w:val="21"/>
                <w:szCs w:val="21"/>
                <w14:textFill>
                  <w14:solidFill>
                    <w14:schemeClr w14:val="tx1"/>
                  </w14:solidFill>
                </w14:textFill>
              </w:rPr>
            </w:pPr>
          </w:p>
          <w:p w14:paraId="7CAF3F53">
            <w:pPr>
              <w:adjustRightInd w:val="0"/>
              <w:snapToGrid w:val="0"/>
              <w:ind w:firstLine="422" w:firstLineChars="200"/>
              <w:jc w:val="center"/>
              <w:rPr>
                <w:rFonts w:hint="default" w:ascii="Times New Roman" w:hAnsi="Times New Roman" w:cs="Times New Roman"/>
                <w:b/>
                <w:color w:val="000000" w:themeColor="text1"/>
                <w:sz w:val="21"/>
                <w:szCs w:val="21"/>
                <w14:textFill>
                  <w14:solidFill>
                    <w14:schemeClr w14:val="tx1"/>
                  </w14:solidFill>
                </w14:textFill>
              </w:rPr>
            </w:pPr>
          </w:p>
          <w:p w14:paraId="70CF8708">
            <w:pPr>
              <w:adjustRightInd w:val="0"/>
              <w:snapToGrid w:val="0"/>
              <w:ind w:firstLine="422" w:firstLineChars="200"/>
              <w:jc w:val="center"/>
              <w:rPr>
                <w:rFonts w:hint="default" w:ascii="Times New Roman" w:hAnsi="Times New Roman" w:cs="Times New Roman"/>
                <w:b/>
                <w:color w:val="000000" w:themeColor="text1"/>
                <w:sz w:val="21"/>
                <w:szCs w:val="21"/>
                <w14:textFill>
                  <w14:solidFill>
                    <w14:schemeClr w14:val="tx1"/>
                  </w14:solidFill>
                </w14:textFill>
              </w:rPr>
            </w:pPr>
          </w:p>
          <w:p w14:paraId="274F738B">
            <w:pPr>
              <w:adjustRightInd w:val="0"/>
              <w:snapToGrid w:val="0"/>
              <w:ind w:firstLine="422" w:firstLineChars="200"/>
              <w:jc w:val="center"/>
              <w:rPr>
                <w:rFonts w:hint="default" w:ascii="Times New Roman" w:hAnsi="Times New Roman" w:cs="Times New Roman"/>
                <w:b/>
                <w:color w:val="000000" w:themeColor="text1"/>
                <w:sz w:val="21"/>
                <w:szCs w:val="21"/>
                <w14:textFill>
                  <w14:solidFill>
                    <w14:schemeClr w14:val="tx1"/>
                  </w14:solidFill>
                </w14:textFill>
              </w:rPr>
            </w:pPr>
          </w:p>
          <w:p w14:paraId="720BD06E">
            <w:pPr>
              <w:adjustRightInd w:val="0"/>
              <w:snapToGrid w:val="0"/>
              <w:ind w:firstLine="422" w:firstLineChars="200"/>
              <w:jc w:val="center"/>
              <w:rPr>
                <w:rFonts w:hint="default" w:ascii="Times New Roman" w:hAnsi="Times New Roman" w:cs="Times New Roman"/>
                <w:b/>
                <w:color w:val="000000" w:themeColor="text1"/>
                <w:sz w:val="21"/>
                <w:szCs w:val="21"/>
                <w14:textFill>
                  <w14:solidFill>
                    <w14:schemeClr w14:val="tx1"/>
                  </w14:solidFill>
                </w14:textFill>
              </w:rPr>
            </w:pPr>
          </w:p>
          <w:p w14:paraId="2CC4AC2F">
            <w:pPr>
              <w:adjustRightInd w:val="0"/>
              <w:snapToGrid w:val="0"/>
              <w:ind w:firstLine="422" w:firstLineChars="200"/>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表2-</w:t>
            </w:r>
            <w:r>
              <w:rPr>
                <w:rFonts w:hint="eastAsia" w:cs="Times New Roman"/>
                <w:b/>
                <w:color w:val="000000" w:themeColor="text1"/>
                <w:sz w:val="21"/>
                <w:szCs w:val="21"/>
                <w:lang w:val="en-US" w:eastAsia="zh-CN"/>
                <w14:textFill>
                  <w14:solidFill>
                    <w14:schemeClr w14:val="tx1"/>
                  </w14:solidFill>
                </w14:textFill>
              </w:rPr>
              <w:t>6  原辅材料理化性质</w:t>
            </w:r>
            <w:r>
              <w:rPr>
                <w:rFonts w:hint="default" w:ascii="Times New Roman" w:hAnsi="Times New Roman" w:cs="Times New Roman"/>
                <w:b/>
                <w:color w:val="000000" w:themeColor="text1"/>
                <w:sz w:val="21"/>
                <w:szCs w:val="21"/>
                <w14:textFill>
                  <w14:solidFill>
                    <w14:schemeClr w14:val="tx1"/>
                  </w14:solidFill>
                </w14:textFill>
              </w:rPr>
              <w:t>一览表</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732"/>
              <w:gridCol w:w="5020"/>
              <w:gridCol w:w="1834"/>
            </w:tblGrid>
            <w:tr w14:paraId="1FE1C8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6" w:hRule="atLeast"/>
                <w:tblHeader/>
                <w:jc w:val="center"/>
              </w:trPr>
              <w:tc>
                <w:tcPr>
                  <w:tcW w:w="417" w:type="pct"/>
                  <w:tcBorders>
                    <w:tl2br w:val="nil"/>
                    <w:tr2bl w:val="nil"/>
                  </w:tcBorders>
                  <w:noWrap w:val="0"/>
                  <w:vAlign w:val="center"/>
                </w:tcPr>
                <w:p w14:paraId="61E3A760">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序号</w:t>
                  </w:r>
                </w:p>
              </w:tc>
              <w:tc>
                <w:tcPr>
                  <w:tcW w:w="442" w:type="pct"/>
                  <w:tcBorders>
                    <w:tl2br w:val="nil"/>
                    <w:tr2bl w:val="nil"/>
                  </w:tcBorders>
                  <w:noWrap w:val="0"/>
                  <w:vAlign w:val="center"/>
                </w:tcPr>
                <w:p w14:paraId="5C35859C">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名称</w:t>
                  </w:r>
                </w:p>
              </w:tc>
              <w:tc>
                <w:tcPr>
                  <w:tcW w:w="3032" w:type="pct"/>
                  <w:tcBorders>
                    <w:tl2br w:val="nil"/>
                    <w:tr2bl w:val="nil"/>
                  </w:tcBorders>
                  <w:noWrap w:val="0"/>
                  <w:vAlign w:val="center"/>
                </w:tcPr>
                <w:p w14:paraId="1B21871E">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成分及含量</w:t>
                  </w:r>
                </w:p>
              </w:tc>
              <w:tc>
                <w:tcPr>
                  <w:tcW w:w="1108" w:type="pct"/>
                  <w:tcBorders>
                    <w:tl2br w:val="nil"/>
                    <w:tr2bl w:val="nil"/>
                  </w:tcBorders>
                  <w:noWrap w:val="0"/>
                  <w:vAlign w:val="center"/>
                </w:tcPr>
                <w:p w14:paraId="4DEDA4DC">
                  <w:pPr>
                    <w:jc w:val="center"/>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数据来源</w:t>
                  </w:r>
                  <w:r>
                    <w:rPr>
                      <w:rFonts w:hint="eastAsia" w:cs="Times New Roman"/>
                      <w:b/>
                      <w:color w:val="000000" w:themeColor="text1"/>
                      <w:sz w:val="21"/>
                      <w:szCs w:val="21"/>
                      <w:lang w:val="en-US" w:eastAsia="zh-CN"/>
                      <w14:textFill>
                        <w14:solidFill>
                          <w14:schemeClr w14:val="tx1"/>
                        </w14:solidFill>
                      </w14:textFill>
                    </w:rPr>
                    <w:t>/用途</w:t>
                  </w:r>
                </w:p>
              </w:tc>
            </w:tr>
            <w:tr w14:paraId="236AF0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417" w:type="pct"/>
                  <w:tcBorders>
                    <w:tl2br w:val="nil"/>
                    <w:tr2bl w:val="nil"/>
                  </w:tcBorders>
                  <w:noWrap w:val="0"/>
                  <w:vAlign w:val="center"/>
                </w:tcPr>
                <w:p w14:paraId="5DA07FF3">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442" w:type="pct"/>
                  <w:tcBorders>
                    <w:tl2br w:val="nil"/>
                    <w:tr2bl w:val="nil"/>
                  </w:tcBorders>
                  <w:noWrap w:val="0"/>
                  <w:vAlign w:val="center"/>
                </w:tcPr>
                <w:p w14:paraId="7218517B">
                  <w:pPr>
                    <w:widowControl/>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海绵钛粉</w:t>
                  </w:r>
                </w:p>
              </w:tc>
              <w:tc>
                <w:tcPr>
                  <w:tcW w:w="3032" w:type="pct"/>
                  <w:tcBorders>
                    <w:tl2br w:val="nil"/>
                    <w:tr2bl w:val="nil"/>
                  </w:tcBorders>
                  <w:noWrap w:val="0"/>
                  <w:vAlign w:val="center"/>
                </w:tcPr>
                <w:p w14:paraId="4689F9D8">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海绵钛粉样品规格-250目（粒径≤40μm）</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样品</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各成分质量分数（WT%）如下：</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Al＜0.010、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Fe</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＜0.018</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Si＜0.010</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C</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＜0.007</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H＜0.0094</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N</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＜0.028</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O</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＜0.279</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余量为Ti。</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纯钛（海绵钛）</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粉末</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熔点约1668℃</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根据《危险化学品名录》（2015版），海绵钛粉属于危险化学品，CAS号：7440-32-6。</w:t>
                  </w:r>
                </w:p>
              </w:tc>
              <w:tc>
                <w:tcPr>
                  <w:tcW w:w="1108" w:type="pct"/>
                  <w:tcBorders>
                    <w:tl2br w:val="nil"/>
                    <w:tr2bl w:val="nil"/>
                  </w:tcBorders>
                  <w:noWrap w:val="0"/>
                  <w:vAlign w:val="center"/>
                </w:tcPr>
                <w:p w14:paraId="2C3AEA65">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检测报告（报告编号：B24WT140457）</w:t>
                  </w:r>
                </w:p>
              </w:tc>
            </w:tr>
            <w:tr w14:paraId="7E02E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417" w:type="pct"/>
                  <w:tcBorders>
                    <w:tl2br w:val="nil"/>
                    <w:tr2bl w:val="nil"/>
                  </w:tcBorders>
                  <w:noWrap w:val="0"/>
                  <w:vAlign w:val="center"/>
                </w:tcPr>
                <w:p w14:paraId="14C0CC77">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w:t>
                  </w:r>
                </w:p>
              </w:tc>
              <w:tc>
                <w:tcPr>
                  <w:tcW w:w="442" w:type="pct"/>
                  <w:tcBorders>
                    <w:tl2br w:val="nil"/>
                    <w:tr2bl w:val="nil"/>
                  </w:tcBorders>
                  <w:noWrap w:val="0"/>
                  <w:vAlign w:val="center"/>
                </w:tcPr>
                <w:p w14:paraId="261B31F2">
                  <w:pPr>
                    <w:widowControl/>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不锈钢粉</w:t>
                  </w:r>
                </w:p>
              </w:tc>
              <w:tc>
                <w:tcPr>
                  <w:tcW w:w="3032" w:type="pct"/>
                  <w:tcBorders>
                    <w:tl2br w:val="nil"/>
                    <w:tr2bl w:val="nil"/>
                  </w:tcBorders>
                  <w:noWrap w:val="0"/>
                  <w:vAlign w:val="center"/>
                </w:tcPr>
                <w:p w14:paraId="3450314D">
                  <w:pPr>
                    <w:rPr>
                      <w:rFonts w:hint="default" w:ascii="Times New Roman" w:hAnsi="Times New Roman" w:eastAsia="宋体" w:cs="Times New Roman"/>
                      <w:i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iCs/>
                      <w:color w:val="000000" w:themeColor="text1"/>
                      <w:sz w:val="21"/>
                      <w:szCs w:val="21"/>
                      <w:lang w:val="en-US" w:eastAsia="zh-CN"/>
                      <w14:textFill>
                        <w14:solidFill>
                          <w14:schemeClr w14:val="tx1"/>
                        </w14:solidFill>
                      </w14:textFill>
                    </w:rPr>
                    <w:t>316L不锈钢粉末</w:t>
                  </w:r>
                  <w:r>
                    <w:rPr>
                      <w:rFonts w:hint="eastAsia" w:cs="Times New Roman"/>
                      <w:iCs/>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iCs/>
                      <w:color w:val="000000" w:themeColor="text1"/>
                      <w:sz w:val="21"/>
                      <w:szCs w:val="21"/>
                      <w:lang w:val="en-US" w:eastAsia="zh-CN"/>
                      <w14:textFill>
                        <w14:solidFill>
                          <w14:schemeClr w14:val="tx1"/>
                        </w14:solidFill>
                      </w14:textFill>
                    </w:rPr>
                    <w:t>产品规格-160+320目</w:t>
                  </w:r>
                  <w:r>
                    <w:rPr>
                      <w:rFonts w:hint="eastAsia" w:cs="Times New Roman"/>
                      <w:i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iCs/>
                      <w:color w:val="000000" w:themeColor="text1"/>
                      <w:sz w:val="21"/>
                      <w:szCs w:val="21"/>
                      <w:lang w:val="en-US" w:eastAsia="zh-CN"/>
                      <w14:textFill>
                        <w14:solidFill>
                          <w14:schemeClr w14:val="tx1"/>
                        </w14:solidFill>
                      </w14:textFill>
                    </w:rPr>
                    <w:t>松装密度为2.43g/cm</w:t>
                  </w:r>
                  <w:r>
                    <w:rPr>
                      <w:rFonts w:hint="default" w:ascii="Times New Roman" w:hAnsi="Times New Roman" w:eastAsia="宋体" w:cs="Times New Roman"/>
                      <w:iCs/>
                      <w:color w:val="000000" w:themeColor="text1"/>
                      <w:sz w:val="21"/>
                      <w:szCs w:val="21"/>
                      <w:vertAlign w:val="superscript"/>
                      <w:lang w:val="en-US" w:eastAsia="zh-CN"/>
                      <w14:textFill>
                        <w14:solidFill>
                          <w14:schemeClr w14:val="tx1"/>
                        </w14:solidFill>
                      </w14:textFill>
                    </w:rPr>
                    <w:t>3</w:t>
                  </w:r>
                  <w:r>
                    <w:rPr>
                      <w:rFonts w:hint="eastAsia" w:ascii="Times New Roman" w:hAnsi="Times New Roman" w:eastAsia="宋体" w:cs="Times New Roman"/>
                      <w:i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iCs/>
                      <w:color w:val="000000" w:themeColor="text1"/>
                      <w:sz w:val="21"/>
                      <w:szCs w:val="21"/>
                      <w:lang w:val="en-US" w:eastAsia="zh-CN"/>
                      <w14:textFill>
                        <w14:solidFill>
                          <w14:schemeClr w14:val="tx1"/>
                        </w14:solidFill>
                      </w14:textFill>
                    </w:rPr>
                    <w:t>不锈钢粉各成分质量分数（</w:t>
                  </w:r>
                  <w:r>
                    <w:rPr>
                      <w:rFonts w:hint="default" w:ascii="Times New Roman" w:hAnsi="Times New Roman" w:eastAsia="宋体" w:cs="Times New Roman"/>
                      <w:i w:val="0"/>
                      <w:iCs w:val="0"/>
                      <w:caps w:val="0"/>
                      <w:color w:val="000000" w:themeColor="text1"/>
                      <w:spacing w:val="0"/>
                      <w:sz w:val="21"/>
                      <w:szCs w:val="21"/>
                      <w14:textFill>
                        <w14:solidFill>
                          <w14:schemeClr w14:val="tx1"/>
                        </w14:solidFill>
                      </w14:textFill>
                    </w:rPr>
                    <w:t>WT%</w:t>
                  </w:r>
                  <w:r>
                    <w:rPr>
                      <w:rFonts w:hint="default" w:ascii="Times New Roman" w:hAnsi="Times New Roman" w:eastAsia="宋体" w:cs="Times New Roman"/>
                      <w:iCs/>
                      <w:color w:val="000000" w:themeColor="text1"/>
                      <w:sz w:val="21"/>
                      <w:szCs w:val="21"/>
                      <w:lang w:val="en-US" w:eastAsia="zh-CN"/>
                      <w14:textFill>
                        <w14:solidFill>
                          <w14:schemeClr w14:val="tx1"/>
                        </w14:solidFill>
                      </w14:textFill>
                    </w:rPr>
                    <w:t>）如下：</w:t>
                  </w:r>
                  <w:r>
                    <w:rPr>
                      <w:rFonts w:hint="default" w:ascii="Times New Roman" w:hAnsi="Times New Roman" w:eastAsia="宋体" w:cs="Times New Roman"/>
                      <w:color w:val="000000" w:themeColor="text1"/>
                      <w:sz w:val="21"/>
                      <w:szCs w:val="21"/>
                      <w14:textFill>
                        <w14:solidFill>
                          <w14:schemeClr w14:val="tx1"/>
                        </w14:solidFill>
                      </w14:textFill>
                    </w:rPr>
                    <w:t>C</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为0.025</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S为0.0016</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O为1697ppm</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Si为0.91</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Cr为17.42</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Ni为12.65</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Mn为0.24</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Mo为2.68</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Fe为BAL（余量）。</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该</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不锈钢</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粉末</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实际熔点约1370℃-1400℃</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低于纯镍</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（1455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、纯铬的熔点</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（1907</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1108" w:type="pct"/>
                  <w:tcBorders>
                    <w:tl2br w:val="nil"/>
                    <w:tr2bl w:val="nil"/>
                  </w:tcBorders>
                  <w:noWrap w:val="0"/>
                  <w:vAlign w:val="center"/>
                </w:tcPr>
                <w:p w14:paraId="7EDF1521">
                  <w:pPr>
                    <w:jc w:val="center"/>
                    <w:rPr>
                      <w:rFonts w:hint="default" w:ascii="Times New Roman" w:hAnsi="Times New Roman" w:eastAsia="宋体" w:cs="Times New Roman"/>
                      <w:iCs/>
                      <w:color w:val="000000" w:themeColor="text1"/>
                      <w:sz w:val="21"/>
                      <w:szCs w:val="21"/>
                      <w:lang w:val="en-US" w:eastAsia="zh-CN"/>
                      <w14:textFill>
                        <w14:solidFill>
                          <w14:schemeClr w14:val="tx1"/>
                        </w14:solidFill>
                      </w14:textFill>
                    </w:rPr>
                  </w:pPr>
                  <w:r>
                    <w:rPr>
                      <w:rFonts w:hint="eastAsia" w:cs="Times New Roman"/>
                      <w:iCs/>
                      <w:color w:val="000000" w:themeColor="text1"/>
                      <w:sz w:val="21"/>
                      <w:szCs w:val="21"/>
                      <w:lang w:val="en-US" w:eastAsia="zh-CN"/>
                      <w14:textFill>
                        <w14:solidFill>
                          <w14:schemeClr w14:val="tx1"/>
                        </w14:solidFill>
                      </w14:textFill>
                    </w:rPr>
                    <w:t>316L不锈钢粉末产品检测报告</w:t>
                  </w:r>
                </w:p>
              </w:tc>
            </w:tr>
            <w:tr w14:paraId="07AE8A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417" w:type="pct"/>
                  <w:tcBorders>
                    <w:tl2br w:val="nil"/>
                    <w:tr2bl w:val="nil"/>
                  </w:tcBorders>
                  <w:noWrap w:val="0"/>
                  <w:vAlign w:val="center"/>
                </w:tcPr>
                <w:p w14:paraId="01D87247">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p>
              </w:tc>
              <w:tc>
                <w:tcPr>
                  <w:tcW w:w="442" w:type="pct"/>
                  <w:tcBorders>
                    <w:tl2br w:val="nil"/>
                    <w:tr2bl w:val="nil"/>
                  </w:tcBorders>
                  <w:shd w:val="clear" w:color="auto" w:fill="auto"/>
                  <w:noWrap w:val="0"/>
                  <w:vAlign w:val="center"/>
                </w:tcPr>
                <w:p w14:paraId="308203D8">
                  <w:pPr>
                    <w:widowControl/>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液压油</w:t>
                  </w:r>
                </w:p>
              </w:tc>
              <w:tc>
                <w:tcPr>
                  <w:tcW w:w="3032" w:type="pct"/>
                  <w:tcBorders>
                    <w:tl2br w:val="nil"/>
                    <w:tr2bl w:val="nil"/>
                  </w:tcBorders>
                  <w:shd w:val="clear" w:color="auto" w:fill="auto"/>
                  <w:noWrap w:val="0"/>
                  <w:vAlign w:val="center"/>
                </w:tcPr>
                <w:p w14:paraId="6F4EB0D7">
                  <w:pPr>
                    <w:rPr>
                      <w:rFonts w:hint="default" w:ascii="Times New Roman" w:hAnsi="Times New Roman" w:eastAsia="宋体" w:cs="Times New Roman"/>
                      <w:iCs/>
                      <w:color w:val="000000" w:themeColor="text1"/>
                      <w:kern w:val="2"/>
                      <w:sz w:val="21"/>
                      <w:szCs w:val="21"/>
                      <w:lang w:val="en-US" w:eastAsia="zh-CN" w:bidi="ar-SA"/>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润滑油就是利用液体压力能的液压系统使用的液压介质，在液压系统中起着能量传递、抗磨、系统润滑、防腐、防锈、冷却等作用</w:t>
                  </w:r>
                </w:p>
              </w:tc>
              <w:tc>
                <w:tcPr>
                  <w:tcW w:w="1108" w:type="pct"/>
                  <w:tcBorders>
                    <w:tl2br w:val="nil"/>
                    <w:tr2bl w:val="nil"/>
                  </w:tcBorders>
                  <w:noWrap w:val="0"/>
                  <w:vAlign w:val="center"/>
                </w:tcPr>
                <w:p w14:paraId="0964FC0A">
                  <w:pPr>
                    <w:jc w:val="center"/>
                    <w:rPr>
                      <w:rFonts w:hint="default" w:cs="Times New Roman"/>
                      <w:iCs/>
                      <w:color w:val="000000" w:themeColor="text1"/>
                      <w:sz w:val="21"/>
                      <w:szCs w:val="21"/>
                      <w:lang w:val="en-US" w:eastAsia="zh-CN"/>
                      <w14:textFill>
                        <w14:solidFill>
                          <w14:schemeClr w14:val="tx1"/>
                        </w14:solidFill>
                      </w14:textFill>
                    </w:rPr>
                  </w:pPr>
                  <w:r>
                    <w:rPr>
                      <w:rFonts w:hint="eastAsia" w:cs="Times New Roman"/>
                      <w:iCs/>
                      <w:color w:val="000000" w:themeColor="text1"/>
                      <w:sz w:val="21"/>
                      <w:szCs w:val="21"/>
                      <w:lang w:val="en-US" w:eastAsia="zh-CN"/>
                      <w14:textFill>
                        <w14:solidFill>
                          <w14:schemeClr w14:val="tx1"/>
                        </w14:solidFill>
                      </w14:textFill>
                    </w:rPr>
                    <w:t>用于液压系统</w:t>
                  </w:r>
                </w:p>
              </w:tc>
            </w:tr>
            <w:tr w14:paraId="32DE54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417" w:type="pct"/>
                  <w:tcBorders>
                    <w:tl2br w:val="nil"/>
                    <w:tr2bl w:val="nil"/>
                  </w:tcBorders>
                  <w:noWrap w:val="0"/>
                  <w:vAlign w:val="center"/>
                </w:tcPr>
                <w:p w14:paraId="4C1F4FC4">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442" w:type="pct"/>
                  <w:tcBorders>
                    <w:tl2br w:val="nil"/>
                    <w:tr2bl w:val="nil"/>
                  </w:tcBorders>
                  <w:shd w:val="clear" w:color="auto" w:fill="auto"/>
                  <w:noWrap w:val="0"/>
                  <w:vAlign w:val="center"/>
                </w:tcPr>
                <w:p w14:paraId="2CB597CC">
                  <w:pPr>
                    <w:widowControl/>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切削液</w:t>
                  </w:r>
                </w:p>
              </w:tc>
              <w:tc>
                <w:tcPr>
                  <w:tcW w:w="3032" w:type="pct"/>
                  <w:tcBorders>
                    <w:tl2br w:val="nil"/>
                    <w:tr2bl w:val="nil"/>
                  </w:tcBorders>
                  <w:shd w:val="clear" w:color="auto" w:fill="auto"/>
                  <w:noWrap w:val="0"/>
                  <w:vAlign w:val="center"/>
                </w:tcPr>
                <w:p w14:paraId="47580C17">
                  <w:pPr>
                    <w:rPr>
                      <w:rFonts w:hint="default" w:ascii="Times New Roman" w:hAnsi="Times New Roman" w:eastAsia="宋体" w:cs="Times New Roman"/>
                      <w:bCs/>
                      <w:color w:val="000000" w:themeColor="text1"/>
                      <w:kern w:val="2"/>
                      <w:sz w:val="21"/>
                      <w:szCs w:val="21"/>
                      <w:u w:val="none"/>
                      <w:lang w:val="en-US" w:eastAsia="zh-CN" w:bidi="ar-SA"/>
                      <w14:textFill>
                        <w14:solidFill>
                          <w14:schemeClr w14:val="tx1"/>
                        </w14:solidFill>
                      </w14:textFill>
                    </w:rPr>
                  </w:pPr>
                  <w:r>
                    <w:rPr>
                      <w:rFonts w:hint="eastAsia" w:cs="Times New Roman"/>
                      <w:bCs/>
                      <w:color w:val="000000" w:themeColor="text1"/>
                      <w:sz w:val="21"/>
                      <w:szCs w:val="21"/>
                      <w:u w:val="none"/>
                      <w:lang w:val="en-US" w:eastAsia="zh-CN"/>
                      <w14:textFill>
                        <w14:solidFill>
                          <w14:schemeClr w14:val="tx1"/>
                        </w14:solidFill>
                      </w14:textFill>
                    </w:rPr>
                    <w:t>透明或半透明液体，稀释后接近水的密度（约1.0g/cm</w:t>
                  </w:r>
                  <w:r>
                    <w:rPr>
                      <w:rFonts w:hint="eastAsia" w:cs="Times New Roman"/>
                      <w:bCs/>
                      <w:color w:val="000000" w:themeColor="text1"/>
                      <w:sz w:val="21"/>
                      <w:szCs w:val="21"/>
                      <w:u w:val="none"/>
                      <w:vertAlign w:val="superscript"/>
                      <w:lang w:val="en-US" w:eastAsia="zh-CN"/>
                      <w14:textFill>
                        <w14:solidFill>
                          <w14:schemeClr w14:val="tx1"/>
                        </w14:solidFill>
                      </w14:textFill>
                    </w:rPr>
                    <w:t>3</w:t>
                  </w:r>
                  <w:r>
                    <w:rPr>
                      <w:rFonts w:hint="eastAsia" w:cs="Times New Roman"/>
                      <w:bCs/>
                      <w:color w:val="000000" w:themeColor="text1"/>
                      <w:sz w:val="21"/>
                      <w:szCs w:val="21"/>
                      <w:u w:val="none"/>
                      <w:lang w:val="en-US" w:eastAsia="zh-CN"/>
                      <w14:textFill>
                        <w14:solidFill>
                          <w14:schemeClr w14:val="tx1"/>
                        </w14:solidFill>
                      </w14:textFill>
                    </w:rPr>
                    <w:t>，冷却性好、清洗能力强，需兑水使用，适用高速切削，主要成分为水（占比80%—95%）、矿物油、植物油、极压剂（如硫化物、磷化物）、防锈剂、乳化剂、消泡剂</w:t>
                  </w:r>
                </w:p>
              </w:tc>
              <w:tc>
                <w:tcPr>
                  <w:tcW w:w="1108" w:type="pct"/>
                  <w:tcBorders>
                    <w:tl2br w:val="nil"/>
                    <w:tr2bl w:val="nil"/>
                  </w:tcBorders>
                  <w:noWrap w:val="0"/>
                  <w:vAlign w:val="center"/>
                </w:tcPr>
                <w:p w14:paraId="1A487714">
                  <w:pPr>
                    <w:jc w:val="center"/>
                    <w:rPr>
                      <w:rFonts w:hint="default" w:cs="Times New Roman"/>
                      <w:iCs/>
                      <w:color w:val="000000" w:themeColor="text1"/>
                      <w:sz w:val="21"/>
                      <w:szCs w:val="21"/>
                      <w:lang w:val="en-US" w:eastAsia="zh-CN"/>
                      <w14:textFill>
                        <w14:solidFill>
                          <w14:schemeClr w14:val="tx1"/>
                        </w14:solidFill>
                      </w14:textFill>
                    </w:rPr>
                  </w:pPr>
                  <w:r>
                    <w:rPr>
                      <w:rFonts w:hint="eastAsia" w:cs="Times New Roman"/>
                      <w:iCs/>
                      <w:color w:val="000000" w:themeColor="text1"/>
                      <w:sz w:val="21"/>
                      <w:szCs w:val="21"/>
                      <w:lang w:val="en-US" w:eastAsia="zh-CN"/>
                      <w14:textFill>
                        <w14:solidFill>
                          <w14:schemeClr w14:val="tx1"/>
                        </w14:solidFill>
                      </w14:textFill>
                    </w:rPr>
                    <w:t>用于机加工序</w:t>
                  </w:r>
                </w:p>
              </w:tc>
            </w:tr>
            <w:tr w14:paraId="6CE944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417" w:type="pct"/>
                  <w:tcBorders>
                    <w:tl2br w:val="nil"/>
                    <w:tr2bl w:val="nil"/>
                  </w:tcBorders>
                  <w:noWrap w:val="0"/>
                  <w:vAlign w:val="center"/>
                </w:tcPr>
                <w:p w14:paraId="4FFB135F">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w:t>
                  </w:r>
                </w:p>
              </w:tc>
              <w:tc>
                <w:tcPr>
                  <w:tcW w:w="442" w:type="pct"/>
                  <w:tcBorders>
                    <w:tl2br w:val="nil"/>
                    <w:tr2bl w:val="nil"/>
                  </w:tcBorders>
                  <w:shd w:val="clear" w:color="auto" w:fill="auto"/>
                  <w:noWrap w:val="0"/>
                  <w:vAlign w:val="center"/>
                </w:tcPr>
                <w:p w14:paraId="4E09DB87">
                  <w:pPr>
                    <w:widowControl/>
                    <w:jc w:val="center"/>
                    <w:rPr>
                      <w:rFonts w:hint="eastAsia"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陶瓷砂轮</w:t>
                  </w:r>
                </w:p>
              </w:tc>
              <w:tc>
                <w:tcPr>
                  <w:tcW w:w="3032" w:type="pct"/>
                  <w:tcBorders>
                    <w:tl2br w:val="nil"/>
                    <w:tr2bl w:val="nil"/>
                  </w:tcBorders>
                  <w:shd w:val="clear" w:color="auto" w:fill="auto"/>
                  <w:noWrap w:val="0"/>
                  <w:vAlign w:val="center"/>
                </w:tcPr>
                <w:p w14:paraId="181F2636">
                  <w:pPr>
                    <w:rPr>
                      <w:rFonts w:hint="eastAsia" w:cs="Times New Roman"/>
                      <w:bCs/>
                      <w:color w:val="000000" w:themeColor="text1"/>
                      <w:sz w:val="21"/>
                      <w:szCs w:val="21"/>
                      <w:u w:val="none"/>
                      <w:lang w:val="en-US" w:eastAsia="zh-CN"/>
                      <w14:textFill>
                        <w14:solidFill>
                          <w14:schemeClr w14:val="tx1"/>
                        </w14:solidFill>
                      </w14:textFill>
                    </w:rPr>
                  </w:pPr>
                  <w:r>
                    <w:rPr>
                      <w:rFonts w:hint="default" w:cs="Times New Roman"/>
                      <w:bCs/>
                      <w:color w:val="000000" w:themeColor="text1"/>
                      <w:sz w:val="21"/>
                      <w:szCs w:val="21"/>
                      <w:u w:val="none"/>
                      <w:lang w:val="en-US" w:eastAsia="zh-CN"/>
                      <w14:textFill>
                        <w14:solidFill>
                          <w14:schemeClr w14:val="tx1"/>
                        </w14:solidFill>
                      </w14:textFill>
                    </w:rPr>
                    <w:t>陶瓷砂轮主要由磨料</w:t>
                  </w:r>
                  <w:r>
                    <w:rPr>
                      <w:rFonts w:hint="eastAsia" w:cs="Times New Roman"/>
                      <w:bCs/>
                      <w:color w:val="000000" w:themeColor="text1"/>
                      <w:sz w:val="21"/>
                      <w:szCs w:val="21"/>
                      <w:u w:val="none"/>
                      <w:lang w:val="en-US" w:eastAsia="zh-CN"/>
                      <w14:textFill>
                        <w14:solidFill>
                          <w14:schemeClr w14:val="tx1"/>
                        </w14:solidFill>
                      </w14:textFill>
                    </w:rPr>
                    <w:t>（绿碳化硅）</w:t>
                  </w:r>
                  <w:r>
                    <w:rPr>
                      <w:rFonts w:hint="default" w:cs="Times New Roman"/>
                      <w:bCs/>
                      <w:color w:val="000000" w:themeColor="text1"/>
                      <w:sz w:val="21"/>
                      <w:szCs w:val="21"/>
                      <w:u w:val="none"/>
                      <w:lang w:val="en-US" w:eastAsia="zh-CN"/>
                      <w14:textFill>
                        <w14:solidFill>
                          <w14:schemeClr w14:val="tx1"/>
                        </w14:solidFill>
                      </w14:textFill>
                    </w:rPr>
                    <w:t>、陶瓷结合剂</w:t>
                  </w:r>
                  <w:r>
                    <w:rPr>
                      <w:rFonts w:hint="eastAsia" w:cs="Times New Roman"/>
                      <w:bCs/>
                      <w:color w:val="000000" w:themeColor="text1"/>
                      <w:sz w:val="21"/>
                      <w:szCs w:val="21"/>
                      <w:u w:val="none"/>
                      <w:lang w:val="en-US" w:eastAsia="zh-CN"/>
                      <w14:textFill>
                        <w14:solidFill>
                          <w14:schemeClr w14:val="tx1"/>
                        </w14:solidFill>
                      </w14:textFill>
                    </w:rPr>
                    <w:t>（</w:t>
                  </w:r>
                  <w:r>
                    <w:rPr>
                      <w:rFonts w:hint="default" w:cs="Times New Roman"/>
                      <w:bCs/>
                      <w:color w:val="000000" w:themeColor="text1"/>
                      <w:sz w:val="21"/>
                      <w:szCs w:val="21"/>
                      <w:u w:val="none"/>
                      <w:lang w:val="en-US" w:eastAsia="zh-CN"/>
                      <w14:textFill>
                        <w14:solidFill>
                          <w14:schemeClr w14:val="tx1"/>
                        </w14:solidFill>
                      </w14:textFill>
                    </w:rPr>
                    <w:t>硼硅玻璃、长石、粘土、锂辉石</w:t>
                  </w:r>
                  <w:r>
                    <w:rPr>
                      <w:rFonts w:hint="eastAsia" w:cs="Times New Roman"/>
                      <w:bCs/>
                      <w:color w:val="000000" w:themeColor="text1"/>
                      <w:sz w:val="21"/>
                      <w:szCs w:val="21"/>
                      <w:u w:val="none"/>
                      <w:lang w:val="en-US" w:eastAsia="zh-CN"/>
                      <w14:textFill>
                        <w14:solidFill>
                          <w14:schemeClr w14:val="tx1"/>
                        </w14:solidFill>
                      </w14:textFill>
                    </w:rPr>
                    <w:t>）</w:t>
                  </w:r>
                  <w:r>
                    <w:rPr>
                      <w:rFonts w:hint="default" w:cs="Times New Roman"/>
                      <w:bCs/>
                      <w:color w:val="000000" w:themeColor="text1"/>
                      <w:sz w:val="21"/>
                      <w:szCs w:val="21"/>
                      <w:u w:val="none"/>
                      <w:lang w:val="en-US" w:eastAsia="zh-CN"/>
                      <w14:textFill>
                        <w14:solidFill>
                          <w14:schemeClr w14:val="tx1"/>
                        </w14:solidFill>
                      </w14:textFill>
                    </w:rPr>
                    <w:t>等无机矿物组分构成，</w:t>
                  </w:r>
                  <w:r>
                    <w:rPr>
                      <w:rFonts w:hint="eastAsia" w:cs="Times New Roman"/>
                      <w:bCs/>
                      <w:color w:val="000000" w:themeColor="text1"/>
                      <w:sz w:val="21"/>
                      <w:szCs w:val="21"/>
                      <w:u w:val="none"/>
                      <w:lang w:val="en-US" w:eastAsia="zh-CN"/>
                      <w14:textFill>
                        <w14:solidFill>
                          <w14:schemeClr w14:val="tx1"/>
                        </w14:solidFill>
                      </w14:textFill>
                    </w:rPr>
                    <w:t>不涉及</w:t>
                  </w:r>
                  <w:r>
                    <w:rPr>
                      <w:rFonts w:hint="default" w:cs="Times New Roman"/>
                      <w:bCs/>
                      <w:color w:val="000000" w:themeColor="text1"/>
                      <w:sz w:val="21"/>
                      <w:szCs w:val="21"/>
                      <w:u w:val="none"/>
                      <w:lang w:val="en-US" w:eastAsia="zh-CN"/>
                      <w14:textFill>
                        <w14:solidFill>
                          <w14:schemeClr w14:val="tx1"/>
                        </w14:solidFill>
                      </w14:textFill>
                    </w:rPr>
                    <w:t>铅、汞、铬、镉、砷等重点管控类重金属</w:t>
                  </w:r>
                  <w:r>
                    <w:rPr>
                      <w:rFonts w:hint="eastAsia" w:cs="Times New Roman"/>
                      <w:bCs/>
                      <w:color w:val="000000" w:themeColor="text1"/>
                      <w:sz w:val="21"/>
                      <w:szCs w:val="21"/>
                      <w:u w:val="none"/>
                      <w:lang w:val="en-US" w:eastAsia="zh-CN"/>
                      <w14:textFill>
                        <w14:solidFill>
                          <w14:schemeClr w14:val="tx1"/>
                        </w14:solidFill>
                      </w14:textFill>
                    </w:rPr>
                    <w:t>，</w:t>
                  </w:r>
                  <w:r>
                    <w:rPr>
                      <w:rFonts w:hint="default" w:cs="Times New Roman"/>
                      <w:bCs/>
                      <w:color w:val="000000" w:themeColor="text1"/>
                      <w:sz w:val="21"/>
                      <w:szCs w:val="21"/>
                      <w:u w:val="none"/>
                      <w:lang w:val="en-US" w:eastAsia="zh-CN"/>
                      <w14:textFill>
                        <w14:solidFill>
                          <w14:schemeClr w14:val="tx1"/>
                        </w14:solidFill>
                      </w14:textFill>
                    </w:rPr>
                    <w:t>理化性质稳定，</w:t>
                  </w:r>
                  <w:r>
                    <w:rPr>
                      <w:rFonts w:hint="eastAsia" w:cs="Times New Roman"/>
                      <w:bCs/>
                      <w:color w:val="000000" w:themeColor="text1"/>
                      <w:sz w:val="21"/>
                      <w:szCs w:val="21"/>
                      <w:u w:val="none"/>
                      <w:lang w:val="en-US" w:eastAsia="zh-CN"/>
                      <w14:textFill>
                        <w14:solidFill>
                          <w14:schemeClr w14:val="tx1"/>
                        </w14:solidFill>
                      </w14:textFill>
                    </w:rPr>
                    <w:t>耐高温、</w:t>
                  </w:r>
                  <w:r>
                    <w:rPr>
                      <w:rFonts w:hint="default" w:cs="Times New Roman"/>
                      <w:bCs/>
                      <w:color w:val="000000" w:themeColor="text1"/>
                      <w:sz w:val="21"/>
                      <w:szCs w:val="21"/>
                      <w:u w:val="none"/>
                      <w:lang w:val="en-US" w:eastAsia="zh-CN"/>
                      <w14:textFill>
                        <w14:solidFill>
                          <w14:schemeClr w14:val="tx1"/>
                        </w14:solidFill>
                      </w14:textFill>
                    </w:rPr>
                    <w:t>硬度高、化学惰性强、耐热及导热性能良好；在常温及打磨工况下不分解、不挥发有毒有害物质，无易燃易爆、腐蚀性等危险特性；砂轮损耗物及打磨粉尘主要为无机颗粒物，不属于有毒有害危险物质，对周边环境影响较小。</w:t>
                  </w:r>
                </w:p>
              </w:tc>
              <w:tc>
                <w:tcPr>
                  <w:tcW w:w="1108" w:type="pct"/>
                  <w:tcBorders>
                    <w:tl2br w:val="nil"/>
                    <w:tr2bl w:val="nil"/>
                  </w:tcBorders>
                  <w:noWrap w:val="0"/>
                  <w:vAlign w:val="center"/>
                </w:tcPr>
                <w:p w14:paraId="4E4C23FB">
                  <w:pPr>
                    <w:jc w:val="center"/>
                    <w:rPr>
                      <w:rFonts w:hint="default" w:cs="Times New Roman"/>
                      <w:iCs/>
                      <w:color w:val="000000" w:themeColor="text1"/>
                      <w:sz w:val="21"/>
                      <w:szCs w:val="21"/>
                      <w:lang w:val="en-US" w:eastAsia="zh-CN"/>
                      <w14:textFill>
                        <w14:solidFill>
                          <w14:schemeClr w14:val="tx1"/>
                        </w14:solidFill>
                      </w14:textFill>
                    </w:rPr>
                  </w:pPr>
                  <w:r>
                    <w:rPr>
                      <w:rFonts w:hint="eastAsia" w:cs="Times New Roman"/>
                      <w:iCs/>
                      <w:color w:val="000000" w:themeColor="text1"/>
                      <w:sz w:val="21"/>
                      <w:szCs w:val="21"/>
                      <w:lang w:val="en-US" w:eastAsia="zh-CN"/>
                      <w14:textFill>
                        <w14:solidFill>
                          <w14:schemeClr w14:val="tx1"/>
                        </w14:solidFill>
                      </w14:textFill>
                    </w:rPr>
                    <w:t>主要用于修磨</w:t>
                  </w:r>
                </w:p>
              </w:tc>
            </w:tr>
          </w:tbl>
          <w:p w14:paraId="64EC370A">
            <w:pPr>
              <w:spacing w:line="360" w:lineRule="auto"/>
              <w:ind w:firstLine="422" w:firstLineChars="20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6、公用工程</w:t>
            </w:r>
          </w:p>
          <w:p w14:paraId="62E6A968">
            <w:pPr>
              <w:adjustRightInd w:val="0"/>
              <w:spacing w:line="360" w:lineRule="auto"/>
              <w:ind w:firstLine="420" w:firstLineChars="20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（1）给水</w:t>
            </w:r>
          </w:p>
          <w:p w14:paraId="778D8574">
            <w:pPr>
              <w:adjustRightInd w:val="0"/>
              <w:spacing w:line="360" w:lineRule="auto"/>
              <w:ind w:firstLine="420" w:firstLineChars="200"/>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项目供水水源为市政自来水</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其中冷却工序外购纯水</w:t>
            </w:r>
            <w:r>
              <w:rPr>
                <w:rFonts w:hint="default" w:ascii="Times New Roman" w:hAnsi="Times New Roman" w:eastAsia="宋体" w:cs="Times New Roman"/>
                <w:color w:val="000000" w:themeColor="text1"/>
                <w:sz w:val="21"/>
                <w:szCs w:val="21"/>
                <w14:textFill>
                  <w14:solidFill>
                    <w14:schemeClr w14:val="tx1"/>
                  </w14:solidFill>
                </w14:textFill>
              </w:rPr>
              <w:t>。</w:t>
            </w:r>
          </w:p>
          <w:p w14:paraId="6AAE7DE2">
            <w:pPr>
              <w:adjustRightInd w:val="0"/>
              <w:spacing w:line="360" w:lineRule="auto"/>
              <w:ind w:firstLine="420" w:firstLineChars="200"/>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r>
              <w:rPr>
                <w:rFonts w:hint="default" w:ascii="Times New Roman" w:hAnsi="Times New Roman" w:eastAsia="宋体" w:cs="Times New Roman"/>
                <w:color w:val="000000" w:themeColor="text1"/>
                <w:sz w:val="21"/>
                <w:szCs w:val="21"/>
                <w14:textFill>
                  <w14:solidFill>
                    <w14:schemeClr w14:val="tx1"/>
                  </w14:solidFill>
                </w14:textFill>
              </w:rPr>
              <w:t>生活用水</w:t>
            </w:r>
          </w:p>
          <w:p w14:paraId="0F502F3D">
            <w:pPr>
              <w:spacing w:line="360" w:lineRule="auto"/>
              <w:ind w:firstLine="420" w:firstLineChars="20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本项目</w:t>
            </w:r>
            <w:r>
              <w:rPr>
                <w:rFonts w:hint="eastAsia" w:cs="Times New Roman"/>
                <w:color w:val="000000" w:themeColor="text1"/>
                <w:sz w:val="21"/>
                <w:szCs w:val="21"/>
                <w:lang w:val="en-US" w:eastAsia="zh-CN"/>
                <w14:textFill>
                  <w14:solidFill>
                    <w14:schemeClr w14:val="tx1"/>
                  </w14:solidFill>
                </w14:textFill>
              </w:rPr>
              <w:t>劳动定员10</w:t>
            </w:r>
            <w:r>
              <w:rPr>
                <w:rFonts w:hint="default" w:ascii="Times New Roman" w:hAnsi="Times New Roman" w:cs="Times New Roman"/>
                <w:color w:val="000000" w:themeColor="text1"/>
                <w:sz w:val="21"/>
                <w:szCs w:val="21"/>
                <w14:textFill>
                  <w14:solidFill>
                    <w14:schemeClr w14:val="tx1"/>
                  </w14:solidFill>
                </w14:textFill>
              </w:rPr>
              <w:t>人</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厂区</w:t>
            </w:r>
            <w:r>
              <w:rPr>
                <w:rFonts w:hint="eastAsia" w:cs="Times New Roman"/>
                <w:color w:val="000000" w:themeColor="text1"/>
                <w:sz w:val="21"/>
                <w:szCs w:val="21"/>
                <w:lang w:val="en-US" w:eastAsia="zh-CN"/>
                <w14:textFill>
                  <w14:solidFill>
                    <w14:schemeClr w14:val="tx1"/>
                  </w14:solidFill>
                </w14:textFill>
              </w:rPr>
              <w:t>不</w:t>
            </w:r>
            <w:r>
              <w:rPr>
                <w:rFonts w:hint="default" w:ascii="Times New Roman" w:hAnsi="Times New Roman" w:cs="Times New Roman"/>
                <w:color w:val="000000" w:themeColor="text1"/>
                <w:sz w:val="21"/>
                <w:szCs w:val="21"/>
                <w:lang w:eastAsia="zh-CN"/>
                <w14:textFill>
                  <w14:solidFill>
                    <w14:schemeClr w14:val="tx1"/>
                  </w14:solidFill>
                </w14:textFill>
              </w:rPr>
              <w:t>提供食宿</w:t>
            </w:r>
            <w:r>
              <w:rPr>
                <w:rFonts w:hint="default" w:ascii="Times New Roman" w:hAnsi="Times New Roman" w:cs="Times New Roman"/>
                <w:color w:val="000000" w:themeColor="text1"/>
                <w:sz w:val="21"/>
                <w:szCs w:val="21"/>
                <w14:textFill>
                  <w14:solidFill>
                    <w14:schemeClr w14:val="tx1"/>
                  </w14:solidFill>
                </w14:textFill>
              </w:rPr>
              <w:t>。根据</w:t>
            </w:r>
            <w:bookmarkStart w:id="13" w:name="OLE_LINK1"/>
            <w:bookmarkStart w:id="14" w:name="OLE_LINK2"/>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陕西省</w:t>
            </w:r>
            <w:r>
              <w:rPr>
                <w:rFonts w:hint="default" w:ascii="Times New Roman" w:hAnsi="Times New Roman" w:cs="Times New Roman"/>
                <w:color w:val="000000" w:themeColor="text1"/>
                <w:sz w:val="21"/>
                <w:szCs w:val="21"/>
                <w14:textFill>
                  <w14:solidFill>
                    <w14:schemeClr w14:val="tx1"/>
                  </w14:solidFill>
                </w14:textFill>
              </w:rPr>
              <w:t>行业用水定额》</w:t>
            </w:r>
            <w:bookmarkEnd w:id="13"/>
            <w:bookmarkEnd w:id="14"/>
            <w:r>
              <w:rPr>
                <w:rFonts w:hint="default" w:ascii="Times New Roman" w:hAnsi="Times New Roman" w:cs="Times New Roman"/>
                <w:color w:val="000000" w:themeColor="text1"/>
                <w:sz w:val="21"/>
                <w:szCs w:val="21"/>
                <w:lang w:eastAsia="zh-CN"/>
                <w14:textFill>
                  <w14:solidFill>
                    <w14:schemeClr w14:val="tx1"/>
                  </w14:solidFill>
                </w14:textFill>
              </w:rPr>
              <w:t>（DB61/T943</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2020）</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员工</w:t>
            </w:r>
            <w:r>
              <w:rPr>
                <w:rFonts w:hint="default" w:ascii="Times New Roman" w:hAnsi="Times New Roman" w:cs="Times New Roman"/>
                <w:color w:val="000000" w:themeColor="text1"/>
                <w:sz w:val="21"/>
                <w:szCs w:val="21"/>
                <w:lang w:eastAsia="zh-CN"/>
                <w14:textFill>
                  <w14:solidFill>
                    <w14:schemeClr w14:val="tx1"/>
                  </w14:solidFill>
                </w14:textFill>
              </w:rPr>
              <w:t>用水</w:t>
            </w:r>
            <w:r>
              <w:rPr>
                <w:rFonts w:hint="default" w:ascii="Times New Roman" w:hAnsi="Times New Roman" w:cs="Times New Roman"/>
                <w:color w:val="000000" w:themeColor="text1"/>
                <w:sz w:val="21"/>
                <w:szCs w:val="21"/>
                <w14:textFill>
                  <w14:solidFill>
                    <w14:schemeClr w14:val="tx1"/>
                  </w14:solidFill>
                </w14:textFill>
              </w:rPr>
              <w:t>取</w:t>
            </w:r>
            <w:r>
              <w:rPr>
                <w:rFonts w:hint="eastAsia" w:cs="Times New Roman"/>
                <w:color w:val="000000" w:themeColor="text1"/>
                <w:sz w:val="21"/>
                <w:szCs w:val="21"/>
                <w:lang w:val="en-US" w:eastAsia="zh-CN"/>
                <w14:textFill>
                  <w14:solidFill>
                    <w14:schemeClr w14:val="tx1"/>
                  </w14:solidFill>
                </w14:textFill>
              </w:rPr>
              <w:t>35</w:t>
            </w:r>
            <w:r>
              <w:rPr>
                <w:rFonts w:hint="default" w:ascii="Times New Roman" w:hAnsi="Times New Roman" w:cs="Times New Roman"/>
                <w:color w:val="000000" w:themeColor="text1"/>
                <w:sz w:val="21"/>
                <w:szCs w:val="21"/>
                <w14:textFill>
                  <w14:solidFill>
                    <w14:schemeClr w14:val="tx1"/>
                  </w14:solidFill>
                </w14:textFill>
              </w:rPr>
              <w:t>L/人•d计</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项目年运行300天</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则本项目员工生活用水量为</w:t>
            </w:r>
            <w:r>
              <w:rPr>
                <w:rFonts w:hint="eastAsia" w:cs="Times New Roman"/>
                <w:color w:val="000000" w:themeColor="text1"/>
                <w:sz w:val="21"/>
                <w:szCs w:val="21"/>
                <w:lang w:val="en-US" w:eastAsia="zh-CN"/>
                <w14:textFill>
                  <w14:solidFill>
                    <w14:schemeClr w14:val="tx1"/>
                  </w14:solidFill>
                </w14:textFill>
              </w:rPr>
              <w:t>0.35</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/d、</w:t>
            </w:r>
            <w:r>
              <w:rPr>
                <w:rFonts w:hint="eastAsia" w:cs="Times New Roman"/>
                <w:color w:val="000000" w:themeColor="text1"/>
                <w:sz w:val="21"/>
                <w:szCs w:val="21"/>
                <w:lang w:val="en-US" w:eastAsia="zh-CN"/>
                <w14:textFill>
                  <w14:solidFill>
                    <w14:schemeClr w14:val="tx1"/>
                  </w14:solidFill>
                </w14:textFill>
              </w:rPr>
              <w:t>105</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/a。</w:t>
            </w:r>
            <w:r>
              <w:rPr>
                <w:rFonts w:hint="eastAsia" w:cs="Times New Roman"/>
                <w:color w:val="000000" w:themeColor="text1"/>
                <w:sz w:val="21"/>
                <w:szCs w:val="21"/>
                <w:lang w:val="en-US" w:eastAsia="zh-CN"/>
                <w14:textFill>
                  <w14:solidFill>
                    <w14:schemeClr w14:val="tx1"/>
                  </w14:solidFill>
                </w14:textFill>
              </w:rPr>
              <w:t>生活污水产生量</w:t>
            </w:r>
            <w:r>
              <w:rPr>
                <w:rFonts w:hint="default" w:ascii="Times New Roman" w:hAnsi="Times New Roman" w:cs="Times New Roman"/>
                <w:color w:val="000000" w:themeColor="text1"/>
                <w:sz w:val="21"/>
                <w:szCs w:val="21"/>
                <w14:textFill>
                  <w14:solidFill>
                    <w14:schemeClr w14:val="tx1"/>
                  </w14:solidFill>
                </w14:textFill>
              </w:rPr>
              <w:t>按用水量的8</w:t>
            </w:r>
            <w:r>
              <w:rPr>
                <w:rFonts w:hint="eastAsia" w:cs="Times New Roman"/>
                <w:color w:val="000000" w:themeColor="text1"/>
                <w:sz w:val="21"/>
                <w:szCs w:val="21"/>
                <w:lang w:val="en-US" w:eastAsia="zh-CN"/>
                <w14:textFill>
                  <w14:solidFill>
                    <w14:schemeClr w14:val="tx1"/>
                  </w14:solidFill>
                </w14:textFill>
              </w:rPr>
              <w:t>0</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eastAsia="zh-CN"/>
                <w14:textFill>
                  <w14:solidFill>
                    <w14:schemeClr w14:val="tx1"/>
                  </w14:solidFill>
                </w14:textFill>
              </w:rPr>
              <w:t>计算</w:t>
            </w:r>
            <w:r>
              <w:rPr>
                <w:rFonts w:hint="eastAsia" w:cs="Times New Roman"/>
                <w:bCs/>
                <w:color w:val="000000" w:themeColor="text1"/>
                <w:sz w:val="21"/>
                <w:szCs w:val="21"/>
                <w:lang w:eastAsia="zh-CN"/>
                <w14:textFill>
                  <w14:solidFill>
                    <w14:schemeClr w14:val="tx1"/>
                  </w14:solidFill>
                </w14:textFill>
              </w:rPr>
              <w:t>，</w:t>
            </w:r>
            <w:r>
              <w:rPr>
                <w:rFonts w:hint="default" w:ascii="Times New Roman" w:hAnsi="Times New Roman" w:cs="Times New Roman"/>
                <w:bCs/>
                <w:color w:val="000000" w:themeColor="text1"/>
                <w:sz w:val="21"/>
                <w:szCs w:val="21"/>
                <w14:textFill>
                  <w14:solidFill>
                    <w14:schemeClr w14:val="tx1"/>
                  </w14:solidFill>
                </w14:textFill>
              </w:rPr>
              <w:t>则员工生活污水产生量为</w:t>
            </w:r>
            <w:r>
              <w:rPr>
                <w:rFonts w:hint="eastAsia" w:cs="Times New Roman"/>
                <w:bCs/>
                <w:color w:val="000000" w:themeColor="text1"/>
                <w:sz w:val="21"/>
                <w:szCs w:val="21"/>
                <w:lang w:val="en-US" w:eastAsia="zh-CN"/>
                <w14:textFill>
                  <w14:solidFill>
                    <w14:schemeClr w14:val="tx1"/>
                  </w14:solidFill>
                </w14:textFill>
              </w:rPr>
              <w:t>0.28</w:t>
            </w:r>
            <w:r>
              <w:rPr>
                <w:rFonts w:hint="default" w:ascii="Times New Roman" w:hAnsi="Times New Roman" w:cs="Times New Roman"/>
                <w:bCs/>
                <w:color w:val="000000" w:themeColor="text1"/>
                <w:sz w:val="21"/>
                <w:szCs w:val="21"/>
                <w14:textFill>
                  <w14:solidFill>
                    <w14:schemeClr w14:val="tx1"/>
                  </w14:solidFill>
                </w14:textFill>
              </w:rPr>
              <w:t>m</w:t>
            </w:r>
            <w:r>
              <w:rPr>
                <w:rFonts w:hint="default" w:ascii="Times New Roman" w:hAnsi="Times New Roman" w:cs="Times New Roman"/>
                <w:bCs/>
                <w:color w:val="000000" w:themeColor="text1"/>
                <w:sz w:val="21"/>
                <w:szCs w:val="21"/>
                <w:vertAlign w:val="superscript"/>
                <w14:textFill>
                  <w14:solidFill>
                    <w14:schemeClr w14:val="tx1"/>
                  </w14:solidFill>
                </w14:textFill>
              </w:rPr>
              <w:t>3</w:t>
            </w:r>
            <w:r>
              <w:rPr>
                <w:rFonts w:hint="default" w:ascii="Times New Roman" w:hAnsi="Times New Roman" w:cs="Times New Roman"/>
                <w:bCs/>
                <w:color w:val="000000" w:themeColor="text1"/>
                <w:sz w:val="21"/>
                <w:szCs w:val="21"/>
                <w14:textFill>
                  <w14:solidFill>
                    <w14:schemeClr w14:val="tx1"/>
                  </w14:solidFill>
                </w14:textFill>
              </w:rPr>
              <w:t>/d</w:t>
            </w:r>
            <w:r>
              <w:rPr>
                <w:rFonts w:hint="eastAsia" w:cs="Times New Roman"/>
                <w:bCs/>
                <w:color w:val="000000" w:themeColor="text1"/>
                <w:sz w:val="21"/>
                <w:szCs w:val="21"/>
                <w:lang w:eastAsia="zh-CN"/>
                <w14:textFill>
                  <w14:solidFill>
                    <w14:schemeClr w14:val="tx1"/>
                  </w14:solidFill>
                </w14:textFill>
              </w:rPr>
              <w:t>，</w:t>
            </w:r>
            <w:r>
              <w:rPr>
                <w:rFonts w:hint="eastAsia" w:cs="Times New Roman"/>
                <w:bCs/>
                <w:color w:val="000000" w:themeColor="text1"/>
                <w:sz w:val="21"/>
                <w:szCs w:val="21"/>
                <w:lang w:val="en-US" w:eastAsia="zh-CN"/>
                <w14:textFill>
                  <w14:solidFill>
                    <w14:schemeClr w14:val="tx1"/>
                  </w14:solidFill>
                </w14:textFill>
              </w:rPr>
              <w:t>84</w:t>
            </w:r>
            <w:r>
              <w:rPr>
                <w:rFonts w:hint="default" w:ascii="Times New Roman" w:hAnsi="Times New Roman" w:cs="Times New Roman"/>
                <w:bCs/>
                <w:color w:val="000000" w:themeColor="text1"/>
                <w:sz w:val="21"/>
                <w:szCs w:val="21"/>
                <w14:textFill>
                  <w14:solidFill>
                    <w14:schemeClr w14:val="tx1"/>
                  </w14:solidFill>
                </w14:textFill>
              </w:rPr>
              <w:t>m</w:t>
            </w:r>
            <w:r>
              <w:rPr>
                <w:rFonts w:hint="default" w:ascii="Times New Roman" w:hAnsi="Times New Roman" w:cs="Times New Roman"/>
                <w:bCs/>
                <w:color w:val="000000" w:themeColor="text1"/>
                <w:sz w:val="21"/>
                <w:szCs w:val="21"/>
                <w:vertAlign w:val="superscript"/>
                <w14:textFill>
                  <w14:solidFill>
                    <w14:schemeClr w14:val="tx1"/>
                  </w14:solidFill>
                </w14:textFill>
              </w:rPr>
              <w:t>3</w:t>
            </w:r>
            <w:r>
              <w:rPr>
                <w:rFonts w:hint="default" w:ascii="Times New Roman" w:hAnsi="Times New Roman" w:cs="Times New Roman"/>
                <w:bCs/>
                <w:color w:val="000000" w:themeColor="text1"/>
                <w:sz w:val="21"/>
                <w:szCs w:val="21"/>
                <w14:textFill>
                  <w14:solidFill>
                    <w14:schemeClr w14:val="tx1"/>
                  </w14:solidFill>
                </w14:textFill>
              </w:rPr>
              <w:t>/a</w:t>
            </w:r>
            <w:r>
              <w:rPr>
                <w:rFonts w:hint="default" w:ascii="Times New Roman" w:hAnsi="Times New Roman" w:cs="Times New Roman"/>
                <w:color w:val="000000" w:themeColor="text1"/>
                <w:sz w:val="21"/>
                <w:szCs w:val="21"/>
                <w14:textFill>
                  <w14:solidFill>
                    <w14:schemeClr w14:val="tx1"/>
                  </w14:solidFill>
                </w14:textFill>
              </w:rPr>
              <w:t>。</w:t>
            </w:r>
          </w:p>
          <w:p w14:paraId="4B6B56DA">
            <w:pPr>
              <w:adjustRightInd w:val="0"/>
              <w:spacing w:line="360" w:lineRule="auto"/>
              <w:ind w:firstLine="420" w:firstLineChars="20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生产用水</w:t>
            </w:r>
          </w:p>
          <w:p w14:paraId="33E018C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color w:val="000000" w:themeColor="text1"/>
                <w:sz w:val="21"/>
                <w:szCs w:val="21"/>
                <w:highlight w:val="none"/>
                <w:lang w:val="en-US" w:eastAsia="zh-Hans"/>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①</w:t>
            </w:r>
            <w:r>
              <w:rPr>
                <w:rFonts w:hint="eastAsia" w:cs="Times New Roman"/>
                <w:color w:val="000000" w:themeColor="text1"/>
                <w:sz w:val="21"/>
                <w:szCs w:val="21"/>
                <w:highlight w:val="none"/>
                <w:lang w:val="en-US" w:eastAsia="zh-CN"/>
                <w14:textFill>
                  <w14:solidFill>
                    <w14:schemeClr w14:val="tx1"/>
                  </w14:solidFill>
                </w14:textFill>
              </w:rPr>
              <w:t>切削液配比</w:t>
            </w:r>
            <w:r>
              <w:rPr>
                <w:rFonts w:hint="default" w:ascii="Times New Roman" w:hAnsi="Times New Roman" w:cs="Times New Roman"/>
                <w:color w:val="000000" w:themeColor="text1"/>
                <w:sz w:val="21"/>
                <w:szCs w:val="21"/>
                <w:highlight w:val="none"/>
                <w:lang w:val="en-US" w:eastAsia="zh-Hans"/>
                <w14:textFill>
                  <w14:solidFill>
                    <w14:schemeClr w14:val="tx1"/>
                  </w14:solidFill>
                </w14:textFill>
              </w:rPr>
              <w:t>用水</w:t>
            </w:r>
          </w:p>
          <w:p w14:paraId="0311C24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本项目</w:t>
            </w:r>
            <w:r>
              <w:rPr>
                <w:rFonts w:hint="eastAsia" w:ascii="Times New Roman" w:hAnsi="Times New Roman" w:cs="Times New Roman"/>
                <w:color w:val="000000" w:themeColor="text1"/>
                <w:highlight w:val="none"/>
                <w:lang w:val="en-US" w:eastAsia="zh-CN"/>
                <w14:textFill>
                  <w14:solidFill>
                    <w14:schemeClr w14:val="tx1"/>
                  </w14:solidFill>
                </w14:textFill>
              </w:rPr>
              <w:t>使用水基型切削液对车床</w:t>
            </w:r>
            <w:r>
              <w:rPr>
                <w:rFonts w:hint="eastAsia" w:cs="Times New Roman"/>
                <w:color w:val="000000" w:themeColor="text1"/>
                <w:highlight w:val="none"/>
                <w:lang w:val="en-US" w:eastAsia="zh-CN"/>
                <w14:textFill>
                  <w14:solidFill>
                    <w14:schemeClr w14:val="tx1"/>
                  </w14:solidFill>
                </w14:textFill>
              </w:rPr>
              <w:t>等设备</w:t>
            </w:r>
            <w:r>
              <w:rPr>
                <w:rFonts w:hint="eastAsia" w:ascii="Times New Roman" w:hAnsi="Times New Roman" w:cs="Times New Roman"/>
                <w:color w:val="000000" w:themeColor="text1"/>
                <w:highlight w:val="none"/>
                <w:lang w:val="en-US" w:eastAsia="zh-CN"/>
                <w14:textFill>
                  <w14:solidFill>
                    <w14:schemeClr w14:val="tx1"/>
                  </w14:solidFill>
                </w14:textFill>
              </w:rPr>
              <w:t>进行冷却润滑</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切削液使用量为0.</w:t>
            </w:r>
            <w:r>
              <w:rPr>
                <w:rFonts w:hint="eastAsia"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lang w:val="en-US" w:eastAsia="zh-CN"/>
                <w14:textFill>
                  <w14:solidFill>
                    <w14:schemeClr w14:val="tx1"/>
                  </w14:solidFill>
                </w14:textFill>
              </w:rPr>
              <w:t>t/a</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切削液与水配置比例为1</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20</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则切削液稀释用水量为</w:t>
            </w:r>
            <w:r>
              <w:rPr>
                <w:rFonts w:hint="eastAsia" w:cs="Times New Roman"/>
                <w:color w:val="000000" w:themeColor="text1"/>
                <w:highlight w:val="none"/>
                <w:lang w:val="en-US" w:eastAsia="zh-CN"/>
                <w14:textFill>
                  <w14:solidFill>
                    <w14:schemeClr w14:val="tx1"/>
                  </w14:solidFill>
                </w14:textFill>
              </w:rPr>
              <w:t>2</w:t>
            </w:r>
            <w:r>
              <w:rPr>
                <w:rFonts w:hint="default" w:ascii="Times New Roman" w:hAnsi="Times New Roman" w:cs="Times New Roman"/>
                <w:color w:val="000000" w:themeColor="text1"/>
                <w:highlight w:val="none"/>
                <w:lang w:val="en-US" w:eastAsia="zh-CN"/>
                <w14:textFill>
                  <w14:solidFill>
                    <w14:schemeClr w14:val="tx1"/>
                  </w14:solidFill>
                </w14:textFill>
              </w:rPr>
              <w:t>m</w:t>
            </w:r>
            <w:r>
              <w:rPr>
                <w:rFonts w:hint="default"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highlight w:val="none"/>
                <w:lang w:val="en-US" w:eastAsia="zh-CN"/>
                <w14:textFill>
                  <w14:solidFill>
                    <w14:schemeClr w14:val="tx1"/>
                  </w14:solidFill>
                </w14:textFill>
              </w:rPr>
              <w:t>/a</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切削液循环使用</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定期补充损耗</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每3个月更换1次</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废液产生量约为0.</w:t>
            </w:r>
            <w:r>
              <w:rPr>
                <w:rFonts w:hint="eastAsia" w:cs="Times New Roman"/>
                <w:color w:val="000000" w:themeColor="text1"/>
                <w:highlight w:val="none"/>
                <w:lang w:val="en-US" w:eastAsia="zh-CN"/>
                <w14:textFill>
                  <w14:solidFill>
                    <w14:schemeClr w14:val="tx1"/>
                  </w14:solidFill>
                </w14:textFill>
              </w:rPr>
              <w:t>08</w:t>
            </w:r>
            <w:r>
              <w:rPr>
                <w:rFonts w:hint="default" w:ascii="Times New Roman" w:hAnsi="Times New Roman" w:cs="Times New Roman"/>
                <w:color w:val="000000" w:themeColor="text1"/>
                <w:highlight w:val="none"/>
                <w:lang w:val="en-US" w:eastAsia="zh-CN"/>
                <w14:textFill>
                  <w14:solidFill>
                    <w14:schemeClr w14:val="tx1"/>
                  </w14:solidFill>
                </w14:textFill>
              </w:rPr>
              <w:t>t/a</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暂存于</w:t>
            </w:r>
            <w:r>
              <w:rPr>
                <w:rFonts w:hint="eastAsia" w:cs="Times New Roman"/>
                <w:color w:val="000000" w:themeColor="text1"/>
                <w:highlight w:val="none"/>
                <w:lang w:val="en-US" w:eastAsia="zh-CN"/>
                <w14:textFill>
                  <w14:solidFill>
                    <w14:schemeClr w14:val="tx1"/>
                  </w14:solidFill>
                </w14:textFill>
              </w:rPr>
              <w:t>新建危废贮存库</w:t>
            </w:r>
            <w:r>
              <w:rPr>
                <w:rFonts w:hint="default" w:ascii="Times New Roman" w:hAnsi="Times New Roman" w:cs="Times New Roman"/>
                <w:color w:val="000000" w:themeColor="text1"/>
                <w:highlight w:val="none"/>
                <w:lang w:val="en-US" w:eastAsia="zh-CN"/>
                <w14:textFill>
                  <w14:solidFill>
                    <w14:schemeClr w14:val="tx1"/>
                  </w14:solidFill>
                </w14:textFill>
              </w:rPr>
              <w:t>内</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专用容器收集</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作为危险废物交由有资质单位进行处置。</w:t>
            </w:r>
          </w:p>
          <w:p w14:paraId="02C9028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②冷却用水</w:t>
            </w:r>
          </w:p>
          <w:p w14:paraId="0935F9AD">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本项目</w:t>
            </w:r>
            <w:r>
              <w:rPr>
                <w:rFonts w:hint="eastAsia" w:cs="Times New Roman"/>
                <w:color w:val="000000" w:themeColor="text1"/>
                <w:highlight w:val="none"/>
                <w:lang w:val="en-US" w:eastAsia="zh-CN"/>
                <w14:textFill>
                  <w14:solidFill>
                    <w14:schemeClr w14:val="tx1"/>
                  </w14:solidFill>
                </w14:textFill>
              </w:rPr>
              <w:t>烧结炉共</w:t>
            </w:r>
            <w:r>
              <w:rPr>
                <w:rFonts w:hint="eastAsia" w:ascii="Times New Roman" w:hAnsi="Times New Roman" w:eastAsia="宋体" w:cs="Times New Roman"/>
                <w:color w:val="000000" w:themeColor="text1"/>
                <w:highlight w:val="none"/>
                <w:lang w:val="en-US" w:eastAsia="zh-CN"/>
                <w14:textFill>
                  <w14:solidFill>
                    <w14:schemeClr w14:val="tx1"/>
                  </w14:solidFill>
                </w14:textFill>
              </w:rPr>
              <w:t>配套设置1套</w:t>
            </w:r>
            <w:r>
              <w:rPr>
                <w:rFonts w:hint="default" w:ascii="Times New Roman" w:hAnsi="Times New Roman" w:eastAsia="宋体" w:cs="Times New Roman"/>
                <w:color w:val="000000" w:themeColor="text1"/>
                <w:highlight w:val="none"/>
                <w:lang w:val="en-US" w:eastAsia="zh-CN"/>
                <w14:textFill>
                  <w14:solidFill>
                    <w14:schemeClr w14:val="tx1"/>
                  </w14:solidFill>
                </w14:textFill>
              </w:rPr>
              <w:t>封闭式冷却水</w:t>
            </w:r>
            <w:r>
              <w:rPr>
                <w:rFonts w:hint="eastAsia" w:cs="Times New Roman"/>
                <w:color w:val="000000" w:themeColor="text1"/>
                <w:highlight w:val="none"/>
                <w:lang w:val="en-US" w:eastAsia="zh-CN"/>
                <w14:textFill>
                  <w14:solidFill>
                    <w14:schemeClr w14:val="tx1"/>
                  </w14:solidFill>
                </w14:textFill>
              </w:rPr>
              <w:t>塔</w:t>
            </w:r>
            <w:r>
              <w:rPr>
                <w:rFonts w:hint="default" w:ascii="Times New Roman" w:hAnsi="Times New Roman" w:eastAsia="宋体" w:cs="Times New Roman"/>
                <w:color w:val="000000" w:themeColor="text1"/>
                <w:highlight w:val="none"/>
                <w:lang w:val="en-US" w:eastAsia="zh-CN"/>
                <w14:textFill>
                  <w14:solidFill>
                    <w14:schemeClr w14:val="tx1"/>
                  </w14:solidFill>
                </w14:textFill>
              </w:rPr>
              <w:t>为</w:t>
            </w:r>
            <w:r>
              <w:rPr>
                <w:rFonts w:hint="eastAsia" w:cs="Times New Roman"/>
                <w:color w:val="000000" w:themeColor="text1"/>
                <w:highlight w:val="none"/>
                <w:lang w:val="en-US" w:eastAsia="zh-CN"/>
                <w14:textFill>
                  <w14:solidFill>
                    <w14:schemeClr w14:val="tx1"/>
                  </w14:solidFill>
                </w14:textFill>
              </w:rPr>
              <w:t>烧结炉</w:t>
            </w:r>
            <w:r>
              <w:rPr>
                <w:rFonts w:hint="default" w:ascii="Times New Roman" w:hAnsi="Times New Roman" w:eastAsia="宋体" w:cs="Times New Roman"/>
                <w:color w:val="000000" w:themeColor="text1"/>
                <w:highlight w:val="none"/>
                <w:lang w:val="en-US" w:eastAsia="zh-CN"/>
                <w14:textFill>
                  <w14:solidFill>
                    <w14:schemeClr w14:val="tx1"/>
                  </w14:solidFill>
                </w14:textFill>
              </w:rPr>
              <w:t>提供冷却水</w:t>
            </w:r>
            <w:r>
              <w:rPr>
                <w:rFonts w:hint="eastAsia" w:cs="Times New Roman"/>
                <w:color w:val="000000" w:themeColor="text1"/>
                <w:highlight w:val="none"/>
                <w:lang w:val="en-US" w:eastAsia="zh-CN"/>
                <w14:textFill>
                  <w14:solidFill>
                    <w14:schemeClr w14:val="tx1"/>
                  </w14:solidFill>
                </w14:textFill>
              </w:rPr>
              <w:t>，循环水量为4m</w:t>
            </w:r>
            <w:r>
              <w:rPr>
                <w:rFonts w:hint="eastAsia" w:cs="Times New Roman"/>
                <w:color w:val="000000" w:themeColor="text1"/>
                <w:highlight w:val="none"/>
                <w:vertAlign w:val="superscript"/>
                <w:lang w:val="en-US" w:eastAsia="zh-CN"/>
                <w14:textFill>
                  <w14:solidFill>
                    <w14:schemeClr w14:val="tx1"/>
                  </w14:solidFill>
                </w14:textFill>
              </w:rPr>
              <w:t>3</w:t>
            </w:r>
            <w:r>
              <w:rPr>
                <w:rFonts w:hint="eastAsia" w:cs="Times New Roman"/>
                <w:color w:val="000000" w:themeColor="text1"/>
                <w:highlight w:val="none"/>
                <w:lang w:val="en-US" w:eastAsia="zh-CN"/>
                <w14:textFill>
                  <w14:solidFill>
                    <w14:schemeClr w14:val="tx1"/>
                  </w14:solidFill>
                </w14:textFill>
              </w:rPr>
              <w:t>/h，</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冷却水间接冷却</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使用后水温升高</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水质未受污染</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因此利用泵提升后进入冷却</w:t>
            </w:r>
            <w:r>
              <w:rPr>
                <w:rFonts w:hint="eastAsia" w:cs="Times New Roman"/>
                <w:color w:val="000000" w:themeColor="text1"/>
                <w:highlight w:val="none"/>
                <w:lang w:val="en-US" w:eastAsia="zh-CN"/>
                <w14:textFill>
                  <w14:solidFill>
                    <w14:schemeClr w14:val="tx1"/>
                  </w14:solidFill>
                </w14:textFill>
              </w:rPr>
              <w:t>水箱</w:t>
            </w:r>
            <w:r>
              <w:rPr>
                <w:rFonts w:hint="default" w:ascii="Times New Roman" w:hAnsi="Times New Roman" w:eastAsia="宋体" w:cs="Times New Roman"/>
                <w:color w:val="000000" w:themeColor="text1"/>
                <w:highlight w:val="none"/>
                <w:lang w:val="en-US" w:eastAsia="zh-CN"/>
                <w14:textFill>
                  <w14:solidFill>
                    <w14:schemeClr w14:val="tx1"/>
                  </w14:solidFill>
                </w14:textFill>
              </w:rPr>
              <w:t>冷却循环使用。</w:t>
            </w:r>
          </w:p>
          <w:p w14:paraId="1510ADED">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根据</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《工业循环冷却水处理设计规范》（GB50050-2017）</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本项目循环水损耗计算如下：</w:t>
            </w:r>
          </w:p>
          <w:p w14:paraId="4459FC4B">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A、循环水蒸发损失水量P1</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p w14:paraId="416C747F">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2" w:firstLineChars="200"/>
              <w:jc w:val="center"/>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P1=K×△t×G</w:t>
            </w:r>
          </w:p>
          <w:p w14:paraId="6D25CE83">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式中：K——蒸发损失系数（1/℃）</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K的取值与环境温度有关</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本项目取30℃时的蒸发量为0.0015；</w:t>
            </w:r>
          </w:p>
          <w:p w14:paraId="1A5D96E8">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△t——冷却塔进出水的温度差</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取△t=10℃；</w:t>
            </w:r>
          </w:p>
          <w:p w14:paraId="0DC3CC2E">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G——系统循环水量（m</w:t>
            </w:r>
            <w:r>
              <w:rPr>
                <w:rFonts w:hint="default" w:ascii="Times New Roman" w:hAnsi="Times New Roman" w:eastAsia="宋体" w:cs="Times New Roman"/>
                <w:color w:val="000000" w:themeColor="text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lang w:val="en-US" w:eastAsia="zh-CN"/>
                <w14:textFill>
                  <w14:solidFill>
                    <w14:schemeClr w14:val="tx1"/>
                  </w14:solidFill>
                </w14:textFill>
              </w:rPr>
              <w:t>/h）</w:t>
            </w:r>
            <w:r>
              <w:rPr>
                <w:rFonts w:hint="eastAsia"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highlight w:val="none"/>
                <w:lang w:val="en-US" w:eastAsia="zh-CN"/>
                <w14:textFill>
                  <w14:solidFill>
                    <w14:schemeClr w14:val="tx1"/>
                  </w14:solidFill>
                </w14:textFill>
              </w:rPr>
              <w:t>冷却水循环系统</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总</w:t>
            </w:r>
            <w:r>
              <w:rPr>
                <w:rFonts w:hint="default" w:ascii="Times New Roman" w:hAnsi="Times New Roman" w:eastAsia="宋体" w:cs="Times New Roman"/>
                <w:color w:val="000000" w:themeColor="text1"/>
                <w:highlight w:val="none"/>
                <w:lang w:val="en-US" w:eastAsia="zh-CN"/>
                <w14:textFill>
                  <w14:solidFill>
                    <w14:schemeClr w14:val="tx1"/>
                  </w14:solidFill>
                </w14:textFill>
              </w:rPr>
              <w:t>循环水量取值</w:t>
            </w:r>
            <w:r>
              <w:rPr>
                <w:rFonts w:hint="eastAsia" w:cs="Times New Roman"/>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lang w:val="en-US" w:eastAsia="zh-CN"/>
                <w14:textFill>
                  <w14:solidFill>
                    <w14:schemeClr w14:val="tx1"/>
                  </w14:solidFill>
                </w14:textFill>
              </w:rPr>
              <w:t>/h。</w:t>
            </w:r>
          </w:p>
          <w:p w14:paraId="1AB39552">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计算得</w:t>
            </w:r>
            <w:r>
              <w:rPr>
                <w:rFonts w:hint="eastAsia"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highlight w:val="none"/>
                <w:lang w:val="en-US" w:eastAsia="zh-CN"/>
                <w14:textFill>
                  <w14:solidFill>
                    <w14:schemeClr w14:val="tx1"/>
                  </w14:solidFill>
                </w14:textFill>
              </w:rPr>
              <w:t>循环水蒸发量P1=</w:t>
            </w:r>
            <w:r>
              <w:rPr>
                <w:rFonts w:hint="eastAsia" w:cs="Times New Roman"/>
                <w:color w:val="000000" w:themeColor="text1"/>
                <w:highlight w:val="none"/>
                <w:lang w:val="en-US" w:eastAsia="zh-CN"/>
                <w14:textFill>
                  <w14:solidFill>
                    <w14:schemeClr w14:val="tx1"/>
                  </w14:solidFill>
                </w14:textFill>
              </w:rPr>
              <w:t>0.06</w:t>
            </w:r>
            <w:r>
              <w:rPr>
                <w:rFonts w:hint="default" w:ascii="Times New Roman" w:hAnsi="Times New Roman" w:eastAsia="宋体" w:cs="Times New Roman"/>
                <w:color w:val="000000" w:themeColor="text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lang w:val="en-US" w:eastAsia="zh-CN"/>
                <w14:textFill>
                  <w14:solidFill>
                    <w14:schemeClr w14:val="tx1"/>
                  </w14:solidFill>
                </w14:textFill>
              </w:rPr>
              <w:t>/h。</w:t>
            </w:r>
          </w:p>
          <w:p w14:paraId="50A71EFA">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B、循环水风吹损失量P2</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p w14:paraId="1CF02683">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2" w:firstLineChars="200"/>
              <w:jc w:val="center"/>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P2=G×0.2%</w:t>
            </w:r>
          </w:p>
          <w:p w14:paraId="1161B3C8">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计算得：</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highlight w:val="none"/>
                <w:lang w:val="en-US" w:eastAsia="zh-CN"/>
                <w14:textFill>
                  <w14:solidFill>
                    <w14:schemeClr w14:val="tx1"/>
                  </w14:solidFill>
                </w14:textFill>
              </w:rPr>
              <w:t>冷却塔风吹损失量P=0.</w:t>
            </w:r>
            <w:r>
              <w:rPr>
                <w:rFonts w:hint="eastAsia" w:cs="Times New Roman"/>
                <w:color w:val="000000" w:themeColor="text1"/>
                <w:highlight w:val="none"/>
                <w:lang w:val="en-US" w:eastAsia="zh-CN"/>
                <w14:textFill>
                  <w14:solidFill>
                    <w14:schemeClr w14:val="tx1"/>
                  </w14:solidFill>
                </w14:textFill>
              </w:rPr>
              <w:t>008</w:t>
            </w:r>
            <w:r>
              <w:rPr>
                <w:rFonts w:hint="default" w:ascii="Times New Roman" w:hAnsi="Times New Roman" w:eastAsia="宋体" w:cs="Times New Roman"/>
                <w:color w:val="000000" w:themeColor="text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lang w:val="en-US" w:eastAsia="zh-CN"/>
                <w14:textFill>
                  <w14:solidFill>
                    <w14:schemeClr w14:val="tx1"/>
                  </w14:solidFill>
                </w14:textFill>
              </w:rPr>
              <w:t>/h。</w:t>
            </w:r>
          </w:p>
          <w:p w14:paraId="289B0C02">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C、循环水补水量P3</w:t>
            </w:r>
          </w:p>
          <w:p w14:paraId="50857348">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2" w:firstLineChars="200"/>
              <w:jc w:val="center"/>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P3=P1+P2</w:t>
            </w:r>
          </w:p>
          <w:p w14:paraId="5CB53271">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计算得：冷却塔循环水补水量P</w:t>
            </w:r>
            <w:r>
              <w:rPr>
                <w:rFonts w:hint="eastAsia" w:ascii="Times New Roman" w:hAnsi="Times New Roman" w:eastAsia="宋体" w:cs="Times New Roman"/>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0.068</w:t>
            </w:r>
            <w:r>
              <w:rPr>
                <w:rFonts w:hint="default" w:ascii="Times New Roman" w:hAnsi="Times New Roman" w:eastAsia="宋体" w:cs="Times New Roman"/>
                <w:color w:val="000000" w:themeColor="text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lang w:val="en-US" w:eastAsia="zh-CN"/>
                <w14:textFill>
                  <w14:solidFill>
                    <w14:schemeClr w14:val="tx1"/>
                  </w14:solidFill>
                </w14:textFill>
              </w:rPr>
              <w:t>/h。</w:t>
            </w:r>
          </w:p>
          <w:p w14:paraId="229627BC">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本项目</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冷却</w:t>
            </w:r>
            <w:r>
              <w:rPr>
                <w:rFonts w:hint="default" w:ascii="Times New Roman" w:hAnsi="Times New Roman" w:eastAsia="宋体" w:cs="Times New Roman"/>
                <w:color w:val="000000" w:themeColor="text1"/>
                <w:highlight w:val="none"/>
                <w:lang w:val="en-US" w:eastAsia="zh-CN"/>
                <w14:textFill>
                  <w14:solidFill>
                    <w14:schemeClr w14:val="tx1"/>
                  </w14:solidFill>
                </w14:textFill>
              </w:rPr>
              <w:t>水循环系统损失量全部由</w:t>
            </w:r>
            <w:r>
              <w:rPr>
                <w:rFonts w:hint="eastAsia" w:cs="Times New Roman"/>
                <w:color w:val="000000" w:themeColor="text1"/>
                <w:highlight w:val="none"/>
                <w:lang w:val="en-US" w:eastAsia="zh-CN"/>
                <w14:textFill>
                  <w14:solidFill>
                    <w14:schemeClr w14:val="tx1"/>
                  </w14:solidFill>
                </w14:textFill>
              </w:rPr>
              <w:t>外购纯水</w:t>
            </w:r>
            <w:r>
              <w:rPr>
                <w:rFonts w:hint="default" w:ascii="Times New Roman" w:hAnsi="Times New Roman" w:eastAsia="宋体" w:cs="Times New Roman"/>
                <w:color w:val="000000" w:themeColor="text1"/>
                <w:highlight w:val="none"/>
                <w:lang w:val="en-US" w:eastAsia="zh-CN"/>
                <w14:textFill>
                  <w14:solidFill>
                    <w14:schemeClr w14:val="tx1"/>
                  </w14:solidFill>
                </w14:textFill>
              </w:rPr>
              <w:t>补充</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按照年生产</w:t>
            </w:r>
            <w:r>
              <w:rPr>
                <w:rFonts w:hint="eastAsia" w:cs="Times New Roman"/>
                <w:color w:val="000000" w:themeColor="text1"/>
                <w:highlight w:val="none"/>
                <w:lang w:val="en-US" w:eastAsia="zh-CN"/>
                <w14:textFill>
                  <w14:solidFill>
                    <w14:schemeClr w14:val="tx1"/>
                  </w14:solidFill>
                </w14:textFill>
              </w:rPr>
              <w:t>48</w:t>
            </w:r>
            <w:r>
              <w:rPr>
                <w:rFonts w:hint="eastAsia" w:ascii="Times New Roman" w:hAnsi="Times New Roman" w:eastAsia="宋体" w:cs="Times New Roman"/>
                <w:color w:val="000000" w:themeColor="text1"/>
                <w:highlight w:val="none"/>
                <w:lang w:val="en-US" w:eastAsia="zh-CN"/>
                <w14:textFill>
                  <w14:solidFill>
                    <w14:schemeClr w14:val="tx1"/>
                  </w14:solidFill>
                </w14:textFill>
              </w:rPr>
              <w:t>00h/a</w:t>
            </w:r>
            <w:r>
              <w:rPr>
                <w:rFonts w:hint="eastAsia"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t>本项目</w:t>
            </w:r>
            <w:r>
              <w:rPr>
                <w:rFonts w:hint="eastAsia" w:cs="Times New Roman"/>
                <w:color w:val="000000" w:themeColor="text1"/>
                <w:highlight w:val="none"/>
                <w:lang w:val="en-US" w:eastAsia="zh-CN"/>
                <w14:textFill>
                  <w14:solidFill>
                    <w14:schemeClr w14:val="tx1"/>
                  </w14:solidFill>
                </w14:textFill>
              </w:rPr>
              <w:t>烧结炉冷却工序</w:t>
            </w:r>
            <w:r>
              <w:rPr>
                <w:rFonts w:hint="default" w:ascii="Times New Roman" w:hAnsi="Times New Roman" w:eastAsia="宋体" w:cs="Times New Roman"/>
                <w:color w:val="000000" w:themeColor="text1"/>
                <w:highlight w:val="none"/>
                <w:lang w:val="en-US" w:eastAsia="zh-CN"/>
                <w14:textFill>
                  <w14:solidFill>
                    <w14:schemeClr w14:val="tx1"/>
                  </w14:solidFill>
                </w14:textFill>
              </w:rPr>
              <w:t>的</w:t>
            </w:r>
            <w:r>
              <w:rPr>
                <w:rFonts w:hint="eastAsia" w:cs="Times New Roman"/>
                <w:color w:val="000000" w:themeColor="text1"/>
                <w:highlight w:val="none"/>
                <w:lang w:val="en-US" w:eastAsia="zh-CN"/>
                <w14:textFill>
                  <w14:solidFill>
                    <w14:schemeClr w14:val="tx1"/>
                  </w14:solidFill>
                </w14:textFill>
              </w:rPr>
              <w:t>纯水</w:t>
            </w:r>
            <w:r>
              <w:rPr>
                <w:rFonts w:hint="default" w:ascii="Times New Roman" w:hAnsi="Times New Roman" w:eastAsia="宋体" w:cs="Times New Roman"/>
                <w:color w:val="000000" w:themeColor="text1"/>
                <w:highlight w:val="none"/>
                <w:lang w:val="en-US" w:eastAsia="zh-CN"/>
                <w14:textFill>
                  <w14:solidFill>
                    <w14:schemeClr w14:val="tx1"/>
                  </w14:solidFill>
                </w14:textFill>
              </w:rPr>
              <w:t>补充水量为</w:t>
            </w:r>
            <w:r>
              <w:rPr>
                <w:rFonts w:hint="eastAsia" w:cs="Times New Roman"/>
                <w:color w:val="000000" w:themeColor="text1"/>
                <w:highlight w:val="none"/>
                <w:lang w:val="en-US" w:eastAsia="zh-CN"/>
                <w14:textFill>
                  <w14:solidFill>
                    <w14:schemeClr w14:val="tx1"/>
                  </w14:solidFill>
                </w14:textFill>
              </w:rPr>
              <w:t>0.068</w:t>
            </w:r>
            <w:r>
              <w:rPr>
                <w:rFonts w:hint="default" w:ascii="Times New Roman" w:hAnsi="Times New Roman" w:eastAsia="宋体" w:cs="Times New Roman"/>
                <w:color w:val="000000" w:themeColor="text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h，326.4</w:t>
            </w:r>
            <w:r>
              <w:rPr>
                <w:rFonts w:hint="default" w:ascii="Times New Roman" w:hAnsi="Times New Roman" w:eastAsia="宋体" w:cs="Times New Roman"/>
                <w:color w:val="000000" w:themeColor="text1"/>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lang w:val="en-US" w:eastAsia="zh-CN"/>
                <w14:textFill>
                  <w14:solidFill>
                    <w14:schemeClr w14:val="tx1"/>
                  </w14:solidFill>
                </w14:textFill>
              </w:rPr>
              <w:t>/a。</w:t>
            </w:r>
          </w:p>
          <w:p w14:paraId="44EB9D54">
            <w:pPr>
              <w:adjustRightInd w:val="0"/>
              <w:spacing w:line="360" w:lineRule="auto"/>
              <w:ind w:firstLine="420"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项目供水和排水情况见</w:t>
            </w:r>
            <w:r>
              <w:rPr>
                <w:rFonts w:hint="default" w:ascii="Times New Roman" w:hAnsi="Times New Roman" w:cs="Times New Roman"/>
                <w:color w:val="000000" w:themeColor="text1"/>
                <w:sz w:val="21"/>
                <w:szCs w:val="21"/>
                <w:lang w:val="en-US" w:eastAsia="zh-CN"/>
                <w14:textFill>
                  <w14:solidFill>
                    <w14:schemeClr w14:val="tx1"/>
                  </w14:solidFill>
                </w14:textFill>
              </w:rPr>
              <w:t>下</w:t>
            </w:r>
            <w:r>
              <w:rPr>
                <w:rFonts w:hint="eastAsia" w:cs="Times New Roman"/>
                <w:color w:val="000000" w:themeColor="text1"/>
                <w:sz w:val="21"/>
                <w:szCs w:val="21"/>
                <w:lang w:val="en-US" w:eastAsia="zh-CN"/>
                <w14:textFill>
                  <w14:solidFill>
                    <w14:schemeClr w14:val="tx1"/>
                  </w14:solidFill>
                </w14:textFill>
              </w:rPr>
              <w:t>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运行期间水平衡分析见</w:t>
            </w:r>
            <w:r>
              <w:rPr>
                <w:rFonts w:hint="default" w:ascii="Times New Roman" w:hAnsi="Times New Roman" w:cs="Times New Roman"/>
                <w:color w:val="000000" w:themeColor="text1"/>
                <w:sz w:val="21"/>
                <w:szCs w:val="21"/>
                <w:lang w:val="en-US" w:eastAsia="zh-CN"/>
                <w14:textFill>
                  <w14:solidFill>
                    <w14:schemeClr w14:val="tx1"/>
                  </w14:solidFill>
                </w14:textFill>
              </w:rPr>
              <w:t>下</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图。</w:t>
            </w:r>
          </w:p>
          <w:p w14:paraId="629B9E8F">
            <w:pPr>
              <w:ind w:firstLine="422" w:firstLineChars="200"/>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表2-</w:t>
            </w:r>
            <w:r>
              <w:rPr>
                <w:rFonts w:hint="eastAsia" w:cs="Times New Roman"/>
                <w:b/>
                <w:color w:val="000000" w:themeColor="text1"/>
                <w:sz w:val="21"/>
                <w:szCs w:val="21"/>
                <w:lang w:val="en-US" w:eastAsia="zh-CN"/>
                <w14:textFill>
                  <w14:solidFill>
                    <w14:schemeClr w14:val="tx1"/>
                  </w14:solidFill>
                </w14:textFill>
              </w:rPr>
              <w:t xml:space="preserve">7    </w:t>
            </w:r>
            <w:r>
              <w:rPr>
                <w:rFonts w:hint="default" w:ascii="Times New Roman" w:hAnsi="Times New Roman" w:cs="Times New Roman"/>
                <w:b/>
                <w:color w:val="000000" w:themeColor="text1"/>
                <w:sz w:val="21"/>
                <w:szCs w:val="21"/>
                <w14:textFill>
                  <w14:solidFill>
                    <w14:schemeClr w14:val="tx1"/>
                  </w14:solidFill>
                </w14:textFill>
              </w:rPr>
              <w:t>水平衡分析一览表</w:t>
            </w:r>
            <w:r>
              <w:rPr>
                <w:rFonts w:hint="eastAsia" w:cs="Times New Roman"/>
                <w:b/>
                <w:bCs/>
                <w:color w:val="000000" w:themeColor="text1"/>
                <w:sz w:val="21"/>
                <w:szCs w:val="21"/>
                <w:lang w:eastAsia="zh-CN"/>
                <w14:textFill>
                  <w14:solidFill>
                    <w14:schemeClr w14:val="tx1"/>
                  </w14:solidFill>
                </w14:textFill>
              </w:rPr>
              <w:t>（</w:t>
            </w:r>
            <w:r>
              <w:rPr>
                <w:rFonts w:hint="default" w:ascii="Times New Roman" w:hAnsi="Times New Roman" w:cs="Times New Roman"/>
                <w:b/>
                <w:bCs/>
                <w:color w:val="000000" w:themeColor="text1"/>
                <w:sz w:val="21"/>
                <w:szCs w:val="21"/>
                <w14:textFill>
                  <w14:solidFill>
                    <w14:schemeClr w14:val="tx1"/>
                  </w14:solidFill>
                </w14:textFill>
              </w:rPr>
              <w:t>m</w:t>
            </w:r>
            <w:r>
              <w:rPr>
                <w:rFonts w:hint="default" w:ascii="Times New Roman" w:hAnsi="Times New Roman" w:cs="Times New Roman"/>
                <w:b/>
                <w:bCs/>
                <w:color w:val="000000" w:themeColor="text1"/>
                <w:sz w:val="21"/>
                <w:szCs w:val="21"/>
                <w:vertAlign w:val="superscript"/>
                <w14:textFill>
                  <w14:solidFill>
                    <w14:schemeClr w14:val="tx1"/>
                  </w14:solidFill>
                </w14:textFill>
              </w:rPr>
              <w:t>3</w:t>
            </w:r>
            <w:r>
              <w:rPr>
                <w:rFonts w:hint="default" w:ascii="Times New Roman" w:hAnsi="Times New Roman" w:cs="Times New Roman"/>
                <w:b/>
                <w:bCs/>
                <w:color w:val="000000" w:themeColor="text1"/>
                <w:sz w:val="21"/>
                <w:szCs w:val="21"/>
                <w14:textFill>
                  <w14:solidFill>
                    <w14:schemeClr w14:val="tx1"/>
                  </w14:solidFill>
                </w14:textFill>
              </w:rPr>
              <w:t>/a</w:t>
            </w:r>
            <w:r>
              <w:rPr>
                <w:rFonts w:hint="eastAsia" w:cs="Times New Roman"/>
                <w:b/>
                <w:bCs/>
                <w:color w:val="000000" w:themeColor="text1"/>
                <w:sz w:val="21"/>
                <w:szCs w:val="21"/>
                <w:lang w:eastAsia="zh-CN"/>
                <w14:textFill>
                  <w14:solidFill>
                    <w14:schemeClr w14:val="tx1"/>
                  </w14:solidFill>
                </w14:textFill>
              </w:rPr>
              <w:t>）</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1134"/>
              <w:gridCol w:w="970"/>
              <w:gridCol w:w="869"/>
              <w:gridCol w:w="1164"/>
              <w:gridCol w:w="2611"/>
            </w:tblGrid>
            <w:tr w14:paraId="40E2B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21" w:type="pct"/>
                  <w:tcBorders>
                    <w:tl2br w:val="nil"/>
                    <w:tr2bl w:val="nil"/>
                  </w:tcBorders>
                  <w:noWrap w:val="0"/>
                  <w:vAlign w:val="center"/>
                </w:tcPr>
                <w:p w14:paraId="4B67B5CC">
                  <w:pPr>
                    <w:adjustRightInd w:val="0"/>
                    <w:snapToGrid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用水项目</w:t>
                  </w:r>
                </w:p>
              </w:tc>
              <w:tc>
                <w:tcPr>
                  <w:tcW w:w="685" w:type="pct"/>
                  <w:tcBorders>
                    <w:tl2br w:val="nil"/>
                    <w:tr2bl w:val="nil"/>
                  </w:tcBorders>
                  <w:noWrap w:val="0"/>
                  <w:vAlign w:val="center"/>
                </w:tcPr>
                <w:p w14:paraId="74B2BC94">
                  <w:pPr>
                    <w:adjustRightInd w:val="0"/>
                    <w:snapToGrid w:val="0"/>
                    <w:jc w:val="center"/>
                    <w:rPr>
                      <w:rFonts w:hint="default" w:ascii="Times New Roman" w:hAnsi="Times New Roman" w:cs="Times New Roman"/>
                      <w:b/>
                      <w:bCs/>
                      <w:color w:val="000000" w:themeColor="text1"/>
                      <w:sz w:val="21"/>
                      <w:szCs w:val="21"/>
                      <w:lang w:eastAsia="zh-CN"/>
                      <w14:textFill>
                        <w14:solidFill>
                          <w14:schemeClr w14:val="tx1"/>
                        </w14:solidFill>
                      </w14:textFill>
                    </w:rPr>
                  </w:pPr>
                  <w:r>
                    <w:rPr>
                      <w:rFonts w:hint="default" w:ascii="Times New Roman" w:hAnsi="Times New Roman" w:cs="Times New Roman"/>
                      <w:b/>
                      <w:bCs/>
                      <w:color w:val="000000" w:themeColor="text1"/>
                      <w:sz w:val="21"/>
                      <w:szCs w:val="21"/>
                      <w:lang w:eastAsia="zh-CN"/>
                      <w14:textFill>
                        <w14:solidFill>
                          <w14:schemeClr w14:val="tx1"/>
                        </w14:solidFill>
                      </w14:textFill>
                    </w:rPr>
                    <w:t>新鲜水</w:t>
                  </w:r>
                </w:p>
                <w:p w14:paraId="404D14F7">
                  <w:pPr>
                    <w:adjustRightInd w:val="0"/>
                    <w:snapToGrid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用量</w:t>
                  </w:r>
                </w:p>
              </w:tc>
              <w:tc>
                <w:tcPr>
                  <w:tcW w:w="586" w:type="pct"/>
                  <w:tcBorders>
                    <w:tl2br w:val="nil"/>
                    <w:tr2bl w:val="nil"/>
                  </w:tcBorders>
                  <w:noWrap w:val="0"/>
                  <w:vAlign w:val="center"/>
                </w:tcPr>
                <w:p w14:paraId="78A20FD5">
                  <w:pPr>
                    <w:adjustRightInd w:val="0"/>
                    <w:snapToGrid w:val="0"/>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消耗量</w:t>
                  </w:r>
                </w:p>
              </w:tc>
              <w:tc>
                <w:tcPr>
                  <w:tcW w:w="525" w:type="pct"/>
                  <w:tcBorders>
                    <w:tl2br w:val="nil"/>
                    <w:tr2bl w:val="nil"/>
                  </w:tcBorders>
                  <w:noWrap w:val="0"/>
                  <w:vAlign w:val="center"/>
                </w:tcPr>
                <w:p w14:paraId="10D689FB">
                  <w:pPr>
                    <w:adjustRightInd w:val="0"/>
                    <w:snapToGrid w:val="0"/>
                    <w:jc w:val="center"/>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废水量</w:t>
                  </w:r>
                </w:p>
              </w:tc>
              <w:tc>
                <w:tcPr>
                  <w:tcW w:w="703" w:type="pct"/>
                  <w:tcBorders>
                    <w:tl2br w:val="nil"/>
                    <w:tr2bl w:val="nil"/>
                  </w:tcBorders>
                  <w:noWrap w:val="0"/>
                  <w:vAlign w:val="center"/>
                </w:tcPr>
                <w:p w14:paraId="0E3E5202">
                  <w:pPr>
                    <w:adjustRightInd w:val="0"/>
                    <w:snapToGrid w:val="0"/>
                    <w:jc w:val="cente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循环量</w:t>
                  </w:r>
                </w:p>
              </w:tc>
              <w:tc>
                <w:tcPr>
                  <w:tcW w:w="1577" w:type="pct"/>
                  <w:tcBorders>
                    <w:tl2br w:val="nil"/>
                    <w:tr2bl w:val="nil"/>
                  </w:tcBorders>
                  <w:noWrap w:val="0"/>
                  <w:vAlign w:val="center"/>
                </w:tcPr>
                <w:p w14:paraId="5562555B">
                  <w:pPr>
                    <w:adjustRightInd w:val="0"/>
                    <w:snapToGrid w:val="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最终去向</w:t>
                  </w:r>
                </w:p>
              </w:tc>
            </w:tr>
            <w:tr w14:paraId="6C55F6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1" w:type="pct"/>
                  <w:tcBorders>
                    <w:tl2br w:val="nil"/>
                    <w:tr2bl w:val="nil"/>
                  </w:tcBorders>
                  <w:noWrap w:val="0"/>
                  <w:vAlign w:val="center"/>
                </w:tcPr>
                <w:p w14:paraId="2A40B279">
                  <w:pPr>
                    <w:adjustRightInd w:val="0"/>
                    <w:snapToGrid w:val="0"/>
                    <w:jc w:val="center"/>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生活用水</w:t>
                  </w:r>
                </w:p>
              </w:tc>
              <w:tc>
                <w:tcPr>
                  <w:tcW w:w="685" w:type="pct"/>
                  <w:tcBorders>
                    <w:tl2br w:val="nil"/>
                    <w:tr2bl w:val="nil"/>
                  </w:tcBorders>
                  <w:noWrap w:val="0"/>
                  <w:vAlign w:val="center"/>
                </w:tcPr>
                <w:p w14:paraId="0F95FE60">
                  <w:pPr>
                    <w:pStyle w:val="61"/>
                    <w:adjustRightInd w:val="0"/>
                    <w:snapToGrid w:val="0"/>
                    <w:spacing w:before="24" w:beforeAutospacing="0" w:after="24"/>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105</w:t>
                  </w:r>
                </w:p>
              </w:tc>
              <w:tc>
                <w:tcPr>
                  <w:tcW w:w="586" w:type="pct"/>
                  <w:tcBorders>
                    <w:tl2br w:val="nil"/>
                    <w:tr2bl w:val="nil"/>
                  </w:tcBorders>
                  <w:noWrap w:val="0"/>
                  <w:vAlign w:val="center"/>
                </w:tcPr>
                <w:p w14:paraId="2420C192">
                  <w:pPr>
                    <w:pStyle w:val="61"/>
                    <w:adjustRightInd w:val="0"/>
                    <w:snapToGrid w:val="0"/>
                    <w:spacing w:before="24" w:beforeAutospacing="0" w:after="24"/>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21</w:t>
                  </w:r>
                </w:p>
              </w:tc>
              <w:tc>
                <w:tcPr>
                  <w:tcW w:w="525" w:type="pct"/>
                  <w:tcBorders>
                    <w:tl2br w:val="nil"/>
                    <w:tr2bl w:val="nil"/>
                  </w:tcBorders>
                  <w:noWrap w:val="0"/>
                  <w:vAlign w:val="center"/>
                </w:tcPr>
                <w:p w14:paraId="2EEE0D53">
                  <w:pPr>
                    <w:pStyle w:val="61"/>
                    <w:adjustRightInd w:val="0"/>
                    <w:snapToGrid w:val="0"/>
                    <w:spacing w:before="24" w:beforeAutospacing="0" w:after="24"/>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84</w:t>
                  </w:r>
                </w:p>
              </w:tc>
              <w:tc>
                <w:tcPr>
                  <w:tcW w:w="703" w:type="pct"/>
                  <w:tcBorders>
                    <w:tl2br w:val="nil"/>
                    <w:tr2bl w:val="nil"/>
                  </w:tcBorders>
                  <w:noWrap w:val="0"/>
                  <w:vAlign w:val="center"/>
                </w:tcPr>
                <w:p w14:paraId="1E1F330B">
                  <w:pPr>
                    <w:pStyle w:val="61"/>
                    <w:adjustRightInd w:val="0"/>
                    <w:snapToGrid w:val="0"/>
                    <w:spacing w:before="24" w:beforeAutospacing="0" w:after="24"/>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577" w:type="pct"/>
                  <w:tcBorders>
                    <w:tl2br w:val="nil"/>
                    <w:tr2bl w:val="nil"/>
                  </w:tcBorders>
                  <w:noWrap w:val="0"/>
                  <w:vAlign w:val="center"/>
                </w:tcPr>
                <w:p w14:paraId="047D7A52">
                  <w:pPr>
                    <w:pStyle w:val="61"/>
                    <w:adjustRightInd w:val="0"/>
                    <w:snapToGrid w:val="0"/>
                    <w:spacing w:before="24" w:beforeAutospacing="0" w:after="24"/>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经现有化粪池收集处理后排入市政污水管网，再进入</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宝鸡市陈仓金信安水务有限公司（宝鸡市陈仓区虢镇污水处理厂）</w:t>
                  </w:r>
                  <w:r>
                    <w:rPr>
                      <w:rFonts w:hint="eastAsia" w:cs="Times New Roman"/>
                      <w:color w:val="000000" w:themeColor="text1"/>
                      <w:sz w:val="21"/>
                      <w:szCs w:val="21"/>
                      <w:lang w:val="en-US" w:eastAsia="zh-CN"/>
                      <w14:textFill>
                        <w14:solidFill>
                          <w14:schemeClr w14:val="tx1"/>
                        </w14:solidFill>
                      </w14:textFill>
                    </w:rPr>
                    <w:t>处理</w:t>
                  </w:r>
                </w:p>
              </w:tc>
            </w:tr>
            <w:tr w14:paraId="44D98F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1" w:type="pct"/>
                  <w:tcBorders>
                    <w:tl2br w:val="nil"/>
                    <w:tr2bl w:val="nil"/>
                  </w:tcBorders>
                  <w:shd w:val="clear" w:color="auto" w:fill="auto"/>
                  <w:noWrap w:val="0"/>
                  <w:vAlign w:val="center"/>
                </w:tcPr>
                <w:p w14:paraId="35308F8F">
                  <w:pPr>
                    <w:adjustRightInd w:val="0"/>
                    <w:snapToGrid w:val="0"/>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循环冷却水</w:t>
                  </w:r>
                </w:p>
              </w:tc>
              <w:tc>
                <w:tcPr>
                  <w:tcW w:w="685" w:type="pct"/>
                  <w:tcBorders>
                    <w:tl2br w:val="nil"/>
                    <w:tr2bl w:val="nil"/>
                  </w:tcBorders>
                  <w:shd w:val="clear" w:color="auto" w:fill="auto"/>
                  <w:noWrap w:val="0"/>
                  <w:vAlign w:val="center"/>
                </w:tcPr>
                <w:p w14:paraId="3FC58558">
                  <w:pPr>
                    <w:pStyle w:val="61"/>
                    <w:adjustRightInd w:val="0"/>
                    <w:snapToGrid w:val="0"/>
                    <w:spacing w:before="24" w:beforeAutospacing="0" w:after="24"/>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326.4</w:t>
                  </w:r>
                </w:p>
              </w:tc>
              <w:tc>
                <w:tcPr>
                  <w:tcW w:w="586" w:type="pct"/>
                  <w:tcBorders>
                    <w:tl2br w:val="nil"/>
                    <w:tr2bl w:val="nil"/>
                  </w:tcBorders>
                  <w:shd w:val="clear" w:color="auto" w:fill="auto"/>
                  <w:noWrap w:val="0"/>
                  <w:vAlign w:val="center"/>
                </w:tcPr>
                <w:p w14:paraId="2F922962">
                  <w:pPr>
                    <w:pStyle w:val="61"/>
                    <w:adjustRightInd w:val="0"/>
                    <w:snapToGrid w:val="0"/>
                    <w:spacing w:before="24" w:beforeAutospacing="0" w:after="24"/>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326.4</w:t>
                  </w:r>
                </w:p>
              </w:tc>
              <w:tc>
                <w:tcPr>
                  <w:tcW w:w="525" w:type="pct"/>
                  <w:tcBorders>
                    <w:tl2br w:val="nil"/>
                    <w:tr2bl w:val="nil"/>
                  </w:tcBorders>
                  <w:shd w:val="clear" w:color="auto" w:fill="auto"/>
                  <w:noWrap w:val="0"/>
                  <w:vAlign w:val="center"/>
                </w:tcPr>
                <w:p w14:paraId="0D63C178">
                  <w:pPr>
                    <w:pStyle w:val="61"/>
                    <w:adjustRightInd w:val="0"/>
                    <w:snapToGrid w:val="0"/>
                    <w:spacing w:before="24" w:beforeAutospacing="0" w:after="24"/>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w:t>
                  </w:r>
                </w:p>
              </w:tc>
              <w:tc>
                <w:tcPr>
                  <w:tcW w:w="703" w:type="pct"/>
                  <w:tcBorders>
                    <w:tl2br w:val="nil"/>
                    <w:tr2bl w:val="nil"/>
                  </w:tcBorders>
                  <w:noWrap w:val="0"/>
                  <w:vAlign w:val="center"/>
                </w:tcPr>
                <w:p w14:paraId="03A34C65">
                  <w:pPr>
                    <w:pStyle w:val="61"/>
                    <w:adjustRightInd w:val="0"/>
                    <w:snapToGrid w:val="0"/>
                    <w:spacing w:before="24" w:beforeAutospacing="0" w:after="24"/>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19200</w:t>
                  </w:r>
                </w:p>
              </w:tc>
              <w:tc>
                <w:tcPr>
                  <w:tcW w:w="1577" w:type="pct"/>
                  <w:tcBorders>
                    <w:tl2br w:val="nil"/>
                    <w:tr2bl w:val="nil"/>
                  </w:tcBorders>
                  <w:noWrap w:val="0"/>
                  <w:vAlign w:val="center"/>
                </w:tcPr>
                <w:p w14:paraId="6C577E10">
                  <w:pPr>
                    <w:pStyle w:val="61"/>
                    <w:adjustRightInd w:val="0"/>
                    <w:snapToGrid w:val="0"/>
                    <w:spacing w:before="24" w:beforeAutospacing="0" w:after="24"/>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循环使用，不外排</w:t>
                  </w:r>
                </w:p>
              </w:tc>
            </w:tr>
            <w:tr w14:paraId="2CF2F0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1" w:type="pct"/>
                  <w:tcBorders>
                    <w:tl2br w:val="nil"/>
                    <w:tr2bl w:val="nil"/>
                  </w:tcBorders>
                  <w:shd w:val="clear" w:color="auto" w:fill="auto"/>
                  <w:noWrap w:val="0"/>
                  <w:vAlign w:val="center"/>
                </w:tcPr>
                <w:p w14:paraId="5BF2C4FD">
                  <w:pPr>
                    <w:adjustRightInd w:val="0"/>
                    <w:snapToGrid w:val="0"/>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切削液配比</w:t>
                  </w:r>
                </w:p>
                <w:p w14:paraId="4B317468">
                  <w:pPr>
                    <w:adjustRightInd w:val="0"/>
                    <w:snapToGrid w:val="0"/>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用水</w:t>
                  </w:r>
                </w:p>
              </w:tc>
              <w:tc>
                <w:tcPr>
                  <w:tcW w:w="685" w:type="pct"/>
                  <w:tcBorders>
                    <w:tl2br w:val="nil"/>
                    <w:tr2bl w:val="nil"/>
                  </w:tcBorders>
                  <w:shd w:val="clear" w:color="auto" w:fill="auto"/>
                  <w:noWrap w:val="0"/>
                  <w:vAlign w:val="center"/>
                </w:tcPr>
                <w:p w14:paraId="0C224E67">
                  <w:pPr>
                    <w:pStyle w:val="61"/>
                    <w:adjustRightInd w:val="0"/>
                    <w:snapToGrid w:val="0"/>
                    <w:spacing w:before="24" w:beforeAutospacing="0" w:after="24"/>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w:t>
                  </w:r>
                </w:p>
              </w:tc>
              <w:tc>
                <w:tcPr>
                  <w:tcW w:w="586" w:type="pct"/>
                  <w:tcBorders>
                    <w:tl2br w:val="nil"/>
                    <w:tr2bl w:val="nil"/>
                  </w:tcBorders>
                  <w:shd w:val="clear" w:color="auto" w:fill="auto"/>
                  <w:noWrap w:val="0"/>
                  <w:vAlign w:val="center"/>
                </w:tcPr>
                <w:p w14:paraId="4BD5DCC3">
                  <w:pPr>
                    <w:pStyle w:val="61"/>
                    <w:adjustRightInd w:val="0"/>
                    <w:snapToGrid w:val="0"/>
                    <w:spacing w:before="24" w:beforeAutospacing="0" w:after="24"/>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1.92</w:t>
                  </w:r>
                </w:p>
              </w:tc>
              <w:tc>
                <w:tcPr>
                  <w:tcW w:w="525" w:type="pct"/>
                  <w:tcBorders>
                    <w:tl2br w:val="nil"/>
                    <w:tr2bl w:val="nil"/>
                  </w:tcBorders>
                  <w:shd w:val="clear" w:color="auto" w:fill="auto"/>
                  <w:noWrap w:val="0"/>
                  <w:vAlign w:val="center"/>
                </w:tcPr>
                <w:p w14:paraId="727C1BAE">
                  <w:pPr>
                    <w:pStyle w:val="61"/>
                    <w:adjustRightInd w:val="0"/>
                    <w:snapToGrid w:val="0"/>
                    <w:spacing w:before="24" w:beforeAutospacing="0" w:after="24"/>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0.08</w:t>
                  </w:r>
                </w:p>
              </w:tc>
              <w:tc>
                <w:tcPr>
                  <w:tcW w:w="703" w:type="pct"/>
                  <w:tcBorders>
                    <w:tl2br w:val="nil"/>
                    <w:tr2bl w:val="nil"/>
                  </w:tcBorders>
                  <w:shd w:val="clear" w:color="auto" w:fill="auto"/>
                  <w:noWrap w:val="0"/>
                  <w:vAlign w:val="center"/>
                </w:tcPr>
                <w:p w14:paraId="05FEA6C7">
                  <w:pPr>
                    <w:pStyle w:val="61"/>
                    <w:adjustRightInd w:val="0"/>
                    <w:snapToGrid w:val="0"/>
                    <w:spacing w:before="24" w:beforeAutospacing="0" w:after="24"/>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1577" w:type="pct"/>
                  <w:tcBorders>
                    <w:tl2br w:val="nil"/>
                    <w:tr2bl w:val="nil"/>
                  </w:tcBorders>
                  <w:shd w:val="clear" w:color="auto" w:fill="auto"/>
                  <w:noWrap w:val="0"/>
                  <w:vAlign w:val="center"/>
                </w:tcPr>
                <w:p w14:paraId="24D0EF9A">
                  <w:pPr>
                    <w:pStyle w:val="61"/>
                    <w:adjustRightInd w:val="0"/>
                    <w:snapToGrid w:val="0"/>
                    <w:spacing w:before="24" w:beforeAutospacing="0" w:after="24"/>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废切削液作为危废管理</w:t>
                  </w:r>
                </w:p>
              </w:tc>
            </w:tr>
            <w:tr w14:paraId="6BC239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1" w:type="pct"/>
                  <w:tcBorders>
                    <w:tl2br w:val="nil"/>
                    <w:tr2bl w:val="nil"/>
                  </w:tcBorders>
                  <w:noWrap w:val="0"/>
                  <w:vAlign w:val="center"/>
                </w:tcPr>
                <w:p w14:paraId="361E9672">
                  <w:pPr>
                    <w:adjustRightInd w:val="0"/>
                    <w:snapToGrid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合计</w:t>
                  </w:r>
                </w:p>
              </w:tc>
              <w:tc>
                <w:tcPr>
                  <w:tcW w:w="685" w:type="pct"/>
                  <w:tcBorders>
                    <w:tl2br w:val="nil"/>
                    <w:tr2bl w:val="nil"/>
                  </w:tcBorders>
                  <w:noWrap w:val="0"/>
                  <w:vAlign w:val="center"/>
                </w:tcPr>
                <w:p w14:paraId="7EDAE585">
                  <w:pPr>
                    <w:pStyle w:val="61"/>
                    <w:adjustRightInd w:val="0"/>
                    <w:snapToGrid w:val="0"/>
                    <w:spacing w:before="24" w:beforeAutospacing="0" w:after="24"/>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2538</w:t>
                  </w:r>
                </w:p>
              </w:tc>
              <w:tc>
                <w:tcPr>
                  <w:tcW w:w="586" w:type="pct"/>
                  <w:tcBorders>
                    <w:tl2br w:val="nil"/>
                    <w:tr2bl w:val="nil"/>
                  </w:tcBorders>
                  <w:noWrap w:val="0"/>
                  <w:vAlign w:val="center"/>
                </w:tcPr>
                <w:p w14:paraId="727E2C57">
                  <w:pPr>
                    <w:pStyle w:val="61"/>
                    <w:adjustRightInd w:val="0"/>
                    <w:snapToGrid w:val="0"/>
                    <w:spacing w:before="24" w:beforeAutospacing="0" w:after="24"/>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2007.52</w:t>
                  </w:r>
                </w:p>
              </w:tc>
              <w:tc>
                <w:tcPr>
                  <w:tcW w:w="525" w:type="pct"/>
                  <w:tcBorders>
                    <w:tl2br w:val="nil"/>
                    <w:tr2bl w:val="nil"/>
                  </w:tcBorders>
                  <w:noWrap w:val="0"/>
                  <w:vAlign w:val="center"/>
                </w:tcPr>
                <w:p w14:paraId="04629D62">
                  <w:pPr>
                    <w:pStyle w:val="61"/>
                    <w:adjustRightInd w:val="0"/>
                    <w:snapToGrid w:val="0"/>
                    <w:spacing w:before="24" w:beforeAutospacing="0" w:after="24"/>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530.48</w:t>
                  </w:r>
                </w:p>
              </w:tc>
              <w:tc>
                <w:tcPr>
                  <w:tcW w:w="703" w:type="pct"/>
                  <w:tcBorders>
                    <w:tl2br w:val="nil"/>
                    <w:tr2bl w:val="nil"/>
                  </w:tcBorders>
                  <w:noWrap w:val="0"/>
                  <w:vAlign w:val="center"/>
                </w:tcPr>
                <w:p w14:paraId="0462857B">
                  <w:pPr>
                    <w:pStyle w:val="61"/>
                    <w:adjustRightInd w:val="0"/>
                    <w:snapToGrid w:val="0"/>
                    <w:spacing w:before="24" w:beforeAutospacing="0" w:after="24"/>
                    <w:rPr>
                      <w:rFonts w:hint="eastAsia"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115200</w:t>
                  </w:r>
                </w:p>
              </w:tc>
              <w:tc>
                <w:tcPr>
                  <w:tcW w:w="1577" w:type="pct"/>
                  <w:tcBorders>
                    <w:tl2br w:val="nil"/>
                    <w:tr2bl w:val="nil"/>
                  </w:tcBorders>
                  <w:noWrap w:val="0"/>
                  <w:vAlign w:val="center"/>
                </w:tcPr>
                <w:p w14:paraId="003E769E">
                  <w:pPr>
                    <w:pStyle w:val="61"/>
                    <w:adjustRightInd w:val="0"/>
                    <w:snapToGrid w:val="0"/>
                    <w:spacing w:before="24" w:beforeAutospacing="0" w:after="24"/>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r>
          </w:tbl>
          <w:p w14:paraId="6AD52A3C">
            <w:pPr>
              <w:keepNext w:val="0"/>
              <w:keepLines w:val="0"/>
              <w:widowControl/>
              <w:suppressLineNumbers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object>
                <v:shape id="_x0000_i1025" o:spt="75" type="#_x0000_t75" style="height:227.75pt;width:412.15pt;" o:ole="t" filled="f" o:preferrelative="t" stroked="f" coordsize="21600,21600">
                  <v:path/>
                  <v:fill on="f" focussize="0,0"/>
                  <v:stroke on="f"/>
                  <v:imagedata r:id="rId16" o:title=""/>
                  <o:lock v:ext="edit" aspectratio="f"/>
                  <w10:wrap type="none"/>
                  <w10:anchorlock/>
                </v:shape>
                <o:OLEObject Type="Embed" ProgID="Visio.Drawing.15" ShapeID="_x0000_i1025" DrawAspect="Content" ObjectID="_1468075727" r:id="rId15">
                  <o:LockedField>false</o:LockedField>
                </o:OLEObject>
              </w:object>
            </w:r>
          </w:p>
          <w:p w14:paraId="0856BA28">
            <w:pPr>
              <w:adjustRightInd w:val="0"/>
              <w:snapToGrid w:val="0"/>
              <w:jc w:val="cente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图2-2</w:t>
            </w:r>
            <w:r>
              <w:rPr>
                <w:rFonts w:hint="eastAsia" w:cs="Times New Roman"/>
                <w:b/>
                <w:bCs/>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水平衡</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图</w:t>
            </w:r>
            <w:r>
              <w:rPr>
                <w:rFonts w:hint="eastAsia" w:cs="Times New Roman"/>
                <w:b/>
                <w:bCs/>
                <w:color w:val="000000" w:themeColor="text1"/>
                <w:sz w:val="21"/>
                <w:szCs w:val="21"/>
                <w:highlight w:val="none"/>
                <w:lang w:val="en-US" w:eastAsia="zh-CN"/>
                <w14:textFill>
                  <w14:solidFill>
                    <w14:schemeClr w14:val="tx1"/>
                  </w14:solidFill>
                </w14:textFill>
              </w:rPr>
              <w:t>单位：t</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/a</w:t>
            </w:r>
          </w:p>
          <w:p w14:paraId="23D651EB">
            <w:pPr>
              <w:adjustRightInd w:val="0"/>
              <w:spacing w:line="360" w:lineRule="auto"/>
              <w:ind w:firstLine="420"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（3）供电</w:t>
            </w:r>
          </w:p>
          <w:p w14:paraId="7B786C57">
            <w:pPr>
              <w:adjustRightInd w:val="0"/>
              <w:spacing w:line="360" w:lineRule="auto"/>
              <w:ind w:firstLine="420"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本项目供电由市政供电管网接入</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可满足日常生产生活需要。</w:t>
            </w:r>
          </w:p>
          <w:p w14:paraId="55B5D71F">
            <w:pPr>
              <w:adjustRightInd w:val="0"/>
              <w:spacing w:line="360" w:lineRule="auto"/>
              <w:ind w:firstLine="420"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（4）供暖与制冷</w:t>
            </w:r>
          </w:p>
          <w:p w14:paraId="456E5182">
            <w:pPr>
              <w:adjustRightInd w:val="0"/>
              <w:spacing w:line="360" w:lineRule="auto"/>
              <w:ind w:firstLine="420"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根据建设单位提供的资料</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项目办公区域冬季采暖、夏季制冷均采用分体空调。车间冬季不提供供暖措施</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设备供热主要为电加热</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夏季采用电风扇制冷。</w:t>
            </w:r>
          </w:p>
          <w:p w14:paraId="62D57EC9">
            <w:pPr>
              <w:spacing w:line="360" w:lineRule="auto"/>
              <w:ind w:firstLine="422" w:firstLineChars="200"/>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7</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、工作制度及劳动定员</w:t>
            </w:r>
          </w:p>
          <w:p w14:paraId="51175530">
            <w:pPr>
              <w:adjustRightInd w:val="0"/>
              <w:spacing w:line="360" w:lineRule="auto"/>
              <w:ind w:firstLine="420"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本项目劳动定员</w:t>
            </w:r>
            <w:r>
              <w:rPr>
                <w:rFonts w:hint="eastAsia" w:cs="Times New Roman"/>
                <w:color w:val="000000" w:themeColor="text1"/>
                <w:sz w:val="21"/>
                <w:szCs w:val="21"/>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人</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Hans"/>
                <w14:textFill>
                  <w14:solidFill>
                    <w14:schemeClr w14:val="tx1"/>
                  </w14:solidFill>
                </w14:textFill>
              </w:rPr>
              <w:t>厂区</w:t>
            </w:r>
            <w:r>
              <w:rPr>
                <w:rFonts w:hint="eastAsia" w:cs="Times New Roman"/>
                <w:color w:val="000000" w:themeColor="text1"/>
                <w:sz w:val="21"/>
                <w:szCs w:val="21"/>
                <w:lang w:val="en-US" w:eastAsia="zh-CN"/>
                <w14:textFill>
                  <w14:solidFill>
                    <w14:schemeClr w14:val="tx1"/>
                  </w14:solidFill>
                </w14:textFill>
              </w:rPr>
              <w:t>不</w:t>
            </w:r>
            <w:r>
              <w:rPr>
                <w:rFonts w:hint="default" w:ascii="Times New Roman" w:hAnsi="Times New Roman" w:cs="Times New Roman"/>
                <w:color w:val="000000" w:themeColor="text1"/>
                <w:sz w:val="21"/>
                <w:szCs w:val="21"/>
                <w:lang w:val="en-US" w:eastAsia="zh-Hans"/>
                <w14:textFill>
                  <w14:solidFill>
                    <w14:schemeClr w14:val="tx1"/>
                  </w14:solidFill>
                </w14:textFill>
              </w:rPr>
              <w:t>提供食宿</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全厂两</w:t>
            </w:r>
            <w:r>
              <w:rPr>
                <w:rFonts w:hint="default" w:ascii="Times New Roman" w:hAnsi="Times New Roman" w:cs="Times New Roman"/>
                <w:color w:val="000000" w:themeColor="text1"/>
                <w:sz w:val="21"/>
                <w:szCs w:val="21"/>
                <w:lang w:val="en-US" w:eastAsia="zh-CN"/>
                <w14:textFill>
                  <w14:solidFill>
                    <w14:schemeClr w14:val="tx1"/>
                  </w14:solidFill>
                </w14:textFill>
              </w:rPr>
              <w:t>班制</w:t>
            </w:r>
            <w:r>
              <w:rPr>
                <w:rFonts w:hint="eastAsia" w:cs="Times New Roman"/>
                <w:color w:val="000000" w:themeColor="text1"/>
                <w:sz w:val="21"/>
                <w:szCs w:val="21"/>
                <w:lang w:val="en-US" w:eastAsia="zh-CN"/>
                <w14:textFill>
                  <w14:solidFill>
                    <w14:schemeClr w14:val="tx1"/>
                  </w14:solidFill>
                </w14:textFill>
              </w:rPr>
              <w:t>，每班8h制，昼夜生产，</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年工作300天</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p w14:paraId="2AF70B91">
            <w:pPr>
              <w:keepNext w:val="0"/>
              <w:keepLines w:val="0"/>
              <w:suppressLineNumbers w:val="0"/>
              <w:adjustRightInd w:val="0"/>
              <w:snapToGrid w:val="0"/>
              <w:spacing w:before="0" w:beforeAutospacing="0" w:after="0" w:afterAutospacing="0" w:line="360" w:lineRule="auto"/>
              <w:ind w:left="0" w:right="0" w:firstLine="422"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8、</w:t>
            </w:r>
            <w:r>
              <w:rPr>
                <w:rFonts w:hint="default" w:ascii="Times New Roman" w:hAnsi="Times New Roman" w:cs="Times New Roman"/>
                <w:b/>
                <w:bCs/>
                <w:color w:val="000000" w:themeColor="text1"/>
                <w:sz w:val="21"/>
                <w:szCs w:val="21"/>
                <w14:textFill>
                  <w14:solidFill>
                    <w14:schemeClr w14:val="tx1"/>
                  </w14:solidFill>
                </w14:textFill>
              </w:rPr>
              <w:t>平面布置</w:t>
            </w:r>
            <w:r>
              <w:rPr>
                <w:rFonts w:hint="eastAsia" w:ascii="Times New Roman" w:hAnsi="Times New Roman" w:cs="Times New Roman"/>
                <w:b/>
                <w:bCs/>
                <w:color w:val="000000" w:themeColor="text1"/>
                <w:sz w:val="21"/>
                <w:szCs w:val="21"/>
                <w:lang w:val="en-US" w:eastAsia="zh-CN"/>
                <w14:textFill>
                  <w14:solidFill>
                    <w14:schemeClr w14:val="tx1"/>
                  </w14:solidFill>
                </w14:textFill>
              </w:rPr>
              <w:t>符合性分析</w:t>
            </w:r>
          </w:p>
          <w:p w14:paraId="599E380B">
            <w:pPr>
              <w:pStyle w:val="6"/>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auto"/>
              <w:ind w:left="0" w:right="0" w:firstLine="420" w:firstLineChars="200"/>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根据现场踏勘核实，宝鸡玖宝鑫新材科技有限公司租赁宝鸡得力隆纺织有限公司现有1#单层钢构车间，本项目所在区域</w:t>
            </w:r>
            <w:r>
              <w:rPr>
                <w:rFonts w:hint="default" w:ascii="Times New Roman" w:hAnsi="Times New Roman" w:cs="Times New Roman"/>
                <w:color w:val="000000" w:themeColor="text1"/>
                <w:sz w:val="21"/>
                <w:szCs w:val="21"/>
                <w:lang w:eastAsia="zh-CN"/>
                <w14:textFill>
                  <w14:solidFill>
                    <w14:schemeClr w14:val="tx1"/>
                  </w14:solidFill>
                </w14:textFill>
              </w:rPr>
              <w:t>占地面积约</w:t>
            </w:r>
            <w:r>
              <w:rPr>
                <w:rFonts w:hint="eastAsia" w:cs="Times New Roman"/>
                <w:color w:val="000000" w:themeColor="text1"/>
                <w:sz w:val="21"/>
                <w:szCs w:val="21"/>
                <w:lang w:val="en-US" w:eastAsia="zh-CN"/>
                <w14:textFill>
                  <w14:solidFill>
                    <w14:schemeClr w14:val="tx1"/>
                  </w14:solidFill>
                </w14:textFill>
              </w:rPr>
              <w:t>1020.99</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2</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本车间总平面东西总长42m，南北总宽34.31m，整体布局分区清晰、功能划分明确，车间中部预留贯通式物料运输通道，车间全域地面均实施硬化处理，满足物料转运、设备作业生产要求。</w:t>
            </w:r>
          </w:p>
          <w:p w14:paraId="332E560E">
            <w:pPr>
              <w:pStyle w:val="6"/>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auto"/>
              <w:ind w:left="0" w:right="0" w:firstLine="420" w:firstLineChars="200"/>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 xml:space="preserve">车间北侧区域集中布设生产核心设备，西侧依次布置1号、2号烧结炉，东侧配套1号轧机、2号轧机，最北端东侧分层设置激光切割、焊接、修磨工序工位，车间外东北角配套布置脉冲除尘器及排气筒（DA001），各类热加工、轧制、机加工设备沿车间北侧有序排布，设备分区规整，生产工艺流程衔接顺畅，物料转运距离短，可有效提升生产作业效率。 </w:t>
            </w:r>
          </w:p>
          <w:p w14:paraId="4D85F1D8">
            <w:pPr>
              <w:pStyle w:val="6"/>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auto"/>
              <w:ind w:left="0" w:right="0" w:firstLine="420" w:firstLineChars="200"/>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原料仓储分区按物料风险差异化布设，车间东侧区域独立设置钛粉原材料存放区（海绵钛粉库），同步配置灭火器、防静电装置等应急防护设施，满足钛粉易燃易爆物料储存安全管理要求；危废贮存库紧邻不锈钢粉库区设置。</w:t>
            </w:r>
          </w:p>
          <w:p w14:paraId="40DAD278">
            <w:pPr>
              <w:pStyle w:val="6"/>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auto"/>
              <w:ind w:left="0" w:right="0" w:firstLine="420" w:firstLineChars="200"/>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机加工辅助设备集中布置于车间南部中段，平板机、剪板机、车床集中连片设置，与北侧热加工、轧制工序形成南北作业分区，生产流线清晰；车间最东南侧划分旧设备存放区，闲置设备集中收纳，避免占用核心生产与仓储空间。</w:t>
            </w:r>
          </w:p>
          <w:p w14:paraId="11D4D972">
            <w:pPr>
              <w:pStyle w:val="6"/>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auto"/>
              <w:ind w:left="0" w:right="0" w:firstLine="420" w:firstLineChars="200"/>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办公用房集中布置于车间西南侧，独立划分四块办公室功能区域，与北侧生产加工区、东侧粉料仓储区物理分隔，生产粉尘、噪声对办公人员影响较小，办公与生产区域动静分离，兼顾生产管理与职工办公环境。</w:t>
            </w:r>
          </w:p>
          <w:p w14:paraId="0E8B2D63">
            <w:pPr>
              <w:pStyle w:val="6"/>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auto"/>
              <w:ind w:left="0" w:right="0" w:firstLine="420" w:firstLineChars="200"/>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项目车间整体布局紧凑集约，生产设备、原料仓储、辅助加工、办公用房集中整合布设，大幅节约建设用地，降低厂区管网、道路建设投资；配套废气处理设施布置于车间外东北角原料仓储区上方，废气就近收集处理，同时将产噪生产设备全部收纳于封闭厂房内部，厂房墙体有效阻隔生产噪声向外扩散，减少噪声对外环境敏感点的影响。</w:t>
            </w:r>
          </w:p>
          <w:p w14:paraId="064DD39C">
            <w:pPr>
              <w:pStyle w:val="6"/>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因此</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从环境保护的角度</w:t>
            </w:r>
            <w:r>
              <w:rPr>
                <w:rFonts w:hint="eastAsia" w:cs="Times New Roman"/>
                <w:b w:val="0"/>
                <w:bCs w:val="0"/>
                <w:color w:val="000000" w:themeColor="text1"/>
                <w:sz w:val="21"/>
                <w:szCs w:val="21"/>
                <w:lang w:val="en-US" w:eastAsia="zh-CN"/>
                <w14:textFill>
                  <w14:solidFill>
                    <w14:schemeClr w14:val="tx1"/>
                  </w14:solidFill>
                </w14:textFill>
              </w:rPr>
              <w:t>分析，</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厂区总平面布置合理。具体</w:t>
            </w:r>
            <w:r>
              <w:rPr>
                <w:rFonts w:hint="eastAsia" w:cs="Times New Roman"/>
                <w:b w:val="0"/>
                <w:bCs w:val="0"/>
                <w:color w:val="000000" w:themeColor="text1"/>
                <w:sz w:val="21"/>
                <w:szCs w:val="21"/>
                <w:lang w:val="en-US" w:eastAsia="zh-CN"/>
                <w14:textFill>
                  <w14:solidFill>
                    <w14:schemeClr w14:val="tx1"/>
                  </w14:solidFill>
                </w14:textFill>
              </w:rPr>
              <w:t>详见平面布置图</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w:t>
            </w:r>
          </w:p>
          <w:p w14:paraId="76BF38F6">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3CE0F568">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1D05F03F">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73F949CC">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7CAADBB2">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26F7070A">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2C9585B4">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1A90A9BC">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7FF1C617">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1F2C6DF2">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19FE8E33">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5BCD6FEC">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5570763A">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7F9A6FD8">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3520C98D">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49A652E2">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0B560848">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0F6495B5">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2C0D2925">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4038528E">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01B64C24">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60010A91">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115AEFC3">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1D1D248A">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7890923E">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1FFC498E">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523E5B19">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2B13B42B">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214F73DF">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14:paraId="4E3CBF40">
            <w:pPr>
              <w:rPr>
                <w:rFonts w:hint="default"/>
                <w:color w:val="000000" w:themeColor="text1"/>
                <w14:textFill>
                  <w14:solidFill>
                    <w14:schemeClr w14:val="tx1"/>
                  </w14:solidFill>
                </w14:textFill>
              </w:rPr>
            </w:pPr>
          </w:p>
        </w:tc>
      </w:tr>
      <w:tr w14:paraId="5B5209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823" w:type="dxa"/>
            <w:noWrap w:val="0"/>
            <w:vAlign w:val="center"/>
          </w:tcPr>
          <w:p w14:paraId="152479A2">
            <w:pPr>
              <w:pStyle w:val="20"/>
              <w:adjustRightInd w:val="0"/>
              <w:snapToGrid w:val="0"/>
              <w:spacing w:before="0" w:beforeAutospacing="0" w:after="0" w:afterAutospacing="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工艺流程和产排污环节</w:t>
            </w:r>
          </w:p>
        </w:tc>
        <w:tc>
          <w:tcPr>
            <w:tcW w:w="8161" w:type="dxa"/>
            <w:noWrap w:val="0"/>
            <w:vAlign w:val="top"/>
          </w:tcPr>
          <w:p w14:paraId="06B06EDD">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22" w:firstLineChars="200"/>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1、</w:t>
            </w:r>
            <w:r>
              <w:rPr>
                <w:rFonts w:hint="eastAsia" w:cs="Times New Roman"/>
                <w:b/>
                <w:bCs/>
                <w:color w:val="000000" w:themeColor="text1"/>
                <w:sz w:val="21"/>
                <w:szCs w:val="21"/>
                <w:lang w:val="en-US" w:eastAsia="zh-CN"/>
                <w14:textFill>
                  <w14:solidFill>
                    <w14:schemeClr w14:val="tx1"/>
                  </w14:solidFill>
                </w14:textFill>
              </w:rPr>
              <w:t>运营期</w:t>
            </w:r>
            <w:r>
              <w:rPr>
                <w:rFonts w:hint="default" w:ascii="Times New Roman" w:hAnsi="Times New Roman" w:cs="Times New Roman"/>
                <w:b/>
                <w:bCs/>
                <w:color w:val="000000" w:themeColor="text1"/>
                <w:sz w:val="21"/>
                <w:szCs w:val="21"/>
                <w:lang w:val="en-US" w:eastAsia="zh-CN"/>
                <w14:textFill>
                  <w14:solidFill>
                    <w14:schemeClr w14:val="tx1"/>
                  </w14:solidFill>
                </w14:textFill>
              </w:rPr>
              <w:t>生产工艺流程和产污环节</w:t>
            </w:r>
          </w:p>
          <w:p w14:paraId="7D460722">
            <w:pPr>
              <w:pStyle w:val="2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本项</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目</w:t>
            </w:r>
            <w:r>
              <w:rPr>
                <w:rFonts w:hint="eastAsia" w:cs="Times New Roman"/>
                <w:b w:val="0"/>
                <w:bCs w:val="0"/>
                <w:color w:val="000000" w:themeColor="text1"/>
                <w:sz w:val="21"/>
                <w:szCs w:val="21"/>
                <w:lang w:val="en-US" w:eastAsia="zh-CN"/>
                <w14:textFill>
                  <w14:solidFill>
                    <w14:schemeClr w14:val="tx1"/>
                  </w14:solidFill>
                </w14:textFill>
              </w:rPr>
              <w:t>运营期纯钛及不锈钢过滤元件加工</w:t>
            </w:r>
            <w:r>
              <w:rPr>
                <w:rFonts w:hint="default" w:ascii="Times New Roman" w:hAnsi="Times New Roman" w:cs="Times New Roman"/>
                <w:color w:val="000000" w:themeColor="text1"/>
                <w:sz w:val="21"/>
                <w:szCs w:val="21"/>
                <w:lang w:val="en-US" w:eastAsia="zh-CN"/>
                <w14:textFill>
                  <w14:solidFill>
                    <w14:schemeClr w14:val="tx1"/>
                  </w14:solidFill>
                </w14:textFill>
              </w:rPr>
              <w:t>工艺流程与产污环节如下图所示。</w:t>
            </w:r>
          </w:p>
          <w:p w14:paraId="34F632FB">
            <w:pPr>
              <w:keepNext w:val="0"/>
              <w:keepLines w:val="0"/>
              <w:widowControl/>
              <w:suppressLineNumbers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object>
                <v:shape id="_x0000_i1026" o:spt="75" type="#_x0000_t75" style="height:373.35pt;width:415.3pt;" o:ole="t" filled="f" o:preferrelative="t" stroked="f" coordsize="21600,21600">
                  <v:path/>
                  <v:fill on="f" focussize="0,0"/>
                  <v:stroke on="f"/>
                  <v:imagedata r:id="rId18" o:title=""/>
                  <o:lock v:ext="edit" aspectratio="t"/>
                  <w10:wrap type="none"/>
                  <w10:anchorlock/>
                </v:shape>
                <o:OLEObject Type="Embed" ProgID="Visio.Drawing.11" ShapeID="_x0000_i1026" DrawAspect="Content" ObjectID="_1468075728" r:id="rId17">
                  <o:LockedField>false</o:LockedField>
                </o:OLEObject>
              </w:object>
            </w:r>
          </w:p>
          <w:p w14:paraId="4BA30971">
            <w:pPr>
              <w:spacing w:line="360" w:lineRule="auto"/>
              <w:jc w:val="center"/>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eastAsia="zh-CN"/>
                <w14:textFill>
                  <w14:solidFill>
                    <w14:schemeClr w14:val="tx1"/>
                  </w14:solidFill>
                </w14:textFill>
              </w:rPr>
              <w:t>图</w:t>
            </w:r>
            <w:r>
              <w:rPr>
                <w:rFonts w:hint="default" w:ascii="Times New Roman" w:hAnsi="Times New Roman" w:cs="Times New Roman"/>
                <w:b/>
                <w:bCs/>
                <w:color w:val="000000" w:themeColor="text1"/>
                <w:sz w:val="21"/>
                <w:szCs w:val="21"/>
                <w:lang w:val="en-US" w:eastAsia="zh-CN"/>
                <w14:textFill>
                  <w14:solidFill>
                    <w14:schemeClr w14:val="tx1"/>
                  </w14:solidFill>
                </w14:textFill>
              </w:rPr>
              <w:t>2-3</w:t>
            </w:r>
            <w:r>
              <w:rPr>
                <w:rFonts w:hint="eastAsia"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lang w:val="en-US" w:eastAsia="zh-CN"/>
                <w14:textFill>
                  <w14:solidFill>
                    <w14:schemeClr w14:val="tx1"/>
                  </w14:solidFill>
                </w14:textFill>
              </w:rPr>
              <w:t>项目生产工艺流程与产污环节图</w:t>
            </w:r>
          </w:p>
          <w:p w14:paraId="79F49337">
            <w:pPr>
              <w:pStyle w:val="23"/>
              <w:keepNext w:val="0"/>
              <w:keepLines w:val="0"/>
              <w:pageBreakBefore w:val="0"/>
              <w:widowControl w:val="0"/>
              <w:kinsoku/>
              <w:wordWrap/>
              <w:overflowPunct/>
              <w:topLinePunct/>
              <w:autoSpaceDE/>
              <w:autoSpaceDN/>
              <w:bidi w:val="0"/>
              <w:adjustRightInd w:val="0"/>
              <w:snapToGrid w:val="0"/>
              <w:spacing w:after="0" w:line="360" w:lineRule="auto"/>
              <w:ind w:left="0" w:leftChars="0" w:firstLine="422" w:firstLineChars="200"/>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工艺</w:t>
            </w:r>
            <w:r>
              <w:rPr>
                <w:rFonts w:hint="default" w:ascii="Times New Roman" w:hAnsi="Times New Roman" w:cs="Times New Roman"/>
                <w:b/>
                <w:bCs/>
                <w:color w:val="000000" w:themeColor="text1"/>
                <w:sz w:val="21"/>
                <w:szCs w:val="21"/>
                <w:lang w:val="en-US" w:eastAsia="zh-CN"/>
                <w14:textFill>
                  <w14:solidFill>
                    <w14:schemeClr w14:val="tx1"/>
                  </w14:solidFill>
                </w14:textFill>
              </w:rPr>
              <w:t>环节简述</w:t>
            </w:r>
          </w:p>
          <w:p w14:paraId="075DFDCC">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本项目是以外购的桶装海绵钛粉末（</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规格-</w:t>
            </w:r>
            <w:r>
              <w:rPr>
                <w:rFonts w:hint="eastAsia" w:cs="Times New Roman"/>
                <w:color w:val="000000" w:themeColor="text1"/>
                <w:sz w:val="21"/>
                <w:szCs w:val="21"/>
                <w:lang w:val="en-US" w:eastAsia="zh-CN"/>
                <w14:textFill>
                  <w14:solidFill>
                    <w14:schemeClr w14:val="tx1"/>
                  </w14:solidFill>
                </w14:textFill>
              </w:rPr>
              <w:t>10</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0目</w:t>
            </w:r>
            <w:r>
              <w:rPr>
                <w:rFonts w:hint="eastAsia" w:cs="Times New Roman"/>
                <w:color w:val="000000" w:themeColor="text1"/>
                <w:sz w:val="21"/>
                <w:szCs w:val="21"/>
                <w:lang w:val="en-US" w:eastAsia="zh-CN"/>
                <w14:textFill>
                  <w14:solidFill>
                    <w14:schemeClr w14:val="tx1"/>
                  </w14:solidFill>
                </w14:textFill>
              </w:rPr>
              <w:t>）及316L型不锈钢粉末（</w:t>
            </w:r>
            <w:r>
              <w:rPr>
                <w:rFonts w:hint="eastAsia" w:ascii="Times New Roman" w:hAnsi="Times New Roman" w:eastAsia="宋体" w:cs="Times New Roman"/>
                <w:iCs/>
                <w:color w:val="000000" w:themeColor="text1"/>
                <w:sz w:val="21"/>
                <w:szCs w:val="21"/>
                <w:lang w:val="en-US" w:eastAsia="zh-CN"/>
                <w14:textFill>
                  <w14:solidFill>
                    <w14:schemeClr w14:val="tx1"/>
                  </w14:solidFill>
                </w14:textFill>
              </w:rPr>
              <w:t>规格</w:t>
            </w:r>
            <w:r>
              <w:rPr>
                <w:rFonts w:hint="eastAsia" w:cs="Times New Roman"/>
                <w:iCs/>
                <w:color w:val="000000" w:themeColor="text1"/>
                <w:sz w:val="21"/>
                <w:szCs w:val="21"/>
                <w:lang w:val="en-US" w:eastAsia="zh-CN"/>
                <w14:textFill>
                  <w14:solidFill>
                    <w14:schemeClr w14:val="tx1"/>
                  </w14:solidFill>
                </w14:textFill>
              </w:rPr>
              <w:t>80</w:t>
            </w:r>
            <w:r>
              <w:rPr>
                <w:rFonts w:hint="eastAsia" w:ascii="Times New Roman" w:hAnsi="Times New Roman" w:eastAsia="宋体" w:cs="Times New Roman"/>
                <w:iCs/>
                <w:color w:val="000000" w:themeColor="text1"/>
                <w:sz w:val="21"/>
                <w:szCs w:val="21"/>
                <w:lang w:val="en-US" w:eastAsia="zh-CN"/>
                <w14:textFill>
                  <w14:solidFill>
                    <w14:schemeClr w14:val="tx1"/>
                  </w14:solidFill>
                </w14:textFill>
              </w:rPr>
              <w:t>+</w:t>
            </w:r>
            <w:r>
              <w:rPr>
                <w:rFonts w:hint="eastAsia" w:cs="Times New Roman"/>
                <w:iCs/>
                <w:color w:val="000000" w:themeColor="text1"/>
                <w:sz w:val="21"/>
                <w:szCs w:val="21"/>
                <w:lang w:val="en-US" w:eastAsia="zh-CN"/>
                <w14:textFill>
                  <w14:solidFill>
                    <w14:schemeClr w14:val="tx1"/>
                  </w14:solidFill>
                </w14:textFill>
              </w:rPr>
              <w:t>160</w:t>
            </w:r>
            <w:r>
              <w:rPr>
                <w:rFonts w:hint="eastAsia" w:ascii="Times New Roman" w:hAnsi="Times New Roman" w:eastAsia="宋体" w:cs="Times New Roman"/>
                <w:iCs/>
                <w:color w:val="000000" w:themeColor="text1"/>
                <w:sz w:val="21"/>
                <w:szCs w:val="21"/>
                <w:lang w:val="en-US" w:eastAsia="zh-CN"/>
                <w14:textFill>
                  <w14:solidFill>
                    <w14:schemeClr w14:val="tx1"/>
                  </w14:solidFill>
                </w14:textFill>
              </w:rPr>
              <w:t>目</w:t>
            </w:r>
            <w:r>
              <w:rPr>
                <w:rFonts w:hint="eastAsia" w:cs="Times New Roman"/>
                <w:color w:val="000000" w:themeColor="text1"/>
                <w:sz w:val="21"/>
                <w:szCs w:val="21"/>
                <w:lang w:val="en-US" w:eastAsia="zh-CN"/>
                <w14:textFill>
                  <w14:solidFill>
                    <w14:schemeClr w14:val="tx1"/>
                  </w14:solidFill>
                </w14:textFill>
              </w:rPr>
              <w:t>）作为原料</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。金属粉末原料在运输过程中因摩擦、碰撞易产生静电发生火灾或爆炸</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为保证运输安全</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桶装金属粉料均含有一定</w:t>
            </w:r>
            <w:r>
              <w:rPr>
                <w:rFonts w:hint="eastAsia" w:cs="Times New Roman"/>
                <w:color w:val="000000" w:themeColor="text1"/>
                <w:sz w:val="21"/>
                <w:szCs w:val="21"/>
                <w:lang w:val="en-US" w:eastAsia="zh-CN"/>
                <w14:textFill>
                  <w14:solidFill>
                    <w14:schemeClr w14:val="tx1"/>
                  </w14:solidFill>
                </w14:textFill>
              </w:rPr>
              <w:t>水分</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。本项目投料前期不对其粉料进行烘干处理</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不仅</w:t>
            </w:r>
            <w:r>
              <w:rPr>
                <w:rFonts w:hint="eastAsia" w:cs="Times New Roman"/>
                <w:color w:val="000000" w:themeColor="text1"/>
                <w:sz w:val="21"/>
                <w:szCs w:val="21"/>
                <w:lang w:val="en-US" w:eastAsia="zh-CN"/>
                <w14:textFill>
                  <w14:solidFill>
                    <w14:schemeClr w14:val="tx1"/>
                  </w14:solidFill>
                </w14:textFill>
              </w:rPr>
              <w:t>可以</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避免投料期间产生粉尘</w:t>
            </w:r>
            <w:r>
              <w:rPr>
                <w:rFonts w:hint="eastAsia" w:cs="Times New Roman"/>
                <w:color w:val="000000" w:themeColor="text1"/>
                <w:sz w:val="21"/>
                <w:szCs w:val="21"/>
                <w:lang w:val="en-US" w:eastAsia="zh-CN"/>
                <w14:textFill>
                  <w14:solidFill>
                    <w14:schemeClr w14:val="tx1"/>
                  </w14:solidFill>
                </w14:textFill>
              </w:rPr>
              <w:t>，而且</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在压制期间粉料更易成型。</w:t>
            </w:r>
          </w:p>
          <w:p w14:paraId="1B3BAA82">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422" w:firstLineChars="200"/>
              <w:textAlignment w:val="auto"/>
              <w:rPr>
                <w:rFonts w:hint="eastAsia"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（1）投料</w:t>
            </w:r>
          </w:p>
          <w:p w14:paraId="4E38E5A0">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本项目利</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用洁净的</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称量勺</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进行</w:t>
            </w:r>
            <w:r>
              <w:rPr>
                <w:rFonts w:hint="eastAsia" w:cs="Times New Roman"/>
                <w:color w:val="000000" w:themeColor="text1"/>
                <w:sz w:val="21"/>
                <w:szCs w:val="21"/>
                <w:lang w:val="en-US" w:eastAsia="zh-CN"/>
                <w14:textFill>
                  <w14:solidFill>
                    <w14:schemeClr w14:val="tx1"/>
                  </w14:solidFill>
                </w14:textFill>
              </w:rPr>
              <w:t>人工</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投料</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投料期间</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勺口靠近</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磨具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内壁</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将量勺中的粉末缓慢倒入</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模具内</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原料</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加至</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与模具成水平时</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利用刮板</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从前向后一次刮过</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去除多余</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原料。本项目投料取料时</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粉末在量勺内呈“微湿润团聚状态”</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倾倒时仅形成少量缓慢沉降的湿粉团</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无细颗粒悬浮粉尘；量勺倒料过程中</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粉末仅沿勺壁缓慢滑落</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无扬尘产生</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这与干燥粉末投料时的大量粉尘飘散形成明显差异</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因此投料期间无悬浮粉尘产生。</w:t>
            </w:r>
          </w:p>
          <w:p w14:paraId="6CC8CB83">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422" w:firstLineChars="200"/>
              <w:textAlignment w:val="auto"/>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（2）</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压制成型</w:t>
            </w:r>
          </w:p>
          <w:p w14:paraId="2AA124D6">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人工</w:t>
            </w:r>
            <w:r>
              <w:rPr>
                <w:rFonts w:hint="eastAsia" w:cs="Times New Roman"/>
                <w:color w:val="000000" w:themeColor="text1"/>
                <w:sz w:val="21"/>
                <w:szCs w:val="21"/>
                <w:lang w:val="en-US" w:eastAsia="zh-CN"/>
                <w14:textFill>
                  <w14:solidFill>
                    <w14:schemeClr w14:val="tx1"/>
                  </w14:solidFill>
                </w14:textFill>
              </w:rPr>
              <w:t>将粉料</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加入液压机（压制管</w:t>
            </w:r>
            <w:r>
              <w:rPr>
                <w:rFonts w:hint="eastAsia" w:cs="Times New Roman"/>
                <w:color w:val="000000" w:themeColor="text1"/>
                <w:sz w:val="21"/>
                <w:szCs w:val="21"/>
                <w:lang w:val="en-US" w:eastAsia="zh-CN"/>
                <w14:textFill>
                  <w14:solidFill>
                    <w14:schemeClr w14:val="tx1"/>
                  </w14:solidFill>
                </w14:textFill>
              </w:rPr>
              <w:t>状生坯</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油压机</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设备或轧机（压制板</w:t>
            </w:r>
            <w:r>
              <w:rPr>
                <w:rFonts w:hint="eastAsia" w:cs="Times New Roman"/>
                <w:color w:val="000000" w:themeColor="text1"/>
                <w:sz w:val="21"/>
                <w:szCs w:val="21"/>
                <w:lang w:val="en-US" w:eastAsia="zh-CN"/>
                <w14:textFill>
                  <w14:solidFill>
                    <w14:schemeClr w14:val="tx1"/>
                  </w14:solidFill>
                </w14:textFill>
              </w:rPr>
              <w:t>状生坯</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）配套的模具内</w:t>
            </w:r>
            <w:r>
              <w:rPr>
                <w:rFonts w:hint="eastAsia" w:cs="Times New Roman"/>
                <w:color w:val="000000" w:themeColor="text1"/>
                <w:sz w:val="21"/>
                <w:szCs w:val="21"/>
                <w:lang w:val="en-US" w:eastAsia="zh-CN"/>
                <w14:textFill>
                  <w14:solidFill>
                    <w14:schemeClr w14:val="tx1"/>
                  </w14:solidFill>
                </w14:textFill>
              </w:rPr>
              <w:t>后，在</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设备压力（300MPa–800MPa）作用下</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使模具内粉末之间进行物理</w:t>
            </w:r>
            <w:r>
              <w:rPr>
                <w:rFonts w:hint="eastAsia" w:cs="Times New Roman"/>
                <w:color w:val="000000" w:themeColor="text1"/>
                <w:sz w:val="21"/>
                <w:szCs w:val="21"/>
                <w:lang w:val="en-US" w:eastAsia="zh-CN"/>
                <w14:textFill>
                  <w14:solidFill>
                    <w14:schemeClr w14:val="tx1"/>
                  </w14:solidFill>
                </w14:textFill>
              </w:rPr>
              <w:t>常温</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挤压</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使其空隙变小</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形成机械咬合的压坯（生坯）。</w:t>
            </w:r>
            <w:r>
              <w:rPr>
                <w:rFonts w:hint="eastAsia" w:cs="Times New Roman"/>
                <w:color w:val="000000" w:themeColor="text1"/>
                <w:sz w:val="21"/>
                <w:szCs w:val="21"/>
                <w:lang w:val="en-US" w:eastAsia="zh-CN"/>
                <w14:textFill>
                  <w14:solidFill>
                    <w14:schemeClr w14:val="tx1"/>
                  </w14:solidFill>
                </w14:textFill>
              </w:rPr>
              <w:t>一般压制时间约5秒—15秒，</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该生坯形成后内部仍存在大量空隙</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具有多孔、低密度、低强度、高脆性的特点</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必须经过烧结方可提升强度及硬度。</w:t>
            </w:r>
          </w:p>
          <w:p w14:paraId="33ECC5EE">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leftChars="200"/>
              <w:textAlignment w:val="auto"/>
              <w:rPr>
                <w:rFonts w:hint="eastAsia"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（3）加压烧结</w:t>
            </w:r>
          </w:p>
          <w:p w14:paraId="504F6644">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420" w:firstLineChars="200"/>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将</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生坯转移至平式或立式烧结炉中</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再利用石英砂固定。该烧结炉为钟罩式</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加压烧结期</w:t>
            </w:r>
            <w:r>
              <w:rPr>
                <w:rFonts w:hint="eastAsia" w:cs="Times New Roman"/>
                <w:color w:val="000000" w:themeColor="text1"/>
                <w:sz w:val="21"/>
                <w:szCs w:val="21"/>
                <w:lang w:val="en-US" w:eastAsia="zh-CN"/>
                <w14:textFill>
                  <w14:solidFill>
                    <w14:schemeClr w14:val="tx1"/>
                  </w14:solidFill>
                </w14:textFill>
              </w:rPr>
              <w:t>开始时需</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真空保护氛围</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烧结及冷却总用时约8小时</w:t>
            </w:r>
            <w:r>
              <w:rPr>
                <w:rFonts w:hint="eastAsia" w:cs="Times New Roman"/>
                <w:color w:val="000000" w:themeColor="text1"/>
                <w:sz w:val="21"/>
                <w:szCs w:val="21"/>
                <w:lang w:val="en-US" w:eastAsia="zh-CN"/>
                <w14:textFill>
                  <w14:solidFill>
                    <w14:schemeClr w14:val="tx1"/>
                  </w14:solidFill>
                </w14:textFill>
              </w:rPr>
              <w:t>，其中真空预热脱气、烧结约3.5h，</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烧结最高温度为1000℃。烧结原理是在逐渐升温的真空炉内</w:t>
            </w:r>
            <w:r>
              <w:rPr>
                <w:rFonts w:hint="eastAsia" w:cs="Times New Roman"/>
                <w:color w:val="000000" w:themeColor="text1"/>
                <w:sz w:val="21"/>
                <w:szCs w:val="21"/>
                <w:lang w:val="en-US" w:eastAsia="zh-CN"/>
                <w14:textFill>
                  <w14:solidFill>
                    <w14:schemeClr w14:val="tx1"/>
                  </w14:solidFill>
                </w14:textFill>
              </w:rPr>
              <w:t>，生坯</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金属原子获得足够能量后进行表面扩散、晶界迁移、扩散</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从而原子逐渐向空隙内形成塑性流动、使其空隙缩小、球化、闭合形成晶界。烧结期间晶粒逐渐长大</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最终粉末材料通过</w:t>
            </w:r>
            <w:r>
              <w:rPr>
                <w:rFonts w:hint="eastAsia" w:cs="Times New Roman"/>
                <w:color w:val="000000" w:themeColor="text1"/>
                <w:sz w:val="21"/>
                <w:szCs w:val="21"/>
                <w:lang w:val="en-US" w:eastAsia="zh-CN"/>
                <w14:textFill>
                  <w14:solidFill>
                    <w14:schemeClr w14:val="tx1"/>
                  </w14:solidFill>
                </w14:textFill>
              </w:rPr>
              <w:t>物理晶粒</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堆积的形式使其材质接近致密金属</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获得与熔炼金属类似的晶相组织（完整的冶金组织）。</w:t>
            </w:r>
            <w:r>
              <w:rPr>
                <w:rFonts w:hint="eastAsia" w:cs="Times New Roman"/>
                <w:color w:val="000000" w:themeColor="text1"/>
                <w:sz w:val="21"/>
                <w:szCs w:val="21"/>
                <w:lang w:val="en-US" w:eastAsia="zh-CN"/>
                <w14:textFill>
                  <w14:solidFill>
                    <w14:schemeClr w14:val="tx1"/>
                  </w14:solidFill>
                </w14:textFill>
              </w:rPr>
              <w:t>生坯</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经过真空加压烧结后可达到订</w:t>
            </w:r>
            <w:r>
              <w:rPr>
                <w:rFonts w:hint="eastAsia" w:cs="Times New Roman"/>
                <w:color w:val="000000" w:themeColor="text1"/>
                <w:sz w:val="21"/>
                <w:szCs w:val="21"/>
                <w:lang w:val="en-US" w:eastAsia="zh-CN"/>
                <w14:textFill>
                  <w14:solidFill>
                    <w14:schemeClr w14:val="tx1"/>
                  </w14:solidFill>
                </w14:textFill>
              </w:rPr>
              <w:t>单</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要求的物理机械性能。该烧结过程控制最高温度为1000℃</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低于不锈钢粉末（1370℃-1400℃）及纯钛粉末（1668℃）的熔点</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同时低于重金属镍（1455℃）、铬（1907℃）的熔点</w:t>
            </w:r>
            <w:r>
              <w:rPr>
                <w:rFonts w:hint="eastAsia" w:cs="Times New Roman"/>
                <w:color w:val="000000" w:themeColor="text1"/>
                <w:sz w:val="21"/>
                <w:szCs w:val="21"/>
                <w:lang w:val="en-US" w:eastAsia="zh-CN"/>
                <w14:textFill>
                  <w14:solidFill>
                    <w14:schemeClr w14:val="tx1"/>
                  </w14:solidFill>
                </w14:textFill>
              </w:rPr>
              <w:t>，烧结期间不会产生重金属废气。</w:t>
            </w:r>
            <w:r>
              <w:rPr>
                <w:rFonts w:hint="eastAsia" w:ascii="Times New Roman" w:hAnsi="Times New Roman" w:eastAsia="宋体" w:cs="Times New Roman"/>
                <w:color w:val="000000" w:themeColor="text1"/>
                <w:highlight w:val="none"/>
                <w:lang w:val="en-US" w:eastAsia="zh-CN"/>
                <w14:textFill>
                  <w14:solidFill>
                    <w14:schemeClr w14:val="tx1"/>
                  </w14:solidFill>
                </w14:textFill>
              </w:rPr>
              <w:t>项目</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烧结</w:t>
            </w:r>
            <w:r>
              <w:rPr>
                <w:rFonts w:hint="eastAsia" w:cs="Times New Roman"/>
                <w:color w:val="000000" w:themeColor="text1"/>
                <w:sz w:val="21"/>
                <w:szCs w:val="21"/>
                <w:lang w:val="en-US" w:eastAsia="zh-CN"/>
                <w14:textFill>
                  <w14:solidFill>
                    <w14:schemeClr w14:val="tx1"/>
                  </w14:solidFill>
                </w14:textFill>
              </w:rPr>
              <w:t>期间全程处于</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全封闭真空状态</w:t>
            </w:r>
            <w:r>
              <w:rPr>
                <w:rFonts w:hint="eastAsia" w:cs="Times New Roman"/>
                <w:color w:val="000000" w:themeColor="text1"/>
                <w:sz w:val="21"/>
                <w:szCs w:val="21"/>
                <w:lang w:val="en-US" w:eastAsia="zh-CN"/>
                <w14:textFill>
                  <w14:solidFill>
                    <w14:schemeClr w14:val="tx1"/>
                  </w14:solidFill>
                </w14:textFill>
              </w:rPr>
              <w:t>，因此烧结</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过程</w:t>
            </w:r>
            <w:r>
              <w:rPr>
                <w:rFonts w:hint="eastAsia" w:cs="Times New Roman"/>
                <w:color w:val="000000" w:themeColor="text1"/>
                <w:sz w:val="21"/>
                <w:szCs w:val="21"/>
                <w:lang w:val="en-US" w:eastAsia="zh-CN"/>
                <w14:textFill>
                  <w14:solidFill>
                    <w14:schemeClr w14:val="tx1"/>
                  </w14:solidFill>
                </w14:textFill>
              </w:rPr>
              <w:t>会</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产生少量</w:t>
            </w:r>
            <w:r>
              <w:rPr>
                <w:rFonts w:hint="eastAsia" w:cs="Times New Roman"/>
                <w:color w:val="000000" w:themeColor="text1"/>
                <w:sz w:val="21"/>
                <w:szCs w:val="21"/>
                <w:lang w:val="en-US" w:eastAsia="zh-CN"/>
                <w14:textFill>
                  <w14:solidFill>
                    <w14:schemeClr w14:val="tx1"/>
                  </w14:solidFill>
                </w14:textFill>
              </w:rPr>
              <w:t>废石英砂</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和噪声</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无废气产生</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14:paraId="68C3109E">
            <w:pPr>
              <w:keepNext w:val="0"/>
              <w:keepLines w:val="0"/>
              <w:pageBreakBefore w:val="0"/>
              <w:widowControl w:val="0"/>
              <w:kinsoku/>
              <w:wordWrap/>
              <w:overflowPunct/>
              <w:topLinePunct/>
              <w:autoSpaceDE/>
              <w:autoSpaceDN/>
              <w:bidi w:val="0"/>
              <w:adjustRightInd w:val="0"/>
              <w:snapToGrid w:val="0"/>
              <w:spacing w:line="360" w:lineRule="auto"/>
              <w:ind w:leftChars="0"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烧结完成后停止加热，使炉体缓慢降温至800</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℃时</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自动通入氩气作为保护气</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使炉体内形成惰性保护气</w:t>
            </w:r>
            <w:r>
              <w:rPr>
                <w:rFonts w:hint="eastAsia" w:cs="Times New Roman"/>
                <w:color w:val="000000" w:themeColor="text1"/>
                <w:sz w:val="21"/>
                <w:szCs w:val="21"/>
                <w:lang w:val="en-US" w:eastAsia="zh-CN"/>
                <w14:textFill>
                  <w14:solidFill>
                    <w14:schemeClr w14:val="tx1"/>
                  </w14:solidFill>
                </w14:textFill>
              </w:rPr>
              <w:t>，气流</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缓慢降至炉冷（室温）</w:t>
            </w:r>
            <w:r>
              <w:rPr>
                <w:rFonts w:hint="eastAsia" w:cs="Times New Roman"/>
                <w:color w:val="000000" w:themeColor="text1"/>
                <w:sz w:val="21"/>
                <w:szCs w:val="21"/>
                <w:lang w:val="en-US" w:eastAsia="zh-CN"/>
                <w14:textFill>
                  <w14:solidFill>
                    <w14:schemeClr w14:val="tx1"/>
                  </w14:solidFill>
                </w14:textFill>
              </w:rPr>
              <w:t>。氩气氛围可</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隔绝</w:t>
            </w:r>
            <w:r>
              <w:rPr>
                <w:rFonts w:hint="eastAsia" w:cs="Times New Roman"/>
                <w:color w:val="000000" w:themeColor="text1"/>
                <w:sz w:val="21"/>
                <w:szCs w:val="21"/>
                <w:lang w:val="en-US" w:eastAsia="zh-CN"/>
                <w14:textFill>
                  <w14:solidFill>
                    <w14:schemeClr w14:val="tx1"/>
                  </w14:solidFill>
                </w14:textFill>
              </w:rPr>
              <w:t>空气</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防止</w:t>
            </w:r>
            <w:r>
              <w:rPr>
                <w:rFonts w:hint="eastAsia" w:cs="Times New Roman"/>
                <w:color w:val="000000" w:themeColor="text1"/>
                <w:sz w:val="21"/>
                <w:szCs w:val="21"/>
                <w:lang w:val="en-US" w:eastAsia="zh-CN"/>
                <w14:textFill>
                  <w14:solidFill>
                    <w14:schemeClr w14:val="tx1"/>
                  </w14:solidFill>
                </w14:textFill>
              </w:rPr>
              <w:t>坯料</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氧化</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同时减少</w:t>
            </w:r>
            <w:r>
              <w:rPr>
                <w:rFonts w:hint="eastAsia" w:cs="Times New Roman"/>
                <w:color w:val="000000" w:themeColor="text1"/>
                <w:sz w:val="21"/>
                <w:szCs w:val="21"/>
                <w:lang w:val="en-US" w:eastAsia="zh-CN"/>
                <w14:textFill>
                  <w14:solidFill>
                    <w14:schemeClr w14:val="tx1"/>
                  </w14:solidFill>
                </w14:textFill>
              </w:rPr>
              <w:t>坯料</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热应力</w:t>
            </w:r>
            <w:r>
              <w:rPr>
                <w:rFonts w:hint="eastAsia" w:cs="Times New Roman"/>
                <w:color w:val="000000" w:themeColor="text1"/>
                <w:sz w:val="21"/>
                <w:szCs w:val="21"/>
                <w:lang w:val="en-US" w:eastAsia="zh-CN"/>
                <w14:textFill>
                  <w14:solidFill>
                    <w14:schemeClr w14:val="tx1"/>
                  </w14:solidFill>
                </w14:textFill>
              </w:rPr>
              <w:t>，其间</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约5.5小时。冷却期间项目配套建设</w:t>
            </w:r>
            <w:r>
              <w:rPr>
                <w:rFonts w:hint="eastAsia" w:ascii="Times New Roman" w:hAnsi="Times New Roman" w:eastAsia="宋体" w:cs="Times New Roman"/>
                <w:color w:val="000000" w:themeColor="text1"/>
                <w:highlight w:val="none"/>
                <w:lang w:val="en-US" w:eastAsia="zh-CN"/>
                <w14:textFill>
                  <w14:solidFill>
                    <w14:schemeClr w14:val="tx1"/>
                  </w14:solidFill>
                </w14:textFill>
              </w:rPr>
              <w:t>1套</w:t>
            </w:r>
            <w:r>
              <w:rPr>
                <w:rFonts w:hint="default" w:ascii="Times New Roman" w:hAnsi="Times New Roman" w:eastAsia="宋体" w:cs="Times New Roman"/>
                <w:color w:val="000000" w:themeColor="text1"/>
                <w:highlight w:val="none"/>
                <w:lang w:val="en-US" w:eastAsia="zh-CN"/>
                <w14:textFill>
                  <w14:solidFill>
                    <w14:schemeClr w14:val="tx1"/>
                  </w14:solidFill>
                </w14:textFill>
              </w:rPr>
              <w:t>封闭式冷却水循环系统为</w:t>
            </w:r>
            <w:r>
              <w:rPr>
                <w:rFonts w:hint="eastAsia" w:cs="Times New Roman"/>
                <w:color w:val="000000" w:themeColor="text1"/>
                <w:highlight w:val="none"/>
                <w:lang w:val="en-US" w:eastAsia="zh-CN"/>
                <w14:textFill>
                  <w14:solidFill>
                    <w14:schemeClr w14:val="tx1"/>
                  </w14:solidFill>
                </w14:textFill>
              </w:rPr>
              <w:t>烧结炉</w:t>
            </w:r>
            <w:r>
              <w:rPr>
                <w:rFonts w:hint="default" w:ascii="Times New Roman" w:hAnsi="Times New Roman" w:eastAsia="宋体" w:cs="Times New Roman"/>
                <w:color w:val="000000" w:themeColor="text1"/>
                <w:highlight w:val="none"/>
                <w:lang w:val="en-US" w:eastAsia="zh-CN"/>
                <w14:textFill>
                  <w14:solidFill>
                    <w14:schemeClr w14:val="tx1"/>
                  </w14:solidFill>
                </w14:textFill>
              </w:rPr>
              <w:t>提供冷却水</w:t>
            </w:r>
            <w:r>
              <w:rPr>
                <w:rFonts w:hint="eastAsia"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冷却水间接冷却</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使用后水温升高</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水质未受污染</w:t>
            </w:r>
            <w:r>
              <w:rPr>
                <w:rFonts w:hint="eastAsia" w:cs="Times New Roman"/>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highlight w:val="none"/>
                <w:lang w:val="en-US" w:eastAsia="zh-CN"/>
                <w14:textFill>
                  <w14:solidFill>
                    <w14:schemeClr w14:val="tx1"/>
                  </w14:solidFill>
                </w14:textFill>
              </w:rPr>
              <w:t>冷却水使用</w:t>
            </w:r>
            <w:r>
              <w:rPr>
                <w:rFonts w:hint="eastAsia" w:cs="Times New Roman"/>
                <w:color w:val="000000" w:themeColor="text1"/>
                <w:highlight w:val="none"/>
                <w:lang w:val="en-US" w:eastAsia="zh-CN"/>
                <w14:textFill>
                  <w14:solidFill>
                    <w14:schemeClr w14:val="tx1"/>
                  </w14:solidFill>
                </w14:textFill>
              </w:rPr>
              <w:t>纯水，定期补充损耗，不外排</w:t>
            </w:r>
            <w: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t>。</w:t>
            </w:r>
          </w:p>
          <w:p w14:paraId="5797F7E5">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422" w:firstLineChars="200"/>
              <w:textAlignment w:val="auto"/>
              <w:rPr>
                <w:rFonts w:hint="eastAsia"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烧结后的板状过滤毛坯件以及管状毛坯件分线加工，具体工艺如下：</w:t>
            </w:r>
          </w:p>
          <w:p w14:paraId="6D48EFBE">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422" w:firstLineChars="200"/>
              <w:textAlignment w:val="auto"/>
              <w:rPr>
                <w:rFonts w:hint="eastAsia"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（4）机加工</w:t>
            </w:r>
          </w:p>
          <w:p w14:paraId="2953D9AA">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根据订单要求，板状过滤件后续需要</w:t>
            </w:r>
            <w:r>
              <w:rPr>
                <w:rFonts w:hint="eastAsia" w:cs="Times New Roman"/>
                <w:color w:val="000000" w:themeColor="text1"/>
                <w:sz w:val="21"/>
                <w:szCs w:val="21"/>
                <w:lang w:val="en-US" w:eastAsia="zh-CN"/>
                <w14:textFill>
                  <w14:solidFill>
                    <w14:schemeClr w14:val="tx1"/>
                  </w14:solidFill>
                </w14:textFill>
              </w:rPr>
              <w:t>利用车床、带锯机等机加设备按照订单要求对毛坯进行局部加工、剪裁。该工序使用湿法作业（切削液），会产生一定噪声、金属边角料及废切削液。板状金属过滤元件经机械加工处理后即可进入人工检验环节。</w:t>
            </w:r>
          </w:p>
          <w:p w14:paraId="5CAA3C3D">
            <w:pPr>
              <w:keepNext w:val="0"/>
              <w:keepLines w:val="0"/>
              <w:pageBreakBefore w:val="0"/>
              <w:widowControl w:val="0"/>
              <w:kinsoku/>
              <w:wordWrap/>
              <w:overflowPunct/>
              <w:topLinePunct/>
              <w:autoSpaceDE/>
              <w:autoSpaceDN/>
              <w:bidi w:val="0"/>
              <w:adjustRightInd w:val="0"/>
              <w:snapToGrid w:val="0"/>
              <w:spacing w:line="360" w:lineRule="auto"/>
              <w:ind w:leftChars="0" w:firstLine="422" w:firstLineChars="200"/>
              <w:textAlignment w:val="auto"/>
              <w:rPr>
                <w:rFonts w:hint="default"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（5）修磨</w:t>
            </w:r>
          </w:p>
          <w:p w14:paraId="70298DED">
            <w:pPr>
              <w:keepNext w:val="0"/>
              <w:keepLines w:val="0"/>
              <w:pageBreakBefore w:val="0"/>
              <w:widowControl w:val="0"/>
              <w:kinsoku/>
              <w:wordWrap/>
              <w:overflowPunct/>
              <w:topLinePunct/>
              <w:autoSpaceDE/>
              <w:autoSpaceDN/>
              <w:bidi w:val="0"/>
              <w:adjustRightInd w:val="0"/>
              <w:snapToGrid w:val="0"/>
              <w:spacing w:line="360" w:lineRule="auto"/>
              <w:ind w:leftChars="0" w:firstLine="420" w:firstLineChars="200"/>
              <w:textAlignment w:val="auto"/>
              <w:rPr>
                <w:rFonts w:hint="default" w:cs="Times New Roman"/>
                <w:b/>
                <w:bCs/>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加工后的板状过滤件使用手持修磨机对表面的毛刺进行清理，此过程主要产生修磨废气、噪声以及固废。</w:t>
            </w:r>
          </w:p>
          <w:p w14:paraId="440014B7">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leftChars="200"/>
              <w:textAlignment w:val="auto"/>
              <w:rPr>
                <w:rFonts w:hint="eastAsia"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（6）激光切割</w:t>
            </w:r>
          </w:p>
          <w:p w14:paraId="65165648">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根据订单要求，少部分管坯件需用激光切割机进行剪裁，本项目配套激光切割机功率较小，使用频率小，间歇式使用，工作时间短。且本项目切割工件板材最大尺寸1.0mm</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330mm</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440mm（厚</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宽</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长），管材最大尺寸φ60mm、L1000mm、厚1.0mm。切割期间会产生一定的废边角料及少量的激光切割废气。</w:t>
            </w:r>
          </w:p>
          <w:p w14:paraId="1309195F">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422" w:firstLineChars="200"/>
              <w:textAlignment w:val="auto"/>
              <w:rPr>
                <w:rFonts w:hint="eastAsia" w:cs="Times New Roman"/>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（7）氩弧焊接：</w:t>
            </w:r>
            <w:r>
              <w:rPr>
                <w:rFonts w:hint="eastAsia" w:cs="Times New Roman"/>
                <w:color w:val="000000" w:themeColor="text1"/>
                <w:sz w:val="21"/>
                <w:szCs w:val="21"/>
                <w:lang w:val="en-US" w:eastAsia="zh-CN"/>
                <w14:textFill>
                  <w14:solidFill>
                    <w14:schemeClr w14:val="tx1"/>
                  </w14:solidFill>
                </w14:textFill>
              </w:rPr>
              <w:t>利用</w:t>
            </w:r>
            <w:r>
              <w:rPr>
                <w:rFonts w:hint="eastAsia" w:cs="Times New Roman"/>
                <w:color w:val="000000" w:themeColor="text1"/>
                <w:sz w:val="21"/>
                <w:szCs w:val="21"/>
                <w:vertAlign w:val="baseline"/>
                <w:lang w:val="en-US" w:eastAsia="zh-CN"/>
                <w14:textFill>
                  <w14:solidFill>
                    <w14:schemeClr w14:val="tx1"/>
                  </w14:solidFill>
                </w14:textFill>
              </w:rPr>
              <w:t>自动（氩弧）焊机对管坯件缝隙进行焊接处理。纯钛管坯件采用自熔焊，无废气产生。不锈钢过滤件使用氩弧焊进行焊接处理，该工序会产生一定的噪声、废焊丝及少量焊接废气。</w:t>
            </w:r>
          </w:p>
          <w:p w14:paraId="5F0D5910">
            <w:pPr>
              <w:keepNext w:val="0"/>
              <w:keepLines w:val="0"/>
              <w:pageBreakBefore w:val="0"/>
              <w:widowControl w:val="0"/>
              <w:numPr>
                <w:ilvl w:val="0"/>
                <w:numId w:val="0"/>
              </w:numPr>
              <w:kinsoku/>
              <w:wordWrap/>
              <w:overflowPunct/>
              <w:topLinePunct/>
              <w:autoSpaceDE/>
              <w:autoSpaceDN/>
              <w:bidi w:val="0"/>
              <w:adjustRightInd w:val="0"/>
              <w:snapToGrid w:val="0"/>
              <w:spacing w:line="360" w:lineRule="auto"/>
              <w:ind w:firstLine="422"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（8）人工检验：</w:t>
            </w:r>
            <w:r>
              <w:rPr>
                <w:rFonts w:hint="eastAsia" w:cs="Times New Roman"/>
                <w:color w:val="000000" w:themeColor="text1"/>
                <w:sz w:val="21"/>
                <w:szCs w:val="21"/>
                <w:lang w:val="en-US" w:eastAsia="zh-CN"/>
                <w14:textFill>
                  <w14:solidFill>
                    <w14:schemeClr w14:val="tx1"/>
                  </w14:solidFill>
                </w14:textFill>
              </w:rPr>
              <w:t>通过人工对工件进行逐个检验，检验合格即可得到成品纯钛、不锈钢过滤元件，并入库暂存。不合格品需返回上工序重新处理。</w:t>
            </w:r>
          </w:p>
          <w:p w14:paraId="7211C389">
            <w:pPr>
              <w:keepNext w:val="0"/>
              <w:keepLines w:val="0"/>
              <w:suppressLineNumbers w:val="0"/>
              <w:adjustRightInd w:val="0"/>
              <w:spacing w:before="0" w:beforeAutospacing="0" w:after="0" w:afterAutospacing="0" w:line="360" w:lineRule="auto"/>
              <w:ind w:left="0" w:right="0" w:firstLine="420" w:firstLineChars="200"/>
              <w:rPr>
                <w:rFonts w:hint="default" w:ascii="Times New Roman" w:hAnsi="Times New Roman" w:cs="Times New Roman"/>
                <w:b w:val="0"/>
                <w:bCs w:val="0"/>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本项目金属过滤元件生产</w:t>
            </w:r>
            <w:r>
              <w:rPr>
                <w:rFonts w:hint="eastAsia" w:cs="Times New Roman"/>
                <w:b w:val="0"/>
                <w:bCs w:val="0"/>
                <w:color w:val="000000" w:themeColor="text1"/>
                <w:sz w:val="21"/>
                <w:szCs w:val="21"/>
                <w:lang w:val="en-US" w:eastAsia="zh-CN"/>
                <w14:textFill>
                  <w14:solidFill>
                    <w14:schemeClr w14:val="tx1"/>
                  </w14:solidFill>
                </w14:textFill>
              </w:rPr>
              <w:t>加工</w:t>
            </w:r>
            <w:r>
              <w:rPr>
                <w:rFonts w:hint="eastAsia" w:cs="Times New Roman"/>
                <w:color w:val="000000" w:themeColor="text1"/>
                <w:sz w:val="21"/>
                <w:szCs w:val="21"/>
                <w:lang w:val="en-US" w:eastAsia="zh-CN"/>
                <w14:textFill>
                  <w14:solidFill>
                    <w14:schemeClr w14:val="tx1"/>
                  </w14:solidFill>
                </w14:textFill>
              </w:rPr>
              <w:t>过程中</w:t>
            </w:r>
            <w:r>
              <w:rPr>
                <w:rFonts w:hint="default" w:ascii="Times New Roman" w:hAnsi="Times New Roman" w:cs="Times New Roman"/>
                <w:color w:val="000000" w:themeColor="text1"/>
                <w:sz w:val="21"/>
                <w:szCs w:val="21"/>
                <w14:textFill>
                  <w14:solidFill>
                    <w14:schemeClr w14:val="tx1"/>
                  </w14:solidFill>
                </w14:textFill>
              </w:rPr>
              <w:t>污染源</w:t>
            </w:r>
            <w:r>
              <w:rPr>
                <w:rFonts w:hint="default" w:ascii="Times New Roman" w:hAnsi="Times New Roman" w:cs="Times New Roman"/>
                <w:b w:val="0"/>
                <w:bCs w:val="0"/>
                <w:color w:val="000000" w:themeColor="text1"/>
                <w:sz w:val="21"/>
                <w:szCs w:val="21"/>
                <w14:textFill>
                  <w14:solidFill>
                    <w14:schemeClr w14:val="tx1"/>
                  </w14:solidFill>
                </w14:textFill>
              </w:rPr>
              <w:t>与污染因子见</w:t>
            </w:r>
            <w:r>
              <w:rPr>
                <w:rFonts w:hint="default" w:ascii="Times New Roman" w:hAnsi="Times New Roman" w:cs="Times New Roman"/>
                <w:b w:val="0"/>
                <w:bCs w:val="0"/>
                <w:color w:val="000000" w:themeColor="text1"/>
                <w:sz w:val="21"/>
                <w:szCs w:val="21"/>
                <w:lang w:eastAsia="zh-CN"/>
                <w14:textFill>
                  <w14:solidFill>
                    <w14:schemeClr w14:val="tx1"/>
                  </w14:solidFill>
                </w14:textFill>
              </w:rPr>
              <w:t>下</w:t>
            </w:r>
            <w:r>
              <w:rPr>
                <w:rFonts w:hint="default" w:ascii="Times New Roman" w:hAnsi="Times New Roman" w:cs="Times New Roman"/>
                <w:b w:val="0"/>
                <w:bCs w:val="0"/>
                <w:color w:val="000000" w:themeColor="text1"/>
                <w:sz w:val="21"/>
                <w:szCs w:val="21"/>
                <w14:textFill>
                  <w14:solidFill>
                    <w14:schemeClr w14:val="tx1"/>
                  </w14:solidFill>
                </w14:textFill>
              </w:rPr>
              <w:t>表。</w:t>
            </w:r>
          </w:p>
          <w:p w14:paraId="3F2EF7D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2-</w:t>
            </w:r>
            <w:r>
              <w:rPr>
                <w:rFonts w:hint="eastAsia" w:cs="Times New Roman"/>
                <w:b/>
                <w:bCs/>
                <w:color w:val="000000" w:themeColor="text1"/>
                <w:sz w:val="21"/>
                <w:szCs w:val="21"/>
                <w:highlight w:val="none"/>
                <w:lang w:val="en-US" w:eastAsia="zh-CN"/>
                <w14:textFill>
                  <w14:solidFill>
                    <w14:schemeClr w14:val="tx1"/>
                  </w14:solidFill>
                </w14:textFill>
              </w:rPr>
              <w:t xml:space="preserve">8    </w:t>
            </w:r>
            <w:r>
              <w:rPr>
                <w:rFonts w:hint="eastAsia" w:cs="Times New Roman"/>
                <w:b/>
                <w:bCs/>
                <w:color w:val="000000" w:themeColor="text1"/>
                <w:sz w:val="21"/>
                <w:szCs w:val="21"/>
                <w:lang w:val="en-US" w:eastAsia="zh-CN"/>
                <w14:textFill>
                  <w14:solidFill>
                    <w14:schemeClr w14:val="tx1"/>
                  </w14:solidFill>
                </w14:textFill>
              </w:rPr>
              <w:t>运营期生产工艺</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污染源与污染因子识别</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28" w:type="dxa"/>
                <w:left w:w="28" w:type="dxa"/>
                <w:bottom w:w="28" w:type="dxa"/>
                <w:right w:w="28" w:type="dxa"/>
              </w:tblCellMar>
            </w:tblPr>
            <w:tblGrid>
              <w:gridCol w:w="886"/>
              <w:gridCol w:w="3110"/>
              <w:gridCol w:w="4277"/>
            </w:tblGrid>
            <w:tr w14:paraId="3F7291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535" w:type="pct"/>
                  <w:tcBorders>
                    <w:tl2br w:val="nil"/>
                    <w:tr2bl w:val="nil"/>
                  </w:tcBorders>
                  <w:noWrap w:val="0"/>
                  <w:vAlign w:val="center"/>
                </w:tcPr>
                <w:p w14:paraId="2D6970F3">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类别</w:t>
                  </w:r>
                </w:p>
              </w:tc>
              <w:tc>
                <w:tcPr>
                  <w:tcW w:w="1879" w:type="pct"/>
                  <w:tcBorders>
                    <w:tl2br w:val="nil"/>
                    <w:tr2bl w:val="nil"/>
                  </w:tcBorders>
                  <w:noWrap w:val="0"/>
                  <w:vAlign w:val="center"/>
                </w:tcPr>
                <w:p w14:paraId="2088BEC7">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产生环节</w:t>
                  </w:r>
                </w:p>
              </w:tc>
              <w:tc>
                <w:tcPr>
                  <w:tcW w:w="2584" w:type="pct"/>
                  <w:tcBorders>
                    <w:tl2br w:val="nil"/>
                    <w:tr2bl w:val="nil"/>
                  </w:tcBorders>
                  <w:noWrap w:val="0"/>
                  <w:vAlign w:val="center"/>
                </w:tcPr>
                <w:p w14:paraId="61E2FCEB">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污染物名称</w:t>
                  </w:r>
                </w:p>
              </w:tc>
            </w:tr>
            <w:tr w14:paraId="33138F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535" w:type="pct"/>
                  <w:vMerge w:val="restart"/>
                  <w:tcBorders>
                    <w:tl2br w:val="nil"/>
                    <w:tr2bl w:val="nil"/>
                  </w:tcBorders>
                  <w:noWrap w:val="0"/>
                  <w:vAlign w:val="center"/>
                </w:tcPr>
                <w:p w14:paraId="55FFBCBF">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废气</w:t>
                  </w:r>
                </w:p>
              </w:tc>
              <w:tc>
                <w:tcPr>
                  <w:tcW w:w="1879" w:type="pct"/>
                  <w:tcBorders>
                    <w:tl2br w:val="nil"/>
                    <w:tr2bl w:val="nil"/>
                  </w:tcBorders>
                  <w:noWrap w:val="0"/>
                  <w:vAlign w:val="center"/>
                </w:tcPr>
                <w:p w14:paraId="140CF981">
                  <w:pPr>
                    <w:pStyle w:val="49"/>
                    <w:keepNext w:val="0"/>
                    <w:keepLines w:val="0"/>
                    <w:suppressLineNumbers w:val="0"/>
                    <w:adjustRightInd w:val="0"/>
                    <w:snapToGrid w:val="0"/>
                    <w:spacing w:before="0" w:beforeAutospacing="0" w:after="0" w:afterAutospacing="0"/>
                    <w:ind w:left="0" w:leftChars="0" w:right="0" w:rightChars="0"/>
                    <w:contextualSpacing/>
                    <w:jc w:val="center"/>
                    <w:rPr>
                      <w:rFonts w:hint="default" w:ascii="Times New Roman" w:hAnsi="Times New Roman" w:eastAsia="宋体" w:cs="Times New Roman"/>
                      <w:color w:val="000000" w:themeColor="text1"/>
                      <w:kern w:val="2"/>
                      <w:sz w:val="21"/>
                      <w:szCs w:val="21"/>
                      <w:lang w:val="en-US" w:eastAsia="zh-CN" w:bidi="zh-CN"/>
                      <w14:textFill>
                        <w14:solidFill>
                          <w14:schemeClr w14:val="tx1"/>
                        </w14:solidFill>
                      </w14:textFill>
                    </w:rPr>
                  </w:pPr>
                  <w:r>
                    <w:rPr>
                      <w:rFonts w:hint="eastAsia" w:ascii="Times New Roman" w:hAnsi="Times New Roman" w:cs="Times New Roman"/>
                      <w:color w:val="000000" w:themeColor="text1"/>
                      <w:kern w:val="2"/>
                      <w:sz w:val="21"/>
                      <w:szCs w:val="21"/>
                      <w:lang w:val="en-US" w:eastAsia="zh-CN" w:bidi="zh-CN"/>
                      <w14:textFill>
                        <w14:solidFill>
                          <w14:schemeClr w14:val="tx1"/>
                        </w14:solidFill>
                      </w14:textFill>
                    </w:rPr>
                    <w:t>激光切割</w:t>
                  </w:r>
                </w:p>
              </w:tc>
              <w:tc>
                <w:tcPr>
                  <w:tcW w:w="2584" w:type="pct"/>
                  <w:tcBorders>
                    <w:tl2br w:val="nil"/>
                    <w:tr2bl w:val="nil"/>
                  </w:tcBorders>
                  <w:noWrap w:val="0"/>
                  <w:vAlign w:val="center"/>
                </w:tcPr>
                <w:p w14:paraId="70B95868">
                  <w:pPr>
                    <w:pStyle w:val="49"/>
                    <w:keepNext w:val="0"/>
                    <w:keepLines w:val="0"/>
                    <w:suppressLineNumbers w:val="0"/>
                    <w:adjustRightInd w:val="0"/>
                    <w:snapToGrid w:val="0"/>
                    <w:spacing w:before="0" w:beforeAutospacing="0" w:after="0" w:afterAutospacing="0"/>
                    <w:ind w:left="0" w:leftChars="0" w:right="0" w:rightChars="0"/>
                    <w:contextualSpacing/>
                    <w:jc w:val="center"/>
                    <w:rPr>
                      <w:rFonts w:hint="default" w:ascii="Times New Roman" w:hAnsi="Times New Roman" w:eastAsia="宋体" w:cs="Times New Roman"/>
                      <w:color w:val="000000" w:themeColor="text1"/>
                      <w:kern w:val="2"/>
                      <w:sz w:val="21"/>
                      <w:szCs w:val="21"/>
                      <w:lang w:val="en-US" w:eastAsia="zh-CN" w:bidi="zh-CN"/>
                      <w14:textFill>
                        <w14:solidFill>
                          <w14:schemeClr w14:val="tx1"/>
                        </w14:solidFill>
                      </w14:textFill>
                    </w:rPr>
                  </w:pPr>
                  <w:r>
                    <w:rPr>
                      <w:rFonts w:hint="eastAsia"/>
                      <w:color w:val="000000" w:themeColor="text1"/>
                      <w:lang w:val="en-US" w:eastAsia="zh-CN"/>
                      <w14:textFill>
                        <w14:solidFill>
                          <w14:schemeClr w14:val="tx1"/>
                        </w14:solidFill>
                      </w14:textFill>
                    </w:rPr>
                    <w:t>切割烟尘</w:t>
                  </w:r>
                </w:p>
              </w:tc>
            </w:tr>
            <w:tr w14:paraId="2ED9AC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535" w:type="pct"/>
                  <w:vMerge w:val="continue"/>
                  <w:tcBorders>
                    <w:tl2br w:val="nil"/>
                    <w:tr2bl w:val="nil"/>
                  </w:tcBorders>
                  <w:noWrap w:val="0"/>
                  <w:vAlign w:val="center"/>
                </w:tcPr>
                <w:p w14:paraId="20D4132C">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color w:val="000000" w:themeColor="text1"/>
                      <w:sz w:val="21"/>
                      <w:szCs w:val="21"/>
                      <w14:textFill>
                        <w14:solidFill>
                          <w14:schemeClr w14:val="tx1"/>
                        </w14:solidFill>
                      </w14:textFill>
                    </w:rPr>
                  </w:pPr>
                </w:p>
              </w:tc>
              <w:tc>
                <w:tcPr>
                  <w:tcW w:w="1879" w:type="pct"/>
                  <w:tcBorders>
                    <w:tl2br w:val="nil"/>
                    <w:tr2bl w:val="nil"/>
                  </w:tcBorders>
                  <w:noWrap w:val="0"/>
                  <w:vAlign w:val="center"/>
                </w:tcPr>
                <w:p w14:paraId="7C27EE24">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eastAsia="宋体" w:cs="Times New Roman"/>
                      <w:color w:val="000000" w:themeColor="text1"/>
                      <w:kern w:val="2"/>
                      <w:sz w:val="21"/>
                      <w:szCs w:val="21"/>
                      <w:lang w:val="en-US" w:eastAsia="zh-CN" w:bidi="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焊接</w:t>
                  </w:r>
                </w:p>
              </w:tc>
              <w:tc>
                <w:tcPr>
                  <w:tcW w:w="2584" w:type="pct"/>
                  <w:tcBorders>
                    <w:tl2br w:val="nil"/>
                    <w:tr2bl w:val="nil"/>
                  </w:tcBorders>
                  <w:noWrap w:val="0"/>
                  <w:vAlign w:val="center"/>
                </w:tcPr>
                <w:p w14:paraId="2163C1FE">
                  <w:pPr>
                    <w:pStyle w:val="49"/>
                    <w:keepNext w:val="0"/>
                    <w:keepLines w:val="0"/>
                    <w:suppressLineNumbers w:val="0"/>
                    <w:adjustRightInd w:val="0"/>
                    <w:snapToGrid w:val="0"/>
                    <w:spacing w:before="0" w:beforeAutospacing="0" w:after="0" w:afterAutospacing="0"/>
                    <w:ind w:left="0" w:leftChars="0" w:right="0" w:rightChars="0"/>
                    <w:contextualSpacing/>
                    <w:jc w:val="center"/>
                    <w:rPr>
                      <w:rFonts w:hint="default" w:ascii="Times New Roman" w:hAnsi="Times New Roman" w:eastAsia="宋体" w:cs="Times New Roman"/>
                      <w:color w:val="000000" w:themeColor="text1"/>
                      <w:kern w:val="2"/>
                      <w:sz w:val="21"/>
                      <w:szCs w:val="21"/>
                      <w:lang w:val="en-US" w:eastAsia="zh-CN" w:bidi="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焊接烟尘</w:t>
                  </w:r>
                </w:p>
              </w:tc>
            </w:tr>
            <w:tr w14:paraId="28063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535" w:type="pct"/>
                  <w:vMerge w:val="continue"/>
                  <w:tcBorders>
                    <w:tl2br w:val="nil"/>
                    <w:tr2bl w:val="nil"/>
                  </w:tcBorders>
                  <w:noWrap w:val="0"/>
                  <w:vAlign w:val="center"/>
                </w:tcPr>
                <w:p w14:paraId="4D516A75">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color w:val="000000" w:themeColor="text1"/>
                      <w:sz w:val="21"/>
                      <w:szCs w:val="21"/>
                      <w14:textFill>
                        <w14:solidFill>
                          <w14:schemeClr w14:val="tx1"/>
                        </w14:solidFill>
                      </w14:textFill>
                    </w:rPr>
                  </w:pPr>
                </w:p>
              </w:tc>
              <w:tc>
                <w:tcPr>
                  <w:tcW w:w="1879" w:type="pct"/>
                  <w:tcBorders>
                    <w:tl2br w:val="nil"/>
                    <w:tr2bl w:val="nil"/>
                  </w:tcBorders>
                  <w:noWrap w:val="0"/>
                  <w:vAlign w:val="center"/>
                </w:tcPr>
                <w:p w14:paraId="37EFDFC6">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修磨</w:t>
                  </w:r>
                </w:p>
              </w:tc>
              <w:tc>
                <w:tcPr>
                  <w:tcW w:w="2584" w:type="pct"/>
                  <w:tcBorders>
                    <w:tl2br w:val="nil"/>
                    <w:tr2bl w:val="nil"/>
                  </w:tcBorders>
                  <w:noWrap w:val="0"/>
                  <w:vAlign w:val="center"/>
                </w:tcPr>
                <w:p w14:paraId="4C8DAC8F">
                  <w:pPr>
                    <w:pStyle w:val="49"/>
                    <w:keepNext w:val="0"/>
                    <w:keepLines w:val="0"/>
                    <w:suppressLineNumbers w:val="0"/>
                    <w:adjustRightInd w:val="0"/>
                    <w:snapToGrid w:val="0"/>
                    <w:spacing w:before="0" w:beforeAutospacing="0" w:after="0" w:afterAutospacing="0"/>
                    <w:ind w:left="0" w:leftChars="0" w:right="0" w:rightChars="0"/>
                    <w:contextualSpacing/>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修磨粉尘</w:t>
                  </w:r>
                </w:p>
              </w:tc>
            </w:tr>
            <w:tr w14:paraId="02EBAD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535" w:type="pct"/>
                  <w:tcBorders>
                    <w:tl2br w:val="nil"/>
                    <w:tr2bl w:val="nil"/>
                  </w:tcBorders>
                  <w:noWrap w:val="0"/>
                  <w:vAlign w:val="center"/>
                </w:tcPr>
                <w:p w14:paraId="112CCCE9">
                  <w:pPr>
                    <w:pStyle w:val="49"/>
                    <w:keepNext w:val="0"/>
                    <w:keepLines w:val="0"/>
                    <w:suppressLineNumbers w:val="0"/>
                    <w:adjustRightInd w:val="0"/>
                    <w:snapToGrid w:val="0"/>
                    <w:spacing w:before="0" w:beforeAutospacing="0" w:after="0" w:afterAutospacing="0"/>
                    <w:ind w:left="0" w:leftChars="0" w:right="0" w:rightChars="0"/>
                    <w:contextualSpacing/>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废水</w:t>
                  </w:r>
                </w:p>
              </w:tc>
              <w:tc>
                <w:tcPr>
                  <w:tcW w:w="1879" w:type="pct"/>
                  <w:tcBorders>
                    <w:tl2br w:val="nil"/>
                    <w:tr2bl w:val="nil"/>
                  </w:tcBorders>
                  <w:noWrap w:val="0"/>
                  <w:vAlign w:val="center"/>
                </w:tcPr>
                <w:p w14:paraId="75EAB34D">
                  <w:pPr>
                    <w:pStyle w:val="49"/>
                    <w:keepNext w:val="0"/>
                    <w:keepLines w:val="0"/>
                    <w:suppressLineNumbers w:val="0"/>
                    <w:adjustRightInd w:val="0"/>
                    <w:snapToGrid w:val="0"/>
                    <w:spacing w:before="0" w:beforeAutospacing="0" w:after="0" w:afterAutospacing="0"/>
                    <w:ind w:left="0" w:leftChars="0" w:right="0" w:rightChars="0"/>
                    <w:contextualSpacing/>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生活污水</w:t>
                  </w:r>
                </w:p>
              </w:tc>
              <w:tc>
                <w:tcPr>
                  <w:tcW w:w="2584" w:type="pct"/>
                  <w:tcBorders>
                    <w:tl2br w:val="nil"/>
                    <w:tr2bl w:val="nil"/>
                  </w:tcBorders>
                  <w:noWrap w:val="0"/>
                  <w:vAlign w:val="center"/>
                </w:tcPr>
                <w:p w14:paraId="7AD0D199">
                  <w:pPr>
                    <w:pStyle w:val="49"/>
                    <w:keepNext w:val="0"/>
                    <w:keepLines w:val="0"/>
                    <w:suppressLineNumbers w:val="0"/>
                    <w:adjustRightInd w:val="0"/>
                    <w:snapToGrid w:val="0"/>
                    <w:spacing w:before="0" w:beforeAutospacing="0" w:after="0" w:afterAutospacing="0"/>
                    <w:ind w:left="0" w:leftChars="0" w:right="0" w:rightChars="0"/>
                    <w:contextualSpacing/>
                    <w:jc w:val="center"/>
                    <w:rPr>
                      <w:rFonts w:hint="default" w:ascii="Times New Roman" w:hAnsi="Times New Roman" w:eastAsia="宋体" w:cs="Times New Roman"/>
                      <w:color w:val="000000" w:themeColor="text1"/>
                      <w:kern w:val="0"/>
                      <w:sz w:val="21"/>
                      <w:szCs w:val="21"/>
                      <w:lang w:val="en-US" w:eastAsia="en-US"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COD、</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BOD</w:t>
                  </w:r>
                  <w:r>
                    <w:rPr>
                      <w:rFonts w:hint="default" w:ascii="Times New Roman" w:hAnsi="Times New Roman" w:cs="Times New Roman"/>
                      <w:color w:val="000000" w:themeColor="text1"/>
                      <w:kern w:val="0"/>
                      <w:sz w:val="21"/>
                      <w:szCs w:val="21"/>
                      <w:vertAlign w:val="subscript"/>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lang w:val="en-US" w:eastAsia="zh-CN"/>
                      <w14:textFill>
                        <w14:solidFill>
                          <w14:schemeClr w14:val="tx1"/>
                        </w14:solidFill>
                      </w14:textFill>
                    </w:rPr>
                    <w:t>SS</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、氨氮</w:t>
                  </w:r>
                  <w:r>
                    <w:rPr>
                      <w:rFonts w:hint="default" w:ascii="Times New Roman" w:hAnsi="Times New Roman" w:cs="Times New Roman"/>
                      <w:color w:val="000000" w:themeColor="text1"/>
                      <w:kern w:val="0"/>
                      <w:sz w:val="21"/>
                      <w:szCs w:val="21"/>
                      <w:lang w:val="en-US" w:eastAsia="zh-CN"/>
                      <w14:textFill>
                        <w14:solidFill>
                          <w14:schemeClr w14:val="tx1"/>
                        </w14:solidFill>
                      </w14:textFill>
                    </w:rPr>
                    <w:t>、</w:t>
                  </w:r>
                  <w:r>
                    <w:rPr>
                      <w:rFonts w:hint="eastAsia" w:ascii="Times New Roman" w:hAnsi="Times New Roman" w:cs="Times New Roman"/>
                      <w:color w:val="000000" w:themeColor="text1"/>
                      <w:kern w:val="0"/>
                      <w:sz w:val="21"/>
                      <w:szCs w:val="21"/>
                      <w:lang w:val="en-US" w:eastAsia="zh-CN"/>
                      <w14:textFill>
                        <w14:solidFill>
                          <w14:schemeClr w14:val="tx1"/>
                        </w14:solidFill>
                      </w14:textFill>
                    </w:rPr>
                    <w:t>总磷、总氮</w:t>
                  </w:r>
                </w:p>
              </w:tc>
            </w:tr>
            <w:tr w14:paraId="52840E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535" w:type="pct"/>
                  <w:tcBorders>
                    <w:tl2br w:val="nil"/>
                    <w:tr2bl w:val="nil"/>
                  </w:tcBorders>
                  <w:noWrap w:val="0"/>
                  <w:vAlign w:val="center"/>
                </w:tcPr>
                <w:p w14:paraId="32541BDD">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噪声</w:t>
                  </w:r>
                </w:p>
              </w:tc>
              <w:tc>
                <w:tcPr>
                  <w:tcW w:w="1879" w:type="pct"/>
                  <w:tcBorders>
                    <w:tl2br w:val="nil"/>
                    <w:tr2bl w:val="nil"/>
                  </w:tcBorders>
                  <w:noWrap w:val="0"/>
                  <w:vAlign w:val="center"/>
                </w:tcPr>
                <w:p w14:paraId="21CDD373">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生产设备</w:t>
                  </w:r>
                </w:p>
              </w:tc>
              <w:tc>
                <w:tcPr>
                  <w:tcW w:w="2584" w:type="pct"/>
                  <w:tcBorders>
                    <w:tl2br w:val="nil"/>
                    <w:tr2bl w:val="nil"/>
                  </w:tcBorders>
                  <w:noWrap w:val="0"/>
                  <w:vAlign w:val="center"/>
                </w:tcPr>
                <w:p w14:paraId="168FAE3C">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噪声</w:t>
                  </w:r>
                </w:p>
              </w:tc>
            </w:tr>
            <w:tr w14:paraId="7CD21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535" w:type="pct"/>
                  <w:vMerge w:val="restart"/>
                  <w:tcBorders>
                    <w:tl2br w:val="nil"/>
                    <w:tr2bl w:val="nil"/>
                  </w:tcBorders>
                  <w:noWrap w:val="0"/>
                  <w:vAlign w:val="center"/>
                </w:tcPr>
                <w:p w14:paraId="60DBDF0A">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固废</w:t>
                  </w:r>
                </w:p>
              </w:tc>
              <w:tc>
                <w:tcPr>
                  <w:tcW w:w="1879" w:type="pct"/>
                  <w:tcBorders>
                    <w:tl2br w:val="nil"/>
                    <w:tr2bl w:val="nil"/>
                  </w:tcBorders>
                  <w:noWrap w:val="0"/>
                  <w:vAlign w:val="center"/>
                </w:tcPr>
                <w:p w14:paraId="17963EE5">
                  <w:pPr>
                    <w:pStyle w:val="49"/>
                    <w:keepNext w:val="0"/>
                    <w:keepLines w:val="0"/>
                    <w:suppressLineNumbers w:val="0"/>
                    <w:adjustRightInd w:val="0"/>
                    <w:snapToGrid w:val="0"/>
                    <w:spacing w:before="0" w:beforeAutospacing="0" w:after="0" w:afterAutospacing="0"/>
                    <w:ind w:left="0" w:leftChars="0" w:right="0" w:rightChars="0"/>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b w:val="0"/>
                      <w:bCs w:val="0"/>
                      <w:color w:val="000000" w:themeColor="text1"/>
                      <w:kern w:val="0"/>
                      <w:sz w:val="21"/>
                      <w:szCs w:val="21"/>
                      <w:lang w:val="en-US" w:eastAsia="zh-CN" w:bidi="ar-SA"/>
                      <w14:textFill>
                        <w14:solidFill>
                          <w14:schemeClr w14:val="tx1"/>
                        </w14:solidFill>
                      </w14:textFill>
                    </w:rPr>
                    <w:t>加压烧结</w:t>
                  </w:r>
                </w:p>
              </w:tc>
              <w:tc>
                <w:tcPr>
                  <w:tcW w:w="2584" w:type="pct"/>
                  <w:tcBorders>
                    <w:tl2br w:val="nil"/>
                    <w:tr2bl w:val="nil"/>
                  </w:tcBorders>
                  <w:noWrap w:val="0"/>
                  <w:vAlign w:val="center"/>
                </w:tcPr>
                <w:p w14:paraId="2626D5C0">
                  <w:pPr>
                    <w:pStyle w:val="49"/>
                    <w:keepNext w:val="0"/>
                    <w:keepLines w:val="0"/>
                    <w:suppressLineNumbers w:val="0"/>
                    <w:adjustRightInd w:val="0"/>
                    <w:snapToGrid w:val="0"/>
                    <w:spacing w:before="0" w:beforeAutospacing="0" w:after="0" w:afterAutospacing="0"/>
                    <w:ind w:left="0" w:leftChars="0" w:right="0" w:rightChars="0"/>
                    <w:contextualSpacing/>
                    <w:jc w:val="cente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废石英砂、不合格品</w:t>
                  </w:r>
                </w:p>
              </w:tc>
            </w:tr>
            <w:tr w14:paraId="68596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535" w:type="pct"/>
                  <w:vMerge w:val="continue"/>
                  <w:tcBorders>
                    <w:tl2br w:val="nil"/>
                    <w:tr2bl w:val="nil"/>
                  </w:tcBorders>
                  <w:noWrap w:val="0"/>
                  <w:vAlign w:val="center"/>
                </w:tcPr>
                <w:p w14:paraId="5D5AC247">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color w:val="000000" w:themeColor="text1"/>
                      <w:sz w:val="21"/>
                      <w:szCs w:val="21"/>
                      <w14:textFill>
                        <w14:solidFill>
                          <w14:schemeClr w14:val="tx1"/>
                        </w14:solidFill>
                      </w14:textFill>
                    </w:rPr>
                  </w:pPr>
                </w:p>
              </w:tc>
              <w:tc>
                <w:tcPr>
                  <w:tcW w:w="1879" w:type="pct"/>
                  <w:tcBorders>
                    <w:tl2br w:val="nil"/>
                    <w:tr2bl w:val="nil"/>
                  </w:tcBorders>
                  <w:noWrap w:val="0"/>
                  <w:vAlign w:val="center"/>
                </w:tcPr>
                <w:p w14:paraId="4DD59213">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kern w:val="2"/>
                      <w:sz w:val="21"/>
                      <w:szCs w:val="21"/>
                      <w:lang w:val="en-US" w:eastAsia="zh-CN" w:bidi="ar-SA"/>
                      <w14:textFill>
                        <w14:solidFill>
                          <w14:schemeClr w14:val="tx1"/>
                        </w14:solidFill>
                      </w14:textFill>
                    </w:rPr>
                    <w:t>机加工</w:t>
                  </w:r>
                </w:p>
              </w:tc>
              <w:tc>
                <w:tcPr>
                  <w:tcW w:w="2584" w:type="pct"/>
                  <w:tcBorders>
                    <w:tl2br w:val="nil"/>
                    <w:tr2bl w:val="nil"/>
                  </w:tcBorders>
                  <w:noWrap w:val="0"/>
                  <w:vAlign w:val="center"/>
                </w:tcPr>
                <w:p w14:paraId="221F4054">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金属边角料、废切削液</w:t>
                  </w:r>
                </w:p>
              </w:tc>
            </w:tr>
            <w:tr w14:paraId="636A15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535" w:type="pct"/>
                  <w:vMerge w:val="continue"/>
                  <w:tcBorders>
                    <w:tl2br w:val="nil"/>
                    <w:tr2bl w:val="nil"/>
                  </w:tcBorders>
                  <w:noWrap w:val="0"/>
                  <w:vAlign w:val="center"/>
                </w:tcPr>
                <w:p w14:paraId="0E8C86E4">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color w:val="000000" w:themeColor="text1"/>
                      <w:sz w:val="21"/>
                      <w:szCs w:val="21"/>
                      <w14:textFill>
                        <w14:solidFill>
                          <w14:schemeClr w14:val="tx1"/>
                        </w14:solidFill>
                      </w14:textFill>
                    </w:rPr>
                  </w:pPr>
                </w:p>
              </w:tc>
              <w:tc>
                <w:tcPr>
                  <w:tcW w:w="1879" w:type="pct"/>
                  <w:tcBorders>
                    <w:tl2br w:val="nil"/>
                    <w:tr2bl w:val="nil"/>
                  </w:tcBorders>
                  <w:noWrap w:val="0"/>
                  <w:vAlign w:val="center"/>
                </w:tcPr>
                <w:p w14:paraId="7AE6D65E">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激光切割</w:t>
                  </w:r>
                </w:p>
              </w:tc>
              <w:tc>
                <w:tcPr>
                  <w:tcW w:w="2584" w:type="pct"/>
                  <w:tcBorders>
                    <w:tl2br w:val="nil"/>
                    <w:tr2bl w:val="nil"/>
                  </w:tcBorders>
                  <w:noWrap w:val="0"/>
                  <w:vAlign w:val="center"/>
                </w:tcPr>
                <w:p w14:paraId="1CE3E295">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金属边角料</w:t>
                  </w:r>
                </w:p>
              </w:tc>
            </w:tr>
            <w:tr w14:paraId="543E13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535" w:type="pct"/>
                  <w:vMerge w:val="continue"/>
                  <w:tcBorders>
                    <w:tl2br w:val="nil"/>
                    <w:tr2bl w:val="nil"/>
                  </w:tcBorders>
                  <w:noWrap w:val="0"/>
                  <w:vAlign w:val="center"/>
                </w:tcPr>
                <w:p w14:paraId="62A03FD3">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color w:val="000000" w:themeColor="text1"/>
                      <w:sz w:val="21"/>
                      <w:szCs w:val="21"/>
                      <w14:textFill>
                        <w14:solidFill>
                          <w14:schemeClr w14:val="tx1"/>
                        </w14:solidFill>
                      </w14:textFill>
                    </w:rPr>
                  </w:pPr>
                </w:p>
              </w:tc>
              <w:tc>
                <w:tcPr>
                  <w:tcW w:w="1879" w:type="pct"/>
                  <w:tcBorders>
                    <w:tl2br w:val="nil"/>
                    <w:tr2bl w:val="nil"/>
                  </w:tcBorders>
                  <w:noWrap w:val="0"/>
                  <w:vAlign w:val="center"/>
                </w:tcPr>
                <w:p w14:paraId="5CDBA537">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废气处理</w:t>
                  </w:r>
                </w:p>
              </w:tc>
              <w:tc>
                <w:tcPr>
                  <w:tcW w:w="2584" w:type="pct"/>
                  <w:tcBorders>
                    <w:tl2br w:val="nil"/>
                    <w:tr2bl w:val="nil"/>
                  </w:tcBorders>
                  <w:noWrap w:val="0"/>
                  <w:vAlign w:val="center"/>
                </w:tcPr>
                <w:p w14:paraId="62E62034">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除尘灰</w:t>
                  </w:r>
                </w:p>
              </w:tc>
            </w:tr>
            <w:tr w14:paraId="42B0FF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535" w:type="pct"/>
                  <w:vMerge w:val="continue"/>
                  <w:tcBorders>
                    <w:tl2br w:val="nil"/>
                    <w:tr2bl w:val="nil"/>
                  </w:tcBorders>
                  <w:noWrap w:val="0"/>
                  <w:vAlign w:val="center"/>
                </w:tcPr>
                <w:p w14:paraId="7622877B">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color w:val="000000" w:themeColor="text1"/>
                      <w:sz w:val="21"/>
                      <w:szCs w:val="21"/>
                      <w14:textFill>
                        <w14:solidFill>
                          <w14:schemeClr w14:val="tx1"/>
                        </w14:solidFill>
                      </w14:textFill>
                    </w:rPr>
                  </w:pPr>
                </w:p>
              </w:tc>
              <w:tc>
                <w:tcPr>
                  <w:tcW w:w="1879" w:type="pct"/>
                  <w:tcBorders>
                    <w:tl2br w:val="nil"/>
                    <w:tr2bl w:val="nil"/>
                  </w:tcBorders>
                  <w:noWrap w:val="0"/>
                  <w:vAlign w:val="center"/>
                </w:tcPr>
                <w:p w14:paraId="176422F6">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氩弧焊</w:t>
                  </w:r>
                </w:p>
              </w:tc>
              <w:tc>
                <w:tcPr>
                  <w:tcW w:w="2584" w:type="pct"/>
                  <w:tcBorders>
                    <w:tl2br w:val="nil"/>
                    <w:tr2bl w:val="nil"/>
                  </w:tcBorders>
                  <w:noWrap w:val="0"/>
                  <w:vAlign w:val="center"/>
                </w:tcPr>
                <w:p w14:paraId="1A8FFF2E">
                  <w:pPr>
                    <w:pStyle w:val="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废焊丝</w:t>
                  </w:r>
                </w:p>
              </w:tc>
            </w:tr>
            <w:tr w14:paraId="519E25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535" w:type="pct"/>
                  <w:vMerge w:val="continue"/>
                  <w:tcBorders>
                    <w:tl2br w:val="nil"/>
                    <w:tr2bl w:val="nil"/>
                  </w:tcBorders>
                  <w:noWrap w:val="0"/>
                  <w:vAlign w:val="center"/>
                </w:tcPr>
                <w:p w14:paraId="21AA3BCE">
                  <w:pPr>
                    <w:pStyle w:val="49"/>
                    <w:keepNext w:val="0"/>
                    <w:keepLines w:val="0"/>
                    <w:suppressLineNumbers w:val="0"/>
                    <w:adjustRightInd w:val="0"/>
                    <w:snapToGrid w:val="0"/>
                    <w:spacing w:before="0" w:beforeAutospacing="0" w:after="0" w:afterAutospacing="0"/>
                    <w:ind w:left="0" w:right="0"/>
                    <w:contextualSpacing/>
                    <w:jc w:val="center"/>
                    <w:rPr>
                      <w:rFonts w:hint="default" w:ascii="Times New Roman" w:hAnsi="Times New Roman" w:cs="Times New Roman"/>
                      <w:color w:val="000000" w:themeColor="text1"/>
                      <w:sz w:val="21"/>
                      <w:szCs w:val="21"/>
                      <w14:textFill>
                        <w14:solidFill>
                          <w14:schemeClr w14:val="tx1"/>
                        </w14:solidFill>
                      </w14:textFill>
                    </w:rPr>
                  </w:pPr>
                </w:p>
              </w:tc>
              <w:tc>
                <w:tcPr>
                  <w:tcW w:w="1879" w:type="pct"/>
                  <w:tcBorders>
                    <w:tl2br w:val="nil"/>
                    <w:tr2bl w:val="nil"/>
                  </w:tcBorders>
                  <w:noWrap w:val="0"/>
                  <w:vAlign w:val="center"/>
                </w:tcPr>
                <w:p w14:paraId="2FA21B5C">
                  <w:pPr>
                    <w:pStyle w:val="49"/>
                    <w:keepNext w:val="0"/>
                    <w:keepLines w:val="0"/>
                    <w:suppressLineNumbers w:val="0"/>
                    <w:adjustRightInd w:val="0"/>
                    <w:snapToGrid w:val="0"/>
                    <w:spacing w:before="0" w:beforeAutospacing="0" w:after="0" w:afterAutospacing="0"/>
                    <w:ind w:left="0" w:leftChars="0" w:right="0" w:rightChars="0"/>
                    <w:contextualSpacing/>
                    <w:jc w:val="center"/>
                    <w:rPr>
                      <w:rFonts w:hint="default" w:ascii="Times New Roman" w:hAnsi="Times New Roman" w:eastAsia="Times New Roman"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职工</w:t>
                  </w:r>
                </w:p>
              </w:tc>
              <w:tc>
                <w:tcPr>
                  <w:tcW w:w="2584" w:type="pct"/>
                  <w:tcBorders>
                    <w:tl2br w:val="nil"/>
                    <w:tr2bl w:val="nil"/>
                  </w:tcBorders>
                  <w:noWrap w:val="0"/>
                  <w:vAlign w:val="center"/>
                </w:tcPr>
                <w:p w14:paraId="7D843C90">
                  <w:pPr>
                    <w:pStyle w:val="49"/>
                    <w:keepNext w:val="0"/>
                    <w:keepLines w:val="0"/>
                    <w:suppressLineNumbers w:val="0"/>
                    <w:adjustRightInd w:val="0"/>
                    <w:snapToGrid w:val="0"/>
                    <w:spacing w:before="0" w:beforeAutospacing="0" w:after="0" w:afterAutospacing="0"/>
                    <w:ind w:left="0" w:leftChars="0" w:right="0" w:rightChars="0"/>
                    <w:contextualSpacing/>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生活垃圾</w:t>
                  </w:r>
                </w:p>
              </w:tc>
            </w:tr>
          </w:tbl>
          <w:p w14:paraId="45586DC4">
            <w:pPr>
              <w:pStyle w:val="3"/>
              <w:rPr>
                <w:rFonts w:hint="default"/>
                <w:color w:val="000000" w:themeColor="text1"/>
                <w:lang w:eastAsia="zh-CN"/>
                <w14:textFill>
                  <w14:solidFill>
                    <w14:schemeClr w14:val="tx1"/>
                  </w14:solidFill>
                </w14:textFill>
              </w:rPr>
            </w:pPr>
          </w:p>
        </w:tc>
      </w:tr>
      <w:tr w14:paraId="098886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3" w:type="dxa"/>
            <w:noWrap w:val="0"/>
            <w:vAlign w:val="center"/>
          </w:tcPr>
          <w:p w14:paraId="0831D481">
            <w:pPr>
              <w:pStyle w:val="20"/>
              <w:adjustRightInd w:val="0"/>
              <w:snapToGrid w:val="0"/>
              <w:spacing w:before="0" w:beforeAutospacing="0" w:after="0" w:afterAutospacing="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Cs/>
                <w:color w:val="000000" w:themeColor="text1"/>
                <w:kern w:val="2"/>
                <w:sz w:val="21"/>
                <w:szCs w:val="21"/>
                <w14:textFill>
                  <w14:solidFill>
                    <w14:schemeClr w14:val="tx1"/>
                  </w14:solidFill>
                </w14:textFill>
              </w:rPr>
              <w:t>与项目有关的原有环境污染问题</w:t>
            </w:r>
          </w:p>
        </w:tc>
        <w:tc>
          <w:tcPr>
            <w:tcW w:w="8161" w:type="dxa"/>
            <w:noWrap w:val="0"/>
            <w:vAlign w:val="top"/>
          </w:tcPr>
          <w:p w14:paraId="7B68E465">
            <w:pPr>
              <w:rPr>
                <w:rFonts w:hint="eastAsia"/>
                <w:color w:val="000000" w:themeColor="text1"/>
                <w:lang w:val="en-US" w:eastAsia="zh-CN"/>
                <w14:textFill>
                  <w14:solidFill>
                    <w14:schemeClr w14:val="tx1"/>
                  </w14:solidFill>
                </w14:textFill>
              </w:rPr>
            </w:pPr>
          </w:p>
          <w:p w14:paraId="658CDC1E">
            <w:pPr>
              <w:rPr>
                <w:rFonts w:hint="eastAsia"/>
                <w:color w:val="000000" w:themeColor="text1"/>
                <w:lang w:val="en-US" w:eastAsia="zh-CN"/>
                <w14:textFill>
                  <w14:solidFill>
                    <w14:schemeClr w14:val="tx1"/>
                  </w14:solidFill>
                </w14:textFill>
              </w:rPr>
            </w:pPr>
          </w:p>
          <w:p w14:paraId="5F5E6B08">
            <w:pPr>
              <w:rPr>
                <w:rFonts w:hint="eastAsia"/>
                <w:color w:val="000000" w:themeColor="text1"/>
                <w:lang w:val="en-US" w:eastAsia="zh-CN"/>
                <w14:textFill>
                  <w14:solidFill>
                    <w14:schemeClr w14:val="tx1"/>
                  </w14:solidFill>
                </w14:textFill>
              </w:rPr>
            </w:pPr>
          </w:p>
          <w:p w14:paraId="3831A05D">
            <w:pPr>
              <w:rPr>
                <w:rFonts w:hint="eastAsia"/>
                <w:color w:val="000000" w:themeColor="text1"/>
                <w:lang w:val="en-US" w:eastAsia="zh-CN"/>
                <w14:textFill>
                  <w14:solidFill>
                    <w14:schemeClr w14:val="tx1"/>
                  </w14:solidFill>
                </w14:textFill>
              </w:rPr>
            </w:pPr>
          </w:p>
          <w:p w14:paraId="183CF1EA">
            <w:pPr>
              <w:rPr>
                <w:rFonts w:hint="eastAsia"/>
                <w:color w:val="000000" w:themeColor="text1"/>
                <w:lang w:val="en-US" w:eastAsia="zh-CN"/>
                <w14:textFill>
                  <w14:solidFill>
                    <w14:schemeClr w14:val="tx1"/>
                  </w14:solidFill>
                </w14:textFill>
              </w:rPr>
            </w:pPr>
          </w:p>
          <w:p w14:paraId="096BF495">
            <w:pPr>
              <w:rPr>
                <w:rFonts w:hint="eastAsia"/>
                <w:color w:val="000000" w:themeColor="text1"/>
                <w:lang w:val="en-US" w:eastAsia="zh-CN"/>
                <w14:textFill>
                  <w14:solidFill>
                    <w14:schemeClr w14:val="tx1"/>
                  </w14:solidFill>
                </w14:textFill>
              </w:rPr>
            </w:pPr>
          </w:p>
          <w:p w14:paraId="7FC3A6BA">
            <w:pPr>
              <w:rPr>
                <w:rFonts w:hint="eastAsia"/>
                <w:color w:val="000000" w:themeColor="text1"/>
                <w:lang w:val="en-US" w:eastAsia="zh-CN"/>
                <w14:textFill>
                  <w14:solidFill>
                    <w14:schemeClr w14:val="tx1"/>
                  </w14:solidFill>
                </w14:textFill>
              </w:rPr>
            </w:pPr>
          </w:p>
          <w:p w14:paraId="09C9BC97">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无</w:t>
            </w:r>
          </w:p>
        </w:tc>
      </w:tr>
    </w:tbl>
    <w:p w14:paraId="622759D2">
      <w:pPr>
        <w:pStyle w:val="20"/>
        <w:jc w:val="center"/>
        <w:rPr>
          <w:rFonts w:hint="default" w:ascii="Times New Roman" w:hAnsi="Times New Roman" w:eastAsia="黑体" w:cs="Times New Roman"/>
          <w:snapToGrid w:val="0"/>
          <w:color w:val="000000" w:themeColor="text1"/>
          <w:sz w:val="36"/>
          <w:szCs w:val="36"/>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0DB8819">
      <w:pPr>
        <w:pStyle w:val="20"/>
        <w:adjustRightInd w:val="0"/>
        <w:snapToGrid w:val="0"/>
        <w:spacing w:before="0" w:beforeAutospacing="0" w:after="0" w:afterAutospacing="0" w:line="14" w:lineRule="auto"/>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p>
    <w:p w14:paraId="371DF62E">
      <w:pPr>
        <w:pStyle w:val="20"/>
        <w:jc w:val="center"/>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三、区域环境质量现状、环境保护目标及评价标准</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39"/>
        <w:gridCol w:w="8622"/>
      </w:tblGrid>
      <w:tr w14:paraId="231D91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59" w:hRule="atLeast"/>
          <w:jc w:val="center"/>
        </w:trPr>
        <w:tc>
          <w:tcPr>
            <w:tcW w:w="800" w:type="dxa"/>
            <w:noWrap w:val="0"/>
            <w:vAlign w:val="center"/>
          </w:tcPr>
          <w:p w14:paraId="5445ADD3">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区域</w:t>
            </w:r>
          </w:p>
          <w:p w14:paraId="4DF1D72A">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环境</w:t>
            </w:r>
          </w:p>
          <w:p w14:paraId="2263B895">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质量</w:t>
            </w:r>
          </w:p>
          <w:p w14:paraId="70E967E3">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现状</w:t>
            </w:r>
          </w:p>
        </w:tc>
        <w:tc>
          <w:tcPr>
            <w:tcW w:w="8190" w:type="dxa"/>
            <w:noWrap w:val="0"/>
            <w:vAlign w:val="center"/>
          </w:tcPr>
          <w:p w14:paraId="48B48DCE">
            <w:pPr>
              <w:keepNext w:val="0"/>
              <w:keepLines w:val="0"/>
              <w:pageBreakBefore w:val="0"/>
              <w:widowControl w:val="0"/>
              <w:numPr>
                <w:ilvl w:val="0"/>
                <w:numId w:val="0"/>
              </w:numPr>
              <w:suppressLineNumbers w:val="0"/>
              <w:kinsoku/>
              <w:wordWrap/>
              <w:overflowPunct/>
              <w:topLinePunct w:val="0"/>
              <w:autoSpaceDE/>
              <w:autoSpaceDN/>
              <w:bidi w:val="0"/>
              <w:snapToGrid/>
              <w:spacing w:before="168" w:beforeLines="50" w:beforeAutospacing="0" w:after="0" w:afterAutospacing="0" w:line="360" w:lineRule="auto"/>
              <w:ind w:right="0" w:rightChars="0" w:firstLine="422" w:firstLineChars="200"/>
              <w:textAlignment w:val="auto"/>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一、</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环境空气质量现状</w:t>
            </w:r>
          </w:p>
          <w:p w14:paraId="6441B1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1</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基本污染物</w:t>
            </w:r>
          </w:p>
          <w:p w14:paraId="1E199A8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根据《</w:t>
            </w:r>
            <w:r>
              <w:rPr>
                <w:rFonts w:hint="default" w:ascii="Times New Roman" w:hAnsi="Times New Roman" w:eastAsia="宋体" w:cs="Times New Roman"/>
                <w:color w:val="000000" w:themeColor="text1"/>
                <w:sz w:val="21"/>
                <w:szCs w:val="21"/>
                <w:lang w:eastAsia="zh-CN"/>
                <w14:textFill>
                  <w14:solidFill>
                    <w14:schemeClr w14:val="tx1"/>
                  </w14:solidFill>
                </w14:textFill>
              </w:rPr>
              <w:t>环境影响评价技术导则 大气环境</w:t>
            </w:r>
            <w:r>
              <w:rPr>
                <w:rFonts w:hint="default" w:ascii="Times New Roman" w:hAnsi="Times New Roman" w:eastAsia="宋体" w:cs="Times New Roman"/>
                <w:color w:val="000000" w:themeColor="text1"/>
                <w:sz w:val="21"/>
                <w:szCs w:val="21"/>
                <w14:textFill>
                  <w14:solidFill>
                    <w14:schemeClr w14:val="tx1"/>
                  </w14:solidFill>
                </w14:textFill>
              </w:rPr>
              <w:t>》（HJ2.2-2018）6.2.1.2“采用评价范围内国家或地方环境空气质量监测网中评价基准年连续1年的监测数据</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或采用生态环境主管部门公开发布的环境空气质量现状数据”。项目所在区域</w:t>
            </w:r>
            <w:r>
              <w:rPr>
                <w:rFonts w:hint="default" w:ascii="Times New Roman" w:hAnsi="Times New Roman" w:cs="Times New Roman"/>
                <w:color w:val="000000" w:themeColor="text1"/>
                <w:sz w:val="21"/>
                <w:szCs w:val="21"/>
                <w:lang w:eastAsia="zh-CN"/>
                <w14:textFill>
                  <w14:solidFill>
                    <w14:schemeClr w14:val="tx1"/>
                  </w14:solidFill>
                </w14:textFill>
              </w:rPr>
              <w:t>属于</w:t>
            </w:r>
            <w:r>
              <w:rPr>
                <w:rFonts w:hint="default" w:ascii="Times New Roman" w:hAnsi="Times New Roman" w:eastAsia="宋体" w:cs="Times New Roman"/>
                <w:color w:val="000000" w:themeColor="text1"/>
                <w:sz w:val="21"/>
                <w:szCs w:val="21"/>
                <w14:textFill>
                  <w14:solidFill>
                    <w14:schemeClr w14:val="tx1"/>
                  </w14:solidFill>
                </w14:textFill>
              </w:rPr>
              <w:t>环境空气质量二类功能区</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执行《环境空气质量标准》（GB3095-20</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26</w:t>
            </w:r>
            <w:r>
              <w:rPr>
                <w:rFonts w:hint="default" w:ascii="Times New Roman" w:hAnsi="Times New Roman" w:eastAsia="宋体" w:cs="Times New Roman"/>
                <w:color w:val="000000" w:themeColor="text1"/>
                <w:sz w:val="21"/>
                <w:szCs w:val="21"/>
                <w14:textFill>
                  <w14:solidFill>
                    <w14:schemeClr w14:val="tx1"/>
                  </w14:solidFill>
                </w14:textFill>
              </w:rPr>
              <w:t>）中的二级标准。</w:t>
            </w:r>
          </w:p>
          <w:p w14:paraId="4C6E5530">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为查明项目所在地大气环境质量</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本次评价基本污染物环境质量现状采用发布的《2025年1~12月份各县（区）空气质量状况统计》中陈仓区的统计数据</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来分析项目所在地的大气环境质量现状</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监测结果整理后见下表。</w:t>
            </w:r>
          </w:p>
          <w:p w14:paraId="6D14A73E">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表3-1 </w:t>
            </w:r>
            <w:r>
              <w:rPr>
                <w:rFonts w:hint="eastAsia"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 区域空气质量现状评价表</w:t>
            </w:r>
          </w:p>
          <w:tbl>
            <w:tblPr>
              <w:tblStyle w:val="24"/>
              <w:tblW w:w="8376"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837"/>
              <w:gridCol w:w="3144"/>
              <w:gridCol w:w="1163"/>
              <w:gridCol w:w="1163"/>
              <w:gridCol w:w="966"/>
              <w:gridCol w:w="1103"/>
            </w:tblGrid>
            <w:tr w14:paraId="7255BF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04" w:hRule="atLeast"/>
              </w:trPr>
              <w:tc>
                <w:tcPr>
                  <w:tcW w:w="509" w:type="pct"/>
                  <w:tcBorders>
                    <w:tl2br w:val="nil"/>
                    <w:tr2bl w:val="nil"/>
                  </w:tcBorders>
                  <w:shd w:val="clear" w:color="auto" w:fill="FFFFFF" w:themeFill="background1"/>
                  <w:vAlign w:val="center"/>
                </w:tcPr>
                <w:p w14:paraId="2832C93C">
                  <w:pPr>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污染物</w:t>
                  </w:r>
                </w:p>
              </w:tc>
              <w:tc>
                <w:tcPr>
                  <w:tcW w:w="1885" w:type="pct"/>
                  <w:tcBorders>
                    <w:tl2br w:val="nil"/>
                    <w:tr2bl w:val="nil"/>
                  </w:tcBorders>
                  <w:shd w:val="clear" w:color="auto" w:fill="FFFFFF" w:themeFill="background1"/>
                  <w:vAlign w:val="center"/>
                </w:tcPr>
                <w:p w14:paraId="1DE80B37">
                  <w:pPr>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年评价指标</w:t>
                  </w:r>
                </w:p>
              </w:tc>
              <w:tc>
                <w:tcPr>
                  <w:tcW w:w="679" w:type="pct"/>
                  <w:tcBorders>
                    <w:tl2br w:val="nil"/>
                    <w:tr2bl w:val="nil"/>
                  </w:tcBorders>
                  <w:shd w:val="clear" w:color="auto" w:fill="FFFFFF" w:themeFill="background1"/>
                  <w:vAlign w:val="center"/>
                </w:tcPr>
                <w:p w14:paraId="78D38452">
                  <w:pPr>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现状浓度（μg/m</w:t>
                  </w:r>
                  <w:r>
                    <w:rPr>
                      <w:rFonts w:hint="default" w:ascii="Times New Roman" w:hAnsi="Times New Roman" w:eastAsia="宋体" w:cs="Times New Roman"/>
                      <w:b/>
                      <w:bCs/>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w:t>
                  </w:r>
                </w:p>
              </w:tc>
              <w:tc>
                <w:tcPr>
                  <w:tcW w:w="671" w:type="pct"/>
                  <w:tcBorders>
                    <w:tl2br w:val="nil"/>
                    <w:tr2bl w:val="nil"/>
                  </w:tcBorders>
                  <w:shd w:val="clear" w:color="auto" w:fill="FFFFFF" w:themeFill="background1"/>
                  <w:vAlign w:val="center"/>
                </w:tcPr>
                <w:p w14:paraId="0B48108A">
                  <w:pPr>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标准值（μg/m</w:t>
                  </w:r>
                  <w:r>
                    <w:rPr>
                      <w:rFonts w:hint="default" w:ascii="Times New Roman" w:hAnsi="Times New Roman" w:eastAsia="宋体" w:cs="Times New Roman"/>
                      <w:b/>
                      <w:bCs/>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w:t>
                  </w:r>
                </w:p>
              </w:tc>
              <w:tc>
                <w:tcPr>
                  <w:tcW w:w="585" w:type="pct"/>
                  <w:tcBorders>
                    <w:tl2br w:val="nil"/>
                    <w:tr2bl w:val="nil"/>
                  </w:tcBorders>
                  <w:shd w:val="clear" w:color="auto" w:fill="FFFFFF" w:themeFill="background1"/>
                  <w:vAlign w:val="center"/>
                </w:tcPr>
                <w:p w14:paraId="15FF3DD6">
                  <w:pPr>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占标率（%）</w:t>
                  </w:r>
                </w:p>
              </w:tc>
              <w:tc>
                <w:tcPr>
                  <w:tcW w:w="667" w:type="pct"/>
                  <w:tcBorders>
                    <w:tl2br w:val="nil"/>
                    <w:tr2bl w:val="nil"/>
                  </w:tcBorders>
                  <w:shd w:val="clear" w:color="auto" w:fill="FFFFFF" w:themeFill="background1"/>
                  <w:vAlign w:val="center"/>
                </w:tcPr>
                <w:p w14:paraId="575BC49C">
                  <w:pPr>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达标情况</w:t>
                  </w:r>
                </w:p>
              </w:tc>
            </w:tr>
            <w:tr w14:paraId="42FF83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509" w:type="pct"/>
                  <w:tcBorders>
                    <w:tl2br w:val="nil"/>
                    <w:tr2bl w:val="nil"/>
                  </w:tcBorders>
                  <w:shd w:val="clear" w:color="auto" w:fill="FFFFFF" w:themeFill="background1"/>
                  <w:vAlign w:val="center"/>
                </w:tcPr>
                <w:p w14:paraId="318B1DCD">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PM</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10</w:t>
                  </w:r>
                </w:p>
              </w:tc>
              <w:tc>
                <w:tcPr>
                  <w:tcW w:w="1885" w:type="pct"/>
                  <w:tcBorders>
                    <w:tl2br w:val="nil"/>
                    <w:tr2bl w:val="nil"/>
                  </w:tcBorders>
                  <w:shd w:val="clear" w:color="auto" w:fill="FFFFFF" w:themeFill="background1"/>
                  <w:vAlign w:val="center"/>
                </w:tcPr>
                <w:p w14:paraId="08744E46">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年平均浓度</w:t>
                  </w:r>
                </w:p>
              </w:tc>
              <w:tc>
                <w:tcPr>
                  <w:tcW w:w="679" w:type="pct"/>
                  <w:tcBorders>
                    <w:tl2br w:val="nil"/>
                    <w:tr2bl w:val="nil"/>
                  </w:tcBorders>
                  <w:shd w:val="clear" w:color="auto" w:fill="FFFFFF" w:themeFill="background1"/>
                  <w:vAlign w:val="center"/>
                </w:tcPr>
                <w:p w14:paraId="212411B6">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61</w:t>
                  </w:r>
                </w:p>
              </w:tc>
              <w:tc>
                <w:tcPr>
                  <w:tcW w:w="671" w:type="pct"/>
                  <w:tcBorders>
                    <w:tl2br w:val="nil"/>
                    <w:tr2bl w:val="nil"/>
                  </w:tcBorders>
                  <w:shd w:val="clear" w:color="auto" w:fill="FFFFFF" w:themeFill="background1"/>
                  <w:vAlign w:val="center"/>
                </w:tcPr>
                <w:p w14:paraId="52193766">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60</w:t>
                  </w:r>
                </w:p>
              </w:tc>
              <w:tc>
                <w:tcPr>
                  <w:tcW w:w="585" w:type="pct"/>
                  <w:tcBorders>
                    <w:tl2br w:val="nil"/>
                    <w:tr2bl w:val="nil"/>
                  </w:tcBorders>
                  <w:shd w:val="clear" w:color="auto" w:fill="FFFFFF" w:themeFill="background1"/>
                  <w:vAlign w:val="center"/>
                </w:tcPr>
                <w:p w14:paraId="77D8D431">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101.7</w:t>
                  </w:r>
                </w:p>
              </w:tc>
              <w:tc>
                <w:tcPr>
                  <w:tcW w:w="667" w:type="pct"/>
                  <w:tcBorders>
                    <w:tl2br w:val="nil"/>
                    <w:tr2bl w:val="nil"/>
                  </w:tcBorders>
                  <w:shd w:val="clear" w:color="auto" w:fill="FFFFFF" w:themeFill="background1"/>
                  <w:vAlign w:val="center"/>
                </w:tcPr>
                <w:p w14:paraId="7D97B257">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不</w:t>
                  </w: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r>
            <w:tr w14:paraId="7EA4C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509" w:type="pct"/>
                  <w:tcBorders>
                    <w:tl2br w:val="nil"/>
                    <w:tr2bl w:val="nil"/>
                  </w:tcBorders>
                  <w:shd w:val="clear" w:color="auto" w:fill="FFFFFF" w:themeFill="background1"/>
                  <w:vAlign w:val="center"/>
                </w:tcPr>
                <w:p w14:paraId="049CFEBE">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PM</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2.5</w:t>
                  </w:r>
                </w:p>
              </w:tc>
              <w:tc>
                <w:tcPr>
                  <w:tcW w:w="1885" w:type="pct"/>
                  <w:tcBorders>
                    <w:tl2br w:val="nil"/>
                    <w:tr2bl w:val="nil"/>
                  </w:tcBorders>
                  <w:shd w:val="clear" w:color="auto" w:fill="FFFFFF" w:themeFill="background1"/>
                  <w:vAlign w:val="center"/>
                </w:tcPr>
                <w:p w14:paraId="0528CB7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年平均浓度</w:t>
                  </w:r>
                </w:p>
              </w:tc>
              <w:tc>
                <w:tcPr>
                  <w:tcW w:w="679" w:type="pct"/>
                  <w:tcBorders>
                    <w:tl2br w:val="nil"/>
                    <w:tr2bl w:val="nil"/>
                  </w:tcBorders>
                  <w:shd w:val="clear" w:color="auto" w:fill="FFFFFF" w:themeFill="background1"/>
                  <w:vAlign w:val="center"/>
                </w:tcPr>
                <w:p w14:paraId="7C15BE62">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35.2</w:t>
                  </w:r>
                </w:p>
              </w:tc>
              <w:tc>
                <w:tcPr>
                  <w:tcW w:w="671" w:type="pct"/>
                  <w:tcBorders>
                    <w:tl2br w:val="nil"/>
                    <w:tr2bl w:val="nil"/>
                  </w:tcBorders>
                  <w:shd w:val="clear" w:color="auto" w:fill="FFFFFF" w:themeFill="background1"/>
                  <w:vAlign w:val="center"/>
                </w:tcPr>
                <w:p w14:paraId="53CEF094">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30</w:t>
                  </w:r>
                </w:p>
              </w:tc>
              <w:tc>
                <w:tcPr>
                  <w:tcW w:w="585" w:type="pct"/>
                  <w:tcBorders>
                    <w:tl2br w:val="nil"/>
                    <w:tr2bl w:val="nil"/>
                  </w:tcBorders>
                  <w:shd w:val="clear" w:color="auto" w:fill="FFFFFF" w:themeFill="background1"/>
                  <w:vAlign w:val="center"/>
                </w:tcPr>
                <w:p w14:paraId="24C11025">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117.3</w:t>
                  </w:r>
                </w:p>
              </w:tc>
              <w:tc>
                <w:tcPr>
                  <w:tcW w:w="667" w:type="pct"/>
                  <w:tcBorders>
                    <w:tl2br w:val="nil"/>
                    <w:tr2bl w:val="nil"/>
                  </w:tcBorders>
                  <w:shd w:val="clear" w:color="auto" w:fill="FFFFFF" w:themeFill="background1"/>
                  <w:vAlign w:val="center"/>
                </w:tcPr>
                <w:p w14:paraId="0EC53F56">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不达标</w:t>
                  </w:r>
                </w:p>
              </w:tc>
            </w:tr>
            <w:tr w14:paraId="5FD772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56" w:hRule="atLeast"/>
              </w:trPr>
              <w:tc>
                <w:tcPr>
                  <w:tcW w:w="509" w:type="pct"/>
                  <w:tcBorders>
                    <w:tl2br w:val="nil"/>
                    <w:tr2bl w:val="nil"/>
                  </w:tcBorders>
                  <w:shd w:val="clear" w:color="auto" w:fill="FFFFFF" w:themeFill="background1"/>
                  <w:vAlign w:val="center"/>
                </w:tcPr>
                <w:p w14:paraId="4B78015F">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SO</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p>
              </w:tc>
              <w:tc>
                <w:tcPr>
                  <w:tcW w:w="1885" w:type="pct"/>
                  <w:tcBorders>
                    <w:tl2br w:val="nil"/>
                    <w:tr2bl w:val="nil"/>
                  </w:tcBorders>
                  <w:shd w:val="clear" w:color="auto" w:fill="FFFFFF" w:themeFill="background1"/>
                  <w:vAlign w:val="center"/>
                </w:tcPr>
                <w:p w14:paraId="680F27B2">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年平均浓度</w:t>
                  </w:r>
                </w:p>
              </w:tc>
              <w:tc>
                <w:tcPr>
                  <w:tcW w:w="679" w:type="pct"/>
                  <w:tcBorders>
                    <w:tl2br w:val="nil"/>
                    <w:tr2bl w:val="nil"/>
                  </w:tcBorders>
                  <w:shd w:val="clear" w:color="auto" w:fill="FFFFFF" w:themeFill="background1"/>
                  <w:vAlign w:val="center"/>
                </w:tcPr>
                <w:p w14:paraId="13B957BE">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17</w:t>
                  </w:r>
                </w:p>
              </w:tc>
              <w:tc>
                <w:tcPr>
                  <w:tcW w:w="671" w:type="pct"/>
                  <w:tcBorders>
                    <w:tl2br w:val="nil"/>
                    <w:tr2bl w:val="nil"/>
                  </w:tcBorders>
                  <w:shd w:val="clear" w:color="auto" w:fill="FFFFFF" w:themeFill="background1"/>
                  <w:vAlign w:val="center"/>
                </w:tcPr>
                <w:p w14:paraId="28775EFB">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60</w:t>
                  </w:r>
                </w:p>
              </w:tc>
              <w:tc>
                <w:tcPr>
                  <w:tcW w:w="585" w:type="pct"/>
                  <w:tcBorders>
                    <w:tl2br w:val="nil"/>
                    <w:tr2bl w:val="nil"/>
                  </w:tcBorders>
                  <w:shd w:val="clear" w:color="auto" w:fill="FFFFFF" w:themeFill="background1"/>
                  <w:vAlign w:val="center"/>
                </w:tcPr>
                <w:p w14:paraId="443523EA">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28.3</w:t>
                  </w:r>
                </w:p>
              </w:tc>
              <w:tc>
                <w:tcPr>
                  <w:tcW w:w="667" w:type="pct"/>
                  <w:tcBorders>
                    <w:tl2br w:val="nil"/>
                    <w:tr2bl w:val="nil"/>
                  </w:tcBorders>
                  <w:shd w:val="clear" w:color="auto" w:fill="FFFFFF" w:themeFill="background1"/>
                  <w:vAlign w:val="center"/>
                </w:tcPr>
                <w:p w14:paraId="0750261D">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r>
            <w:tr w14:paraId="3F164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56" w:hRule="atLeast"/>
              </w:trPr>
              <w:tc>
                <w:tcPr>
                  <w:tcW w:w="509" w:type="pct"/>
                  <w:tcBorders>
                    <w:tl2br w:val="nil"/>
                    <w:tr2bl w:val="nil"/>
                  </w:tcBorders>
                  <w:shd w:val="clear" w:color="auto" w:fill="FFFFFF" w:themeFill="background1"/>
                  <w:vAlign w:val="center"/>
                </w:tcPr>
                <w:p w14:paraId="20AE772F">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NO</w:t>
                  </w:r>
                  <w:r>
                    <w:rPr>
                      <w:rFonts w:hint="default" w:ascii="Times New Roman" w:hAnsi="Times New Roman" w:eastAsia="宋体" w:cs="Times New Roman"/>
                      <w:color w:val="000000" w:themeColor="text1"/>
                      <w:sz w:val="21"/>
                      <w:szCs w:val="21"/>
                      <w:highlight w:val="none"/>
                      <w:vertAlign w:val="subscript"/>
                      <w14:textFill>
                        <w14:solidFill>
                          <w14:schemeClr w14:val="tx1"/>
                        </w14:solidFill>
                      </w14:textFill>
                    </w:rPr>
                    <w:t>2</w:t>
                  </w:r>
                </w:p>
              </w:tc>
              <w:tc>
                <w:tcPr>
                  <w:tcW w:w="1885" w:type="pct"/>
                  <w:tcBorders>
                    <w:tl2br w:val="nil"/>
                    <w:tr2bl w:val="nil"/>
                  </w:tcBorders>
                  <w:shd w:val="clear" w:color="auto" w:fill="FFFFFF" w:themeFill="background1"/>
                  <w:vAlign w:val="center"/>
                </w:tcPr>
                <w:p w14:paraId="19611977">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年平均浓度</w:t>
                  </w:r>
                </w:p>
              </w:tc>
              <w:tc>
                <w:tcPr>
                  <w:tcW w:w="679" w:type="pct"/>
                  <w:tcBorders>
                    <w:tl2br w:val="nil"/>
                    <w:tr2bl w:val="nil"/>
                  </w:tcBorders>
                  <w:shd w:val="clear" w:color="auto" w:fill="FFFFFF" w:themeFill="background1"/>
                  <w:vAlign w:val="center"/>
                </w:tcPr>
                <w:p w14:paraId="1BC250CB">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27</w:t>
                  </w:r>
                </w:p>
              </w:tc>
              <w:tc>
                <w:tcPr>
                  <w:tcW w:w="671" w:type="pct"/>
                  <w:tcBorders>
                    <w:tl2br w:val="nil"/>
                    <w:tr2bl w:val="nil"/>
                  </w:tcBorders>
                  <w:shd w:val="clear" w:color="auto" w:fill="FFFFFF" w:themeFill="background1"/>
                  <w:vAlign w:val="center"/>
                </w:tcPr>
                <w:p w14:paraId="5273C61F">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40</w:t>
                  </w:r>
                </w:p>
              </w:tc>
              <w:tc>
                <w:tcPr>
                  <w:tcW w:w="585" w:type="pct"/>
                  <w:tcBorders>
                    <w:tl2br w:val="nil"/>
                    <w:tr2bl w:val="nil"/>
                  </w:tcBorders>
                  <w:shd w:val="clear" w:color="auto" w:fill="FFFFFF" w:themeFill="background1"/>
                  <w:vAlign w:val="center"/>
                </w:tcPr>
                <w:p w14:paraId="5402C14F">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67.5</w:t>
                  </w:r>
                </w:p>
              </w:tc>
              <w:tc>
                <w:tcPr>
                  <w:tcW w:w="667" w:type="pct"/>
                  <w:tcBorders>
                    <w:tl2br w:val="nil"/>
                    <w:tr2bl w:val="nil"/>
                  </w:tcBorders>
                  <w:shd w:val="clear" w:color="auto" w:fill="FFFFFF" w:themeFill="background1"/>
                  <w:vAlign w:val="center"/>
                </w:tcPr>
                <w:p w14:paraId="11B9EC04">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r>
            <w:tr w14:paraId="26385B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509" w:type="pct"/>
                  <w:tcBorders>
                    <w:tl2br w:val="nil"/>
                    <w:tr2bl w:val="nil"/>
                  </w:tcBorders>
                  <w:shd w:val="clear" w:color="auto" w:fill="FFFFFF" w:themeFill="background1"/>
                  <w:vAlign w:val="center"/>
                </w:tcPr>
                <w:p w14:paraId="2A83D6AB">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CO</w:t>
                  </w:r>
                </w:p>
              </w:tc>
              <w:tc>
                <w:tcPr>
                  <w:tcW w:w="1885" w:type="pct"/>
                  <w:tcBorders>
                    <w:tl2br w:val="nil"/>
                    <w:tr2bl w:val="nil"/>
                  </w:tcBorders>
                  <w:shd w:val="clear" w:color="auto" w:fill="FFFFFF" w:themeFill="background1"/>
                  <w:vAlign w:val="center"/>
                </w:tcPr>
                <w:p w14:paraId="5B4AD8E0">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24小时平均第95百分位数</w:t>
                  </w:r>
                </w:p>
              </w:tc>
              <w:tc>
                <w:tcPr>
                  <w:tcW w:w="679" w:type="pct"/>
                  <w:tcBorders>
                    <w:tl2br w:val="nil"/>
                    <w:tr2bl w:val="nil"/>
                  </w:tcBorders>
                  <w:shd w:val="clear" w:color="auto" w:fill="FFFFFF" w:themeFill="background1"/>
                  <w:vAlign w:val="center"/>
                </w:tcPr>
                <w:p w14:paraId="04600121">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1000</w:t>
                  </w:r>
                </w:p>
              </w:tc>
              <w:tc>
                <w:tcPr>
                  <w:tcW w:w="671" w:type="pct"/>
                  <w:tcBorders>
                    <w:tl2br w:val="nil"/>
                    <w:tr2bl w:val="nil"/>
                  </w:tcBorders>
                  <w:shd w:val="clear" w:color="auto" w:fill="FFFFFF" w:themeFill="background1"/>
                  <w:vAlign w:val="center"/>
                </w:tcPr>
                <w:p w14:paraId="7A4A8082">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4000</w:t>
                  </w:r>
                </w:p>
              </w:tc>
              <w:tc>
                <w:tcPr>
                  <w:tcW w:w="585" w:type="pct"/>
                  <w:tcBorders>
                    <w:tl2br w:val="nil"/>
                    <w:tr2bl w:val="nil"/>
                  </w:tcBorders>
                  <w:shd w:val="clear" w:color="auto" w:fill="FFFFFF" w:themeFill="background1"/>
                  <w:vAlign w:val="center"/>
                </w:tcPr>
                <w:p w14:paraId="3672BBED">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25</w:t>
                  </w:r>
                </w:p>
              </w:tc>
              <w:tc>
                <w:tcPr>
                  <w:tcW w:w="667" w:type="pct"/>
                  <w:tcBorders>
                    <w:tl2br w:val="nil"/>
                    <w:tr2bl w:val="nil"/>
                  </w:tcBorders>
                  <w:shd w:val="clear" w:color="auto" w:fill="FFFFFF" w:themeFill="background1"/>
                  <w:vAlign w:val="center"/>
                </w:tcPr>
                <w:p w14:paraId="5BA7AE71">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r>
            <w:tr w14:paraId="3D62D4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509" w:type="pct"/>
                  <w:tcBorders>
                    <w:tl2br w:val="nil"/>
                    <w:tr2bl w:val="nil"/>
                  </w:tcBorders>
                  <w:shd w:val="clear" w:color="auto" w:fill="FFFFFF" w:themeFill="background1"/>
                  <w:vAlign w:val="center"/>
                </w:tcPr>
                <w:p w14:paraId="6C37DF49">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O3</w:t>
                  </w:r>
                </w:p>
              </w:tc>
              <w:tc>
                <w:tcPr>
                  <w:tcW w:w="1885" w:type="pct"/>
                  <w:tcBorders>
                    <w:tl2br w:val="nil"/>
                    <w:tr2bl w:val="nil"/>
                  </w:tcBorders>
                  <w:shd w:val="clear" w:color="auto" w:fill="FFFFFF" w:themeFill="background1"/>
                  <w:vAlign w:val="center"/>
                </w:tcPr>
                <w:p w14:paraId="4C7D6BAD">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日最大8小时平均第90百分位数</w:t>
                  </w:r>
                </w:p>
              </w:tc>
              <w:tc>
                <w:tcPr>
                  <w:tcW w:w="679" w:type="pct"/>
                  <w:tcBorders>
                    <w:tl2br w:val="nil"/>
                    <w:tr2bl w:val="nil"/>
                  </w:tcBorders>
                  <w:shd w:val="clear" w:color="auto" w:fill="FFFFFF" w:themeFill="background1"/>
                  <w:vAlign w:val="center"/>
                </w:tcPr>
                <w:p w14:paraId="53FAF4C5">
                  <w:pPr>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48</w:t>
                  </w:r>
                </w:p>
              </w:tc>
              <w:tc>
                <w:tcPr>
                  <w:tcW w:w="671" w:type="pct"/>
                  <w:tcBorders>
                    <w:tl2br w:val="nil"/>
                    <w:tr2bl w:val="nil"/>
                  </w:tcBorders>
                  <w:shd w:val="clear" w:color="auto" w:fill="FFFFFF" w:themeFill="background1"/>
                  <w:vAlign w:val="center"/>
                </w:tcPr>
                <w:p w14:paraId="5F09598F">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160</w:t>
                  </w:r>
                </w:p>
              </w:tc>
              <w:tc>
                <w:tcPr>
                  <w:tcW w:w="585" w:type="pct"/>
                  <w:tcBorders>
                    <w:tl2br w:val="nil"/>
                    <w:tr2bl w:val="nil"/>
                  </w:tcBorders>
                  <w:shd w:val="clear" w:color="auto" w:fill="FFFFFF" w:themeFill="background1"/>
                  <w:vAlign w:val="center"/>
                </w:tcPr>
                <w:p w14:paraId="3A9F9DD3">
                  <w:pPr>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92.5</w:t>
                  </w:r>
                </w:p>
              </w:tc>
              <w:tc>
                <w:tcPr>
                  <w:tcW w:w="667" w:type="pct"/>
                  <w:tcBorders>
                    <w:tl2br w:val="nil"/>
                    <w:tr2bl w:val="nil"/>
                  </w:tcBorders>
                  <w:shd w:val="clear" w:color="auto" w:fill="FFFFFF" w:themeFill="background1"/>
                  <w:vAlign w:val="center"/>
                </w:tcPr>
                <w:p w14:paraId="18A5B0E0">
                  <w:pPr>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达标</w:t>
                  </w:r>
                </w:p>
              </w:tc>
            </w:tr>
          </w:tbl>
          <w:p w14:paraId="056319EA">
            <w:pPr>
              <w:widowControl/>
              <w:spacing w:line="360" w:lineRule="auto"/>
              <w:ind w:firstLine="420" w:firstLineChars="200"/>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由上述统计结果可知</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202</w:t>
            </w:r>
            <w:r>
              <w:rPr>
                <w:rFonts w:hint="default" w:ascii="Times New Roman" w:hAnsi="Times New Roman"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14:textFill>
                  <w14:solidFill>
                    <w14:schemeClr w14:val="tx1"/>
                  </w14:solidFill>
                </w14:textFill>
              </w:rPr>
              <w:t>年陈仓区环境空气中的SO</w:t>
            </w:r>
            <w:r>
              <w:rPr>
                <w:rFonts w:hint="default" w:ascii="Times New Roman" w:hAnsi="Times New Roman" w:eastAsia="宋体" w:cs="Times New Roman"/>
                <w:color w:val="000000" w:themeColor="text1"/>
                <w:sz w:val="21"/>
                <w:szCs w:val="21"/>
                <w:vertAlign w:val="subscript"/>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、CO、O</w:t>
            </w:r>
            <w:r>
              <w:rPr>
                <w:rFonts w:hint="default" w:ascii="Times New Roman" w:hAnsi="Times New Roman" w:eastAsia="宋体" w:cs="Times New Roman"/>
                <w:color w:val="000000" w:themeColor="text1"/>
                <w:sz w:val="21"/>
                <w:szCs w:val="21"/>
                <w:vertAlign w:val="subscript"/>
                <w14:textFill>
                  <w14:solidFill>
                    <w14:schemeClr w14:val="tx1"/>
                  </w14:solidFill>
                </w14:textFill>
              </w:rPr>
              <w:t>3</w:t>
            </w:r>
            <w:r>
              <w:rPr>
                <w:rFonts w:hint="default" w:ascii="Times New Roman" w:hAnsi="Times New Roman" w:eastAsia="宋体" w:cs="Times New Roman"/>
                <w:color w:val="000000" w:themeColor="text1"/>
                <w:sz w:val="21"/>
                <w:szCs w:val="21"/>
                <w14:textFill>
                  <w14:solidFill>
                    <w14:schemeClr w14:val="tx1"/>
                  </w14:solidFill>
                </w14:textFill>
              </w:rPr>
              <w:t>和NO</w:t>
            </w:r>
            <w:r>
              <w:rPr>
                <w:rFonts w:hint="default" w:ascii="Times New Roman" w:hAnsi="Times New Roman" w:eastAsia="宋体" w:cs="Times New Roman"/>
                <w:color w:val="000000" w:themeColor="text1"/>
                <w:sz w:val="21"/>
                <w:szCs w:val="21"/>
                <w:vertAlign w:val="subscript"/>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均达到《环境空气质量标准》（GB3095-2026）表1中过渡阶段浓度限值的二级标准</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PM</w:t>
            </w:r>
            <w:r>
              <w:rPr>
                <w:rFonts w:hint="default" w:ascii="Times New Roman" w:hAnsi="Times New Roman" w:eastAsia="宋体" w:cs="Times New Roman"/>
                <w:color w:val="000000" w:themeColor="text1"/>
                <w:sz w:val="21"/>
                <w:szCs w:val="21"/>
                <w:vertAlign w:val="subscript"/>
                <w14:textFill>
                  <w14:solidFill>
                    <w14:schemeClr w14:val="tx1"/>
                  </w14:solidFill>
                </w14:textFill>
              </w:rPr>
              <w:t>10</w:t>
            </w:r>
            <w:r>
              <w:rPr>
                <w:rFonts w:hint="default" w:ascii="Times New Roman" w:hAnsi="Times New Roman" w:eastAsia="宋体" w:cs="Times New Roman"/>
                <w:color w:val="000000" w:themeColor="text1"/>
                <w:sz w:val="21"/>
                <w:szCs w:val="21"/>
                <w14:textFill>
                  <w14:solidFill>
                    <w14:schemeClr w14:val="tx1"/>
                  </w14:solidFill>
                </w14:textFill>
              </w:rPr>
              <w:t>、PM</w:t>
            </w:r>
            <w:r>
              <w:rPr>
                <w:rFonts w:hint="default" w:ascii="Times New Roman" w:hAnsi="Times New Roman" w:eastAsia="宋体" w:cs="Times New Roman"/>
                <w:color w:val="000000" w:themeColor="text1"/>
                <w:sz w:val="21"/>
                <w:szCs w:val="21"/>
                <w:vertAlign w:val="subscript"/>
                <w14:textFill>
                  <w14:solidFill>
                    <w14:schemeClr w14:val="tx1"/>
                  </w14:solidFill>
                </w14:textFill>
              </w:rPr>
              <w:t>2.5</w:t>
            </w:r>
            <w:r>
              <w:rPr>
                <w:rFonts w:hint="default" w:ascii="Times New Roman" w:hAnsi="Times New Roman" w:eastAsia="宋体" w:cs="Times New Roman"/>
                <w:color w:val="000000" w:themeColor="text1"/>
                <w:sz w:val="21"/>
                <w:szCs w:val="21"/>
                <w14:textFill>
                  <w14:solidFill>
                    <w14:schemeClr w14:val="tx1"/>
                  </w14:solidFill>
                </w14:textFill>
              </w:rPr>
              <w:t>均超过《环境空气质量标准》（GB3095-2026）表1中过渡阶段浓度限值的二级标准。</w:t>
            </w:r>
          </w:p>
          <w:p w14:paraId="4B0C78B3">
            <w:pPr>
              <w:widowControl/>
              <w:spacing w:line="360" w:lineRule="auto"/>
              <w:ind w:firstLine="420" w:firstLineChars="200"/>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因此</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项目所在地区域为不达标区。</w:t>
            </w:r>
          </w:p>
          <w:p w14:paraId="415EAC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）其他</w:t>
            </w:r>
            <w:r>
              <w:rPr>
                <w:rFonts w:hint="default" w:ascii="Times New Roman" w:hAnsi="Times New Roman" w:eastAsia="宋体" w:cs="Times New Roman"/>
                <w:color w:val="000000" w:themeColor="text1"/>
                <w:sz w:val="21"/>
                <w:szCs w:val="21"/>
                <w14:textFill>
                  <w14:solidFill>
                    <w14:schemeClr w14:val="tx1"/>
                  </w14:solidFill>
                </w14:textFill>
              </w:rPr>
              <w:t>污染物</w:t>
            </w:r>
          </w:p>
          <w:p w14:paraId="14FFF9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为了解项目所在地区环境空气中</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其他污染物</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TS</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P</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现状</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项目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TS</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P</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现状</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评价</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引用</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陕西</w:t>
            </w:r>
            <w:r>
              <w:rPr>
                <w:rFonts w:hint="eastAsia" w:cs="Times New Roman"/>
                <w:color w:val="000000" w:themeColor="text1"/>
                <w:sz w:val="21"/>
                <w:szCs w:val="21"/>
                <w:lang w:val="en-US" w:eastAsia="zh-CN"/>
                <w14:textFill>
                  <w14:solidFill>
                    <w14:schemeClr w14:val="tx1"/>
                  </w14:solidFill>
                </w14:textFill>
              </w:rPr>
              <w:t>明铖检测技术</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有限公司202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年</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月</w:t>
            </w:r>
            <w:r>
              <w:rPr>
                <w:rFonts w:hint="eastAsia" w:cs="Times New Roman"/>
                <w:color w:val="000000" w:themeColor="text1"/>
                <w:sz w:val="21"/>
                <w:szCs w:val="21"/>
                <w:lang w:val="en-US" w:eastAsia="zh-CN"/>
                <w14:textFill>
                  <w14:solidFill>
                    <w14:schemeClr w14:val="tx1"/>
                  </w14:solidFill>
                </w14:textFill>
              </w:rPr>
              <w:t>27</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日</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年</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月</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29</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日</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连续</w:t>
            </w:r>
            <w:r>
              <w:rPr>
                <w:rFonts w:hint="eastAsia" w:cs="Times New Roman"/>
                <w:color w:val="000000" w:themeColor="text1"/>
                <w:sz w:val="21"/>
                <w:szCs w:val="21"/>
                <w:lang w:val="en-US" w:eastAsia="zh-CN"/>
                <w14:textFill>
                  <w14:solidFill>
                    <w14:schemeClr w14:val="tx1"/>
                  </w14:solidFill>
                </w14:textFill>
              </w:rPr>
              <w:t>3</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日</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对《</w:t>
            </w:r>
            <w:r>
              <w:rPr>
                <w:rFonts w:hint="eastAsia" w:cs="Times New Roman"/>
                <w:color w:val="000000" w:themeColor="text1"/>
                <w:sz w:val="21"/>
                <w:szCs w:val="21"/>
                <w:lang w:val="en-US" w:eastAsia="zh-CN"/>
                <w14:textFill>
                  <w14:solidFill>
                    <w14:schemeClr w14:val="tx1"/>
                  </w14:solidFill>
                </w14:textFill>
              </w:rPr>
              <w:t>陕西盛安恒固环保建材有限公司路基水稳层及商品混凝土</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生产线建设项目环境影响评价监测》的监测数据</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监测时间未超过3年</w:t>
            </w:r>
            <w:r>
              <w:rPr>
                <w:rFonts w:hint="eastAsia" w:cs="Times New Roman"/>
                <w:color w:val="000000" w:themeColor="text1"/>
                <w:sz w:val="21"/>
                <w:szCs w:val="21"/>
                <w:lang w:val="en-US" w:eastAsia="zh-CN"/>
                <w14:textFill>
                  <w14:solidFill>
                    <w14:schemeClr w14:val="tx1"/>
                  </w14:solidFill>
                </w14:textFill>
              </w:rPr>
              <w:t>，陕西盛安恒固环保建材有限公司</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位于本项目</w:t>
            </w:r>
            <w:r>
              <w:rPr>
                <w:rFonts w:hint="eastAsia" w:cs="Times New Roman"/>
                <w:color w:val="000000" w:themeColor="text1"/>
                <w:sz w:val="21"/>
                <w:szCs w:val="21"/>
                <w:lang w:val="en-US" w:eastAsia="zh-CN"/>
                <w14:textFill>
                  <w14:solidFill>
                    <w14:schemeClr w14:val="tx1"/>
                  </w14:solidFill>
                </w14:textFill>
              </w:rPr>
              <w:t>东南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侧</w:t>
            </w:r>
            <w:r>
              <w:rPr>
                <w:rFonts w:hint="eastAsia" w:cs="Times New Roman"/>
                <w:color w:val="000000" w:themeColor="text1"/>
                <w:sz w:val="21"/>
                <w:szCs w:val="21"/>
                <w:lang w:val="en-US" w:eastAsia="zh-CN"/>
                <w14:textFill>
                  <w14:solidFill>
                    <w14:schemeClr w14:val="tx1"/>
                  </w14:solidFill>
                </w14:textFill>
              </w:rPr>
              <w:t>3.8</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km</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符合数据引用条</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件。</w:t>
            </w:r>
          </w:p>
          <w:p w14:paraId="6D6F2B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监测结果</w:t>
            </w:r>
            <w:r>
              <w:rPr>
                <w:rFonts w:hint="eastAsia" w:cs="Times New Roman"/>
                <w:color w:val="000000" w:themeColor="text1"/>
                <w:sz w:val="21"/>
                <w:szCs w:val="21"/>
                <w:highlight w:val="none"/>
                <w:lang w:val="en-US" w:eastAsia="zh-CN"/>
                <w14:textFill>
                  <w14:solidFill>
                    <w14:schemeClr w14:val="tx1"/>
                  </w14:solidFill>
                </w14:textFill>
              </w:rPr>
              <w:t>详</w:t>
            </w:r>
            <w:r>
              <w:rPr>
                <w:rFonts w:hint="default" w:ascii="Times New Roman" w:hAnsi="Times New Roman" w:cs="Times New Roman"/>
                <w:color w:val="000000" w:themeColor="text1"/>
                <w:sz w:val="21"/>
                <w:szCs w:val="21"/>
                <w:highlight w:val="none"/>
                <w14:textFill>
                  <w14:solidFill>
                    <w14:schemeClr w14:val="tx1"/>
                  </w14:solidFill>
                </w14:textFill>
              </w:rPr>
              <w:t>见</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下</w:t>
            </w:r>
            <w:r>
              <w:rPr>
                <w:rFonts w:hint="default" w:ascii="Times New Roman" w:hAnsi="Times New Roman" w:cs="Times New Roman"/>
                <w:color w:val="000000" w:themeColor="text1"/>
                <w:sz w:val="21"/>
                <w:szCs w:val="21"/>
                <w:highlight w:val="none"/>
                <w14:textFill>
                  <w14:solidFill>
                    <w14:schemeClr w14:val="tx1"/>
                  </w14:solidFill>
                </w14:textFill>
              </w:rPr>
              <w:t>表。</w:t>
            </w:r>
          </w:p>
          <w:p w14:paraId="09C549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p>
          <w:p w14:paraId="2B4B70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p>
          <w:p w14:paraId="5B3072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p>
          <w:p w14:paraId="2A0459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表3-2</w:t>
            </w:r>
            <w:r>
              <w:rPr>
                <w:rFonts w:hint="eastAsia" w:cs="Times New Roman"/>
                <w:b/>
                <w:bCs/>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其他污染物环境质量现状表</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μg</w:t>
            </w:r>
            <w:r>
              <w:rPr>
                <w:rFonts w:hint="eastAsia" w:cs="Times New Roman"/>
                <w:b/>
                <w:bCs/>
                <w:color w:val="000000" w:themeColor="text1"/>
                <w:sz w:val="21"/>
                <w:szCs w:val="21"/>
                <w:highlight w:val="none"/>
                <w:lang w:val="en-US" w:eastAsia="zh-CN"/>
                <w14:textFill>
                  <w14:solidFill>
                    <w14:schemeClr w14:val="tx1"/>
                  </w14:solidFill>
                </w14:textFill>
              </w:rPr>
              <w:t>/m</w:t>
            </w:r>
            <w:r>
              <w:rPr>
                <w:rFonts w:hint="eastAsia" w:cs="Times New Roman"/>
                <w:b/>
                <w:bCs/>
                <w:color w:val="000000" w:themeColor="text1"/>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w:t>
            </w:r>
          </w:p>
          <w:tbl>
            <w:tblPr>
              <w:tblStyle w:val="24"/>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132"/>
              <w:gridCol w:w="1675"/>
              <w:gridCol w:w="1121"/>
              <w:gridCol w:w="1012"/>
              <w:gridCol w:w="980"/>
              <w:gridCol w:w="1250"/>
              <w:gridCol w:w="1203"/>
            </w:tblGrid>
            <w:tr w14:paraId="597A30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76" w:type="pct"/>
                  <w:tcBorders>
                    <w:tl2br w:val="nil"/>
                    <w:tr2bl w:val="nil"/>
                  </w:tcBorders>
                  <w:noWrap w:val="0"/>
                  <w:vAlign w:val="center"/>
                </w:tcPr>
                <w:p w14:paraId="08EAFBA7">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b/>
                      <w:bCs/>
                      <w:color w:val="000000" w:themeColor="text1"/>
                      <w:sz w:val="21"/>
                      <w:highlight w:val="none"/>
                      <w14:textFill>
                        <w14:solidFill>
                          <w14:schemeClr w14:val="tx1"/>
                        </w14:solidFill>
                      </w14:textFill>
                    </w:rPr>
                  </w:pPr>
                  <w:r>
                    <w:rPr>
                      <w:rFonts w:hint="default" w:ascii="Times New Roman" w:hAnsi="Times New Roman" w:cs="Times New Roman"/>
                      <w:b/>
                      <w:bCs/>
                      <w:color w:val="000000" w:themeColor="text1"/>
                      <w:sz w:val="21"/>
                      <w:highlight w:val="none"/>
                      <w14:textFill>
                        <w14:solidFill>
                          <w14:schemeClr w14:val="tx1"/>
                        </w14:solidFill>
                      </w14:textFill>
                    </w:rPr>
                    <w:t>监测日期</w:t>
                  </w:r>
                </w:p>
              </w:tc>
              <w:tc>
                <w:tcPr>
                  <w:tcW w:w="1000" w:type="pct"/>
                  <w:tcBorders>
                    <w:tl2br w:val="nil"/>
                    <w:tr2bl w:val="nil"/>
                  </w:tcBorders>
                  <w:noWrap w:val="0"/>
                  <w:vAlign w:val="center"/>
                </w:tcPr>
                <w:p w14:paraId="108056BF">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b/>
                      <w:bCs/>
                      <w:color w:val="000000" w:themeColor="text1"/>
                      <w:sz w:val="21"/>
                      <w:highlight w:val="none"/>
                      <w14:textFill>
                        <w14:solidFill>
                          <w14:schemeClr w14:val="tx1"/>
                        </w14:solidFill>
                      </w14:textFill>
                    </w:rPr>
                  </w:pPr>
                  <w:r>
                    <w:rPr>
                      <w:rFonts w:hint="default" w:ascii="Times New Roman" w:hAnsi="Times New Roman" w:cs="Times New Roman"/>
                      <w:b/>
                      <w:bCs/>
                      <w:color w:val="000000" w:themeColor="text1"/>
                      <w:sz w:val="21"/>
                      <w:highlight w:val="none"/>
                      <w14:textFill>
                        <w14:solidFill>
                          <w14:schemeClr w14:val="tx1"/>
                        </w14:solidFill>
                      </w14:textFill>
                    </w:rPr>
                    <w:t>监测点位</w:t>
                  </w:r>
                </w:p>
              </w:tc>
              <w:tc>
                <w:tcPr>
                  <w:tcW w:w="669" w:type="pct"/>
                  <w:tcBorders>
                    <w:tl2br w:val="nil"/>
                    <w:tr2bl w:val="nil"/>
                  </w:tcBorders>
                  <w:noWrap w:val="0"/>
                  <w:vAlign w:val="center"/>
                </w:tcPr>
                <w:p w14:paraId="4C518AEA">
                  <w:pPr>
                    <w:pStyle w:val="49"/>
                    <w:keepNext w:val="0"/>
                    <w:keepLines w:val="0"/>
                    <w:pageBreakBefore w:val="0"/>
                    <w:widowControl w:val="0"/>
                    <w:tabs>
                      <w:tab w:val="left" w:pos="1480"/>
                      <w:tab w:val="left" w:pos="2918"/>
                      <w:tab w:val="left" w:pos="4409"/>
                    </w:tabs>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eastAsia="宋体" w:cs="Times New Roman"/>
                      <w:b/>
                      <w:bCs/>
                      <w:color w:val="000000" w:themeColor="text1"/>
                      <w:sz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highlight w:val="none"/>
                      <w:lang w:val="en-US" w:eastAsia="zh-CN"/>
                      <w14:textFill>
                        <w14:solidFill>
                          <w14:schemeClr w14:val="tx1"/>
                        </w14:solidFill>
                      </w14:textFill>
                    </w:rPr>
                    <w:t>TSP</w:t>
                  </w:r>
                </w:p>
              </w:tc>
              <w:tc>
                <w:tcPr>
                  <w:tcW w:w="604" w:type="pct"/>
                  <w:tcBorders>
                    <w:tl2br w:val="nil"/>
                    <w:tr2bl w:val="nil"/>
                  </w:tcBorders>
                  <w:noWrap w:val="0"/>
                  <w:vAlign w:val="center"/>
                </w:tcPr>
                <w:p w14:paraId="35441654">
                  <w:pPr>
                    <w:pStyle w:val="49"/>
                    <w:keepNext w:val="0"/>
                    <w:keepLines w:val="0"/>
                    <w:pageBreakBefore w:val="0"/>
                    <w:widowControl w:val="0"/>
                    <w:tabs>
                      <w:tab w:val="left" w:pos="1480"/>
                      <w:tab w:val="left" w:pos="2918"/>
                      <w:tab w:val="left" w:pos="4409"/>
                    </w:tabs>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b/>
                      <w:bCs/>
                      <w:color w:val="000000" w:themeColor="text1"/>
                      <w:sz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highlight w:val="none"/>
                      <w:lang w:val="en-US" w:eastAsia="zh-CN"/>
                      <w14:textFill>
                        <w14:solidFill>
                          <w14:schemeClr w14:val="tx1"/>
                        </w14:solidFill>
                      </w14:textFill>
                    </w:rPr>
                    <w:t>标准值</w:t>
                  </w:r>
                </w:p>
              </w:tc>
              <w:tc>
                <w:tcPr>
                  <w:tcW w:w="585" w:type="pct"/>
                  <w:tcBorders>
                    <w:tl2br w:val="nil"/>
                    <w:tr2bl w:val="nil"/>
                  </w:tcBorders>
                  <w:noWrap w:val="0"/>
                  <w:vAlign w:val="center"/>
                </w:tcPr>
                <w:p w14:paraId="388B01CF">
                  <w:pPr>
                    <w:pStyle w:val="49"/>
                    <w:keepNext w:val="0"/>
                    <w:keepLines w:val="0"/>
                    <w:pageBreakBefore w:val="0"/>
                    <w:widowControl w:val="0"/>
                    <w:tabs>
                      <w:tab w:val="left" w:pos="1480"/>
                      <w:tab w:val="left" w:pos="2918"/>
                      <w:tab w:val="left" w:pos="4409"/>
                    </w:tabs>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b/>
                      <w:bCs/>
                      <w:color w:val="000000" w:themeColor="text1"/>
                      <w:sz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highlight w:val="none"/>
                      <w:lang w:val="en-US" w:eastAsia="zh-CN"/>
                      <w14:textFill>
                        <w14:solidFill>
                          <w14:schemeClr w14:val="tx1"/>
                        </w14:solidFill>
                      </w14:textFill>
                    </w:rPr>
                    <w:t>超标率</w:t>
                  </w:r>
                </w:p>
              </w:tc>
              <w:tc>
                <w:tcPr>
                  <w:tcW w:w="746" w:type="pct"/>
                  <w:tcBorders>
                    <w:tl2br w:val="nil"/>
                    <w:tr2bl w:val="nil"/>
                  </w:tcBorders>
                  <w:noWrap w:val="0"/>
                  <w:vAlign w:val="center"/>
                </w:tcPr>
                <w:p w14:paraId="2E836646">
                  <w:pPr>
                    <w:pStyle w:val="49"/>
                    <w:keepNext w:val="0"/>
                    <w:keepLines w:val="0"/>
                    <w:pageBreakBefore w:val="0"/>
                    <w:widowControl w:val="0"/>
                    <w:tabs>
                      <w:tab w:val="left" w:pos="1480"/>
                      <w:tab w:val="left" w:pos="2918"/>
                      <w:tab w:val="left" w:pos="4409"/>
                    </w:tabs>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b/>
                      <w:bCs/>
                      <w:color w:val="000000" w:themeColor="text1"/>
                      <w:sz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highlight w:val="none"/>
                      <w:lang w:val="en-US" w:eastAsia="zh-CN"/>
                      <w14:textFill>
                        <w14:solidFill>
                          <w14:schemeClr w14:val="tx1"/>
                        </w14:solidFill>
                      </w14:textFill>
                    </w:rPr>
                    <w:t>占标率%</w:t>
                  </w:r>
                </w:p>
              </w:tc>
              <w:tc>
                <w:tcPr>
                  <w:tcW w:w="718" w:type="pct"/>
                  <w:tcBorders>
                    <w:tl2br w:val="nil"/>
                    <w:tr2bl w:val="nil"/>
                  </w:tcBorders>
                  <w:noWrap w:val="0"/>
                  <w:vAlign w:val="center"/>
                </w:tcPr>
                <w:p w14:paraId="00B20463">
                  <w:pPr>
                    <w:pStyle w:val="49"/>
                    <w:keepNext w:val="0"/>
                    <w:keepLines w:val="0"/>
                    <w:pageBreakBefore w:val="0"/>
                    <w:widowControl w:val="0"/>
                    <w:tabs>
                      <w:tab w:val="left" w:pos="1480"/>
                      <w:tab w:val="left" w:pos="2918"/>
                      <w:tab w:val="left" w:pos="4409"/>
                    </w:tabs>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b/>
                      <w:bCs/>
                      <w:color w:val="000000" w:themeColor="text1"/>
                      <w:sz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highlight w:val="none"/>
                      <w:lang w:val="en-US" w:eastAsia="zh-CN"/>
                      <w14:textFill>
                        <w14:solidFill>
                          <w14:schemeClr w14:val="tx1"/>
                        </w14:solidFill>
                      </w14:textFill>
                    </w:rPr>
                    <w:t>达标情况</w:t>
                  </w:r>
                </w:p>
              </w:tc>
            </w:tr>
            <w:tr w14:paraId="3B3868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76" w:type="pct"/>
                  <w:tcBorders>
                    <w:tl2br w:val="nil"/>
                    <w:tr2bl w:val="nil"/>
                  </w:tcBorders>
                  <w:noWrap w:val="0"/>
                  <w:vAlign w:val="center"/>
                </w:tcPr>
                <w:p w14:paraId="2E0D091F">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color w:val="000000" w:themeColor="text1"/>
                      <w:sz w:val="21"/>
                      <w:highlight w:val="none"/>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月</w:t>
                  </w:r>
                  <w:r>
                    <w:rPr>
                      <w:rFonts w:hint="eastAsia" w:cs="Times New Roman"/>
                      <w:color w:val="000000" w:themeColor="text1"/>
                      <w:sz w:val="21"/>
                      <w:szCs w:val="21"/>
                      <w:lang w:val="en-US" w:eastAsia="zh-CN"/>
                      <w14:textFill>
                        <w14:solidFill>
                          <w14:schemeClr w14:val="tx1"/>
                        </w14:solidFill>
                      </w14:textFill>
                    </w:rPr>
                    <w:t>27</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日</w:t>
                  </w:r>
                </w:p>
              </w:tc>
              <w:tc>
                <w:tcPr>
                  <w:tcW w:w="1000" w:type="pct"/>
                  <w:vMerge w:val="restart"/>
                  <w:tcBorders>
                    <w:tl2br w:val="nil"/>
                    <w:tr2bl w:val="nil"/>
                  </w:tcBorders>
                  <w:noWrap w:val="0"/>
                  <w:vAlign w:val="center"/>
                </w:tcPr>
                <w:p w14:paraId="1F1B8405">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1"/>
                      <w:highlight w:val="none"/>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陕西盛安恒固环保建材有限公司</w:t>
                  </w:r>
                </w:p>
              </w:tc>
              <w:tc>
                <w:tcPr>
                  <w:tcW w:w="669" w:type="pct"/>
                  <w:tcBorders>
                    <w:tl2br w:val="nil"/>
                    <w:tr2bl w:val="nil"/>
                  </w:tcBorders>
                  <w:noWrap w:val="0"/>
                  <w:vAlign w:val="center"/>
                </w:tcPr>
                <w:p w14:paraId="79337A5E">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59</w:t>
                  </w:r>
                </w:p>
              </w:tc>
              <w:tc>
                <w:tcPr>
                  <w:tcW w:w="604" w:type="pct"/>
                  <w:vMerge w:val="restart"/>
                  <w:tcBorders>
                    <w:tl2br w:val="nil"/>
                    <w:tr2bl w:val="nil"/>
                  </w:tcBorders>
                  <w:noWrap w:val="0"/>
                  <w:vAlign w:val="center"/>
                </w:tcPr>
                <w:p w14:paraId="138F867B">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default" w:ascii="Times New Roman" w:hAnsi="Times New Roman" w:cs="Times New Roman"/>
                      <w:color w:val="000000" w:themeColor="text1"/>
                      <w:sz w:val="21"/>
                      <w:highlight w:val="none"/>
                      <w:lang w:val="en-US" w:eastAsia="zh-CN"/>
                      <w14:textFill>
                        <w14:solidFill>
                          <w14:schemeClr w14:val="tx1"/>
                        </w14:solidFill>
                      </w14:textFill>
                    </w:rPr>
                    <w:t>300</w:t>
                  </w:r>
                </w:p>
              </w:tc>
              <w:tc>
                <w:tcPr>
                  <w:tcW w:w="585" w:type="pct"/>
                  <w:tcBorders>
                    <w:tl2br w:val="nil"/>
                    <w:tr2bl w:val="nil"/>
                  </w:tcBorders>
                  <w:noWrap w:val="0"/>
                  <w:vAlign w:val="center"/>
                </w:tcPr>
                <w:p w14:paraId="78D4FE28">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default" w:ascii="Times New Roman" w:hAnsi="Times New Roman" w:cs="Times New Roman"/>
                      <w:color w:val="000000" w:themeColor="text1"/>
                      <w:sz w:val="21"/>
                      <w:highlight w:val="none"/>
                      <w:lang w:val="en-US" w:eastAsia="zh-CN"/>
                      <w14:textFill>
                        <w14:solidFill>
                          <w14:schemeClr w14:val="tx1"/>
                        </w14:solidFill>
                      </w14:textFill>
                    </w:rPr>
                    <w:t>0</w:t>
                  </w:r>
                </w:p>
              </w:tc>
              <w:tc>
                <w:tcPr>
                  <w:tcW w:w="746" w:type="pct"/>
                  <w:tcBorders>
                    <w:tl2br w:val="nil"/>
                    <w:tr2bl w:val="nil"/>
                  </w:tcBorders>
                  <w:noWrap w:val="0"/>
                  <w:vAlign w:val="center"/>
                </w:tcPr>
                <w:p w14:paraId="1F84CB79">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19.7</w:t>
                  </w:r>
                </w:p>
              </w:tc>
              <w:tc>
                <w:tcPr>
                  <w:tcW w:w="718" w:type="pct"/>
                  <w:tcBorders>
                    <w:tl2br w:val="nil"/>
                    <w:tr2bl w:val="nil"/>
                  </w:tcBorders>
                  <w:noWrap w:val="0"/>
                  <w:vAlign w:val="center"/>
                </w:tcPr>
                <w:p w14:paraId="79179BEA">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default" w:ascii="Times New Roman" w:hAnsi="Times New Roman" w:cs="Times New Roman"/>
                      <w:color w:val="000000" w:themeColor="text1"/>
                      <w:sz w:val="21"/>
                      <w:highlight w:val="none"/>
                      <w:lang w:val="en-US" w:eastAsia="zh-CN"/>
                      <w14:textFill>
                        <w14:solidFill>
                          <w14:schemeClr w14:val="tx1"/>
                        </w14:solidFill>
                      </w14:textFill>
                    </w:rPr>
                    <w:t>达标</w:t>
                  </w:r>
                </w:p>
              </w:tc>
            </w:tr>
            <w:tr w14:paraId="771C0C8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76" w:type="pct"/>
                  <w:tcBorders>
                    <w:tl2br w:val="nil"/>
                    <w:tr2bl w:val="nil"/>
                  </w:tcBorders>
                  <w:noWrap w:val="0"/>
                  <w:vAlign w:val="center"/>
                </w:tcPr>
                <w:p w14:paraId="2F10FD5C">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color w:val="000000" w:themeColor="text1"/>
                      <w:sz w:val="21"/>
                      <w:highlight w:val="none"/>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月</w:t>
                  </w:r>
                  <w:r>
                    <w:rPr>
                      <w:rFonts w:hint="eastAsia" w:cs="Times New Roman"/>
                      <w:color w:val="000000" w:themeColor="text1"/>
                      <w:sz w:val="21"/>
                      <w:szCs w:val="21"/>
                      <w:lang w:val="en-US" w:eastAsia="zh-CN"/>
                      <w14:textFill>
                        <w14:solidFill>
                          <w14:schemeClr w14:val="tx1"/>
                        </w14:solidFill>
                      </w14:textFill>
                    </w:rPr>
                    <w:t>28</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日</w:t>
                  </w:r>
                </w:p>
              </w:tc>
              <w:tc>
                <w:tcPr>
                  <w:tcW w:w="1000" w:type="pct"/>
                  <w:vMerge w:val="continue"/>
                  <w:tcBorders>
                    <w:tl2br w:val="nil"/>
                    <w:tr2bl w:val="nil"/>
                  </w:tcBorders>
                  <w:noWrap w:val="0"/>
                  <w:vAlign w:val="center"/>
                </w:tcPr>
                <w:p w14:paraId="77C85B8C">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color w:val="000000" w:themeColor="text1"/>
                      <w:sz w:val="21"/>
                      <w:highlight w:val="none"/>
                      <w14:textFill>
                        <w14:solidFill>
                          <w14:schemeClr w14:val="tx1"/>
                        </w14:solidFill>
                      </w14:textFill>
                    </w:rPr>
                  </w:pPr>
                </w:p>
              </w:tc>
              <w:tc>
                <w:tcPr>
                  <w:tcW w:w="669" w:type="pct"/>
                  <w:tcBorders>
                    <w:tl2br w:val="nil"/>
                    <w:tr2bl w:val="nil"/>
                  </w:tcBorders>
                  <w:noWrap w:val="0"/>
                  <w:vAlign w:val="center"/>
                </w:tcPr>
                <w:p w14:paraId="4F9AB944">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75</w:t>
                  </w:r>
                </w:p>
              </w:tc>
              <w:tc>
                <w:tcPr>
                  <w:tcW w:w="604" w:type="pct"/>
                  <w:vMerge w:val="continue"/>
                  <w:tcBorders>
                    <w:tl2br w:val="nil"/>
                    <w:tr2bl w:val="nil"/>
                  </w:tcBorders>
                  <w:noWrap w:val="0"/>
                  <w:vAlign w:val="center"/>
                </w:tcPr>
                <w:p w14:paraId="4D2B0743">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p>
              </w:tc>
              <w:tc>
                <w:tcPr>
                  <w:tcW w:w="585" w:type="pct"/>
                  <w:tcBorders>
                    <w:tl2br w:val="nil"/>
                    <w:tr2bl w:val="nil"/>
                  </w:tcBorders>
                  <w:noWrap w:val="0"/>
                  <w:vAlign w:val="center"/>
                </w:tcPr>
                <w:p w14:paraId="6032B2BE">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default" w:ascii="Times New Roman" w:hAnsi="Times New Roman" w:cs="Times New Roman"/>
                      <w:color w:val="000000" w:themeColor="text1"/>
                      <w:sz w:val="21"/>
                      <w:highlight w:val="none"/>
                      <w:lang w:val="en-US" w:eastAsia="zh-CN"/>
                      <w14:textFill>
                        <w14:solidFill>
                          <w14:schemeClr w14:val="tx1"/>
                        </w14:solidFill>
                      </w14:textFill>
                    </w:rPr>
                    <w:t>0</w:t>
                  </w:r>
                </w:p>
              </w:tc>
              <w:tc>
                <w:tcPr>
                  <w:tcW w:w="746" w:type="pct"/>
                  <w:tcBorders>
                    <w:tl2br w:val="nil"/>
                    <w:tr2bl w:val="nil"/>
                  </w:tcBorders>
                  <w:noWrap w:val="0"/>
                  <w:vAlign w:val="center"/>
                </w:tcPr>
                <w:p w14:paraId="7629646F">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25.0</w:t>
                  </w:r>
                </w:p>
              </w:tc>
              <w:tc>
                <w:tcPr>
                  <w:tcW w:w="718" w:type="pct"/>
                  <w:tcBorders>
                    <w:tl2br w:val="nil"/>
                    <w:tr2bl w:val="nil"/>
                  </w:tcBorders>
                  <w:noWrap w:val="0"/>
                  <w:vAlign w:val="center"/>
                </w:tcPr>
                <w:p w14:paraId="7A08E093">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default" w:ascii="Times New Roman" w:hAnsi="Times New Roman" w:cs="Times New Roman"/>
                      <w:color w:val="000000" w:themeColor="text1"/>
                      <w:sz w:val="21"/>
                      <w:highlight w:val="none"/>
                      <w:lang w:val="en-US" w:eastAsia="zh-CN"/>
                      <w14:textFill>
                        <w14:solidFill>
                          <w14:schemeClr w14:val="tx1"/>
                        </w14:solidFill>
                      </w14:textFill>
                    </w:rPr>
                    <w:t>达标</w:t>
                  </w:r>
                </w:p>
              </w:tc>
            </w:tr>
            <w:tr w14:paraId="7C7823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76" w:type="pct"/>
                  <w:tcBorders>
                    <w:tl2br w:val="nil"/>
                    <w:tr2bl w:val="nil"/>
                  </w:tcBorders>
                  <w:noWrap w:val="0"/>
                  <w:vAlign w:val="center"/>
                </w:tcPr>
                <w:p w14:paraId="333E600C">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月</w:t>
                  </w:r>
                  <w:r>
                    <w:rPr>
                      <w:rFonts w:hint="eastAsia" w:cs="Times New Roman"/>
                      <w:color w:val="000000" w:themeColor="text1"/>
                      <w:sz w:val="21"/>
                      <w:szCs w:val="21"/>
                      <w:lang w:val="en-US" w:eastAsia="zh-CN"/>
                      <w14:textFill>
                        <w14:solidFill>
                          <w14:schemeClr w14:val="tx1"/>
                        </w14:solidFill>
                      </w14:textFill>
                    </w:rPr>
                    <w:t>29</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日</w:t>
                  </w:r>
                </w:p>
              </w:tc>
              <w:tc>
                <w:tcPr>
                  <w:tcW w:w="1000" w:type="pct"/>
                  <w:vMerge w:val="continue"/>
                  <w:tcBorders>
                    <w:tl2br w:val="nil"/>
                    <w:tr2bl w:val="nil"/>
                  </w:tcBorders>
                  <w:noWrap w:val="0"/>
                  <w:vAlign w:val="center"/>
                </w:tcPr>
                <w:p w14:paraId="226BDD5A">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color w:val="000000" w:themeColor="text1"/>
                      <w:sz w:val="21"/>
                      <w:highlight w:val="none"/>
                      <w14:textFill>
                        <w14:solidFill>
                          <w14:schemeClr w14:val="tx1"/>
                        </w14:solidFill>
                      </w14:textFill>
                    </w:rPr>
                  </w:pPr>
                </w:p>
              </w:tc>
              <w:tc>
                <w:tcPr>
                  <w:tcW w:w="669" w:type="pct"/>
                  <w:tcBorders>
                    <w:tl2br w:val="nil"/>
                    <w:tr2bl w:val="nil"/>
                  </w:tcBorders>
                  <w:noWrap w:val="0"/>
                  <w:vAlign w:val="center"/>
                </w:tcPr>
                <w:p w14:paraId="642BDD1A">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72</w:t>
                  </w:r>
                </w:p>
              </w:tc>
              <w:tc>
                <w:tcPr>
                  <w:tcW w:w="604" w:type="pct"/>
                  <w:vMerge w:val="continue"/>
                  <w:tcBorders>
                    <w:tl2br w:val="nil"/>
                    <w:tr2bl w:val="nil"/>
                  </w:tcBorders>
                  <w:noWrap w:val="0"/>
                  <w:vAlign w:val="center"/>
                </w:tcPr>
                <w:p w14:paraId="50277479">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p>
              </w:tc>
              <w:tc>
                <w:tcPr>
                  <w:tcW w:w="585" w:type="pct"/>
                  <w:tcBorders>
                    <w:tl2br w:val="nil"/>
                    <w:tr2bl w:val="nil"/>
                  </w:tcBorders>
                  <w:noWrap w:val="0"/>
                  <w:vAlign w:val="center"/>
                </w:tcPr>
                <w:p w14:paraId="3D1CB2C1">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default" w:ascii="Times New Roman" w:hAnsi="Times New Roman" w:cs="Times New Roman"/>
                      <w:color w:val="000000" w:themeColor="text1"/>
                      <w:sz w:val="21"/>
                      <w:highlight w:val="none"/>
                      <w:lang w:val="en-US" w:eastAsia="zh-CN"/>
                      <w14:textFill>
                        <w14:solidFill>
                          <w14:schemeClr w14:val="tx1"/>
                        </w14:solidFill>
                      </w14:textFill>
                    </w:rPr>
                    <w:t>0</w:t>
                  </w:r>
                </w:p>
              </w:tc>
              <w:tc>
                <w:tcPr>
                  <w:tcW w:w="746" w:type="pct"/>
                  <w:tcBorders>
                    <w:tl2br w:val="nil"/>
                    <w:tr2bl w:val="nil"/>
                  </w:tcBorders>
                  <w:noWrap w:val="0"/>
                  <w:vAlign w:val="center"/>
                </w:tcPr>
                <w:p w14:paraId="34CE9508">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24.0</w:t>
                  </w:r>
                </w:p>
              </w:tc>
              <w:tc>
                <w:tcPr>
                  <w:tcW w:w="718" w:type="pct"/>
                  <w:tcBorders>
                    <w:tl2br w:val="nil"/>
                    <w:tr2bl w:val="nil"/>
                  </w:tcBorders>
                  <w:noWrap w:val="0"/>
                  <w:vAlign w:val="center"/>
                </w:tcPr>
                <w:p w14:paraId="321F7009">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default" w:ascii="Times New Roman" w:hAnsi="Times New Roman" w:cs="Times New Roman"/>
                      <w:color w:val="000000" w:themeColor="text1"/>
                      <w:sz w:val="21"/>
                      <w:highlight w:val="none"/>
                      <w:lang w:val="en-US" w:eastAsia="zh-CN"/>
                      <w14:textFill>
                        <w14:solidFill>
                          <w14:schemeClr w14:val="tx1"/>
                        </w14:solidFill>
                      </w14:textFill>
                    </w:rPr>
                    <w:t>达标</w:t>
                  </w:r>
                </w:p>
              </w:tc>
            </w:tr>
          </w:tbl>
          <w:p w14:paraId="5A8C79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由上表可知</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项目所在区域</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其他</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污染物TSP监测</w:t>
            </w:r>
            <w:r>
              <w:rPr>
                <w:rFonts w:hint="default" w:ascii="Times New Roman" w:hAnsi="Times New Roman" w:cs="Times New Roman"/>
                <w:color w:val="000000" w:themeColor="text1"/>
                <w:sz w:val="21"/>
                <w:szCs w:val="21"/>
                <w:lang w:val="en-US" w:eastAsia="zh-CN"/>
                <w14:textFill>
                  <w14:solidFill>
                    <w14:schemeClr w14:val="tx1"/>
                  </w14:solidFill>
                </w14:textFill>
              </w:rPr>
              <w:t>日均浓度均满足《环境空气质量标准》（</w:t>
            </w:r>
            <w:r>
              <w:rPr>
                <w:rFonts w:hint="eastAsia" w:cs="Times New Roman"/>
                <w:color w:val="000000" w:themeColor="text1"/>
                <w:sz w:val="21"/>
                <w:szCs w:val="21"/>
                <w:lang w:val="en-US" w:eastAsia="zh-CN"/>
                <w14:textFill>
                  <w14:solidFill>
                    <w14:schemeClr w14:val="tx1"/>
                  </w14:solidFill>
                </w14:textFill>
              </w:rPr>
              <w:t>GB3095-2026</w:t>
            </w:r>
            <w:r>
              <w:rPr>
                <w:rFonts w:hint="default" w:ascii="Times New Roman" w:hAnsi="Times New Roman" w:cs="Times New Roman"/>
                <w:color w:val="000000" w:themeColor="text1"/>
                <w:sz w:val="21"/>
                <w:szCs w:val="21"/>
                <w:lang w:val="en-US" w:eastAsia="zh-CN"/>
                <w14:textFill>
                  <w14:solidFill>
                    <w14:schemeClr w14:val="tx1"/>
                  </w14:solidFill>
                </w14:textFill>
              </w:rPr>
              <w:t>）中</w:t>
            </w:r>
            <w:r>
              <w:rPr>
                <w:rFonts w:hint="eastAsia" w:cs="Times New Roman"/>
                <w:color w:val="000000" w:themeColor="text1"/>
                <w:sz w:val="21"/>
                <w:szCs w:val="21"/>
                <w:lang w:val="en-US" w:eastAsia="zh-CN"/>
                <w14:textFill>
                  <w14:solidFill>
                    <w14:schemeClr w14:val="tx1"/>
                  </w14:solidFill>
                </w14:textFill>
              </w:rPr>
              <w:t>过渡阶段</w:t>
            </w:r>
            <w:r>
              <w:rPr>
                <w:rFonts w:hint="default" w:ascii="Times New Roman" w:hAnsi="Times New Roman" w:cs="Times New Roman"/>
                <w:color w:val="000000" w:themeColor="text1"/>
                <w:sz w:val="21"/>
                <w:szCs w:val="21"/>
                <w:lang w:val="en-US" w:eastAsia="zh-CN"/>
                <w14:textFill>
                  <w14:solidFill>
                    <w14:schemeClr w14:val="tx1"/>
                  </w14:solidFill>
                </w14:textFill>
              </w:rPr>
              <w:t>二级标准限值（0.3mg/m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w:t>
            </w:r>
          </w:p>
          <w:p w14:paraId="68A6FD9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2" w:firstLineChars="200"/>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二、</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地表水</w:t>
            </w:r>
            <w:r>
              <w:rPr>
                <w:rFonts w:hint="eastAsia" w:cs="Times New Roman"/>
                <w:b/>
                <w:bCs/>
                <w:color w:val="000000" w:themeColor="text1"/>
                <w:sz w:val="21"/>
                <w:szCs w:val="21"/>
                <w:lang w:val="en-US" w:eastAsia="zh-CN"/>
                <w14:textFill>
                  <w14:solidFill>
                    <w14:schemeClr w14:val="tx1"/>
                  </w14:solidFill>
                </w14:textFill>
              </w:rPr>
              <w:t>环境质量现状</w:t>
            </w:r>
          </w:p>
          <w:p w14:paraId="539962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本项目地表水环境现状评价引用《宝鸡市生态环境质量报告书》（2024年）中距离项目较近的千河入渭口断面质量数据</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具体详见下表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14:paraId="26A157B6">
            <w:pPr>
              <w:keepNext/>
              <w:keepLines/>
              <w:pageBreakBefore w:val="0"/>
              <w:widowControl/>
              <w:kinsoku/>
              <w:wordWrap/>
              <w:overflowPunct/>
              <w:topLinePunct w:val="0"/>
              <w:autoSpaceDE/>
              <w:autoSpaceDN/>
              <w:bidi w:val="0"/>
              <w:adjustRightInd w:val="0"/>
              <w:snapToGrid w:val="0"/>
              <w:spacing w:line="240" w:lineRule="auto"/>
              <w:jc w:val="center"/>
              <w:textAlignment w:val="auto"/>
              <w:outlineLvl w:val="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表3-3   </w:t>
            </w:r>
            <w:r>
              <w:rPr>
                <w:rFonts w:hint="eastAsia"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地表水环境现状情况</w:t>
            </w:r>
          </w:p>
          <w:tbl>
            <w:tblPr>
              <w:tblStyle w:val="2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861"/>
              <w:gridCol w:w="824"/>
              <w:gridCol w:w="648"/>
              <w:gridCol w:w="772"/>
              <w:gridCol w:w="920"/>
              <w:gridCol w:w="632"/>
              <w:gridCol w:w="693"/>
              <w:gridCol w:w="800"/>
              <w:gridCol w:w="805"/>
            </w:tblGrid>
            <w:tr w14:paraId="3C96F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82" w:hRule="atLeast"/>
              </w:trPr>
              <w:tc>
                <w:tcPr>
                  <w:tcW w:w="822" w:type="pct"/>
                  <w:vMerge w:val="restart"/>
                  <w:tcBorders>
                    <w:tl2br w:val="nil"/>
                    <w:tr2bl w:val="nil"/>
                  </w:tcBorders>
                  <w:vAlign w:val="center"/>
                </w:tcPr>
                <w:p w14:paraId="780E546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断面名称</w:t>
                  </w:r>
                </w:p>
              </w:tc>
              <w:tc>
                <w:tcPr>
                  <w:tcW w:w="517" w:type="pct"/>
                  <w:vMerge w:val="restart"/>
                  <w:tcBorders>
                    <w:tl2br w:val="nil"/>
                    <w:tr2bl w:val="nil"/>
                  </w:tcBorders>
                  <w:vAlign w:val="center"/>
                </w:tcPr>
                <w:p w14:paraId="556275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断面</w:t>
                  </w:r>
                </w:p>
                <w:p w14:paraId="76354F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类别</w:t>
                  </w:r>
                </w:p>
              </w:tc>
              <w:tc>
                <w:tcPr>
                  <w:tcW w:w="3660" w:type="pct"/>
                  <w:gridSpan w:val="8"/>
                  <w:tcBorders>
                    <w:tl2br w:val="nil"/>
                    <w:tr2bl w:val="nil"/>
                  </w:tcBorders>
                  <w:vAlign w:val="center"/>
                </w:tcPr>
                <w:p w14:paraId="28CDA6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指标年均值（mg/L）</w:t>
                  </w:r>
                </w:p>
              </w:tc>
            </w:tr>
            <w:tr w14:paraId="2ECF50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22" w:type="pct"/>
                  <w:vMerge w:val="continue"/>
                  <w:tcBorders>
                    <w:tl2br w:val="nil"/>
                    <w:tr2bl w:val="nil"/>
                  </w:tcBorders>
                  <w:vAlign w:val="center"/>
                </w:tcPr>
                <w:p w14:paraId="5BB06C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517" w:type="pct"/>
                  <w:vMerge w:val="continue"/>
                  <w:tcBorders>
                    <w:tl2br w:val="nil"/>
                    <w:tr2bl w:val="nil"/>
                  </w:tcBorders>
                  <w:vAlign w:val="center"/>
                </w:tcPr>
                <w:p w14:paraId="6DED23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495" w:type="pct"/>
                  <w:tcBorders>
                    <w:tl2br w:val="nil"/>
                    <w:tr2bl w:val="nil"/>
                  </w:tcBorders>
                  <w:vAlign w:val="center"/>
                </w:tcPr>
                <w:p w14:paraId="021416D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pH</w:t>
                  </w:r>
                </w:p>
              </w:tc>
              <w:tc>
                <w:tcPr>
                  <w:tcW w:w="390" w:type="pct"/>
                  <w:tcBorders>
                    <w:tl2br w:val="nil"/>
                    <w:tr2bl w:val="nil"/>
                  </w:tcBorders>
                  <w:vAlign w:val="center"/>
                </w:tcPr>
                <w:p w14:paraId="7F1079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溶解氧</w:t>
                  </w:r>
                </w:p>
              </w:tc>
              <w:tc>
                <w:tcPr>
                  <w:tcW w:w="464" w:type="pct"/>
                  <w:tcBorders>
                    <w:tl2br w:val="nil"/>
                    <w:tr2bl w:val="nil"/>
                  </w:tcBorders>
                  <w:vAlign w:val="center"/>
                </w:tcPr>
                <w:p w14:paraId="656E788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高锰酸盐指数</w:t>
                  </w:r>
                </w:p>
              </w:tc>
              <w:tc>
                <w:tcPr>
                  <w:tcW w:w="552" w:type="pct"/>
                  <w:tcBorders>
                    <w:tl2br w:val="nil"/>
                    <w:tr2bl w:val="nil"/>
                  </w:tcBorders>
                  <w:vAlign w:val="center"/>
                </w:tcPr>
                <w:p w14:paraId="28DDDFA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五日生化需氧量</w:t>
                  </w:r>
                </w:p>
              </w:tc>
              <w:tc>
                <w:tcPr>
                  <w:tcW w:w="380" w:type="pct"/>
                  <w:tcBorders>
                    <w:tl2br w:val="nil"/>
                    <w:tr2bl w:val="nil"/>
                  </w:tcBorders>
                  <w:vAlign w:val="center"/>
                </w:tcPr>
                <w:p w14:paraId="6376A6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氨氮</w:t>
                  </w:r>
                </w:p>
              </w:tc>
              <w:tc>
                <w:tcPr>
                  <w:tcW w:w="416" w:type="pct"/>
                  <w:tcBorders>
                    <w:tl2br w:val="nil"/>
                    <w:tr2bl w:val="nil"/>
                  </w:tcBorders>
                  <w:vAlign w:val="center"/>
                </w:tcPr>
                <w:p w14:paraId="04F1F24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化学需氧量</w:t>
                  </w:r>
                </w:p>
              </w:tc>
              <w:tc>
                <w:tcPr>
                  <w:tcW w:w="480" w:type="pct"/>
                  <w:tcBorders>
                    <w:tl2br w:val="nil"/>
                    <w:tr2bl w:val="nil"/>
                  </w:tcBorders>
                  <w:vAlign w:val="center"/>
                </w:tcPr>
                <w:p w14:paraId="156BEB1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总磷</w:t>
                  </w:r>
                </w:p>
              </w:tc>
              <w:tc>
                <w:tcPr>
                  <w:tcW w:w="479" w:type="pct"/>
                  <w:tcBorders>
                    <w:tl2br w:val="nil"/>
                    <w:tr2bl w:val="nil"/>
                  </w:tcBorders>
                  <w:vAlign w:val="center"/>
                </w:tcPr>
                <w:p w14:paraId="1757B4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氟化物</w:t>
                  </w:r>
                </w:p>
              </w:tc>
            </w:tr>
            <w:tr w14:paraId="7B704B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822" w:type="pct"/>
                  <w:tcBorders>
                    <w:tl2br w:val="nil"/>
                    <w:tr2bl w:val="nil"/>
                  </w:tcBorders>
                  <w:vAlign w:val="center"/>
                </w:tcPr>
                <w:p w14:paraId="322984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千河入渭口</w:t>
                  </w:r>
                </w:p>
              </w:tc>
              <w:tc>
                <w:tcPr>
                  <w:tcW w:w="517" w:type="pct"/>
                  <w:tcBorders>
                    <w:tl2br w:val="nil"/>
                    <w:tr2bl w:val="nil"/>
                  </w:tcBorders>
                  <w:vAlign w:val="center"/>
                </w:tcPr>
                <w:p w14:paraId="71B666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Ⅳ类</w:t>
                  </w:r>
                </w:p>
              </w:tc>
              <w:tc>
                <w:tcPr>
                  <w:tcW w:w="495" w:type="pct"/>
                  <w:tcBorders>
                    <w:tl2br w:val="nil"/>
                    <w:tr2bl w:val="nil"/>
                  </w:tcBorders>
                  <w:vAlign w:val="center"/>
                </w:tcPr>
                <w:p w14:paraId="2D6CCB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8.3</w:t>
                  </w:r>
                </w:p>
              </w:tc>
              <w:tc>
                <w:tcPr>
                  <w:tcW w:w="390" w:type="pct"/>
                  <w:tcBorders>
                    <w:tl2br w:val="nil"/>
                    <w:tr2bl w:val="nil"/>
                  </w:tcBorders>
                  <w:vAlign w:val="center"/>
                </w:tcPr>
                <w:p w14:paraId="273A44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9.0</w:t>
                  </w:r>
                </w:p>
              </w:tc>
              <w:tc>
                <w:tcPr>
                  <w:tcW w:w="464" w:type="pct"/>
                  <w:tcBorders>
                    <w:tl2br w:val="nil"/>
                    <w:tr2bl w:val="nil"/>
                  </w:tcBorders>
                  <w:vAlign w:val="center"/>
                </w:tcPr>
                <w:p w14:paraId="32F5A83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2.0</w:t>
                  </w:r>
                </w:p>
              </w:tc>
              <w:tc>
                <w:tcPr>
                  <w:tcW w:w="552" w:type="pct"/>
                  <w:tcBorders>
                    <w:tl2br w:val="nil"/>
                    <w:tr2bl w:val="nil"/>
                  </w:tcBorders>
                  <w:vAlign w:val="center"/>
                </w:tcPr>
                <w:p w14:paraId="14A156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1.8</w:t>
                  </w:r>
                </w:p>
              </w:tc>
              <w:tc>
                <w:tcPr>
                  <w:tcW w:w="380" w:type="pct"/>
                  <w:tcBorders>
                    <w:tl2br w:val="nil"/>
                    <w:tr2bl w:val="nil"/>
                  </w:tcBorders>
                  <w:vAlign w:val="center"/>
                </w:tcPr>
                <w:p w14:paraId="1366FB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0.35</w:t>
                  </w:r>
                </w:p>
              </w:tc>
              <w:tc>
                <w:tcPr>
                  <w:tcW w:w="416" w:type="pct"/>
                  <w:tcBorders>
                    <w:tl2br w:val="nil"/>
                    <w:tr2bl w:val="nil"/>
                  </w:tcBorders>
                  <w:vAlign w:val="center"/>
                </w:tcPr>
                <w:p w14:paraId="2B2F701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12.2</w:t>
                  </w:r>
                </w:p>
              </w:tc>
              <w:tc>
                <w:tcPr>
                  <w:tcW w:w="480" w:type="pct"/>
                  <w:tcBorders>
                    <w:tl2br w:val="nil"/>
                    <w:tr2bl w:val="nil"/>
                  </w:tcBorders>
                  <w:vAlign w:val="center"/>
                </w:tcPr>
                <w:p w14:paraId="28B8813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0.064</w:t>
                  </w:r>
                </w:p>
              </w:tc>
              <w:tc>
                <w:tcPr>
                  <w:tcW w:w="479" w:type="pct"/>
                  <w:tcBorders>
                    <w:tl2br w:val="nil"/>
                    <w:tr2bl w:val="nil"/>
                  </w:tcBorders>
                  <w:vAlign w:val="center"/>
                </w:tcPr>
                <w:p w14:paraId="1C56AB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0.3</w:t>
                  </w:r>
                </w:p>
              </w:tc>
            </w:tr>
            <w:tr w14:paraId="703D0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822" w:type="pct"/>
                  <w:tcBorders>
                    <w:tl2br w:val="nil"/>
                    <w:tr2bl w:val="nil"/>
                  </w:tcBorders>
                  <w:vAlign w:val="center"/>
                </w:tcPr>
                <w:p w14:paraId="2F0EC20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GB3838-2002标准限值</w:t>
                  </w:r>
                </w:p>
              </w:tc>
              <w:tc>
                <w:tcPr>
                  <w:tcW w:w="517" w:type="pct"/>
                  <w:tcBorders>
                    <w:tl2br w:val="nil"/>
                    <w:tr2bl w:val="nil"/>
                  </w:tcBorders>
                  <w:vAlign w:val="center"/>
                </w:tcPr>
                <w:p w14:paraId="2F9123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Ⅳ类</w:t>
                  </w:r>
                </w:p>
              </w:tc>
              <w:tc>
                <w:tcPr>
                  <w:tcW w:w="495" w:type="pct"/>
                  <w:tcBorders>
                    <w:tl2br w:val="nil"/>
                    <w:tr2bl w:val="nil"/>
                  </w:tcBorders>
                  <w:vAlign w:val="center"/>
                </w:tcPr>
                <w:p w14:paraId="66FE7C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6~9</w:t>
                  </w:r>
                </w:p>
              </w:tc>
              <w:tc>
                <w:tcPr>
                  <w:tcW w:w="390" w:type="pct"/>
                  <w:tcBorders>
                    <w:tl2br w:val="nil"/>
                    <w:tr2bl w:val="nil"/>
                  </w:tcBorders>
                  <w:vAlign w:val="center"/>
                </w:tcPr>
                <w:p w14:paraId="2AD0E9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≥3</w:t>
                  </w:r>
                </w:p>
              </w:tc>
              <w:tc>
                <w:tcPr>
                  <w:tcW w:w="464" w:type="pct"/>
                  <w:tcBorders>
                    <w:tl2br w:val="nil"/>
                    <w:tr2bl w:val="nil"/>
                  </w:tcBorders>
                  <w:vAlign w:val="center"/>
                </w:tcPr>
                <w:p w14:paraId="23F85E1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10</w:t>
                  </w:r>
                </w:p>
              </w:tc>
              <w:tc>
                <w:tcPr>
                  <w:tcW w:w="552" w:type="pct"/>
                  <w:tcBorders>
                    <w:tl2br w:val="nil"/>
                    <w:tr2bl w:val="nil"/>
                  </w:tcBorders>
                  <w:vAlign w:val="center"/>
                </w:tcPr>
                <w:p w14:paraId="43457D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6</w:t>
                  </w:r>
                </w:p>
              </w:tc>
              <w:tc>
                <w:tcPr>
                  <w:tcW w:w="380" w:type="pct"/>
                  <w:tcBorders>
                    <w:tl2br w:val="nil"/>
                    <w:tr2bl w:val="nil"/>
                  </w:tcBorders>
                  <w:vAlign w:val="center"/>
                </w:tcPr>
                <w:p w14:paraId="491C129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1.5</w:t>
                  </w:r>
                </w:p>
              </w:tc>
              <w:tc>
                <w:tcPr>
                  <w:tcW w:w="416" w:type="pct"/>
                  <w:tcBorders>
                    <w:tl2br w:val="nil"/>
                    <w:tr2bl w:val="nil"/>
                  </w:tcBorders>
                  <w:vAlign w:val="center"/>
                </w:tcPr>
                <w:p w14:paraId="04882E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30</w:t>
                  </w:r>
                </w:p>
              </w:tc>
              <w:tc>
                <w:tcPr>
                  <w:tcW w:w="480" w:type="pct"/>
                  <w:tcBorders>
                    <w:tl2br w:val="nil"/>
                    <w:tr2bl w:val="nil"/>
                  </w:tcBorders>
                  <w:vAlign w:val="center"/>
                </w:tcPr>
                <w:p w14:paraId="253C4D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0.3</w:t>
                  </w:r>
                </w:p>
              </w:tc>
              <w:tc>
                <w:tcPr>
                  <w:tcW w:w="479" w:type="pct"/>
                  <w:tcBorders>
                    <w:tl2br w:val="nil"/>
                    <w:tr2bl w:val="nil"/>
                  </w:tcBorders>
                  <w:vAlign w:val="center"/>
                </w:tcPr>
                <w:p w14:paraId="4BB74D8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cs="Times New Roman"/>
                      <w:b w:val="0"/>
                      <w:bCs w:val="0"/>
                      <w:color w:val="000000" w:themeColor="text1"/>
                      <w:kern w:val="0"/>
                      <w:sz w:val="21"/>
                      <w:szCs w:val="21"/>
                      <w:vertAlign w:val="baseline"/>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1.5</w:t>
                  </w:r>
                </w:p>
              </w:tc>
            </w:tr>
            <w:tr w14:paraId="396919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339" w:type="pct"/>
                  <w:gridSpan w:val="2"/>
                  <w:tcBorders>
                    <w:tl2br w:val="nil"/>
                    <w:tr2bl w:val="nil"/>
                  </w:tcBorders>
                  <w:vAlign w:val="center"/>
                </w:tcPr>
                <w:p w14:paraId="16E3E5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达标情况</w:t>
                  </w:r>
                </w:p>
              </w:tc>
              <w:tc>
                <w:tcPr>
                  <w:tcW w:w="495" w:type="pct"/>
                  <w:tcBorders>
                    <w:tl2br w:val="nil"/>
                    <w:tr2bl w:val="nil"/>
                  </w:tcBorders>
                  <w:vAlign w:val="center"/>
                </w:tcPr>
                <w:p w14:paraId="0E5A38D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达标</w:t>
                  </w:r>
                </w:p>
              </w:tc>
              <w:tc>
                <w:tcPr>
                  <w:tcW w:w="390" w:type="pct"/>
                  <w:tcBorders>
                    <w:tl2br w:val="nil"/>
                    <w:tr2bl w:val="nil"/>
                  </w:tcBorders>
                  <w:vAlign w:val="center"/>
                </w:tcPr>
                <w:p w14:paraId="08B523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达标</w:t>
                  </w:r>
                </w:p>
              </w:tc>
              <w:tc>
                <w:tcPr>
                  <w:tcW w:w="464" w:type="pct"/>
                  <w:tcBorders>
                    <w:tl2br w:val="nil"/>
                    <w:tr2bl w:val="nil"/>
                  </w:tcBorders>
                  <w:vAlign w:val="center"/>
                </w:tcPr>
                <w:p w14:paraId="68DA1F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达标</w:t>
                  </w:r>
                </w:p>
              </w:tc>
              <w:tc>
                <w:tcPr>
                  <w:tcW w:w="552" w:type="pct"/>
                  <w:tcBorders>
                    <w:tl2br w:val="nil"/>
                    <w:tr2bl w:val="nil"/>
                  </w:tcBorders>
                  <w:vAlign w:val="center"/>
                </w:tcPr>
                <w:p w14:paraId="750CFB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达标</w:t>
                  </w:r>
                </w:p>
              </w:tc>
              <w:tc>
                <w:tcPr>
                  <w:tcW w:w="380" w:type="pct"/>
                  <w:tcBorders>
                    <w:tl2br w:val="nil"/>
                    <w:tr2bl w:val="nil"/>
                  </w:tcBorders>
                  <w:vAlign w:val="center"/>
                </w:tcPr>
                <w:p w14:paraId="44FE0D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达标</w:t>
                  </w:r>
                </w:p>
              </w:tc>
              <w:tc>
                <w:tcPr>
                  <w:tcW w:w="416" w:type="pct"/>
                  <w:tcBorders>
                    <w:tl2br w:val="nil"/>
                    <w:tr2bl w:val="nil"/>
                  </w:tcBorders>
                  <w:vAlign w:val="center"/>
                </w:tcPr>
                <w:p w14:paraId="183386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达标</w:t>
                  </w:r>
                </w:p>
              </w:tc>
              <w:tc>
                <w:tcPr>
                  <w:tcW w:w="480" w:type="pct"/>
                  <w:tcBorders>
                    <w:tl2br w:val="nil"/>
                    <w:tr2bl w:val="nil"/>
                  </w:tcBorders>
                  <w:vAlign w:val="center"/>
                </w:tcPr>
                <w:p w14:paraId="4880C5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达标</w:t>
                  </w:r>
                </w:p>
              </w:tc>
              <w:tc>
                <w:tcPr>
                  <w:tcW w:w="479" w:type="pct"/>
                  <w:tcBorders>
                    <w:tl2br w:val="nil"/>
                    <w:tr2bl w:val="nil"/>
                  </w:tcBorders>
                  <w:vAlign w:val="center"/>
                </w:tcPr>
                <w:p w14:paraId="1E386B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vertAlign w:val="baseline"/>
                      <w:lang w:val="en-US" w:eastAsia="zh-CN" w:bidi="ar"/>
                      <w14:textFill>
                        <w14:solidFill>
                          <w14:schemeClr w14:val="tx1"/>
                        </w14:solidFill>
                      </w14:textFill>
                    </w:rPr>
                    <w:t>达标</w:t>
                  </w:r>
                </w:p>
              </w:tc>
            </w:tr>
          </w:tbl>
          <w:p w14:paraId="632600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由</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上</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表可知</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千河入渭口断面水质满足《地表水环境质量标准》（GB3838-2002）Ⅳ类标准要求。</w:t>
            </w:r>
          </w:p>
          <w:p w14:paraId="357F6613">
            <w:pPr>
              <w:widowControl/>
              <w:numPr>
                <w:ilvl w:val="0"/>
                <w:numId w:val="0"/>
              </w:numPr>
              <w:adjustRightInd w:val="0"/>
              <w:snapToGrid w:val="0"/>
              <w:spacing w:line="360" w:lineRule="auto"/>
              <w:ind w:firstLine="422" w:firstLineChars="20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三、</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声</w:t>
            </w:r>
            <w:r>
              <w:rPr>
                <w:rFonts w:hint="eastAsia" w:cs="Times New Roman"/>
                <w:b/>
                <w:bCs/>
                <w:color w:val="000000" w:themeColor="text1"/>
                <w:sz w:val="21"/>
                <w:szCs w:val="21"/>
                <w:lang w:val="en-US" w:eastAsia="zh-CN"/>
                <w14:textFill>
                  <w14:solidFill>
                    <w14:schemeClr w14:val="tx1"/>
                  </w14:solidFill>
                </w14:textFill>
              </w:rPr>
              <w:t>环境质量现状</w:t>
            </w:r>
          </w:p>
          <w:p w14:paraId="1B3B2D81">
            <w:pPr>
              <w:pStyle w:val="7"/>
              <w:keepNext w:val="0"/>
              <w:keepLines w:val="0"/>
              <w:pageBreakBefore w:val="0"/>
              <w:widowControl w:val="0"/>
              <w:numPr>
                <w:ilvl w:val="0"/>
                <w:numId w:val="0"/>
              </w:numPr>
              <w:kinsoku/>
              <w:wordWrap/>
              <w:overflowPunct/>
              <w:topLinePunct w:val="0"/>
              <w:autoSpaceDE/>
              <w:autoSpaceDN/>
              <w:bidi w:val="0"/>
              <w:adjustRightInd/>
              <w:snapToGrid/>
              <w:spacing w:before="0" w:after="0" w:afterLines="0" w:line="360" w:lineRule="auto"/>
              <w:ind w:right="0" w:right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本项目厂界外50m范围无声环境保护目标</w:t>
            </w:r>
            <w:r>
              <w:rPr>
                <w:rFonts w:hint="eastAsia" w:cs="Times New Roman"/>
                <w:color w:val="000000" w:themeColor="text1"/>
                <w:kern w:val="2"/>
                <w:sz w:val="21"/>
                <w:szCs w:val="21"/>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无需开展声环境质量现状调查。</w:t>
            </w:r>
          </w:p>
          <w:p w14:paraId="40FDAE1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2" w:firstLineChars="200"/>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四、</w:t>
            </w:r>
            <w:r>
              <w:rPr>
                <w:rFonts w:hint="default" w:ascii="Times New Roman" w:hAnsi="Times New Roman" w:cs="Times New Roman"/>
                <w:b/>
                <w:bCs/>
                <w:color w:val="000000" w:themeColor="text1"/>
                <w:sz w:val="21"/>
                <w:szCs w:val="21"/>
                <w:lang w:val="en-US" w:eastAsia="zh-CN"/>
                <w14:textFill>
                  <w14:solidFill>
                    <w14:schemeClr w14:val="tx1"/>
                  </w14:solidFill>
                </w14:textFill>
              </w:rPr>
              <w:t>地下水、</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土壤环境质量现状分析</w:t>
            </w:r>
          </w:p>
          <w:p w14:paraId="6648DE8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w:t>
            </w:r>
            <w:r>
              <w:rPr>
                <w:rFonts w:hint="eastAsia" w:cs="Times New Roman"/>
                <w:color w:val="000000" w:themeColor="text1"/>
                <w:sz w:val="21"/>
                <w:szCs w:val="21"/>
                <w:lang w:val="en-US" w:eastAsia="zh-CN"/>
                <w14:textFill>
                  <w14:solidFill>
                    <w14:schemeClr w14:val="tx1"/>
                  </w14:solidFill>
                </w14:textFill>
              </w:rPr>
              <w:t>租赁已建的车间，车间地面目前已</w:t>
            </w:r>
            <w:r>
              <w:rPr>
                <w:rFonts w:hint="default" w:ascii="Times New Roman" w:hAnsi="Times New Roman" w:cs="Times New Roman"/>
                <w:color w:val="000000" w:themeColor="text1"/>
                <w:sz w:val="21"/>
                <w:szCs w:val="21"/>
                <w14:textFill>
                  <w14:solidFill>
                    <w14:schemeClr w14:val="tx1"/>
                  </w14:solidFill>
                </w14:textFill>
              </w:rPr>
              <w:t>进行了</w:t>
            </w:r>
            <w:r>
              <w:rPr>
                <w:rFonts w:hint="eastAsia" w:cs="Times New Roman"/>
                <w:color w:val="000000" w:themeColor="text1"/>
                <w:sz w:val="21"/>
                <w:szCs w:val="21"/>
                <w:lang w:val="en-US" w:eastAsia="zh-CN"/>
                <w14:textFill>
                  <w14:solidFill>
                    <w14:schemeClr w14:val="tx1"/>
                  </w14:solidFill>
                </w14:textFill>
              </w:rPr>
              <w:t>混凝土</w:t>
            </w:r>
            <w:r>
              <w:rPr>
                <w:rFonts w:hint="default" w:ascii="Times New Roman" w:hAnsi="Times New Roman" w:cs="Times New Roman"/>
                <w:color w:val="000000" w:themeColor="text1"/>
                <w:sz w:val="21"/>
                <w:szCs w:val="21"/>
                <w14:textFill>
                  <w14:solidFill>
                    <w14:schemeClr w14:val="tx1"/>
                  </w14:solidFill>
                </w14:textFill>
              </w:rPr>
              <w:t>硬化</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后期在对项目危废贮存库等区域进行重点防渗处理后，本项目</w:t>
            </w:r>
            <w:r>
              <w:rPr>
                <w:rFonts w:hint="default" w:ascii="Times New Roman" w:hAnsi="Times New Roman" w:cs="Times New Roman"/>
                <w:color w:val="000000" w:themeColor="text1"/>
                <w:sz w:val="21"/>
                <w:szCs w:val="21"/>
                <w14:textFill>
                  <w14:solidFill>
                    <w14:schemeClr w14:val="tx1"/>
                  </w14:solidFill>
                </w14:textFill>
              </w:rPr>
              <w:t>不存</w:t>
            </w:r>
            <w:r>
              <w:rPr>
                <w:rFonts w:hint="eastAsia" w:cs="Times New Roman"/>
                <w:color w:val="000000" w:themeColor="text1"/>
                <w:sz w:val="21"/>
                <w:szCs w:val="21"/>
                <w:lang w:val="en-US" w:eastAsia="zh-CN"/>
                <w14:textFill>
                  <w14:solidFill>
                    <w14:schemeClr w14:val="tx1"/>
                  </w14:solidFill>
                </w14:textFill>
              </w:rPr>
              <w:t>在</w:t>
            </w:r>
            <w:r>
              <w:rPr>
                <w:rFonts w:hint="default" w:ascii="Times New Roman" w:hAnsi="Times New Roman" w:cs="Times New Roman"/>
                <w:color w:val="000000" w:themeColor="text1"/>
                <w:sz w:val="21"/>
                <w:szCs w:val="21"/>
                <w14:textFill>
                  <w14:solidFill>
                    <w14:schemeClr w14:val="tx1"/>
                  </w14:solidFill>
                </w14:textFill>
              </w:rPr>
              <w:t>土壤、地下水污染途径</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不进行土壤、地下水环境质量现状监测。</w:t>
            </w:r>
          </w:p>
          <w:p w14:paraId="25027437">
            <w:pPr>
              <w:pStyle w:val="22"/>
              <w:rPr>
                <w:rFonts w:hint="default" w:ascii="Times New Roman" w:hAnsi="Times New Roman" w:cs="Times New Roman"/>
                <w:color w:val="000000" w:themeColor="text1"/>
                <w:sz w:val="21"/>
                <w:szCs w:val="21"/>
                <w14:textFill>
                  <w14:solidFill>
                    <w14:schemeClr w14:val="tx1"/>
                  </w14:solidFill>
                </w14:textFill>
              </w:rPr>
            </w:pPr>
          </w:p>
          <w:p w14:paraId="5185CD95">
            <w:pPr>
              <w:pStyle w:val="22"/>
              <w:rPr>
                <w:rFonts w:hint="default" w:ascii="Times New Roman" w:hAnsi="Times New Roman" w:cs="Times New Roman"/>
                <w:color w:val="000000" w:themeColor="text1"/>
                <w:sz w:val="21"/>
                <w:szCs w:val="21"/>
                <w14:textFill>
                  <w14:solidFill>
                    <w14:schemeClr w14:val="tx1"/>
                  </w14:solidFill>
                </w14:textFill>
              </w:rPr>
            </w:pPr>
          </w:p>
          <w:p w14:paraId="3AF1CE61">
            <w:pPr>
              <w:pStyle w:val="22"/>
              <w:rPr>
                <w:rFonts w:hint="default" w:ascii="Times New Roman" w:hAnsi="Times New Roman" w:cs="Times New Roman"/>
                <w:color w:val="000000" w:themeColor="text1"/>
                <w:sz w:val="21"/>
                <w:szCs w:val="21"/>
                <w14:textFill>
                  <w14:solidFill>
                    <w14:schemeClr w14:val="tx1"/>
                  </w14:solidFill>
                </w14:textFill>
              </w:rPr>
            </w:pPr>
          </w:p>
          <w:p w14:paraId="2C5DF048">
            <w:pPr>
              <w:pStyle w:val="22"/>
              <w:rPr>
                <w:rFonts w:hint="default" w:ascii="Times New Roman" w:hAnsi="Times New Roman" w:cs="Times New Roman"/>
                <w:color w:val="000000" w:themeColor="text1"/>
                <w:sz w:val="21"/>
                <w:szCs w:val="21"/>
                <w14:textFill>
                  <w14:solidFill>
                    <w14:schemeClr w14:val="tx1"/>
                  </w14:solidFill>
                </w14:textFill>
              </w:rPr>
            </w:pPr>
          </w:p>
          <w:p w14:paraId="0FA9594D">
            <w:pPr>
              <w:pStyle w:val="22"/>
              <w:ind w:left="0" w:leftChars="0" w:firstLine="0" w:firstLineChars="0"/>
              <w:rPr>
                <w:rFonts w:hint="default" w:ascii="Times New Roman" w:hAnsi="Times New Roman" w:cs="Times New Roman"/>
                <w:color w:val="000000" w:themeColor="text1"/>
                <w:sz w:val="21"/>
                <w:szCs w:val="21"/>
                <w14:textFill>
                  <w14:solidFill>
                    <w14:schemeClr w14:val="tx1"/>
                  </w14:solidFill>
                </w14:textFill>
              </w:rPr>
            </w:pPr>
          </w:p>
          <w:p w14:paraId="6F4695D4">
            <w:pPr>
              <w:pStyle w:val="22"/>
              <w:rPr>
                <w:rFonts w:hint="default" w:ascii="Times New Roman" w:hAnsi="Times New Roman" w:cs="Times New Roman"/>
                <w:color w:val="000000" w:themeColor="text1"/>
                <w:sz w:val="21"/>
                <w:szCs w:val="21"/>
                <w14:textFill>
                  <w14:solidFill>
                    <w14:schemeClr w14:val="tx1"/>
                  </w14:solidFill>
                </w14:textFill>
              </w:rPr>
            </w:pPr>
          </w:p>
          <w:p w14:paraId="778609B4">
            <w:pPr>
              <w:pStyle w:val="22"/>
              <w:rPr>
                <w:rFonts w:hint="default" w:ascii="Times New Roman" w:hAnsi="Times New Roman" w:cs="Times New Roman"/>
                <w:color w:val="000000" w:themeColor="text1"/>
                <w:sz w:val="21"/>
                <w:szCs w:val="21"/>
                <w14:textFill>
                  <w14:solidFill>
                    <w14:schemeClr w14:val="tx1"/>
                  </w14:solidFill>
                </w14:textFill>
              </w:rPr>
            </w:pPr>
          </w:p>
          <w:p w14:paraId="5E51FA05">
            <w:pPr>
              <w:pStyle w:val="22"/>
              <w:rPr>
                <w:rFonts w:hint="default" w:ascii="Times New Roman" w:hAnsi="Times New Roman" w:cs="Times New Roman"/>
                <w:color w:val="000000" w:themeColor="text1"/>
                <w:sz w:val="21"/>
                <w:szCs w:val="21"/>
                <w14:textFill>
                  <w14:solidFill>
                    <w14:schemeClr w14:val="tx1"/>
                  </w14:solidFill>
                </w14:textFill>
              </w:rPr>
            </w:pPr>
          </w:p>
        </w:tc>
      </w:tr>
      <w:tr w14:paraId="19DBF2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99" w:hRule="atLeast"/>
          <w:jc w:val="center"/>
        </w:trPr>
        <w:tc>
          <w:tcPr>
            <w:tcW w:w="800" w:type="dxa"/>
            <w:noWrap w:val="0"/>
            <w:vAlign w:val="center"/>
          </w:tcPr>
          <w:p w14:paraId="4BE47483">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环境</w:t>
            </w:r>
          </w:p>
          <w:p w14:paraId="38A27D23">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保护</w:t>
            </w:r>
          </w:p>
          <w:p w14:paraId="766CA21A">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目标</w:t>
            </w:r>
          </w:p>
        </w:tc>
        <w:tc>
          <w:tcPr>
            <w:tcW w:w="8190" w:type="dxa"/>
            <w:noWrap w:val="0"/>
            <w:vAlign w:val="center"/>
          </w:tcPr>
          <w:p w14:paraId="609B5374">
            <w:pPr>
              <w:keepNext w:val="0"/>
              <w:keepLines w:val="0"/>
              <w:pageBreakBefore w:val="0"/>
              <w:widowControl w:val="0"/>
              <w:tabs>
                <w:tab w:val="left" w:pos="3859"/>
              </w:tabs>
              <w:kinsoku/>
              <w:wordWrap/>
              <w:overflowPunct/>
              <w:topLinePunct w:val="0"/>
              <w:autoSpaceDE w:val="0"/>
              <w:autoSpaceDN w:val="0"/>
              <w:bidi w:val="0"/>
              <w:adjustRightInd w:val="0"/>
              <w:snapToGrid w:val="0"/>
              <w:spacing w:before="0" w:after="0" w:line="360" w:lineRule="auto"/>
              <w:ind w:left="0" w:right="0" w:firstLine="420" w:firstLineChars="200"/>
              <w:jc w:val="both"/>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本项目涉及的环境保护目标主要为大气环境保护目标以及声环境保护目标</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eastAsia="zh-CN"/>
                <w14:textFill>
                  <w14:solidFill>
                    <w14:schemeClr w14:val="tx1"/>
                  </w14:solidFill>
                </w14:textFill>
              </w:rPr>
              <w:t>根据《建设项目环境影响报告表编制技术指南（污染影响类）（试行）》中的要求</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eastAsia="zh-CN"/>
                <w14:textFill>
                  <w14:solidFill>
                    <w14:schemeClr w14:val="tx1"/>
                  </w14:solidFill>
                </w14:textFill>
              </w:rPr>
              <w:t>大气环境保护目标为厂界外</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500米范围内的自然保护区、风景名胜区、居住区和农村地区中人群较集中的区域</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声环境敏感点</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为</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50m范围内</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的</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居住区和农村地区中人群较集中的区域</w:t>
            </w:r>
            <w:r>
              <w:rPr>
                <w:rFonts w:hint="eastAsia" w:cs="Times New Roman"/>
                <w:color w:val="000000" w:themeColor="text1"/>
                <w:sz w:val="21"/>
                <w:szCs w:val="21"/>
                <w:highlight w:val="none"/>
                <w:lang w:val="en-US" w:eastAsia="zh-CN"/>
                <w14:textFill>
                  <w14:solidFill>
                    <w14:schemeClr w14:val="tx1"/>
                  </w14:solidFill>
                </w14:textFill>
              </w:rPr>
              <w:t>。</w:t>
            </w:r>
          </w:p>
          <w:p w14:paraId="2D3DF673">
            <w:pPr>
              <w:keepNext w:val="0"/>
              <w:keepLines w:val="0"/>
              <w:pageBreakBefore w:val="0"/>
              <w:widowControl w:val="0"/>
              <w:tabs>
                <w:tab w:val="left" w:pos="3859"/>
              </w:tabs>
              <w:kinsoku/>
              <w:wordWrap/>
              <w:overflowPunct/>
              <w:topLinePunct w:val="0"/>
              <w:autoSpaceDE w:val="0"/>
              <w:autoSpaceDN w:val="0"/>
              <w:bidi w:val="0"/>
              <w:adjustRightInd w:val="0"/>
              <w:snapToGrid w:val="0"/>
              <w:spacing w:before="0" w:after="0" w:line="360" w:lineRule="auto"/>
              <w:ind w:left="0" w:right="0" w:firstLine="420" w:firstLineChars="200"/>
              <w:jc w:val="both"/>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根据现场踏勘</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本项目环境保护目标详见下表</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w:t>
            </w:r>
          </w:p>
          <w:p w14:paraId="632A3C5A">
            <w:pPr>
              <w:widowControl/>
              <w:spacing w:line="240" w:lineRule="auto"/>
              <w:jc w:val="center"/>
              <w:rPr>
                <w:rFonts w:hint="default" w:ascii="Times New Roman" w:hAnsi="Times New Roman" w:eastAsia="宋体" w:cs="Times New Roman"/>
                <w:b/>
                <w:color w:val="000000" w:themeColor="text1"/>
                <w:sz w:val="21"/>
                <w:szCs w:val="21"/>
                <w:highlight w:val="none"/>
                <w:lang w:val="zh-CN" w:eastAsia="zh-CN"/>
                <w14:textFill>
                  <w14:solidFill>
                    <w14:schemeClr w14:val="tx1"/>
                  </w14:solidFill>
                </w14:textFill>
              </w:rPr>
            </w:pPr>
            <w:r>
              <w:rPr>
                <w:rFonts w:hint="default" w:ascii="Times New Roman" w:hAnsi="Times New Roman" w:eastAsia="宋体" w:cs="Times New Roman"/>
                <w:b/>
                <w:color w:val="000000" w:themeColor="text1"/>
                <w:sz w:val="21"/>
                <w:szCs w:val="21"/>
                <w:highlight w:val="none"/>
                <w:lang w:val="zh-CN" w:eastAsia="zh-CN"/>
                <w14:textFill>
                  <w14:solidFill>
                    <w14:schemeClr w14:val="tx1"/>
                  </w14:solidFill>
                </w14:textFill>
              </w:rPr>
              <w:t>表</w:t>
            </w:r>
            <w:r>
              <w:rPr>
                <w:rFonts w:hint="eastAsia" w:ascii="Times New Roman" w:hAnsi="Times New Roman" w:eastAsia="宋体" w:cs="Times New Roman"/>
                <w:b/>
                <w:color w:val="000000" w:themeColor="text1"/>
                <w:sz w:val="21"/>
                <w:szCs w:val="21"/>
                <w:highlight w:val="none"/>
                <w:lang w:val="en-US" w:eastAsia="zh-CN"/>
                <w14:textFill>
                  <w14:solidFill>
                    <w14:schemeClr w14:val="tx1"/>
                  </w14:solidFill>
                </w14:textFill>
              </w:rPr>
              <w:t>3-</w:t>
            </w:r>
            <w:r>
              <w:rPr>
                <w:rFonts w:hint="eastAsia" w:cs="Times New Roman"/>
                <w:b/>
                <w:color w:val="000000" w:themeColor="text1"/>
                <w:sz w:val="21"/>
                <w:szCs w:val="21"/>
                <w:highlight w:val="none"/>
                <w:lang w:val="en-US" w:eastAsia="zh-CN"/>
                <w14:textFill>
                  <w14:solidFill>
                    <w14:schemeClr w14:val="tx1"/>
                  </w14:solidFill>
                </w14:textFill>
              </w:rPr>
              <w:t xml:space="preserve">4    </w:t>
            </w:r>
            <w:r>
              <w:rPr>
                <w:rFonts w:hint="default" w:ascii="Times New Roman" w:hAnsi="Times New Roman" w:eastAsia="宋体" w:cs="Times New Roman"/>
                <w:b/>
                <w:color w:val="000000" w:themeColor="text1"/>
                <w:sz w:val="21"/>
                <w:szCs w:val="21"/>
                <w:highlight w:val="none"/>
                <w:lang w:val="zh-CN" w:eastAsia="zh-CN"/>
                <w14:textFill>
                  <w14:solidFill>
                    <w14:schemeClr w14:val="tx1"/>
                  </w14:solidFill>
                </w14:textFill>
              </w:rPr>
              <w:t>项目主要环境保护目标表</w:t>
            </w:r>
          </w:p>
          <w:tbl>
            <w:tblPr>
              <w:tblStyle w:val="24"/>
              <w:tblW w:w="4998" w:type="pct"/>
              <w:tblInd w:w="-15"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595"/>
              <w:gridCol w:w="891"/>
              <w:gridCol w:w="1504"/>
              <w:gridCol w:w="1377"/>
              <w:gridCol w:w="943"/>
              <w:gridCol w:w="1029"/>
              <w:gridCol w:w="2034"/>
            </w:tblGrid>
            <w:tr w14:paraId="656991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55" w:type="pct"/>
                  <w:vMerge w:val="restart"/>
                  <w:tcBorders>
                    <w:tl2br w:val="nil"/>
                    <w:tr2bl w:val="nil"/>
                  </w:tcBorders>
                  <w:noWrap w:val="0"/>
                  <w:vAlign w:val="center"/>
                </w:tcPr>
                <w:p w14:paraId="520A6212">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b/>
                      <w:color w:val="000000" w:themeColor="text1"/>
                      <w:sz w:val="21"/>
                      <w:highlight w:val="none"/>
                      <w14:textFill>
                        <w14:solidFill>
                          <w14:schemeClr w14:val="tx1"/>
                        </w14:solidFill>
                      </w14:textFill>
                    </w:rPr>
                  </w:pPr>
                  <w:r>
                    <w:rPr>
                      <w:rFonts w:hint="default" w:ascii="Times New Roman" w:hAnsi="Times New Roman" w:cs="Times New Roman"/>
                      <w:b/>
                      <w:color w:val="000000" w:themeColor="text1"/>
                      <w:sz w:val="21"/>
                      <w:highlight w:val="none"/>
                      <w14:textFill>
                        <w14:solidFill>
                          <w14:schemeClr w14:val="tx1"/>
                        </w14:solidFill>
                      </w14:textFill>
                    </w:rPr>
                    <w:t>环境</w:t>
                  </w:r>
                </w:p>
                <w:p w14:paraId="00722DE8">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b/>
                      <w:color w:val="000000" w:themeColor="text1"/>
                      <w:sz w:val="21"/>
                      <w:highlight w:val="none"/>
                      <w14:textFill>
                        <w14:solidFill>
                          <w14:schemeClr w14:val="tx1"/>
                        </w14:solidFill>
                      </w14:textFill>
                    </w:rPr>
                  </w:pPr>
                  <w:r>
                    <w:rPr>
                      <w:rFonts w:hint="default" w:ascii="Times New Roman" w:hAnsi="Times New Roman" w:cs="Times New Roman"/>
                      <w:b/>
                      <w:color w:val="000000" w:themeColor="text1"/>
                      <w:sz w:val="21"/>
                      <w:highlight w:val="none"/>
                      <w14:textFill>
                        <w14:solidFill>
                          <w14:schemeClr w14:val="tx1"/>
                        </w14:solidFill>
                      </w14:textFill>
                    </w:rPr>
                    <w:t>类型</w:t>
                  </w:r>
                </w:p>
              </w:tc>
              <w:tc>
                <w:tcPr>
                  <w:tcW w:w="532" w:type="pct"/>
                  <w:vMerge w:val="restart"/>
                  <w:tcBorders>
                    <w:tl2br w:val="nil"/>
                    <w:tr2bl w:val="nil"/>
                  </w:tcBorders>
                  <w:noWrap w:val="0"/>
                  <w:vAlign w:val="center"/>
                </w:tcPr>
                <w:p w14:paraId="550683B8">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b/>
                      <w:color w:val="000000" w:themeColor="text1"/>
                      <w:sz w:val="21"/>
                      <w:highlight w:val="none"/>
                      <w14:textFill>
                        <w14:solidFill>
                          <w14:schemeClr w14:val="tx1"/>
                        </w14:solidFill>
                      </w14:textFill>
                    </w:rPr>
                  </w:pPr>
                  <w:r>
                    <w:rPr>
                      <w:rFonts w:hint="default" w:ascii="Times New Roman" w:hAnsi="Times New Roman" w:cs="Times New Roman"/>
                      <w:b/>
                      <w:color w:val="000000" w:themeColor="text1"/>
                      <w:sz w:val="21"/>
                      <w:highlight w:val="none"/>
                      <w14:textFill>
                        <w14:solidFill>
                          <w14:schemeClr w14:val="tx1"/>
                        </w14:solidFill>
                      </w14:textFill>
                    </w:rPr>
                    <w:t>保护对象</w:t>
                  </w:r>
                </w:p>
              </w:tc>
              <w:tc>
                <w:tcPr>
                  <w:tcW w:w="1720" w:type="pct"/>
                  <w:gridSpan w:val="2"/>
                  <w:tcBorders>
                    <w:tl2br w:val="nil"/>
                    <w:tr2bl w:val="nil"/>
                  </w:tcBorders>
                  <w:noWrap w:val="0"/>
                  <w:vAlign w:val="center"/>
                </w:tcPr>
                <w:p w14:paraId="7064A3D1">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eastAsia="Times New Roman" w:cs="Times New Roman"/>
                      <w:b/>
                      <w:color w:val="000000" w:themeColor="text1"/>
                      <w:sz w:val="21"/>
                      <w:highlight w:val="none"/>
                      <w14:textFill>
                        <w14:solidFill>
                          <w14:schemeClr w14:val="tx1"/>
                        </w14:solidFill>
                      </w14:textFill>
                    </w:rPr>
                  </w:pPr>
                  <w:r>
                    <w:rPr>
                      <w:rFonts w:hint="default" w:ascii="Times New Roman" w:hAnsi="Times New Roman" w:cs="Times New Roman"/>
                      <w:b/>
                      <w:color w:val="000000" w:themeColor="text1"/>
                      <w:sz w:val="21"/>
                      <w:highlight w:val="none"/>
                      <w14:textFill>
                        <w14:solidFill>
                          <w14:schemeClr w14:val="tx1"/>
                        </w14:solidFill>
                      </w14:textFill>
                    </w:rPr>
                    <w:t>坐标</w:t>
                  </w:r>
                  <w:r>
                    <w:rPr>
                      <w:rFonts w:hint="default" w:ascii="Times New Roman" w:hAnsi="Times New Roman" w:eastAsia="Times New Roman" w:cs="Times New Roman"/>
                      <w:b/>
                      <w:color w:val="000000" w:themeColor="text1"/>
                      <w:sz w:val="21"/>
                      <w:highlight w:val="none"/>
                      <w14:textFill>
                        <w14:solidFill>
                          <w14:schemeClr w14:val="tx1"/>
                        </w14:solidFill>
                      </w14:textFill>
                    </w:rPr>
                    <w:t>/º</w:t>
                  </w:r>
                </w:p>
              </w:tc>
              <w:tc>
                <w:tcPr>
                  <w:tcW w:w="563" w:type="pct"/>
                  <w:vMerge w:val="restart"/>
                  <w:tcBorders>
                    <w:tl2br w:val="nil"/>
                    <w:tr2bl w:val="nil"/>
                  </w:tcBorders>
                  <w:noWrap w:val="0"/>
                  <w:vAlign w:val="center"/>
                </w:tcPr>
                <w:p w14:paraId="0D67F623">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b/>
                      <w:color w:val="000000" w:themeColor="text1"/>
                      <w:sz w:val="21"/>
                      <w:highlight w:val="none"/>
                      <w14:textFill>
                        <w14:solidFill>
                          <w14:schemeClr w14:val="tx1"/>
                        </w14:solidFill>
                      </w14:textFill>
                    </w:rPr>
                  </w:pPr>
                  <w:r>
                    <w:rPr>
                      <w:rFonts w:hint="default" w:ascii="Times New Roman" w:hAnsi="Times New Roman" w:cs="Times New Roman"/>
                      <w:b/>
                      <w:color w:val="000000" w:themeColor="text1"/>
                      <w:sz w:val="21"/>
                      <w:highlight w:val="none"/>
                      <w14:textFill>
                        <w14:solidFill>
                          <w14:schemeClr w14:val="tx1"/>
                        </w14:solidFill>
                      </w14:textFill>
                    </w:rPr>
                    <w:t>相对厂</w:t>
                  </w:r>
                </w:p>
                <w:p w14:paraId="49DA0B53">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b/>
                      <w:color w:val="000000" w:themeColor="text1"/>
                      <w:sz w:val="21"/>
                      <w:highlight w:val="none"/>
                      <w14:textFill>
                        <w14:solidFill>
                          <w14:schemeClr w14:val="tx1"/>
                        </w14:solidFill>
                      </w14:textFill>
                    </w:rPr>
                  </w:pPr>
                  <w:r>
                    <w:rPr>
                      <w:rFonts w:hint="default" w:ascii="Times New Roman" w:hAnsi="Times New Roman" w:cs="Times New Roman"/>
                      <w:b/>
                      <w:color w:val="000000" w:themeColor="text1"/>
                      <w:sz w:val="21"/>
                      <w:highlight w:val="none"/>
                      <w14:textFill>
                        <w14:solidFill>
                          <w14:schemeClr w14:val="tx1"/>
                        </w14:solidFill>
                      </w14:textFill>
                    </w:rPr>
                    <w:t>址方位</w:t>
                  </w:r>
                </w:p>
              </w:tc>
              <w:tc>
                <w:tcPr>
                  <w:tcW w:w="614" w:type="pct"/>
                  <w:vMerge w:val="restart"/>
                  <w:tcBorders>
                    <w:tl2br w:val="nil"/>
                    <w:tr2bl w:val="nil"/>
                  </w:tcBorders>
                  <w:noWrap w:val="0"/>
                  <w:vAlign w:val="center"/>
                </w:tcPr>
                <w:p w14:paraId="3A3DF3A5">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b/>
                      <w:color w:val="000000" w:themeColor="text1"/>
                      <w:sz w:val="21"/>
                      <w:highlight w:val="none"/>
                      <w14:textFill>
                        <w14:solidFill>
                          <w14:schemeClr w14:val="tx1"/>
                        </w14:solidFill>
                      </w14:textFill>
                    </w:rPr>
                  </w:pPr>
                  <w:r>
                    <w:rPr>
                      <w:rFonts w:hint="default" w:ascii="Times New Roman" w:hAnsi="Times New Roman" w:cs="Times New Roman"/>
                      <w:b/>
                      <w:color w:val="000000" w:themeColor="text1"/>
                      <w:sz w:val="21"/>
                      <w:highlight w:val="none"/>
                      <w14:textFill>
                        <w14:solidFill>
                          <w14:schemeClr w14:val="tx1"/>
                        </w14:solidFill>
                      </w14:textFill>
                    </w:rPr>
                    <w:t>相对厂界</w:t>
                  </w:r>
                </w:p>
                <w:p w14:paraId="2CE50E22">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eastAsia="Times New Roman" w:cs="Times New Roman"/>
                      <w:b/>
                      <w:color w:val="000000" w:themeColor="text1"/>
                      <w:sz w:val="21"/>
                      <w:highlight w:val="none"/>
                      <w14:textFill>
                        <w14:solidFill>
                          <w14:schemeClr w14:val="tx1"/>
                        </w14:solidFill>
                      </w14:textFill>
                    </w:rPr>
                  </w:pPr>
                  <w:r>
                    <w:rPr>
                      <w:rFonts w:hint="default" w:ascii="Times New Roman" w:hAnsi="Times New Roman" w:cs="Times New Roman"/>
                      <w:b/>
                      <w:color w:val="000000" w:themeColor="text1"/>
                      <w:spacing w:val="-1"/>
                      <w:sz w:val="21"/>
                      <w:highlight w:val="none"/>
                      <w14:textFill>
                        <w14:solidFill>
                          <w14:schemeClr w14:val="tx1"/>
                        </w14:solidFill>
                      </w14:textFill>
                    </w:rPr>
                    <w:t>距离</w:t>
                  </w:r>
                  <w:r>
                    <w:rPr>
                      <w:rFonts w:hint="default" w:ascii="Times New Roman" w:hAnsi="Times New Roman" w:eastAsia="Times New Roman" w:cs="Times New Roman"/>
                      <w:b/>
                      <w:color w:val="000000" w:themeColor="text1"/>
                      <w:sz w:val="21"/>
                      <w:highlight w:val="none"/>
                      <w14:textFill>
                        <w14:solidFill>
                          <w14:schemeClr w14:val="tx1"/>
                        </w14:solidFill>
                      </w14:textFill>
                    </w:rPr>
                    <w:t>/m</w:t>
                  </w:r>
                </w:p>
              </w:tc>
              <w:tc>
                <w:tcPr>
                  <w:tcW w:w="1214" w:type="pct"/>
                  <w:vMerge w:val="restart"/>
                  <w:tcBorders>
                    <w:tl2br w:val="nil"/>
                    <w:tr2bl w:val="nil"/>
                  </w:tcBorders>
                  <w:noWrap w:val="0"/>
                  <w:vAlign w:val="center"/>
                </w:tcPr>
                <w:p w14:paraId="29D02E8F">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b/>
                      <w:color w:val="000000" w:themeColor="text1"/>
                      <w:sz w:val="21"/>
                      <w:highlight w:val="none"/>
                      <w14:textFill>
                        <w14:solidFill>
                          <w14:schemeClr w14:val="tx1"/>
                        </w14:solidFill>
                      </w14:textFill>
                    </w:rPr>
                  </w:pPr>
                  <w:r>
                    <w:rPr>
                      <w:rFonts w:hint="default" w:ascii="Times New Roman" w:hAnsi="Times New Roman" w:cs="Times New Roman"/>
                      <w:b/>
                      <w:color w:val="000000" w:themeColor="text1"/>
                      <w:sz w:val="21"/>
                      <w:highlight w:val="none"/>
                      <w14:textFill>
                        <w14:solidFill>
                          <w14:schemeClr w14:val="tx1"/>
                        </w14:solidFill>
                      </w14:textFill>
                    </w:rPr>
                    <w:t>环境功能区及</w:t>
                  </w:r>
                </w:p>
                <w:p w14:paraId="08499A62">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b/>
                      <w:color w:val="000000" w:themeColor="text1"/>
                      <w:sz w:val="21"/>
                      <w:highlight w:val="none"/>
                      <w14:textFill>
                        <w14:solidFill>
                          <w14:schemeClr w14:val="tx1"/>
                        </w14:solidFill>
                      </w14:textFill>
                    </w:rPr>
                  </w:pPr>
                  <w:r>
                    <w:rPr>
                      <w:rFonts w:hint="default" w:ascii="Times New Roman" w:hAnsi="Times New Roman" w:cs="Times New Roman"/>
                      <w:b/>
                      <w:color w:val="000000" w:themeColor="text1"/>
                      <w:sz w:val="21"/>
                      <w:highlight w:val="none"/>
                      <w14:textFill>
                        <w14:solidFill>
                          <w14:schemeClr w14:val="tx1"/>
                        </w14:solidFill>
                      </w14:textFill>
                    </w:rPr>
                    <w:t>保护目标功能要求</w:t>
                  </w:r>
                </w:p>
              </w:tc>
            </w:tr>
            <w:tr w14:paraId="7DF259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55" w:type="pct"/>
                  <w:vMerge w:val="continue"/>
                  <w:tcBorders>
                    <w:tl2br w:val="nil"/>
                    <w:tr2bl w:val="nil"/>
                  </w:tcBorders>
                  <w:noWrap w:val="0"/>
                  <w:vAlign w:val="center"/>
                </w:tcPr>
                <w:p w14:paraId="54EEF248">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
                      <w:szCs w:val="2"/>
                      <w:highlight w:val="none"/>
                      <w14:textFill>
                        <w14:solidFill>
                          <w14:schemeClr w14:val="tx1"/>
                        </w14:solidFill>
                      </w14:textFill>
                    </w:rPr>
                  </w:pPr>
                </w:p>
              </w:tc>
              <w:tc>
                <w:tcPr>
                  <w:tcW w:w="532" w:type="pct"/>
                  <w:vMerge w:val="continue"/>
                  <w:tcBorders>
                    <w:tl2br w:val="nil"/>
                    <w:tr2bl w:val="nil"/>
                  </w:tcBorders>
                  <w:noWrap w:val="0"/>
                  <w:vAlign w:val="center"/>
                </w:tcPr>
                <w:p w14:paraId="56530ECE">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
                      <w:szCs w:val="2"/>
                      <w:highlight w:val="none"/>
                      <w14:textFill>
                        <w14:solidFill>
                          <w14:schemeClr w14:val="tx1"/>
                        </w14:solidFill>
                      </w14:textFill>
                    </w:rPr>
                  </w:pPr>
                </w:p>
              </w:tc>
              <w:tc>
                <w:tcPr>
                  <w:tcW w:w="898" w:type="pct"/>
                  <w:tcBorders>
                    <w:tl2br w:val="nil"/>
                    <w:tr2bl w:val="nil"/>
                  </w:tcBorders>
                  <w:noWrap w:val="0"/>
                  <w:vAlign w:val="center"/>
                </w:tcPr>
                <w:p w14:paraId="229FF95B">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eastAsia="宋体" w:cs="Times New Roman"/>
                      <w:b/>
                      <w:color w:val="000000" w:themeColor="text1"/>
                      <w:sz w:val="21"/>
                      <w:highlight w:val="none"/>
                      <w:lang w:eastAsia="zh-CN"/>
                      <w14:textFill>
                        <w14:solidFill>
                          <w14:schemeClr w14:val="tx1"/>
                        </w14:solidFill>
                      </w14:textFill>
                    </w:rPr>
                  </w:pPr>
                  <w:r>
                    <w:rPr>
                      <w:rFonts w:hint="default" w:ascii="Times New Roman" w:hAnsi="Times New Roman" w:cs="Times New Roman"/>
                      <w:b/>
                      <w:color w:val="000000" w:themeColor="text1"/>
                      <w:w w:val="100"/>
                      <w:sz w:val="21"/>
                      <w:highlight w:val="none"/>
                      <w:lang w:val="en-US" w:eastAsia="zh-CN"/>
                      <w14:textFill>
                        <w14:solidFill>
                          <w14:schemeClr w14:val="tx1"/>
                        </w14:solidFill>
                      </w14:textFill>
                    </w:rPr>
                    <w:t>纬度</w:t>
                  </w:r>
                </w:p>
              </w:tc>
              <w:tc>
                <w:tcPr>
                  <w:tcW w:w="822" w:type="pct"/>
                  <w:tcBorders>
                    <w:tl2br w:val="nil"/>
                    <w:tr2bl w:val="nil"/>
                  </w:tcBorders>
                  <w:noWrap w:val="0"/>
                  <w:vAlign w:val="center"/>
                </w:tcPr>
                <w:p w14:paraId="6D4AE446">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eastAsia="宋体" w:cs="Times New Roman"/>
                      <w:b/>
                      <w:color w:val="000000" w:themeColor="text1"/>
                      <w:sz w:val="21"/>
                      <w:highlight w:val="none"/>
                      <w:lang w:val="en-US" w:eastAsia="zh-CN"/>
                      <w14:textFill>
                        <w14:solidFill>
                          <w14:schemeClr w14:val="tx1"/>
                        </w14:solidFill>
                      </w14:textFill>
                    </w:rPr>
                  </w:pPr>
                  <w:r>
                    <w:rPr>
                      <w:rFonts w:hint="default" w:ascii="Times New Roman" w:hAnsi="Times New Roman" w:cs="Times New Roman"/>
                      <w:b/>
                      <w:color w:val="000000" w:themeColor="text1"/>
                      <w:sz w:val="21"/>
                      <w:highlight w:val="none"/>
                      <w:lang w:val="en-US" w:eastAsia="zh-CN"/>
                      <w14:textFill>
                        <w14:solidFill>
                          <w14:schemeClr w14:val="tx1"/>
                        </w14:solidFill>
                      </w14:textFill>
                    </w:rPr>
                    <w:t>经度</w:t>
                  </w:r>
                </w:p>
              </w:tc>
              <w:tc>
                <w:tcPr>
                  <w:tcW w:w="563" w:type="pct"/>
                  <w:vMerge w:val="continue"/>
                  <w:tcBorders>
                    <w:tl2br w:val="nil"/>
                    <w:tr2bl w:val="nil"/>
                  </w:tcBorders>
                  <w:noWrap w:val="0"/>
                  <w:vAlign w:val="center"/>
                </w:tcPr>
                <w:p w14:paraId="35341462">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
                      <w:szCs w:val="2"/>
                      <w:highlight w:val="none"/>
                      <w14:textFill>
                        <w14:solidFill>
                          <w14:schemeClr w14:val="tx1"/>
                        </w14:solidFill>
                      </w14:textFill>
                    </w:rPr>
                  </w:pPr>
                </w:p>
              </w:tc>
              <w:tc>
                <w:tcPr>
                  <w:tcW w:w="614" w:type="pct"/>
                  <w:vMerge w:val="continue"/>
                  <w:tcBorders>
                    <w:tl2br w:val="nil"/>
                    <w:tr2bl w:val="nil"/>
                  </w:tcBorders>
                  <w:noWrap w:val="0"/>
                  <w:vAlign w:val="center"/>
                </w:tcPr>
                <w:p w14:paraId="20AD2431">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
                      <w:szCs w:val="2"/>
                      <w:highlight w:val="none"/>
                      <w14:textFill>
                        <w14:solidFill>
                          <w14:schemeClr w14:val="tx1"/>
                        </w14:solidFill>
                      </w14:textFill>
                    </w:rPr>
                  </w:pPr>
                </w:p>
              </w:tc>
              <w:tc>
                <w:tcPr>
                  <w:tcW w:w="1214" w:type="pct"/>
                  <w:vMerge w:val="continue"/>
                  <w:tcBorders>
                    <w:tl2br w:val="nil"/>
                    <w:tr2bl w:val="nil"/>
                  </w:tcBorders>
                  <w:noWrap w:val="0"/>
                  <w:vAlign w:val="center"/>
                </w:tcPr>
                <w:p w14:paraId="0884A039">
                  <w:pPr>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
                      <w:szCs w:val="2"/>
                      <w:highlight w:val="none"/>
                      <w14:textFill>
                        <w14:solidFill>
                          <w14:schemeClr w14:val="tx1"/>
                        </w14:solidFill>
                      </w14:textFill>
                    </w:rPr>
                  </w:pPr>
                </w:p>
              </w:tc>
            </w:tr>
            <w:tr w14:paraId="2CE815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55" w:type="pct"/>
                  <w:tcBorders>
                    <w:tl2br w:val="nil"/>
                    <w:tr2bl w:val="nil"/>
                  </w:tcBorders>
                  <w:noWrap w:val="0"/>
                  <w:vAlign w:val="center"/>
                </w:tcPr>
                <w:p w14:paraId="7262C583">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环境空气</w:t>
                  </w:r>
                </w:p>
              </w:tc>
              <w:tc>
                <w:tcPr>
                  <w:tcW w:w="532" w:type="pct"/>
                  <w:tcBorders>
                    <w:tl2br w:val="nil"/>
                    <w:tr2bl w:val="nil"/>
                  </w:tcBorders>
                  <w:noWrap w:val="0"/>
                  <w:vAlign w:val="center"/>
                </w:tcPr>
                <w:p w14:paraId="1BE54327">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谢家崖</w:t>
                  </w:r>
                </w:p>
              </w:tc>
              <w:tc>
                <w:tcPr>
                  <w:tcW w:w="898" w:type="pct"/>
                  <w:tcBorders>
                    <w:tl2br w:val="nil"/>
                    <w:tr2bl w:val="nil"/>
                  </w:tcBorders>
                  <w:noWrap w:val="0"/>
                  <w:vAlign w:val="center"/>
                </w:tcPr>
                <w:p w14:paraId="5E1CFA13">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107.28897305</w:t>
                  </w:r>
                </w:p>
              </w:tc>
              <w:tc>
                <w:tcPr>
                  <w:tcW w:w="822" w:type="pct"/>
                  <w:tcBorders>
                    <w:tl2br w:val="nil"/>
                    <w:tr2bl w:val="nil"/>
                  </w:tcBorders>
                  <w:noWrap w:val="0"/>
                  <w:vAlign w:val="center"/>
                </w:tcPr>
                <w:p w14:paraId="34498886">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34.38461163</w:t>
                  </w:r>
                </w:p>
              </w:tc>
              <w:tc>
                <w:tcPr>
                  <w:tcW w:w="563" w:type="pct"/>
                  <w:tcBorders>
                    <w:tl2br w:val="nil"/>
                    <w:tr2bl w:val="nil"/>
                  </w:tcBorders>
                  <w:noWrap w:val="0"/>
                  <w:vAlign w:val="center"/>
                </w:tcPr>
                <w:p w14:paraId="61F40DF3">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SW</w:t>
                  </w:r>
                </w:p>
              </w:tc>
              <w:tc>
                <w:tcPr>
                  <w:tcW w:w="614" w:type="pct"/>
                  <w:tcBorders>
                    <w:tl2br w:val="nil"/>
                    <w:tr2bl w:val="nil"/>
                  </w:tcBorders>
                  <w:noWrap w:val="0"/>
                  <w:vAlign w:val="center"/>
                </w:tcPr>
                <w:p w14:paraId="4D413BD8">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295m</w:t>
                  </w:r>
                </w:p>
              </w:tc>
              <w:tc>
                <w:tcPr>
                  <w:tcW w:w="1214" w:type="pct"/>
                  <w:tcBorders>
                    <w:tl2br w:val="nil"/>
                    <w:tr2bl w:val="nil"/>
                  </w:tcBorders>
                  <w:noWrap w:val="0"/>
                  <w:vAlign w:val="center"/>
                </w:tcPr>
                <w:p w14:paraId="72642FC6">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cs="Times New Roman"/>
                      <w:color w:val="000000" w:themeColor="text1"/>
                      <w:sz w:val="21"/>
                      <w:highlight w:val="none"/>
                      <w:lang w:val="en-US" w:eastAsia="zh-CN"/>
                      <w14:textFill>
                        <w14:solidFill>
                          <w14:schemeClr w14:val="tx1"/>
                        </w14:solidFill>
                      </w14:textFill>
                    </w:rPr>
                    <w:t>二类</w:t>
                  </w:r>
                  <w:r>
                    <w:rPr>
                      <w:rFonts w:hint="eastAsia" w:ascii="Times New Roman" w:hAnsi="Times New Roman" w:cs="Times New Roman"/>
                      <w:color w:val="000000" w:themeColor="text1"/>
                      <w:sz w:val="21"/>
                      <w:highlight w:val="none"/>
                      <w:lang w:val="en-US" w:eastAsia="zh-CN"/>
                      <w14:textFill>
                        <w14:solidFill>
                          <w14:schemeClr w14:val="tx1"/>
                        </w14:solidFill>
                      </w14:textFill>
                    </w:rPr>
                    <w:t>大气</w:t>
                  </w:r>
                  <w:r>
                    <w:rPr>
                      <w:rFonts w:hint="default" w:ascii="Times New Roman" w:hAnsi="Times New Roman" w:cs="Times New Roman"/>
                      <w:color w:val="000000" w:themeColor="text1"/>
                      <w:sz w:val="21"/>
                      <w:highlight w:val="none"/>
                      <w:lang w:val="en-US" w:eastAsia="zh-CN"/>
                      <w14:textFill>
                        <w14:solidFill>
                          <w14:schemeClr w14:val="tx1"/>
                        </w14:solidFill>
                      </w14:textFill>
                    </w:rPr>
                    <w:t>功能区</w:t>
                  </w:r>
                </w:p>
              </w:tc>
            </w:tr>
            <w:tr w14:paraId="2085AF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55" w:type="pct"/>
                  <w:tcBorders>
                    <w:tl2br w:val="nil"/>
                    <w:tr2bl w:val="nil"/>
                  </w:tcBorders>
                  <w:noWrap w:val="0"/>
                  <w:vAlign w:val="center"/>
                </w:tcPr>
                <w:p w14:paraId="139CA07D">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地表水</w:t>
                  </w:r>
                </w:p>
              </w:tc>
              <w:tc>
                <w:tcPr>
                  <w:tcW w:w="532" w:type="pct"/>
                  <w:tcBorders>
                    <w:tl2br w:val="nil"/>
                    <w:tr2bl w:val="nil"/>
                  </w:tcBorders>
                  <w:noWrap w:val="0"/>
                  <w:vAlign w:val="center"/>
                </w:tcPr>
                <w:p w14:paraId="2F643BE0">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千河</w:t>
                  </w:r>
                </w:p>
              </w:tc>
              <w:tc>
                <w:tcPr>
                  <w:tcW w:w="898" w:type="pct"/>
                  <w:tcBorders>
                    <w:tl2br w:val="nil"/>
                    <w:tr2bl w:val="nil"/>
                  </w:tcBorders>
                  <w:noWrap w:val="0"/>
                  <w:vAlign w:val="center"/>
                </w:tcPr>
                <w:p w14:paraId="57ADAAD2">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eastAsia" w:ascii="Times New Roman" w:hAnsi="Times New Roman"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107.29451017</w:t>
                  </w:r>
                </w:p>
              </w:tc>
              <w:tc>
                <w:tcPr>
                  <w:tcW w:w="822" w:type="pct"/>
                  <w:tcBorders>
                    <w:tl2br w:val="nil"/>
                    <w:tr2bl w:val="nil"/>
                  </w:tcBorders>
                  <w:noWrap w:val="0"/>
                  <w:vAlign w:val="center"/>
                </w:tcPr>
                <w:p w14:paraId="7E0A53C3">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eastAsia" w:ascii="Times New Roman" w:hAnsi="Times New Roman"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34.38826857</w:t>
                  </w:r>
                </w:p>
              </w:tc>
              <w:tc>
                <w:tcPr>
                  <w:tcW w:w="563" w:type="pct"/>
                  <w:tcBorders>
                    <w:tl2br w:val="nil"/>
                    <w:tr2bl w:val="nil"/>
                  </w:tcBorders>
                  <w:noWrap w:val="0"/>
                  <w:vAlign w:val="center"/>
                </w:tcPr>
                <w:p w14:paraId="1366781A">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E</w:t>
                  </w:r>
                </w:p>
              </w:tc>
              <w:tc>
                <w:tcPr>
                  <w:tcW w:w="614" w:type="pct"/>
                  <w:tcBorders>
                    <w:tl2br w:val="nil"/>
                    <w:tr2bl w:val="nil"/>
                  </w:tcBorders>
                  <w:noWrap w:val="0"/>
                  <w:vAlign w:val="center"/>
                </w:tcPr>
                <w:p w14:paraId="2A721C2F">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280m</w:t>
                  </w:r>
                </w:p>
              </w:tc>
              <w:tc>
                <w:tcPr>
                  <w:tcW w:w="1214" w:type="pct"/>
                  <w:tcBorders>
                    <w:tl2br w:val="nil"/>
                    <w:tr2bl w:val="nil"/>
                  </w:tcBorders>
                  <w:noWrap w:val="0"/>
                  <w:vAlign w:val="center"/>
                </w:tcPr>
                <w:p w14:paraId="033BA9E7">
                  <w:pPr>
                    <w:pStyle w:val="49"/>
                    <w:keepNext w:val="0"/>
                    <w:keepLines w:val="0"/>
                    <w:pageBreakBefore w:val="0"/>
                    <w:widowControl w:val="0"/>
                    <w:kinsoku/>
                    <w:wordWrap/>
                    <w:overflowPunct/>
                    <w:topLinePunct w:val="0"/>
                    <w:autoSpaceDE w:val="0"/>
                    <w:autoSpaceDN w:val="0"/>
                    <w:bidi w:val="0"/>
                    <w:adjustRightInd w:val="0"/>
                    <w:snapToGrid w:val="0"/>
                    <w:spacing w:before="0" w:line="240" w:lineRule="auto"/>
                    <w:ind w:left="0" w:right="0" w:firstLine="0" w:firstLineChars="0"/>
                    <w:jc w:val="center"/>
                    <w:textAlignment w:val="auto"/>
                    <w:rPr>
                      <w:rFonts w:hint="default" w:ascii="Times New Roman" w:hAnsi="Times New Roman" w:cs="Times New Roman"/>
                      <w:color w:val="000000" w:themeColor="text1"/>
                      <w:sz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highlight w:val="none"/>
                      <w:lang w:val="en-US" w:eastAsia="zh-CN"/>
                      <w14:textFill>
                        <w14:solidFill>
                          <w14:schemeClr w14:val="tx1"/>
                        </w14:solidFill>
                      </w14:textFill>
                    </w:rPr>
                    <w:t>严禁废水直排千河</w:t>
                  </w:r>
                </w:p>
              </w:tc>
            </w:tr>
          </w:tbl>
          <w:p w14:paraId="1ABB87E2">
            <w:pPr>
              <w:adjustRightInd w:val="0"/>
              <w:snapToGrid w:val="0"/>
              <w:spacing w:line="360" w:lineRule="auto"/>
              <w:rPr>
                <w:rFonts w:hint="default" w:ascii="Times New Roman" w:hAnsi="Times New Roman" w:cs="Times New Roman"/>
                <w:color w:val="000000" w:themeColor="text1"/>
                <w:kern w:val="0"/>
                <w:sz w:val="21"/>
                <w:szCs w:val="21"/>
                <w14:textFill>
                  <w14:solidFill>
                    <w14:schemeClr w14:val="tx1"/>
                  </w14:solidFill>
                </w14:textFill>
              </w:rPr>
            </w:pPr>
          </w:p>
        </w:tc>
      </w:tr>
      <w:tr w14:paraId="47294D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tcMar>
              <w:left w:w="28" w:type="dxa"/>
              <w:right w:w="28" w:type="dxa"/>
            </w:tcMar>
            <w:vAlign w:val="center"/>
          </w:tcPr>
          <w:p w14:paraId="0A05C5C8">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污染</w:t>
            </w:r>
          </w:p>
          <w:p w14:paraId="7CFCC49D">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物排</w:t>
            </w:r>
          </w:p>
          <w:p w14:paraId="46468DD1">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放控</w:t>
            </w:r>
          </w:p>
          <w:p w14:paraId="606FCDAC">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制标</w:t>
            </w:r>
          </w:p>
          <w:p w14:paraId="16C0F5AC">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准</w:t>
            </w:r>
          </w:p>
        </w:tc>
        <w:tc>
          <w:tcPr>
            <w:tcW w:w="8190" w:type="dxa"/>
            <w:noWrap w:val="0"/>
            <w:vAlign w:val="center"/>
          </w:tcPr>
          <w:p w14:paraId="517B8436">
            <w:pPr>
              <w:keepNext/>
              <w:keepLines/>
              <w:pageBreakBefore w:val="0"/>
              <w:widowControl/>
              <w:numPr>
                <w:ilvl w:val="0"/>
                <w:numId w:val="0"/>
              </w:numPr>
              <w:kinsoku/>
              <w:wordWrap/>
              <w:overflowPunct/>
              <w:topLinePunct w:val="0"/>
              <w:autoSpaceDE/>
              <w:autoSpaceDN/>
              <w:bidi w:val="0"/>
              <w:adjustRightInd w:val="0"/>
              <w:snapToGrid w:val="0"/>
              <w:spacing w:line="360" w:lineRule="auto"/>
              <w:ind w:firstLine="422" w:firstLineChars="200"/>
              <w:jc w:val="left"/>
              <w:textAlignment w:val="auto"/>
              <w:outlineLvl w:val="1"/>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1、</w:t>
            </w:r>
            <w:r>
              <w:rPr>
                <w:rFonts w:hint="default" w:ascii="Times New Roman" w:hAnsi="Times New Roman" w:cs="Times New Roman"/>
                <w:b/>
                <w:bCs/>
                <w:color w:val="000000" w:themeColor="text1"/>
                <w:sz w:val="21"/>
                <w:szCs w:val="21"/>
                <w14:textFill>
                  <w14:solidFill>
                    <w14:schemeClr w14:val="tx1"/>
                  </w14:solidFill>
                </w14:textFill>
              </w:rPr>
              <w:t>废水</w:t>
            </w:r>
            <w:r>
              <w:rPr>
                <w:rFonts w:hint="default" w:ascii="Times New Roman" w:hAnsi="Times New Roman" w:cs="Times New Roman"/>
                <w:b/>
                <w:bCs/>
                <w:color w:val="000000" w:themeColor="text1"/>
                <w:sz w:val="21"/>
                <w:szCs w:val="21"/>
                <w:lang w:val="en-US" w:eastAsia="zh-CN"/>
                <w14:textFill>
                  <w14:solidFill>
                    <w14:schemeClr w14:val="tx1"/>
                  </w14:solidFill>
                </w14:textFill>
              </w:rPr>
              <w:t>排放标准</w:t>
            </w:r>
          </w:p>
          <w:p w14:paraId="29330011">
            <w:pPr>
              <w:keepNext/>
              <w:keepLines/>
              <w:pageBreakBefore w:val="0"/>
              <w:widowControl/>
              <w:numPr>
                <w:ilvl w:val="0"/>
                <w:numId w:val="0"/>
              </w:numPr>
              <w:kinsoku/>
              <w:wordWrap/>
              <w:overflowPunct/>
              <w:topLinePunct w:val="0"/>
              <w:autoSpaceDE/>
              <w:autoSpaceDN/>
              <w:bidi w:val="0"/>
              <w:adjustRightInd w:val="0"/>
              <w:snapToGrid w:val="0"/>
              <w:spacing w:line="360" w:lineRule="auto"/>
              <w:ind w:firstLine="420" w:firstLineChars="200"/>
              <w:jc w:val="left"/>
              <w:textAlignment w:val="auto"/>
              <w:outlineLvl w:val="1"/>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本项目生活污水</w:t>
            </w:r>
            <w:r>
              <w:rPr>
                <w:rFonts w:hint="eastAsia" w:cs="Times New Roman"/>
                <w:color w:val="000000" w:themeColor="text1"/>
                <w:sz w:val="21"/>
                <w:szCs w:val="21"/>
                <w:lang w:val="en-US" w:eastAsia="zh-CN"/>
                <w14:textFill>
                  <w14:solidFill>
                    <w14:schemeClr w14:val="tx1"/>
                  </w14:solidFill>
                </w14:textFill>
              </w:rPr>
              <w:t>依托宝鸡得力隆纺织有限公司现有</w:t>
            </w:r>
            <w:r>
              <w:rPr>
                <w:rFonts w:hint="default" w:ascii="Times New Roman" w:hAnsi="Times New Roman" w:cs="Times New Roman"/>
                <w:color w:val="000000" w:themeColor="text1"/>
                <w:sz w:val="21"/>
                <w:szCs w:val="21"/>
                <w14:textFill>
                  <w14:solidFill>
                    <w14:schemeClr w14:val="tx1"/>
                  </w14:solidFill>
                </w14:textFill>
              </w:rPr>
              <w:t>化粪池处理后进入市政污水管网</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最终进入</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宝鸡市陈仓金信安水务有限公司（宝鸡市陈仓区虢镇污水处理厂）</w:t>
            </w:r>
            <w:r>
              <w:rPr>
                <w:rFonts w:hint="default" w:ascii="Times New Roman" w:hAnsi="Times New Roman" w:cs="Times New Roman"/>
                <w:color w:val="000000" w:themeColor="text1"/>
                <w:sz w:val="21"/>
                <w:szCs w:val="21"/>
                <w14:textFill>
                  <w14:solidFill>
                    <w14:schemeClr w14:val="tx1"/>
                  </w14:solidFill>
                </w14:textFill>
              </w:rPr>
              <w:t>。进入市政管网的水质应达到《污水综合排放标准》（GB8978-1996）三级标准要求</w:t>
            </w:r>
            <w:r>
              <w:rPr>
                <w:rFonts w:hint="eastAsia" w:cs="Times New Roman"/>
                <w:color w:val="000000" w:themeColor="text1"/>
                <w:sz w:val="21"/>
                <w:szCs w:val="21"/>
                <w:lang w:val="en-US" w:eastAsia="zh-CN"/>
                <w14:textFill>
                  <w14:solidFill>
                    <w14:schemeClr w14:val="tx1"/>
                  </w14:solidFill>
                </w14:textFill>
              </w:rPr>
              <w:t>以及</w:t>
            </w:r>
            <w:r>
              <w:rPr>
                <w:rFonts w:hint="default" w:ascii="Times New Roman" w:hAnsi="Times New Roman" w:cs="Times New Roman"/>
                <w:color w:val="000000" w:themeColor="text1"/>
                <w:sz w:val="21"/>
                <w:szCs w:val="21"/>
                <w14:textFill>
                  <w14:solidFill>
                    <w14:schemeClr w14:val="tx1"/>
                  </w14:solidFill>
                </w14:textFill>
              </w:rPr>
              <w:t>《污水排入城镇下水道水质标准》（GB/T31962-2015）表1中</w:t>
            </w:r>
            <w:r>
              <w:rPr>
                <w:rFonts w:hint="eastAsia" w:cs="Times New Roman"/>
                <w:color w:val="000000" w:themeColor="text1"/>
                <w:sz w:val="21"/>
                <w:szCs w:val="21"/>
                <w:lang w:val="en-US" w:eastAsia="zh-CN"/>
                <w14:textFill>
                  <w14:solidFill>
                    <w14:schemeClr w14:val="tx1"/>
                  </w14:solidFill>
                </w14:textFill>
              </w:rPr>
              <w:t>B</w:t>
            </w:r>
            <w:r>
              <w:rPr>
                <w:rFonts w:hint="default" w:ascii="Times New Roman" w:hAnsi="Times New Roman" w:cs="Times New Roman"/>
                <w:color w:val="000000" w:themeColor="text1"/>
                <w:sz w:val="21"/>
                <w:szCs w:val="21"/>
                <w14:textFill>
                  <w14:solidFill>
                    <w14:schemeClr w14:val="tx1"/>
                  </w14:solidFill>
                </w14:textFill>
              </w:rPr>
              <w:t>级标准。</w:t>
            </w:r>
          </w:p>
          <w:p w14:paraId="4CF0D29E">
            <w:pPr>
              <w:keepNext w:val="0"/>
              <w:keepLines w:val="0"/>
              <w:pageBreakBefore w:val="0"/>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标准限值具体详见下表</w:t>
            </w:r>
            <w:r>
              <w:rPr>
                <w:rFonts w:hint="default" w:ascii="Times New Roman" w:hAnsi="Times New Roman" w:cs="Times New Roman"/>
                <w:color w:val="000000" w:themeColor="text1"/>
                <w:highlight w:val="none"/>
                <w14:textFill>
                  <w14:solidFill>
                    <w14:schemeClr w14:val="tx1"/>
                  </w14:solidFill>
                </w14:textFill>
              </w:rPr>
              <w:t>。</w:t>
            </w:r>
          </w:p>
          <w:p w14:paraId="0C791690">
            <w:pPr>
              <w:adjustRightInd w:val="0"/>
              <w:snapToGrid w:val="0"/>
              <w:jc w:val="center"/>
              <w:rPr>
                <w:rFonts w:hint="eastAsia"/>
                <w:b/>
                <w:bCs/>
                <w:color w:val="000000" w:themeColor="text1"/>
                <w:kern w:val="0"/>
                <w:szCs w:val="21"/>
                <w14:textFill>
                  <w14:solidFill>
                    <w14:schemeClr w14:val="tx1"/>
                  </w14:solidFill>
                </w14:textFill>
              </w:rPr>
            </w:pPr>
            <w:r>
              <w:rPr>
                <w:rFonts w:hint="default" w:ascii="Times New Roman" w:hAnsi="Times New Roman" w:eastAsia="宋体" w:cs="Times New Roman"/>
                <w:b/>
                <w:color w:val="000000" w:themeColor="text1"/>
                <w:kern w:val="2"/>
                <w:sz w:val="21"/>
                <w:szCs w:val="21"/>
                <w:highlight w:val="none"/>
                <w:lang w:val="zh-CN" w:eastAsia="zh-CN" w:bidi="ar-SA"/>
                <w14:textFill>
                  <w14:solidFill>
                    <w14:schemeClr w14:val="tx1"/>
                  </w14:solidFill>
                </w14:textFill>
              </w:rPr>
              <w:t>表3-</w:t>
            </w:r>
            <w:r>
              <w:rPr>
                <w:rFonts w:hint="eastAsia" w:cs="Times New Roman"/>
                <w:b/>
                <w:color w:val="000000" w:themeColor="text1"/>
                <w:kern w:val="2"/>
                <w:sz w:val="21"/>
                <w:szCs w:val="21"/>
                <w:highlight w:val="none"/>
                <w:lang w:val="en-US" w:eastAsia="zh-CN" w:bidi="ar-SA"/>
                <w14:textFill>
                  <w14:solidFill>
                    <w14:schemeClr w14:val="tx1"/>
                  </w14:solidFill>
                </w14:textFill>
              </w:rPr>
              <w:t xml:space="preserve">5    </w:t>
            </w:r>
            <w:r>
              <w:rPr>
                <w:rFonts w:ascii="Times New Roman" w:hAnsi="Times New Roman" w:eastAsia="宋体" w:cs="Times New Roman"/>
                <w:b/>
                <w:color w:val="000000" w:themeColor="text1"/>
                <w:sz w:val="21"/>
                <w:szCs w:val="21"/>
                <w14:textFill>
                  <w14:solidFill>
                    <w14:schemeClr w14:val="tx1"/>
                  </w14:solidFill>
                </w14:textFill>
              </w:rPr>
              <w:t>《污水综合排放标准》（GB8978-1996）单位：mg/L</w:t>
            </w:r>
          </w:p>
          <w:tbl>
            <w:tblPr>
              <w:tblStyle w:val="24"/>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09"/>
              <w:gridCol w:w="1429"/>
              <w:gridCol w:w="1670"/>
              <w:gridCol w:w="1808"/>
              <w:gridCol w:w="1957"/>
            </w:tblGrid>
            <w:tr w14:paraId="09E410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01" w:type="pct"/>
                  <w:noWrap w:val="0"/>
                  <w:vAlign w:val="center"/>
                </w:tcPr>
                <w:p w14:paraId="56DFEB3E">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排放等级</w:t>
                  </w:r>
                </w:p>
              </w:tc>
              <w:tc>
                <w:tcPr>
                  <w:tcW w:w="853" w:type="pct"/>
                  <w:noWrap w:val="0"/>
                  <w:vAlign w:val="center"/>
                </w:tcPr>
                <w:p w14:paraId="4E701F28">
                  <w:pPr>
                    <w:jc w:val="center"/>
                    <w:rPr>
                      <w:rFonts w:hint="eastAsia" w:eastAsia="宋体"/>
                      <w:b/>
                      <w:bCs/>
                      <w:color w:val="000000" w:themeColor="text1"/>
                      <w:sz w:val="21"/>
                      <w:szCs w:val="21"/>
                      <w:lang w:val="en-US" w:eastAsia="zh-CN"/>
                      <w14:textFill>
                        <w14:solidFill>
                          <w14:schemeClr w14:val="tx1"/>
                        </w14:solidFill>
                      </w14:textFill>
                    </w:rPr>
                  </w:pPr>
                  <w:r>
                    <w:rPr>
                      <w:b/>
                      <w:bCs/>
                      <w:color w:val="000000" w:themeColor="text1"/>
                      <w:sz w:val="21"/>
                      <w:szCs w:val="21"/>
                      <w14:textFill>
                        <w14:solidFill>
                          <w14:schemeClr w14:val="tx1"/>
                        </w14:solidFill>
                      </w14:textFill>
                    </w:rPr>
                    <w:t>Ph</w:t>
                  </w:r>
                  <w:r>
                    <w:rPr>
                      <w:rFonts w:hint="eastAsia"/>
                      <w:b/>
                      <w:bCs/>
                      <w:color w:val="000000" w:themeColor="text1"/>
                      <w:sz w:val="21"/>
                      <w:szCs w:val="21"/>
                      <w:lang w:eastAsia="zh-CN"/>
                      <w14:textFill>
                        <w14:solidFill>
                          <w14:schemeClr w14:val="tx1"/>
                        </w14:solidFill>
                      </w14:textFill>
                    </w:rPr>
                    <w:t>（</w:t>
                  </w:r>
                  <w:r>
                    <w:rPr>
                      <w:rFonts w:hint="eastAsia"/>
                      <w:b/>
                      <w:bCs/>
                      <w:color w:val="000000" w:themeColor="text1"/>
                      <w:sz w:val="21"/>
                      <w:szCs w:val="21"/>
                      <w:lang w:val="en-US" w:eastAsia="zh-CN"/>
                      <w14:textFill>
                        <w14:solidFill>
                          <w14:schemeClr w14:val="tx1"/>
                        </w14:solidFill>
                      </w14:textFill>
                    </w:rPr>
                    <w:t>无量纲</w:t>
                  </w:r>
                  <w:r>
                    <w:rPr>
                      <w:rFonts w:hint="eastAsia"/>
                      <w:b/>
                      <w:bCs/>
                      <w:color w:val="000000" w:themeColor="text1"/>
                      <w:sz w:val="21"/>
                      <w:szCs w:val="21"/>
                      <w:lang w:eastAsia="zh-CN"/>
                      <w14:textFill>
                        <w14:solidFill>
                          <w14:schemeClr w14:val="tx1"/>
                        </w14:solidFill>
                      </w14:textFill>
                    </w:rPr>
                    <w:t>）</w:t>
                  </w:r>
                </w:p>
              </w:tc>
              <w:tc>
                <w:tcPr>
                  <w:tcW w:w="997" w:type="pct"/>
                  <w:noWrap w:val="0"/>
                  <w:vAlign w:val="center"/>
                </w:tcPr>
                <w:p w14:paraId="4F45FD1E">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COD</w:t>
                  </w:r>
                </w:p>
              </w:tc>
              <w:tc>
                <w:tcPr>
                  <w:tcW w:w="1079" w:type="pct"/>
                  <w:noWrap w:val="0"/>
                  <w:vAlign w:val="center"/>
                </w:tcPr>
                <w:p w14:paraId="17F354C2">
                  <w:pPr>
                    <w:jc w:val="center"/>
                    <w:rPr>
                      <w:rFonts w:hint="default"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BOD</w:t>
                  </w:r>
                  <w:r>
                    <w:rPr>
                      <w:rFonts w:hint="eastAsia"/>
                      <w:b/>
                      <w:bCs/>
                      <w:color w:val="000000" w:themeColor="text1"/>
                      <w:sz w:val="21"/>
                      <w:szCs w:val="21"/>
                      <w:vertAlign w:val="subscript"/>
                      <w:lang w:val="en-US" w:eastAsia="zh-CN"/>
                      <w14:textFill>
                        <w14:solidFill>
                          <w14:schemeClr w14:val="tx1"/>
                        </w14:solidFill>
                      </w14:textFill>
                    </w:rPr>
                    <w:t>5</w:t>
                  </w:r>
                </w:p>
              </w:tc>
              <w:tc>
                <w:tcPr>
                  <w:tcW w:w="1168" w:type="pct"/>
                  <w:noWrap w:val="0"/>
                  <w:vAlign w:val="center"/>
                </w:tcPr>
                <w:p w14:paraId="673C4221">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SS</w:t>
                  </w:r>
                </w:p>
              </w:tc>
            </w:tr>
            <w:tr w14:paraId="3ABE67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01" w:type="pct"/>
                  <w:noWrap w:val="0"/>
                  <w:vAlign w:val="center"/>
                </w:tcPr>
                <w:p w14:paraId="1750FA4A">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三级</w:t>
                  </w:r>
                </w:p>
              </w:tc>
              <w:tc>
                <w:tcPr>
                  <w:tcW w:w="853" w:type="pct"/>
                  <w:noWrap w:val="0"/>
                  <w:vAlign w:val="center"/>
                </w:tcPr>
                <w:p w14:paraId="0753ED20">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6-9</w:t>
                  </w:r>
                </w:p>
              </w:tc>
              <w:tc>
                <w:tcPr>
                  <w:tcW w:w="997" w:type="pct"/>
                  <w:noWrap w:val="0"/>
                  <w:vAlign w:val="center"/>
                </w:tcPr>
                <w:p w14:paraId="78710B63">
                  <w:pPr>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≤500</w:t>
                  </w:r>
                </w:p>
              </w:tc>
              <w:tc>
                <w:tcPr>
                  <w:tcW w:w="1079" w:type="pct"/>
                  <w:noWrap w:val="0"/>
                  <w:vAlign w:val="center"/>
                </w:tcPr>
                <w:p w14:paraId="087FD0AE">
                  <w:pPr>
                    <w:jc w:val="center"/>
                    <w:rPr>
                      <w:rFonts w:hint="default" w:eastAsia="宋体"/>
                      <w:bCs/>
                      <w:color w:val="000000" w:themeColor="text1"/>
                      <w:sz w:val="21"/>
                      <w:szCs w:val="21"/>
                      <w:lang w:val="en-US" w:eastAsia="zh-CN"/>
                      <w14:textFill>
                        <w14:solidFill>
                          <w14:schemeClr w14:val="tx1"/>
                        </w14:solidFill>
                      </w14:textFill>
                    </w:rPr>
                  </w:pPr>
                  <w:r>
                    <w:rPr>
                      <w:bCs/>
                      <w:color w:val="000000" w:themeColor="text1"/>
                      <w:sz w:val="21"/>
                      <w:szCs w:val="21"/>
                      <w14:textFill>
                        <w14:solidFill>
                          <w14:schemeClr w14:val="tx1"/>
                        </w14:solidFill>
                      </w14:textFill>
                    </w:rPr>
                    <w:t>≤</w:t>
                  </w:r>
                  <w:r>
                    <w:rPr>
                      <w:rFonts w:hint="eastAsia"/>
                      <w:bCs/>
                      <w:color w:val="000000" w:themeColor="text1"/>
                      <w:sz w:val="21"/>
                      <w:szCs w:val="21"/>
                      <w:lang w:val="en-US" w:eastAsia="zh-CN"/>
                      <w14:textFill>
                        <w14:solidFill>
                          <w14:schemeClr w14:val="tx1"/>
                        </w14:solidFill>
                      </w14:textFill>
                    </w:rPr>
                    <w:t>300</w:t>
                  </w:r>
                </w:p>
              </w:tc>
              <w:tc>
                <w:tcPr>
                  <w:tcW w:w="1168" w:type="pct"/>
                  <w:noWrap w:val="0"/>
                  <w:vAlign w:val="center"/>
                </w:tcPr>
                <w:p w14:paraId="64762297">
                  <w:pPr>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≤400</w:t>
                  </w:r>
                </w:p>
              </w:tc>
            </w:tr>
          </w:tbl>
          <w:p w14:paraId="2E3A1266">
            <w:pPr>
              <w:adjustRightInd w:val="0"/>
              <w:snapToGrid w:val="0"/>
              <w:jc w:val="center"/>
              <w:rPr>
                <w:rFonts w:hint="eastAsia"/>
                <w:b/>
                <w:bCs/>
                <w:color w:val="000000" w:themeColor="text1"/>
                <w:kern w:val="0"/>
                <w:szCs w:val="21"/>
                <w14:textFill>
                  <w14:solidFill>
                    <w14:schemeClr w14:val="tx1"/>
                  </w14:solidFill>
                </w14:textFill>
              </w:rPr>
            </w:pPr>
            <w:r>
              <w:rPr>
                <w:rFonts w:hint="eastAsia"/>
                <w:b/>
                <w:bCs/>
                <w:color w:val="000000" w:themeColor="text1"/>
                <w:kern w:val="0"/>
                <w:szCs w:val="21"/>
                <w14:textFill>
                  <w14:solidFill>
                    <w14:schemeClr w14:val="tx1"/>
                  </w14:solidFill>
                </w14:textFill>
              </w:rPr>
              <w:t>表3-</w:t>
            </w:r>
            <w:r>
              <w:rPr>
                <w:rFonts w:hint="eastAsia"/>
                <w:b/>
                <w:bCs/>
                <w:color w:val="000000" w:themeColor="text1"/>
                <w:kern w:val="0"/>
                <w:szCs w:val="21"/>
                <w:lang w:val="en-US" w:eastAsia="zh-CN"/>
                <w14:textFill>
                  <w14:solidFill>
                    <w14:schemeClr w14:val="tx1"/>
                  </w14:solidFill>
                </w14:textFill>
              </w:rPr>
              <w:t xml:space="preserve">6    </w:t>
            </w:r>
            <w:r>
              <w:rPr>
                <w:rFonts w:hint="eastAsia"/>
                <w:b/>
                <w:bCs/>
                <w:color w:val="000000" w:themeColor="text1"/>
                <w:kern w:val="0"/>
                <w:szCs w:val="21"/>
                <w14:textFill>
                  <w14:solidFill>
                    <w14:schemeClr w14:val="tx1"/>
                  </w14:solidFill>
                </w14:textFill>
              </w:rPr>
              <w:t>污水排入城镇下水道水质标准（单位：除pH外均为mg/L）</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03"/>
              <w:gridCol w:w="1822"/>
              <w:gridCol w:w="2474"/>
              <w:gridCol w:w="2474"/>
            </w:tblGrid>
            <w:tr w14:paraId="770C4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57" w:type="pct"/>
                  <w:noWrap w:val="0"/>
                  <w:vAlign w:val="center"/>
                </w:tcPr>
                <w:p w14:paraId="60EA2471">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排放等级</w:t>
                  </w:r>
                </w:p>
              </w:tc>
              <w:tc>
                <w:tcPr>
                  <w:tcW w:w="1088" w:type="pct"/>
                  <w:noWrap w:val="0"/>
                  <w:vAlign w:val="center"/>
                </w:tcPr>
                <w:p w14:paraId="26C9C5AF">
                  <w:pPr>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NH</w:t>
                  </w:r>
                  <w:r>
                    <w:rPr>
                      <w:b/>
                      <w:bCs/>
                      <w:color w:val="000000" w:themeColor="text1"/>
                      <w:sz w:val="21"/>
                      <w:szCs w:val="21"/>
                      <w:vertAlign w:val="subscript"/>
                      <w14:textFill>
                        <w14:solidFill>
                          <w14:schemeClr w14:val="tx1"/>
                        </w14:solidFill>
                      </w14:textFill>
                    </w:rPr>
                    <w:t>3</w:t>
                  </w:r>
                  <w:r>
                    <w:rPr>
                      <w:b/>
                      <w:bCs/>
                      <w:color w:val="000000" w:themeColor="text1"/>
                      <w:sz w:val="21"/>
                      <w:szCs w:val="21"/>
                      <w14:textFill>
                        <w14:solidFill>
                          <w14:schemeClr w14:val="tx1"/>
                        </w14:solidFill>
                      </w14:textFill>
                    </w:rPr>
                    <w:t>-N</w:t>
                  </w:r>
                </w:p>
              </w:tc>
              <w:tc>
                <w:tcPr>
                  <w:tcW w:w="1477" w:type="pct"/>
                  <w:noWrap w:val="0"/>
                  <w:vAlign w:val="center"/>
                </w:tcPr>
                <w:p w14:paraId="2E838970">
                  <w:pPr>
                    <w:jc w:val="center"/>
                    <w:rPr>
                      <w:rFonts w:hint="default" w:eastAsia="宋体"/>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溶解性总固体</w:t>
                  </w:r>
                </w:p>
              </w:tc>
              <w:tc>
                <w:tcPr>
                  <w:tcW w:w="1477" w:type="pct"/>
                  <w:noWrap w:val="0"/>
                  <w:vAlign w:val="center"/>
                </w:tcPr>
                <w:p w14:paraId="252EDA4D">
                  <w:pPr>
                    <w:jc w:val="center"/>
                    <w:rPr>
                      <w:rFonts w:hint="default"/>
                      <w:b/>
                      <w:bCs/>
                      <w:color w:val="000000" w:themeColor="text1"/>
                      <w:sz w:val="21"/>
                      <w:szCs w:val="21"/>
                      <w:lang w:val="en-US" w:eastAsia="zh-CN"/>
                      <w14:textFill>
                        <w14:solidFill>
                          <w14:schemeClr w14:val="tx1"/>
                        </w14:solidFill>
                      </w14:textFill>
                    </w:rPr>
                  </w:pPr>
                  <w:r>
                    <w:rPr>
                      <w:rFonts w:hint="eastAsia"/>
                      <w:b/>
                      <w:bCs/>
                      <w:color w:val="000000" w:themeColor="text1"/>
                      <w:sz w:val="21"/>
                      <w:szCs w:val="21"/>
                      <w:lang w:val="en-US" w:eastAsia="zh-CN"/>
                      <w14:textFill>
                        <w14:solidFill>
                          <w14:schemeClr w14:val="tx1"/>
                        </w14:solidFill>
                      </w14:textFill>
                    </w:rPr>
                    <w:t>总磷</w:t>
                  </w:r>
                </w:p>
              </w:tc>
            </w:tr>
            <w:tr w14:paraId="63464D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957" w:type="pct"/>
                  <w:noWrap w:val="0"/>
                  <w:vAlign w:val="center"/>
                </w:tcPr>
                <w:p w14:paraId="24429A2B">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B级</w:t>
                  </w:r>
                </w:p>
              </w:tc>
              <w:tc>
                <w:tcPr>
                  <w:tcW w:w="1088" w:type="pct"/>
                  <w:noWrap w:val="0"/>
                  <w:vAlign w:val="center"/>
                </w:tcPr>
                <w:p w14:paraId="460F044D">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≤45</w:t>
                  </w:r>
                </w:p>
              </w:tc>
              <w:tc>
                <w:tcPr>
                  <w:tcW w:w="1477" w:type="pct"/>
                  <w:noWrap w:val="0"/>
                  <w:vAlign w:val="center"/>
                </w:tcPr>
                <w:p w14:paraId="6225FC54">
                  <w:pPr>
                    <w:jc w:val="center"/>
                    <w:rPr>
                      <w:rFonts w:hint="default" w:eastAsia="宋体"/>
                      <w:color w:val="000000" w:themeColor="text1"/>
                      <w:sz w:val="21"/>
                      <w:szCs w:val="21"/>
                      <w:lang w:val="en-US" w:eastAsia="zh-CN"/>
                      <w14:textFill>
                        <w14:solidFill>
                          <w14:schemeClr w14:val="tx1"/>
                        </w14:solidFill>
                      </w14:textFill>
                    </w:rPr>
                  </w:pPr>
                  <w:r>
                    <w:rPr>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2000</w:t>
                  </w:r>
                </w:p>
              </w:tc>
              <w:tc>
                <w:tcPr>
                  <w:tcW w:w="1477" w:type="pct"/>
                  <w:noWrap w:val="0"/>
                  <w:vAlign w:val="center"/>
                </w:tcPr>
                <w:p w14:paraId="57EB5641">
                  <w:pPr>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8</w:t>
                  </w:r>
                </w:p>
              </w:tc>
            </w:tr>
          </w:tbl>
          <w:p w14:paraId="3F3414D6">
            <w:pPr>
              <w:keepNext/>
              <w:keepLines/>
              <w:widowControl/>
              <w:numPr>
                <w:ilvl w:val="0"/>
                <w:numId w:val="0"/>
              </w:numPr>
              <w:adjustRightInd w:val="0"/>
              <w:snapToGrid w:val="0"/>
              <w:spacing w:line="360" w:lineRule="auto"/>
              <w:ind w:firstLine="422" w:firstLineChars="200"/>
              <w:jc w:val="left"/>
              <w:outlineLvl w:val="1"/>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废气排放标准</w:t>
            </w:r>
          </w:p>
          <w:p w14:paraId="2B05710C">
            <w:pPr>
              <w:bidi w:val="0"/>
              <w:spacing w:line="360" w:lineRule="auto"/>
              <w:ind w:firstLine="420" w:firstLineChars="200"/>
              <w:rPr>
                <w:rFonts w:hint="default" w:ascii="Times New Roman" w:hAnsi="Times New Roman" w:cs="Times New Roman"/>
                <w:color w:val="000000" w:themeColor="text1"/>
                <w:highlight w:val="none"/>
                <w14:textFill>
                  <w14:solidFill>
                    <w14:schemeClr w14:val="tx1"/>
                  </w14:solidFill>
                </w14:textFill>
              </w:rPr>
            </w:pPr>
            <w:bookmarkStart w:id="15" w:name="OLE_LINK41"/>
            <w:bookmarkStart w:id="16" w:name="OLE_LINK42"/>
            <w:bookmarkStart w:id="17" w:name="OLE_LINK43"/>
            <w:r>
              <w:rPr>
                <w:rFonts w:hint="eastAsia" w:cs="Times New Roman"/>
                <w:color w:val="000000" w:themeColor="text1"/>
                <w:highlight w:val="none"/>
                <w:lang w:val="en-US" w:eastAsia="zh-CN"/>
                <w14:textFill>
                  <w14:solidFill>
                    <w14:schemeClr w14:val="tx1"/>
                  </w14:solidFill>
                </w14:textFill>
              </w:rPr>
              <w:t>本项目颗粒物</w:t>
            </w:r>
            <w:r>
              <w:rPr>
                <w:rFonts w:hint="default" w:ascii="Times New Roman" w:hAnsi="Times New Roman" w:cs="Times New Roman"/>
                <w:color w:val="000000" w:themeColor="text1"/>
                <w:highlight w:val="none"/>
                <w14:textFill>
                  <w14:solidFill>
                    <w14:schemeClr w14:val="tx1"/>
                  </w14:solidFill>
                </w14:textFill>
              </w:rPr>
              <w:t>执行《大气污染物综合排放标准》（</w:t>
            </w:r>
            <w:r>
              <w:rPr>
                <w:rFonts w:hint="eastAsia" w:cs="Times New Roman"/>
                <w:color w:val="000000" w:themeColor="text1"/>
                <w:highlight w:val="none"/>
                <w:lang w:eastAsia="zh-CN"/>
                <w14:textFill>
                  <w14:solidFill>
                    <w14:schemeClr w14:val="tx1"/>
                  </w14:solidFill>
                </w14:textFill>
              </w:rPr>
              <w:t>GB16297</w:t>
            </w:r>
            <w:r>
              <w:rPr>
                <w:rFonts w:hint="default" w:ascii="Times New Roman" w:hAnsi="Times New Roman" w:cs="Times New Roman"/>
                <w:color w:val="000000" w:themeColor="text1"/>
                <w:highlight w:val="none"/>
                <w14:textFill>
                  <w14:solidFill>
                    <w14:schemeClr w14:val="tx1"/>
                  </w14:solidFill>
                </w14:textFill>
              </w:rPr>
              <w:t>—1996）表2</w:t>
            </w:r>
            <w:r>
              <w:rPr>
                <w:rFonts w:hint="eastAsia" w:ascii="Times New Roman" w:hAnsi="Times New Roman" w:cs="Times New Roman"/>
                <w:color w:val="000000" w:themeColor="text1"/>
                <w:highlight w:val="none"/>
                <w:lang w:val="en-US" w:eastAsia="zh-CN"/>
                <w14:textFill>
                  <w14:solidFill>
                    <w14:schemeClr w14:val="tx1"/>
                  </w14:solidFill>
                </w14:textFill>
              </w:rPr>
              <w:t>的二级标准</w:t>
            </w:r>
            <w:r>
              <w:rPr>
                <w:rFonts w:hint="default" w:ascii="Times New Roman" w:hAnsi="Times New Roman" w:cs="Times New Roman"/>
                <w:color w:val="000000" w:themeColor="text1"/>
                <w:highlight w:val="none"/>
                <w:lang w:val="en-US" w:eastAsia="zh-CN"/>
                <w14:textFill>
                  <w14:solidFill>
                    <w14:schemeClr w14:val="tx1"/>
                  </w14:solidFill>
                </w14:textFill>
              </w:rPr>
              <w:t>无组织排放限值</w:t>
            </w:r>
            <w:r>
              <w:rPr>
                <w:rFonts w:hint="eastAsia" w:cs="Times New Roman"/>
                <w:color w:val="000000" w:themeColor="text1"/>
                <w:highlight w:val="none"/>
                <w:lang w:val="en-US" w:eastAsia="zh-CN"/>
                <w14:textFill>
                  <w14:solidFill>
                    <w14:schemeClr w14:val="tx1"/>
                  </w14:solidFill>
                </w14:textFill>
              </w:rPr>
              <w:t>要求。</w:t>
            </w:r>
            <w:r>
              <w:rPr>
                <w:rFonts w:hint="default" w:ascii="Times New Roman" w:hAnsi="Times New Roman" w:cs="Times New Roman"/>
                <w:color w:val="000000" w:themeColor="text1"/>
                <w:highlight w:val="none"/>
                <w:lang w:val="en-US" w:eastAsia="zh-CN"/>
                <w14:textFill>
                  <w14:solidFill>
                    <w14:schemeClr w14:val="tx1"/>
                  </w14:solidFill>
                </w14:textFill>
              </w:rPr>
              <w:t>标准限值具体详见下表</w:t>
            </w:r>
            <w:r>
              <w:rPr>
                <w:rFonts w:hint="default" w:ascii="Times New Roman" w:hAnsi="Times New Roman" w:cs="Times New Roman"/>
                <w:color w:val="000000" w:themeColor="text1"/>
                <w:highlight w:val="none"/>
                <w14:textFill>
                  <w14:solidFill>
                    <w14:schemeClr w14:val="tx1"/>
                  </w14:solidFill>
                </w14:textFill>
              </w:rPr>
              <w:t>。</w:t>
            </w:r>
          </w:p>
          <w:p w14:paraId="47FB24C7">
            <w:pPr>
              <w:widowControl/>
              <w:spacing w:line="240" w:lineRule="auto"/>
              <w:jc w:val="center"/>
              <w:rPr>
                <w:rFonts w:hint="eastAsia"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表3-</w:t>
            </w:r>
            <w:r>
              <w:rPr>
                <w:rFonts w:hint="eastAsia" w:cs="Times New Roman"/>
                <w:b/>
                <w:color w:val="000000" w:themeColor="text1"/>
                <w:sz w:val="21"/>
                <w:szCs w:val="21"/>
                <w:lang w:val="en-US" w:eastAsia="zh-CN"/>
                <w14:textFill>
                  <w14:solidFill>
                    <w14:schemeClr w14:val="tx1"/>
                  </w14:solidFill>
                </w14:textFill>
              </w:rPr>
              <w:t xml:space="preserve">7    </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生产废气</w:t>
            </w:r>
            <w:r>
              <w:rPr>
                <w:rFonts w:hint="default" w:ascii="Times New Roman" w:hAnsi="Times New Roman" w:eastAsia="宋体" w:cs="Times New Roman"/>
                <w:b/>
                <w:color w:val="000000" w:themeColor="text1"/>
                <w:sz w:val="21"/>
                <w:szCs w:val="21"/>
                <w14:textFill>
                  <w14:solidFill>
                    <w14:schemeClr w14:val="tx1"/>
                  </w14:solidFill>
                </w14:textFill>
              </w:rPr>
              <w:t>排放标准</w:t>
            </w:r>
            <w:r>
              <w:rPr>
                <w:rFonts w:hint="eastAsia" w:cs="Times New Roman"/>
                <w:b/>
                <w:color w:val="000000" w:themeColor="text1"/>
                <w:sz w:val="21"/>
                <w:szCs w:val="21"/>
                <w:lang w:val="en-US" w:eastAsia="zh-CN"/>
                <w14:textFill>
                  <w14:solidFill>
                    <w14:schemeClr w14:val="tx1"/>
                  </w14:solidFill>
                </w14:textFill>
              </w:rPr>
              <w:t>一览表</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19"/>
              <w:gridCol w:w="2085"/>
              <w:gridCol w:w="1079"/>
              <w:gridCol w:w="972"/>
              <w:gridCol w:w="1357"/>
              <w:gridCol w:w="1164"/>
            </w:tblGrid>
            <w:tr w14:paraId="17079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1026" w:type="pct"/>
                  <w:vMerge w:val="restart"/>
                  <w:tcBorders>
                    <w:tl2br w:val="nil"/>
                    <w:tr2bl w:val="nil"/>
                  </w:tcBorders>
                  <w:noWrap w:val="0"/>
                  <w:vAlign w:val="center"/>
                </w:tcPr>
                <w:p w14:paraId="727CDD51">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污染源</w:t>
                  </w:r>
                </w:p>
              </w:tc>
              <w:tc>
                <w:tcPr>
                  <w:tcW w:w="1244" w:type="pct"/>
                  <w:vMerge w:val="restart"/>
                  <w:tcBorders>
                    <w:tl2br w:val="nil"/>
                    <w:tr2bl w:val="nil"/>
                  </w:tcBorders>
                  <w:noWrap w:val="0"/>
                  <w:vAlign w:val="center"/>
                </w:tcPr>
                <w:p w14:paraId="17608A91">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执行标准</w:t>
                  </w:r>
                </w:p>
              </w:tc>
              <w:tc>
                <w:tcPr>
                  <w:tcW w:w="644" w:type="pct"/>
                  <w:vMerge w:val="restart"/>
                  <w:tcBorders>
                    <w:tl2br w:val="nil"/>
                    <w:tr2bl w:val="nil"/>
                  </w:tcBorders>
                  <w:noWrap w:val="0"/>
                  <w:vAlign w:val="center"/>
                </w:tcPr>
                <w:p w14:paraId="17C0EEDD">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标准级别</w:t>
                  </w:r>
                </w:p>
              </w:tc>
              <w:tc>
                <w:tcPr>
                  <w:tcW w:w="580" w:type="pct"/>
                  <w:vMerge w:val="restart"/>
                  <w:tcBorders>
                    <w:tl2br w:val="nil"/>
                    <w:tr2bl w:val="nil"/>
                  </w:tcBorders>
                  <w:noWrap w:val="0"/>
                  <w:vAlign w:val="center"/>
                </w:tcPr>
                <w:p w14:paraId="39D01002">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项目</w:t>
                  </w:r>
                </w:p>
              </w:tc>
              <w:tc>
                <w:tcPr>
                  <w:tcW w:w="1504" w:type="pct"/>
                  <w:gridSpan w:val="2"/>
                  <w:tcBorders>
                    <w:tl2br w:val="nil"/>
                    <w:tr2bl w:val="nil"/>
                  </w:tcBorders>
                  <w:noWrap w:val="0"/>
                  <w:vAlign w:val="center"/>
                </w:tcPr>
                <w:p w14:paraId="403AD700">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标准值</w:t>
                  </w:r>
                </w:p>
              </w:tc>
            </w:tr>
            <w:tr w14:paraId="694804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26" w:type="pct"/>
                  <w:vMerge w:val="continue"/>
                  <w:tcBorders>
                    <w:tl2br w:val="nil"/>
                    <w:tr2bl w:val="nil"/>
                  </w:tcBorders>
                  <w:noWrap w:val="0"/>
                  <w:vAlign w:val="center"/>
                </w:tcPr>
                <w:p w14:paraId="566FCD41">
                  <w:pPr>
                    <w:widowControl/>
                    <w:jc w:val="left"/>
                    <w:rPr>
                      <w:rFonts w:hint="default" w:ascii="Times New Roman" w:hAnsi="Times New Roman" w:cs="Times New Roman"/>
                      <w:b/>
                      <w:color w:val="000000" w:themeColor="text1"/>
                      <w:sz w:val="21"/>
                      <w:szCs w:val="21"/>
                      <w14:textFill>
                        <w14:solidFill>
                          <w14:schemeClr w14:val="tx1"/>
                        </w14:solidFill>
                      </w14:textFill>
                    </w:rPr>
                  </w:pPr>
                </w:p>
              </w:tc>
              <w:tc>
                <w:tcPr>
                  <w:tcW w:w="1244" w:type="pct"/>
                  <w:vMerge w:val="continue"/>
                  <w:tcBorders>
                    <w:tl2br w:val="nil"/>
                    <w:tr2bl w:val="nil"/>
                  </w:tcBorders>
                  <w:noWrap w:val="0"/>
                  <w:vAlign w:val="center"/>
                </w:tcPr>
                <w:p w14:paraId="02AA06C7">
                  <w:pPr>
                    <w:widowControl/>
                    <w:jc w:val="center"/>
                    <w:rPr>
                      <w:rFonts w:hint="default" w:ascii="Times New Roman" w:hAnsi="Times New Roman" w:cs="Times New Roman"/>
                      <w:b/>
                      <w:color w:val="000000" w:themeColor="text1"/>
                      <w:sz w:val="21"/>
                      <w:szCs w:val="21"/>
                      <w14:textFill>
                        <w14:solidFill>
                          <w14:schemeClr w14:val="tx1"/>
                        </w14:solidFill>
                      </w14:textFill>
                    </w:rPr>
                  </w:pPr>
                </w:p>
              </w:tc>
              <w:tc>
                <w:tcPr>
                  <w:tcW w:w="644" w:type="pct"/>
                  <w:vMerge w:val="continue"/>
                  <w:tcBorders>
                    <w:tl2br w:val="nil"/>
                    <w:tr2bl w:val="nil"/>
                  </w:tcBorders>
                  <w:noWrap w:val="0"/>
                  <w:vAlign w:val="center"/>
                </w:tcPr>
                <w:p w14:paraId="13DD5EF6">
                  <w:pPr>
                    <w:widowControl/>
                    <w:jc w:val="left"/>
                    <w:rPr>
                      <w:rFonts w:hint="default" w:ascii="Times New Roman" w:hAnsi="Times New Roman" w:cs="Times New Roman"/>
                      <w:b/>
                      <w:color w:val="000000" w:themeColor="text1"/>
                      <w:sz w:val="21"/>
                      <w:szCs w:val="21"/>
                      <w14:textFill>
                        <w14:solidFill>
                          <w14:schemeClr w14:val="tx1"/>
                        </w14:solidFill>
                      </w14:textFill>
                    </w:rPr>
                  </w:pPr>
                </w:p>
              </w:tc>
              <w:tc>
                <w:tcPr>
                  <w:tcW w:w="580" w:type="pct"/>
                  <w:vMerge w:val="continue"/>
                  <w:tcBorders>
                    <w:tl2br w:val="nil"/>
                    <w:tr2bl w:val="nil"/>
                  </w:tcBorders>
                  <w:noWrap w:val="0"/>
                  <w:vAlign w:val="center"/>
                </w:tcPr>
                <w:p w14:paraId="3A9960AF">
                  <w:pPr>
                    <w:widowControl/>
                    <w:jc w:val="left"/>
                    <w:rPr>
                      <w:rFonts w:hint="default" w:ascii="Times New Roman" w:hAnsi="Times New Roman" w:cs="Times New Roman"/>
                      <w:b/>
                      <w:color w:val="000000" w:themeColor="text1"/>
                      <w:sz w:val="21"/>
                      <w:szCs w:val="21"/>
                      <w14:textFill>
                        <w14:solidFill>
                          <w14:schemeClr w14:val="tx1"/>
                        </w14:solidFill>
                      </w14:textFill>
                    </w:rPr>
                  </w:pPr>
                </w:p>
              </w:tc>
              <w:tc>
                <w:tcPr>
                  <w:tcW w:w="810" w:type="pct"/>
                  <w:tcBorders>
                    <w:tl2br w:val="nil"/>
                    <w:tr2bl w:val="nil"/>
                  </w:tcBorders>
                  <w:noWrap w:val="0"/>
                  <w:vAlign w:val="center"/>
                </w:tcPr>
                <w:p w14:paraId="0EEAB85C">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类别</w:t>
                  </w:r>
                </w:p>
              </w:tc>
              <w:tc>
                <w:tcPr>
                  <w:tcW w:w="694" w:type="pct"/>
                  <w:tcBorders>
                    <w:tl2br w:val="nil"/>
                    <w:tr2bl w:val="nil"/>
                  </w:tcBorders>
                  <w:noWrap w:val="0"/>
                  <w:vAlign w:val="center"/>
                </w:tcPr>
                <w:p w14:paraId="1E670FC3">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限值</w:t>
                  </w:r>
                </w:p>
              </w:tc>
            </w:tr>
            <w:tr w14:paraId="486613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26" w:type="pct"/>
                  <w:vMerge w:val="restart"/>
                  <w:tcBorders>
                    <w:tl2br w:val="nil"/>
                    <w:tr2bl w:val="nil"/>
                  </w:tcBorders>
                  <w:noWrap w:val="0"/>
                  <w:vAlign w:val="center"/>
                </w:tcPr>
                <w:p w14:paraId="5B068983">
                  <w:pPr>
                    <w:widowControl/>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bookmarkStart w:id="18" w:name="OLE_LINK327"/>
                  <w:bookmarkStart w:id="19" w:name="OLE_LINK326"/>
                  <w:r>
                    <w:rPr>
                      <w:rFonts w:hint="eastAsia" w:cs="Times New Roman"/>
                      <w:b w:val="0"/>
                      <w:bCs/>
                      <w:color w:val="000000" w:themeColor="text1"/>
                      <w:sz w:val="21"/>
                      <w:szCs w:val="21"/>
                      <w:lang w:val="en-US" w:eastAsia="zh-CN"/>
                      <w14:textFill>
                        <w14:solidFill>
                          <w14:schemeClr w14:val="tx1"/>
                        </w14:solidFill>
                      </w14:textFill>
                    </w:rPr>
                    <w:t>激光切割、焊接、修磨工序</w:t>
                  </w:r>
                </w:p>
              </w:tc>
              <w:tc>
                <w:tcPr>
                  <w:tcW w:w="1244" w:type="pct"/>
                  <w:vMerge w:val="restart"/>
                  <w:tcBorders>
                    <w:tl2br w:val="nil"/>
                    <w:tr2bl w:val="nil"/>
                  </w:tcBorders>
                  <w:noWrap w:val="0"/>
                  <w:vAlign w:val="center"/>
                </w:tcPr>
                <w:p w14:paraId="57A663DD">
                  <w:pPr>
                    <w:widowControl/>
                    <w:jc w:val="center"/>
                    <w:rPr>
                      <w:rFonts w:hint="default" w:ascii="Times New Roman" w:hAnsi="Times New Roman" w:cs="Times New Roman"/>
                      <w:b w:val="0"/>
                      <w:bCs/>
                      <w:color w:val="000000" w:themeColor="text1"/>
                      <w:sz w:val="21"/>
                      <w:szCs w:val="21"/>
                      <w14:textFill>
                        <w14:solidFill>
                          <w14:schemeClr w14:val="tx1"/>
                        </w14:solidFill>
                      </w14:textFill>
                    </w:rPr>
                  </w:pPr>
                  <w:r>
                    <w:rPr>
                      <w:rFonts w:hint="default" w:ascii="Times New Roman" w:hAnsi="Times New Roman" w:cs="Times New Roman"/>
                      <w:b w:val="0"/>
                      <w:bCs/>
                      <w:color w:val="000000" w:themeColor="text1"/>
                      <w:sz w:val="21"/>
                      <w:szCs w:val="21"/>
                      <w14:textFill>
                        <w14:solidFill>
                          <w14:schemeClr w14:val="tx1"/>
                        </w14:solidFill>
                      </w14:textFill>
                    </w:rPr>
                    <w:t>《大气污染物综合排放标准》</w:t>
                  </w:r>
                  <w:r>
                    <w:rPr>
                      <w:rFonts w:hint="eastAsia" w:cs="Times New Roman"/>
                      <w:b w:val="0"/>
                      <w:bCs/>
                      <w:color w:val="000000" w:themeColor="text1"/>
                      <w:sz w:val="21"/>
                      <w:szCs w:val="21"/>
                      <w:lang w:eastAsia="zh-CN"/>
                      <w14:textFill>
                        <w14:solidFill>
                          <w14:schemeClr w14:val="tx1"/>
                        </w14:solidFill>
                      </w14:textFill>
                    </w:rPr>
                    <w:t>（GB16297—1996）</w:t>
                  </w:r>
                </w:p>
              </w:tc>
              <w:tc>
                <w:tcPr>
                  <w:tcW w:w="644" w:type="pct"/>
                  <w:tcBorders>
                    <w:tl2br w:val="nil"/>
                    <w:tr2bl w:val="nil"/>
                  </w:tcBorders>
                  <w:noWrap w:val="0"/>
                  <w:vAlign w:val="center"/>
                </w:tcPr>
                <w:p w14:paraId="131183C0">
                  <w:pPr>
                    <w:widowControl/>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无组织</w:t>
                  </w:r>
                </w:p>
              </w:tc>
              <w:tc>
                <w:tcPr>
                  <w:tcW w:w="580" w:type="pct"/>
                  <w:tcBorders>
                    <w:tl2br w:val="nil"/>
                    <w:tr2bl w:val="nil"/>
                  </w:tcBorders>
                  <w:noWrap w:val="0"/>
                  <w:vAlign w:val="center"/>
                </w:tcPr>
                <w:p w14:paraId="5C6E25D4">
                  <w:pPr>
                    <w:widowControl/>
                    <w:jc w:val="cente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颗粒物</w:t>
                  </w:r>
                </w:p>
              </w:tc>
              <w:tc>
                <w:tcPr>
                  <w:tcW w:w="810" w:type="pct"/>
                  <w:tcBorders>
                    <w:tl2br w:val="nil"/>
                    <w:tr2bl w:val="nil"/>
                  </w:tcBorders>
                  <w:noWrap w:val="0"/>
                  <w:vAlign w:val="center"/>
                </w:tcPr>
                <w:p w14:paraId="3602D25E">
                  <w:pPr>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厂界监测浓度限值</w:t>
                  </w:r>
                </w:p>
              </w:tc>
              <w:tc>
                <w:tcPr>
                  <w:tcW w:w="694" w:type="pct"/>
                  <w:tcBorders>
                    <w:tl2br w:val="nil"/>
                    <w:tr2bl w:val="nil"/>
                  </w:tcBorders>
                  <w:noWrap w:val="0"/>
                  <w:vAlign w:val="center"/>
                </w:tcPr>
                <w:p w14:paraId="20D0DABC">
                  <w:pPr>
                    <w:jc w:val="center"/>
                    <w:rPr>
                      <w:rFonts w:hint="default" w:ascii="Times New Roman" w:hAnsi="Times New Roman" w:cs="Times New Roman"/>
                      <w:b/>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w:t>
                  </w:r>
                  <w:r>
                    <w:rPr>
                      <w:rFonts w:hint="default" w:ascii="Times New Roman" w:hAnsi="Times New Roman" w:cs="Times New Roman"/>
                      <w:color w:val="000000" w:themeColor="text1"/>
                      <w:sz w:val="21"/>
                      <w:szCs w:val="21"/>
                      <w14:textFill>
                        <w14:solidFill>
                          <w14:schemeClr w14:val="tx1"/>
                        </w14:solidFill>
                      </w14:textFill>
                    </w:rPr>
                    <w:t>mg/m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r>
            <w:tr w14:paraId="638DE2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26" w:type="pct"/>
                  <w:vMerge w:val="continue"/>
                  <w:tcBorders>
                    <w:tl2br w:val="nil"/>
                    <w:tr2bl w:val="nil"/>
                  </w:tcBorders>
                  <w:noWrap w:val="0"/>
                  <w:vAlign w:val="center"/>
                </w:tcPr>
                <w:p w14:paraId="444F618E">
                  <w:pPr>
                    <w:widowControl/>
                    <w:jc w:val="center"/>
                    <w:rPr>
                      <w:rFonts w:hint="eastAsia" w:cs="Times New Roman"/>
                      <w:b w:val="0"/>
                      <w:bCs/>
                      <w:color w:val="000000" w:themeColor="text1"/>
                      <w:sz w:val="21"/>
                      <w:szCs w:val="21"/>
                      <w:lang w:val="en-US" w:eastAsia="zh-CN"/>
                      <w14:textFill>
                        <w14:solidFill>
                          <w14:schemeClr w14:val="tx1"/>
                        </w14:solidFill>
                      </w14:textFill>
                    </w:rPr>
                  </w:pPr>
                </w:p>
              </w:tc>
              <w:tc>
                <w:tcPr>
                  <w:tcW w:w="1244" w:type="pct"/>
                  <w:vMerge w:val="continue"/>
                  <w:tcBorders>
                    <w:tl2br w:val="nil"/>
                    <w:tr2bl w:val="nil"/>
                  </w:tcBorders>
                  <w:noWrap w:val="0"/>
                  <w:vAlign w:val="center"/>
                </w:tcPr>
                <w:p w14:paraId="4B4144F4">
                  <w:pPr>
                    <w:widowControl/>
                    <w:jc w:val="center"/>
                    <w:rPr>
                      <w:rFonts w:hint="default" w:ascii="Times New Roman" w:hAnsi="Times New Roman" w:cs="Times New Roman"/>
                      <w:b w:val="0"/>
                      <w:bCs/>
                      <w:color w:val="000000" w:themeColor="text1"/>
                      <w:sz w:val="21"/>
                      <w:szCs w:val="21"/>
                      <w14:textFill>
                        <w14:solidFill>
                          <w14:schemeClr w14:val="tx1"/>
                        </w14:solidFill>
                      </w14:textFill>
                    </w:rPr>
                  </w:pPr>
                </w:p>
              </w:tc>
              <w:tc>
                <w:tcPr>
                  <w:tcW w:w="644" w:type="pct"/>
                  <w:vMerge w:val="restart"/>
                  <w:tcBorders>
                    <w:tl2br w:val="nil"/>
                    <w:tr2bl w:val="nil"/>
                  </w:tcBorders>
                  <w:noWrap w:val="0"/>
                  <w:vAlign w:val="center"/>
                </w:tcPr>
                <w:p w14:paraId="3651F01A">
                  <w:pPr>
                    <w:widowControl/>
                    <w:jc w:val="center"/>
                    <w:rPr>
                      <w:rFonts w:hint="default"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有组织</w:t>
                  </w:r>
                </w:p>
              </w:tc>
              <w:tc>
                <w:tcPr>
                  <w:tcW w:w="580" w:type="pct"/>
                  <w:vMerge w:val="restart"/>
                  <w:tcBorders>
                    <w:tl2br w:val="nil"/>
                    <w:tr2bl w:val="nil"/>
                  </w:tcBorders>
                  <w:noWrap w:val="0"/>
                  <w:vAlign w:val="center"/>
                </w:tcPr>
                <w:p w14:paraId="286F2C57">
                  <w:pPr>
                    <w:widowControl/>
                    <w:jc w:val="center"/>
                    <w:rPr>
                      <w:rFonts w:hint="eastAsia"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颗粒物</w:t>
                  </w:r>
                </w:p>
              </w:tc>
              <w:tc>
                <w:tcPr>
                  <w:tcW w:w="810" w:type="pct"/>
                  <w:tcBorders>
                    <w:tl2br w:val="nil"/>
                    <w:tr2bl w:val="nil"/>
                  </w:tcBorders>
                  <w:noWrap w:val="0"/>
                  <w:vAlign w:val="center"/>
                </w:tcPr>
                <w:p w14:paraId="7B2568BF">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浓度</w:t>
                  </w:r>
                </w:p>
              </w:tc>
              <w:tc>
                <w:tcPr>
                  <w:tcW w:w="694" w:type="pct"/>
                  <w:tcBorders>
                    <w:tl2br w:val="nil"/>
                    <w:tr2bl w:val="nil"/>
                  </w:tcBorders>
                  <w:noWrap w:val="0"/>
                  <w:vAlign w:val="center"/>
                </w:tcPr>
                <w:p w14:paraId="5204D48F">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120</w:t>
                  </w:r>
                  <w:r>
                    <w:rPr>
                      <w:rFonts w:hint="default" w:ascii="Times New Roman" w:hAnsi="Times New Roman" w:cs="Times New Roman"/>
                      <w:color w:val="000000" w:themeColor="text1"/>
                      <w:sz w:val="21"/>
                      <w:szCs w:val="21"/>
                      <w14:textFill>
                        <w14:solidFill>
                          <w14:schemeClr w14:val="tx1"/>
                        </w14:solidFill>
                      </w14:textFill>
                    </w:rPr>
                    <w:t>mg/m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r>
            <w:tr w14:paraId="45C684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26" w:type="pct"/>
                  <w:vMerge w:val="continue"/>
                  <w:tcBorders>
                    <w:tl2br w:val="nil"/>
                    <w:tr2bl w:val="nil"/>
                  </w:tcBorders>
                  <w:noWrap w:val="0"/>
                  <w:vAlign w:val="center"/>
                </w:tcPr>
                <w:p w14:paraId="4B1F2422">
                  <w:pPr>
                    <w:widowControl/>
                    <w:jc w:val="center"/>
                    <w:rPr>
                      <w:rFonts w:hint="eastAsia" w:cs="Times New Roman"/>
                      <w:b w:val="0"/>
                      <w:bCs/>
                      <w:color w:val="000000" w:themeColor="text1"/>
                      <w:sz w:val="21"/>
                      <w:szCs w:val="21"/>
                      <w:lang w:val="en-US" w:eastAsia="zh-CN"/>
                      <w14:textFill>
                        <w14:solidFill>
                          <w14:schemeClr w14:val="tx1"/>
                        </w14:solidFill>
                      </w14:textFill>
                    </w:rPr>
                  </w:pPr>
                </w:p>
              </w:tc>
              <w:tc>
                <w:tcPr>
                  <w:tcW w:w="1244" w:type="pct"/>
                  <w:vMerge w:val="continue"/>
                  <w:tcBorders>
                    <w:tl2br w:val="nil"/>
                    <w:tr2bl w:val="nil"/>
                  </w:tcBorders>
                  <w:noWrap w:val="0"/>
                  <w:vAlign w:val="center"/>
                </w:tcPr>
                <w:p w14:paraId="16D93593">
                  <w:pPr>
                    <w:widowControl/>
                    <w:jc w:val="center"/>
                    <w:rPr>
                      <w:rFonts w:hint="default" w:ascii="Times New Roman" w:hAnsi="Times New Roman" w:cs="Times New Roman"/>
                      <w:b w:val="0"/>
                      <w:bCs/>
                      <w:color w:val="000000" w:themeColor="text1"/>
                      <w:sz w:val="21"/>
                      <w:szCs w:val="21"/>
                      <w14:textFill>
                        <w14:solidFill>
                          <w14:schemeClr w14:val="tx1"/>
                        </w14:solidFill>
                      </w14:textFill>
                    </w:rPr>
                  </w:pPr>
                </w:p>
              </w:tc>
              <w:tc>
                <w:tcPr>
                  <w:tcW w:w="644" w:type="pct"/>
                  <w:vMerge w:val="continue"/>
                  <w:tcBorders>
                    <w:tl2br w:val="nil"/>
                    <w:tr2bl w:val="nil"/>
                  </w:tcBorders>
                  <w:noWrap w:val="0"/>
                  <w:vAlign w:val="center"/>
                </w:tcPr>
                <w:p w14:paraId="5EC1E458">
                  <w:pPr>
                    <w:widowControl/>
                    <w:jc w:val="center"/>
                    <w:rPr>
                      <w:rFonts w:hint="eastAsia" w:cs="Times New Roman"/>
                      <w:b w:val="0"/>
                      <w:bCs/>
                      <w:color w:val="000000" w:themeColor="text1"/>
                      <w:sz w:val="21"/>
                      <w:szCs w:val="21"/>
                      <w:lang w:val="en-US" w:eastAsia="zh-CN"/>
                      <w14:textFill>
                        <w14:solidFill>
                          <w14:schemeClr w14:val="tx1"/>
                        </w14:solidFill>
                      </w14:textFill>
                    </w:rPr>
                  </w:pPr>
                </w:p>
              </w:tc>
              <w:tc>
                <w:tcPr>
                  <w:tcW w:w="580" w:type="pct"/>
                  <w:vMerge w:val="continue"/>
                  <w:tcBorders>
                    <w:tl2br w:val="nil"/>
                    <w:tr2bl w:val="nil"/>
                  </w:tcBorders>
                  <w:noWrap w:val="0"/>
                  <w:vAlign w:val="center"/>
                </w:tcPr>
                <w:p w14:paraId="4930AF1B">
                  <w:pPr>
                    <w:widowControl/>
                    <w:jc w:val="center"/>
                    <w:rPr>
                      <w:rFonts w:hint="eastAsia" w:cs="Times New Roman"/>
                      <w:b w:val="0"/>
                      <w:bCs/>
                      <w:color w:val="000000" w:themeColor="text1"/>
                      <w:sz w:val="21"/>
                      <w:szCs w:val="21"/>
                      <w:lang w:val="en-US" w:eastAsia="zh-CN"/>
                      <w14:textFill>
                        <w14:solidFill>
                          <w14:schemeClr w14:val="tx1"/>
                        </w14:solidFill>
                      </w14:textFill>
                    </w:rPr>
                  </w:pPr>
                </w:p>
              </w:tc>
              <w:tc>
                <w:tcPr>
                  <w:tcW w:w="810" w:type="pct"/>
                  <w:tcBorders>
                    <w:tl2br w:val="nil"/>
                    <w:tr2bl w:val="nil"/>
                  </w:tcBorders>
                  <w:noWrap w:val="0"/>
                  <w:vAlign w:val="center"/>
                </w:tcPr>
                <w:p w14:paraId="4A0384EA">
                  <w:pPr>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15m高度</w:t>
                  </w:r>
                </w:p>
                <w:p w14:paraId="7B217006">
                  <w:pPr>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排放速率</w:t>
                  </w:r>
                </w:p>
              </w:tc>
              <w:tc>
                <w:tcPr>
                  <w:tcW w:w="694" w:type="pct"/>
                  <w:tcBorders>
                    <w:tl2br w:val="nil"/>
                    <w:tr2bl w:val="nil"/>
                  </w:tcBorders>
                  <w:noWrap w:val="0"/>
                  <w:vAlign w:val="center"/>
                </w:tcPr>
                <w:p w14:paraId="6C07C3CD">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3.5kg/h</w:t>
                  </w:r>
                </w:p>
              </w:tc>
            </w:tr>
            <w:bookmarkEnd w:id="15"/>
            <w:bookmarkEnd w:id="16"/>
            <w:bookmarkEnd w:id="17"/>
            <w:bookmarkEnd w:id="18"/>
            <w:bookmarkEnd w:id="19"/>
          </w:tbl>
          <w:p w14:paraId="087EFC1A">
            <w:pPr>
              <w:keepNext/>
              <w:keepLines/>
              <w:widowControl/>
              <w:numPr>
                <w:ilvl w:val="0"/>
                <w:numId w:val="0"/>
              </w:numPr>
              <w:adjustRightInd w:val="0"/>
              <w:snapToGrid w:val="0"/>
              <w:spacing w:line="360" w:lineRule="auto"/>
              <w:ind w:firstLine="422" w:firstLineChars="200"/>
              <w:jc w:val="left"/>
              <w:outlineLvl w:val="1"/>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三、</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噪声排放标准</w:t>
            </w:r>
          </w:p>
          <w:p w14:paraId="1159D57F">
            <w:pPr>
              <w:keepNext w:val="0"/>
              <w:keepLines w:val="0"/>
              <w:pageBreakBefore w:val="0"/>
              <w:widowControl w:val="0"/>
              <w:numPr>
                <w:ilvl w:val="0"/>
                <w:numId w:val="0"/>
              </w:numPr>
              <w:suppressLineNumbers w:val="0"/>
              <w:kinsoku/>
              <w:wordWrap/>
              <w:overflowPunct/>
              <w:topLinePunct w:val="0"/>
              <w:autoSpaceDE/>
              <w:autoSpaceDN/>
              <w:bidi w:val="0"/>
              <w:adjustRightInd w:val="0"/>
              <w:snapToGrid/>
              <w:spacing w:before="0" w:beforeAutospacing="0" w:after="0" w:afterAutospacing="0" w:line="360" w:lineRule="auto"/>
              <w:ind w:leftChars="0" w:right="0" w:rightChars="0" w:firstLine="420" w:firstLineChars="200"/>
              <w:jc w:val="left"/>
              <w:textAlignment w:val="auto"/>
              <w:rPr>
                <w:rFonts w:hint="eastAsia"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eastAsia="zh-CN"/>
                <w14:textFill>
                  <w14:solidFill>
                    <w14:schemeClr w14:val="tx1"/>
                  </w14:solidFill>
                </w14:textFill>
              </w:rPr>
              <w:t>根据《宝鸡市人民政府办公室关于印发宝鸡市声环境功能区调整划分方案的通知》（宝政办发〔2020〕2号）及关于《宝鸡市声环境功能区划分情况评估报告》的解释说明</w:t>
            </w:r>
            <w:r>
              <w:rPr>
                <w:rFonts w:hint="eastAsia" w:cs="Times New Roman"/>
                <w:color w:val="000000" w:themeColor="text1"/>
                <w:sz w:val="21"/>
                <w:szCs w:val="21"/>
                <w:lang w:eastAsia="zh-CN"/>
                <w14:textFill>
                  <w14:solidFill>
                    <w14:schemeClr w14:val="tx1"/>
                  </w14:solidFill>
                </w14:textFill>
              </w:rPr>
              <w:t>，</w:t>
            </w:r>
            <w:r>
              <w:rPr>
                <w:rFonts w:hint="eastAsia" w:ascii="Times New Roman" w:hAnsi="Times New Roman" w:eastAsia="宋体" w:cs="Times New Roman"/>
                <w:color w:val="000000" w:themeColor="text1"/>
                <w:sz w:val="21"/>
                <w:szCs w:val="21"/>
                <w:lang w:eastAsia="zh-CN"/>
                <w14:textFill>
                  <w14:solidFill>
                    <w14:schemeClr w14:val="tx1"/>
                  </w14:solidFill>
                </w14:textFill>
              </w:rPr>
              <w:t>项目位于千渭</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lang w:eastAsia="zh-CN"/>
                <w14:textFill>
                  <w14:solidFill>
                    <w14:schemeClr w14:val="tx1"/>
                  </w14:solidFill>
                </w14:textFill>
              </w:rPr>
              <w:t>类</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声环境功能区</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运营期噪声排放限值执行《工业企业厂界环境噪声排放标准》（GB12348-2008）</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类标准限值</w:t>
            </w:r>
            <w:r>
              <w:rPr>
                <w:rFonts w:hint="eastAsia" w:cs="Times New Roman"/>
                <w:color w:val="000000" w:themeColor="text1"/>
                <w:sz w:val="21"/>
                <w:szCs w:val="21"/>
                <w:lang w:eastAsia="zh-CN"/>
                <w14:textFill>
                  <w14:solidFill>
                    <w14:schemeClr w14:val="tx1"/>
                  </w14:solidFill>
                </w14:textFill>
              </w:rPr>
              <w:t>。</w:t>
            </w:r>
          </w:p>
          <w:p w14:paraId="2278C04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Chars="0" w:right="0" w:rightChars="0" w:firstLine="420" w:firstLineChars="20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具体</w:t>
            </w:r>
            <w:r>
              <w:rPr>
                <w:rFonts w:hint="default" w:ascii="Times New Roman" w:hAnsi="Times New Roman" w:eastAsia="宋体" w:cs="Times New Roman"/>
                <w:color w:val="000000" w:themeColor="text1"/>
                <w:sz w:val="21"/>
                <w:szCs w:val="21"/>
                <w14:textFill>
                  <w14:solidFill>
                    <w14:schemeClr w14:val="tx1"/>
                  </w14:solidFill>
                </w14:textFill>
              </w:rPr>
              <w:t>详见</w:t>
            </w:r>
            <w:r>
              <w:rPr>
                <w:rFonts w:hint="default" w:ascii="Times New Roman" w:hAnsi="Times New Roman" w:cs="Times New Roman"/>
                <w:color w:val="000000" w:themeColor="text1"/>
                <w:sz w:val="21"/>
                <w:szCs w:val="21"/>
                <w:lang w:eastAsia="zh-CN"/>
                <w14:textFill>
                  <w14:solidFill>
                    <w14:schemeClr w14:val="tx1"/>
                  </w14:solidFill>
                </w14:textFill>
              </w:rPr>
              <w:t>下</w:t>
            </w:r>
            <w:r>
              <w:rPr>
                <w:rFonts w:hint="default" w:ascii="Times New Roman" w:hAnsi="Times New Roman" w:eastAsia="宋体" w:cs="Times New Roman"/>
                <w:color w:val="000000" w:themeColor="text1"/>
                <w:sz w:val="21"/>
                <w:szCs w:val="21"/>
                <w14:textFill>
                  <w14:solidFill>
                    <w14:schemeClr w14:val="tx1"/>
                  </w14:solidFill>
                </w14:textFill>
              </w:rPr>
              <w:t>表。</w:t>
            </w:r>
          </w:p>
          <w:p w14:paraId="296028A7">
            <w:pPr>
              <w:widowControl/>
              <w:spacing w:line="240" w:lineRule="auto"/>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3-</w:t>
            </w:r>
            <w:r>
              <w:rPr>
                <w:rFonts w:hint="eastAsia" w:cs="Times New Roman"/>
                <w:b/>
                <w:color w:val="000000" w:themeColor="text1"/>
                <w:sz w:val="21"/>
                <w:szCs w:val="21"/>
                <w:lang w:val="en-US" w:eastAsia="zh-CN"/>
                <w14:textFill>
                  <w14:solidFill>
                    <w14:schemeClr w14:val="tx1"/>
                  </w14:solidFill>
                </w14:textFill>
              </w:rPr>
              <w:t xml:space="preserve">8    </w:t>
            </w:r>
            <w:r>
              <w:rPr>
                <w:rFonts w:hint="default" w:ascii="Times New Roman" w:hAnsi="Times New Roman" w:eastAsia="宋体" w:cs="Times New Roman"/>
                <w:b/>
                <w:color w:val="000000" w:themeColor="text1"/>
                <w:sz w:val="21"/>
                <w:szCs w:val="21"/>
                <w14:textFill>
                  <w14:solidFill>
                    <w14:schemeClr w14:val="tx1"/>
                  </w14:solidFill>
                </w14:textFill>
              </w:rPr>
              <w:t>工业企业厂界环境噪声排放标准（摘录）（单位</w:t>
            </w:r>
            <w:r>
              <w:rPr>
                <w:rFonts w:hint="default" w:ascii="Times New Roman" w:hAnsi="Times New Roman" w:eastAsia="宋体" w:cs="Times New Roman"/>
                <w:b/>
                <w:color w:val="000000" w:themeColor="text1"/>
                <w:sz w:val="21"/>
                <w:szCs w:val="21"/>
                <w:lang w:eastAsia="zh-CN"/>
                <w14:textFill>
                  <w14:solidFill>
                    <w14:schemeClr w14:val="tx1"/>
                  </w14:solidFill>
                </w14:textFill>
              </w:rPr>
              <w:t>：</w:t>
            </w:r>
            <w:r>
              <w:rPr>
                <w:rFonts w:hint="default" w:ascii="Times New Roman" w:hAnsi="Times New Roman" w:eastAsia="宋体" w:cs="Times New Roman"/>
                <w:b/>
                <w:color w:val="000000" w:themeColor="text1"/>
                <w:sz w:val="21"/>
                <w:szCs w:val="21"/>
                <w14:textFill>
                  <w14:solidFill>
                    <w14:schemeClr w14:val="tx1"/>
                  </w14:solidFill>
                </w14:textFill>
              </w:rPr>
              <w:t>Leq[dB（A）]）</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945"/>
              <w:gridCol w:w="2714"/>
              <w:gridCol w:w="2714"/>
            </w:tblGrid>
            <w:tr w14:paraId="2E84EC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59" w:type="pct"/>
                  <w:tcBorders>
                    <w:tl2br w:val="nil"/>
                    <w:tr2bl w:val="nil"/>
                  </w:tcBorders>
                  <w:noWrap w:val="0"/>
                  <w:vAlign w:val="center"/>
                </w:tcPr>
                <w:p w14:paraId="528938A4">
                  <w:pPr>
                    <w:autoSpaceDE w:val="0"/>
                    <w:autoSpaceDN w:val="0"/>
                    <w:adjustRightInd w:val="0"/>
                    <w:snapToGrid w:val="0"/>
                    <w:spacing w:line="240" w:lineRule="auto"/>
                    <w:jc w:val="center"/>
                    <w:rPr>
                      <w:rFonts w:hint="default" w:ascii="Times New Roman" w:hAnsi="Times New Roman" w:cs="Times New Roman"/>
                      <w:b w:val="0"/>
                      <w:bCs/>
                      <w:color w:val="000000" w:themeColor="text1"/>
                      <w:sz w:val="21"/>
                      <w:szCs w:val="21"/>
                      <w:lang w:val="zh-CN" w:bidi="ar"/>
                      <w14:textFill>
                        <w14:solidFill>
                          <w14:schemeClr w14:val="tx1"/>
                        </w14:solidFill>
                      </w14:textFill>
                    </w:rPr>
                  </w:pPr>
                  <w:r>
                    <w:rPr>
                      <w:rFonts w:hint="default" w:ascii="Times New Roman" w:hAnsi="Times New Roman" w:cs="Times New Roman"/>
                      <w:b w:val="0"/>
                      <w:bCs/>
                      <w:color w:val="000000" w:themeColor="text1"/>
                      <w:sz w:val="21"/>
                      <w:szCs w:val="21"/>
                      <w:lang w:val="zh-CN" w:bidi="ar"/>
                      <w14:textFill>
                        <w14:solidFill>
                          <w14:schemeClr w14:val="tx1"/>
                        </w14:solidFill>
                      </w14:textFill>
                    </w:rPr>
                    <w:t>类别</w:t>
                  </w:r>
                </w:p>
              </w:tc>
              <w:tc>
                <w:tcPr>
                  <w:tcW w:w="1620" w:type="pct"/>
                  <w:tcBorders>
                    <w:tl2br w:val="nil"/>
                    <w:tr2bl w:val="nil"/>
                  </w:tcBorders>
                  <w:noWrap w:val="0"/>
                  <w:vAlign w:val="center"/>
                </w:tcPr>
                <w:p w14:paraId="15768120">
                  <w:pPr>
                    <w:autoSpaceDE w:val="0"/>
                    <w:autoSpaceDN w:val="0"/>
                    <w:adjustRightInd w:val="0"/>
                    <w:snapToGrid w:val="0"/>
                    <w:spacing w:line="240" w:lineRule="auto"/>
                    <w:jc w:val="center"/>
                    <w:rPr>
                      <w:rFonts w:hint="default" w:ascii="Times New Roman" w:hAnsi="Times New Roman" w:cs="Times New Roman"/>
                      <w:b w:val="0"/>
                      <w:bCs/>
                      <w:color w:val="000000" w:themeColor="text1"/>
                      <w:sz w:val="21"/>
                      <w:szCs w:val="21"/>
                      <w:lang w:val="zh-CN" w:bidi="ar"/>
                      <w14:textFill>
                        <w14:solidFill>
                          <w14:schemeClr w14:val="tx1"/>
                        </w14:solidFill>
                      </w14:textFill>
                    </w:rPr>
                  </w:pPr>
                  <w:r>
                    <w:rPr>
                      <w:rFonts w:hint="default" w:ascii="Times New Roman" w:hAnsi="Times New Roman" w:cs="Times New Roman"/>
                      <w:b w:val="0"/>
                      <w:bCs/>
                      <w:color w:val="000000" w:themeColor="text1"/>
                      <w:sz w:val="21"/>
                      <w:szCs w:val="21"/>
                      <w:lang w:val="zh-CN" w:bidi="ar"/>
                      <w14:textFill>
                        <w14:solidFill>
                          <w14:schemeClr w14:val="tx1"/>
                        </w14:solidFill>
                      </w14:textFill>
                    </w:rPr>
                    <w:t>昼间</w:t>
                  </w:r>
                </w:p>
              </w:tc>
              <w:tc>
                <w:tcPr>
                  <w:tcW w:w="1620" w:type="pct"/>
                  <w:tcBorders>
                    <w:tl2br w:val="nil"/>
                    <w:tr2bl w:val="nil"/>
                  </w:tcBorders>
                  <w:noWrap w:val="0"/>
                  <w:vAlign w:val="center"/>
                </w:tcPr>
                <w:p w14:paraId="0FE52B4F">
                  <w:pPr>
                    <w:autoSpaceDE w:val="0"/>
                    <w:autoSpaceDN w:val="0"/>
                    <w:adjustRightInd w:val="0"/>
                    <w:snapToGrid w:val="0"/>
                    <w:spacing w:line="240" w:lineRule="auto"/>
                    <w:jc w:val="center"/>
                    <w:rPr>
                      <w:rFonts w:hint="eastAsia" w:ascii="Times New Roman" w:hAnsi="Times New Roman" w:eastAsia="宋体" w:cs="Times New Roman"/>
                      <w:b w:val="0"/>
                      <w:bCs/>
                      <w:color w:val="000000" w:themeColor="text1"/>
                      <w:sz w:val="21"/>
                      <w:szCs w:val="21"/>
                      <w:lang w:val="en-US" w:eastAsia="zh-CN" w:bidi="ar"/>
                      <w14:textFill>
                        <w14:solidFill>
                          <w14:schemeClr w14:val="tx1"/>
                        </w14:solidFill>
                      </w14:textFill>
                    </w:rPr>
                  </w:pPr>
                  <w:r>
                    <w:rPr>
                      <w:rFonts w:hint="eastAsia" w:cs="Times New Roman"/>
                      <w:b w:val="0"/>
                      <w:bCs/>
                      <w:color w:val="000000" w:themeColor="text1"/>
                      <w:sz w:val="21"/>
                      <w:szCs w:val="21"/>
                      <w:lang w:val="en-US" w:eastAsia="zh-CN" w:bidi="ar"/>
                      <w14:textFill>
                        <w14:solidFill>
                          <w14:schemeClr w14:val="tx1"/>
                        </w14:solidFill>
                      </w14:textFill>
                    </w:rPr>
                    <w:t>夜间</w:t>
                  </w:r>
                </w:p>
              </w:tc>
            </w:tr>
            <w:tr w14:paraId="723DBF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59" w:type="pct"/>
                  <w:tcBorders>
                    <w:tl2br w:val="nil"/>
                    <w:tr2bl w:val="nil"/>
                  </w:tcBorders>
                  <w:noWrap w:val="0"/>
                  <w:vAlign w:val="center"/>
                </w:tcPr>
                <w:p w14:paraId="2F7A045C">
                  <w:pPr>
                    <w:autoSpaceDE w:val="0"/>
                    <w:autoSpaceDN w:val="0"/>
                    <w:adjustRightInd w:val="0"/>
                    <w:snapToGrid w:val="0"/>
                    <w:spacing w:line="240" w:lineRule="auto"/>
                    <w:jc w:val="center"/>
                    <w:rPr>
                      <w:rFonts w:hint="default" w:ascii="Times New Roman" w:hAnsi="Times New Roman" w:cs="Times New Roman"/>
                      <w:b w:val="0"/>
                      <w:bCs/>
                      <w:color w:val="000000" w:themeColor="text1"/>
                      <w:sz w:val="21"/>
                      <w:szCs w:val="21"/>
                      <w:lang w:val="zh-CN" w:bidi="ar"/>
                      <w14:textFill>
                        <w14:solidFill>
                          <w14:schemeClr w14:val="tx1"/>
                        </w14:solidFill>
                      </w14:textFill>
                    </w:rPr>
                  </w:pPr>
                  <w:r>
                    <w:rPr>
                      <w:rFonts w:hint="eastAsia" w:cs="Times New Roman"/>
                      <w:b w:val="0"/>
                      <w:bCs/>
                      <w:color w:val="000000" w:themeColor="text1"/>
                      <w:sz w:val="21"/>
                      <w:szCs w:val="21"/>
                      <w:lang w:val="en-US" w:eastAsia="zh-CN" w:bidi="ar"/>
                      <w14:textFill>
                        <w14:solidFill>
                          <w14:schemeClr w14:val="tx1"/>
                        </w14:solidFill>
                      </w14:textFill>
                    </w:rPr>
                    <w:t>2</w:t>
                  </w:r>
                  <w:r>
                    <w:rPr>
                      <w:rFonts w:hint="default" w:ascii="Times New Roman" w:hAnsi="Times New Roman" w:cs="Times New Roman"/>
                      <w:b w:val="0"/>
                      <w:bCs/>
                      <w:color w:val="000000" w:themeColor="text1"/>
                      <w:sz w:val="21"/>
                      <w:szCs w:val="21"/>
                      <w:lang w:val="zh-CN" w:bidi="ar"/>
                      <w14:textFill>
                        <w14:solidFill>
                          <w14:schemeClr w14:val="tx1"/>
                        </w14:solidFill>
                      </w14:textFill>
                    </w:rPr>
                    <w:t>类区</w:t>
                  </w:r>
                </w:p>
              </w:tc>
              <w:tc>
                <w:tcPr>
                  <w:tcW w:w="1620" w:type="pct"/>
                  <w:tcBorders>
                    <w:tl2br w:val="nil"/>
                    <w:tr2bl w:val="nil"/>
                  </w:tcBorders>
                  <w:noWrap w:val="0"/>
                  <w:vAlign w:val="center"/>
                </w:tcPr>
                <w:p w14:paraId="4B032A92">
                  <w:pPr>
                    <w:autoSpaceDE w:val="0"/>
                    <w:autoSpaceDN w:val="0"/>
                    <w:adjustRightInd w:val="0"/>
                    <w:snapToGrid w:val="0"/>
                    <w:spacing w:line="240" w:lineRule="auto"/>
                    <w:jc w:val="center"/>
                    <w:rPr>
                      <w:rFonts w:hint="default" w:ascii="Times New Roman" w:hAnsi="Times New Roman" w:cs="Times New Roman"/>
                      <w:b w:val="0"/>
                      <w:bCs/>
                      <w:color w:val="000000" w:themeColor="text1"/>
                      <w:sz w:val="21"/>
                      <w:szCs w:val="21"/>
                      <w:lang w:val="en-US" w:eastAsia="zh-CN" w:bidi="ar"/>
                      <w14:textFill>
                        <w14:solidFill>
                          <w14:schemeClr w14:val="tx1"/>
                        </w14:solidFill>
                      </w14:textFill>
                    </w:rPr>
                  </w:pPr>
                  <w:r>
                    <w:rPr>
                      <w:rFonts w:hint="eastAsia" w:cs="Times New Roman"/>
                      <w:b w:val="0"/>
                      <w:bCs/>
                      <w:color w:val="000000" w:themeColor="text1"/>
                      <w:sz w:val="21"/>
                      <w:szCs w:val="21"/>
                      <w:lang w:val="en-US" w:eastAsia="zh-CN" w:bidi="ar"/>
                      <w14:textFill>
                        <w14:solidFill>
                          <w14:schemeClr w14:val="tx1"/>
                        </w14:solidFill>
                      </w14:textFill>
                    </w:rPr>
                    <w:t>60</w:t>
                  </w:r>
                </w:p>
              </w:tc>
              <w:tc>
                <w:tcPr>
                  <w:tcW w:w="1620" w:type="pct"/>
                  <w:tcBorders>
                    <w:tl2br w:val="nil"/>
                    <w:tr2bl w:val="nil"/>
                  </w:tcBorders>
                  <w:noWrap w:val="0"/>
                  <w:vAlign w:val="center"/>
                </w:tcPr>
                <w:p w14:paraId="4A8A420D">
                  <w:pPr>
                    <w:autoSpaceDE w:val="0"/>
                    <w:autoSpaceDN w:val="0"/>
                    <w:adjustRightInd w:val="0"/>
                    <w:snapToGrid w:val="0"/>
                    <w:spacing w:line="240" w:lineRule="auto"/>
                    <w:jc w:val="center"/>
                    <w:rPr>
                      <w:rFonts w:hint="default" w:ascii="Times New Roman" w:hAnsi="Times New Roman" w:cs="Times New Roman"/>
                      <w:b w:val="0"/>
                      <w:bCs/>
                      <w:color w:val="000000" w:themeColor="text1"/>
                      <w:sz w:val="21"/>
                      <w:szCs w:val="21"/>
                      <w:lang w:val="en-US" w:eastAsia="zh-CN" w:bidi="ar"/>
                      <w14:textFill>
                        <w14:solidFill>
                          <w14:schemeClr w14:val="tx1"/>
                        </w14:solidFill>
                      </w14:textFill>
                    </w:rPr>
                  </w:pPr>
                  <w:r>
                    <w:rPr>
                      <w:rFonts w:hint="eastAsia" w:cs="Times New Roman"/>
                      <w:b w:val="0"/>
                      <w:bCs/>
                      <w:color w:val="000000" w:themeColor="text1"/>
                      <w:sz w:val="21"/>
                      <w:szCs w:val="21"/>
                      <w:lang w:val="en-US" w:eastAsia="zh-CN" w:bidi="ar"/>
                      <w14:textFill>
                        <w14:solidFill>
                          <w14:schemeClr w14:val="tx1"/>
                        </w14:solidFill>
                      </w14:textFill>
                    </w:rPr>
                    <w:t>50</w:t>
                  </w:r>
                </w:p>
              </w:tc>
            </w:tr>
          </w:tbl>
          <w:p w14:paraId="33182385">
            <w:pPr>
              <w:keepNext/>
              <w:keepLines/>
              <w:widowControl/>
              <w:numPr>
                <w:ilvl w:val="0"/>
                <w:numId w:val="0"/>
              </w:numPr>
              <w:adjustRightInd w:val="0"/>
              <w:snapToGrid w:val="0"/>
              <w:spacing w:line="360" w:lineRule="auto"/>
              <w:ind w:firstLine="422" w:firstLineChars="200"/>
              <w:jc w:val="left"/>
              <w:outlineLvl w:val="1"/>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四、</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固体废物</w:t>
            </w:r>
            <w:bookmarkStart w:id="20" w:name="_Hlk41382555"/>
          </w:p>
          <w:p w14:paraId="030B3670">
            <w:pPr>
              <w:keepNext w:val="0"/>
              <w:keepLines w:val="0"/>
              <w:pageBreakBefore w:val="0"/>
              <w:widowControl w:val="0"/>
              <w:numPr>
                <w:ilvl w:val="0"/>
                <w:numId w:val="0"/>
              </w:numPr>
              <w:suppressLineNumbers w:val="0"/>
              <w:kinsoku/>
              <w:wordWrap/>
              <w:overflowPunct/>
              <w:topLinePunct w:val="0"/>
              <w:autoSpaceDE/>
              <w:autoSpaceDN/>
              <w:bidi w:val="0"/>
              <w:adjustRightInd w:val="0"/>
              <w:snapToGrid/>
              <w:spacing w:before="0" w:beforeAutospacing="0" w:after="0" w:afterAutospacing="0" w:line="360" w:lineRule="auto"/>
              <w:ind w:leftChars="0" w:right="0" w:rightChars="0" w:firstLine="420" w:firstLineChars="200"/>
              <w:jc w:val="left"/>
              <w:textAlignment w:val="auto"/>
              <w:rPr>
                <w:b w:val="0"/>
                <w:bCs w:val="0"/>
                <w:color w:val="000000" w:themeColor="text1"/>
                <w:sz w:val="21"/>
                <w:szCs w:val="21"/>
                <w:lang w:bidi="ar"/>
                <w14:textFill>
                  <w14:solidFill>
                    <w14:schemeClr w14:val="tx1"/>
                  </w14:solidFill>
                </w14:textFill>
              </w:rPr>
            </w:pPr>
            <w:r>
              <w:rPr>
                <w:b w:val="0"/>
                <w:bCs w:val="0"/>
                <w:color w:val="000000" w:themeColor="text1"/>
                <w:sz w:val="21"/>
                <w:szCs w:val="21"/>
                <w14:textFill>
                  <w14:solidFill>
                    <w14:schemeClr w14:val="tx1"/>
                  </w14:solidFill>
                </w14:textFill>
              </w:rPr>
              <w:t>本项目固体废物的处理、处置均应满足《中华人民共和国固体废物污染环境防治法</w:t>
            </w:r>
            <w:r>
              <w:rPr>
                <w:rFonts w:hint="eastAsia"/>
                <w:b w:val="0"/>
                <w:bCs w:val="0"/>
                <w:color w:val="000000" w:themeColor="text1"/>
                <w:sz w:val="21"/>
                <w:szCs w:val="21"/>
                <w:lang w:eastAsia="zh-CN"/>
                <w14:textFill>
                  <w14:solidFill>
                    <w14:schemeClr w14:val="tx1"/>
                  </w14:solidFill>
                </w14:textFill>
              </w:rPr>
              <w:t>》</w:t>
            </w:r>
            <w:r>
              <w:rPr>
                <w:b w:val="0"/>
                <w:bCs w:val="0"/>
                <w:color w:val="000000" w:themeColor="text1"/>
                <w:sz w:val="21"/>
                <w:szCs w:val="21"/>
                <w14:textFill>
                  <w14:solidFill>
                    <w14:schemeClr w14:val="tx1"/>
                  </w14:solidFill>
                </w14:textFill>
              </w:rPr>
              <w:t>的有关规定要求</w:t>
            </w:r>
            <w:r>
              <w:rPr>
                <w:b w:val="0"/>
                <w:bCs w:val="0"/>
                <w:color w:val="000000" w:themeColor="text1"/>
                <w:sz w:val="21"/>
                <w:szCs w:val="21"/>
                <w:lang w:bidi="ar"/>
                <w14:textFill>
                  <w14:solidFill>
                    <w14:schemeClr w14:val="tx1"/>
                  </w14:solidFill>
                </w14:textFill>
              </w:rPr>
              <w:t>。</w:t>
            </w:r>
            <w:r>
              <w:rPr>
                <w:b w:val="0"/>
                <w:bCs w:val="0"/>
                <w:color w:val="000000" w:themeColor="text1"/>
                <w:sz w:val="21"/>
                <w:szCs w:val="21"/>
                <w14:textFill>
                  <w14:solidFill>
                    <w14:schemeClr w14:val="tx1"/>
                  </w14:solidFill>
                </w14:textFill>
              </w:rPr>
              <w:t>采用库房、包装工具（罐、桶、包装袋等）贮存一般工业固体废物过程的污染控制</w:t>
            </w:r>
            <w:r>
              <w:rPr>
                <w:rFonts w:hint="eastAsia"/>
                <w:b w:val="0"/>
                <w:bCs w:val="0"/>
                <w:color w:val="000000" w:themeColor="text1"/>
                <w:sz w:val="21"/>
                <w:szCs w:val="21"/>
                <w:lang w:eastAsia="zh-CN"/>
                <w14:textFill>
                  <w14:solidFill>
                    <w14:schemeClr w14:val="tx1"/>
                  </w14:solidFill>
                </w14:textFill>
              </w:rPr>
              <w:t>，</w:t>
            </w:r>
            <w:r>
              <w:rPr>
                <w:b w:val="0"/>
                <w:bCs w:val="0"/>
                <w:color w:val="000000" w:themeColor="text1"/>
                <w:sz w:val="21"/>
                <w:szCs w:val="21"/>
                <w14:textFill>
                  <w14:solidFill>
                    <w14:schemeClr w14:val="tx1"/>
                  </w14:solidFill>
                </w14:textFill>
              </w:rPr>
              <w:t>其贮存过程应满足相应防渗漏、防雨淋、防扬尘等环境保护要求</w:t>
            </w:r>
            <w:r>
              <w:rPr>
                <w:b w:val="0"/>
                <w:bCs w:val="0"/>
                <w:color w:val="000000" w:themeColor="text1"/>
                <w:sz w:val="21"/>
                <w:szCs w:val="21"/>
                <w:lang w:bidi="ar"/>
                <w14:textFill>
                  <w14:solidFill>
                    <w14:schemeClr w14:val="tx1"/>
                  </w14:solidFill>
                </w14:textFill>
              </w:rPr>
              <w:t>。</w:t>
            </w:r>
          </w:p>
          <w:p w14:paraId="5E68DF93">
            <w:pPr>
              <w:keepNext w:val="0"/>
              <w:keepLines w:val="0"/>
              <w:pageBreakBefore w:val="0"/>
              <w:widowControl w:val="0"/>
              <w:numPr>
                <w:ilvl w:val="0"/>
                <w:numId w:val="0"/>
              </w:numPr>
              <w:suppressLineNumbers w:val="0"/>
              <w:kinsoku/>
              <w:wordWrap/>
              <w:overflowPunct/>
              <w:topLinePunct w:val="0"/>
              <w:autoSpaceDE/>
              <w:autoSpaceDN/>
              <w:bidi w:val="0"/>
              <w:adjustRightInd w:val="0"/>
              <w:snapToGrid/>
              <w:spacing w:before="0" w:beforeAutospacing="0" w:after="0" w:afterAutospacing="0" w:line="360" w:lineRule="auto"/>
              <w:ind w:leftChars="0" w:right="0" w:rightChars="0" w:firstLine="420" w:firstLineChars="200"/>
              <w:jc w:val="left"/>
              <w:textAlignment w:val="auto"/>
              <w:rPr>
                <w:rFonts w:hint="default"/>
                <w:color w:val="000000" w:themeColor="text1"/>
                <w14:textFill>
                  <w14:solidFill>
                    <w14:schemeClr w14:val="tx1"/>
                  </w14:solidFill>
                </w14:textFill>
              </w:rPr>
            </w:pPr>
            <w:r>
              <w:rPr>
                <w:color w:val="000000" w:themeColor="text1"/>
                <w:sz w:val="21"/>
                <w:szCs w:val="21"/>
                <w14:textFill>
                  <w14:solidFill>
                    <w14:schemeClr w14:val="tx1"/>
                  </w14:solidFill>
                </w14:textFill>
              </w:rPr>
              <w:t>危险废物执行《危险废物贮存污染控制标准》</w:t>
            </w:r>
            <w:r>
              <w:rPr>
                <w:rFonts w:hint="eastAsia"/>
                <w:color w:val="000000" w:themeColor="text1"/>
                <w:sz w:val="21"/>
                <w:szCs w:val="21"/>
                <w:lang w:eastAsia="zh-CN"/>
                <w14:textFill>
                  <w14:solidFill>
                    <w14:schemeClr w14:val="tx1"/>
                  </w14:solidFill>
                </w14:textFill>
              </w:rPr>
              <w:t>（GB18597—2023）</w:t>
            </w:r>
            <w:r>
              <w:rPr>
                <w:rFonts w:hint="eastAsia"/>
                <w:color w:val="000000" w:themeColor="text1"/>
                <w:sz w:val="21"/>
                <w:szCs w:val="21"/>
                <w:lang w:val="en-US" w:eastAsia="zh-CN"/>
                <w14:textFill>
                  <w14:solidFill>
                    <w14:schemeClr w14:val="tx1"/>
                  </w14:solidFill>
                </w14:textFill>
              </w:rPr>
              <w:t>及《危险废物识别标志设置技术规范》（HJ1276—2022）的标准要求</w:t>
            </w:r>
            <w:r>
              <w:rPr>
                <w:color w:val="000000" w:themeColor="text1"/>
                <w:sz w:val="21"/>
                <w:szCs w:val="21"/>
                <w14:textFill>
                  <w14:solidFill>
                    <w14:schemeClr w14:val="tx1"/>
                  </w14:solidFill>
                </w14:textFill>
              </w:rPr>
              <w:t>。</w:t>
            </w:r>
            <w:bookmarkEnd w:id="20"/>
          </w:p>
        </w:tc>
      </w:tr>
      <w:tr w14:paraId="6B3690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75" w:hRule="atLeast"/>
          <w:jc w:val="center"/>
        </w:trPr>
        <w:tc>
          <w:tcPr>
            <w:tcW w:w="800" w:type="dxa"/>
            <w:noWrap w:val="0"/>
            <w:vAlign w:val="center"/>
          </w:tcPr>
          <w:p w14:paraId="6B32FE41">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总量</w:t>
            </w:r>
          </w:p>
          <w:p w14:paraId="3686C9C9">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控制</w:t>
            </w:r>
          </w:p>
          <w:p w14:paraId="218D72A1">
            <w:pPr>
              <w:adjustRightInd w:val="0"/>
              <w:snapToGrid w:val="0"/>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指标</w:t>
            </w:r>
          </w:p>
        </w:tc>
        <w:tc>
          <w:tcPr>
            <w:tcW w:w="8190" w:type="dxa"/>
            <w:noWrap w:val="0"/>
            <w:vAlign w:val="center"/>
          </w:tcPr>
          <w:p w14:paraId="4A7EA07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cs="Times New Roman"/>
                <w:color w:val="000000" w:themeColor="text1"/>
                <w:sz w:val="21"/>
                <w:szCs w:val="21"/>
                <w:lang w:val="en-US" w:eastAsia="zh-CN"/>
                <w14:textFill>
                  <w14:solidFill>
                    <w14:schemeClr w14:val="tx1"/>
                  </w14:solidFill>
                </w14:textFill>
              </w:rPr>
            </w:pPr>
          </w:p>
          <w:p w14:paraId="26545D4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cs="Times New Roman"/>
                <w:color w:val="000000" w:themeColor="text1"/>
                <w:sz w:val="21"/>
                <w:szCs w:val="21"/>
                <w:lang w:val="en-US" w:eastAsia="zh-CN"/>
                <w14:textFill>
                  <w14:solidFill>
                    <w14:schemeClr w14:val="tx1"/>
                  </w14:solidFill>
                </w14:textFill>
              </w:rPr>
            </w:pPr>
          </w:p>
          <w:p w14:paraId="1426F80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cs="Times New Roman"/>
                <w:color w:val="000000" w:themeColor="text1"/>
                <w:sz w:val="21"/>
                <w:szCs w:val="21"/>
                <w:lang w:val="en-US" w:eastAsia="zh-CN"/>
                <w14:textFill>
                  <w14:solidFill>
                    <w14:schemeClr w14:val="tx1"/>
                  </w14:solidFill>
                </w14:textFill>
              </w:rPr>
            </w:pPr>
          </w:p>
          <w:p w14:paraId="533817D4">
            <w:pPr>
              <w:pStyle w:val="23"/>
              <w:rPr>
                <w:rFonts w:hint="eastAsia" w:cs="Times New Roman"/>
                <w:color w:val="000000" w:themeColor="text1"/>
                <w:sz w:val="21"/>
                <w:szCs w:val="21"/>
                <w:lang w:val="en-US" w:eastAsia="zh-CN"/>
                <w14:textFill>
                  <w14:solidFill>
                    <w14:schemeClr w14:val="tx1"/>
                  </w14:solidFill>
                </w14:textFill>
              </w:rPr>
            </w:pPr>
          </w:p>
          <w:p w14:paraId="1BE53D45">
            <w:pPr>
              <w:pStyle w:val="23"/>
              <w:rPr>
                <w:rFonts w:hint="eastAsia" w:cs="Times New Roman"/>
                <w:color w:val="000000" w:themeColor="text1"/>
                <w:sz w:val="21"/>
                <w:szCs w:val="21"/>
                <w:lang w:val="en-US" w:eastAsia="zh-CN"/>
                <w14:textFill>
                  <w14:solidFill>
                    <w14:schemeClr w14:val="tx1"/>
                  </w14:solidFill>
                </w14:textFill>
              </w:rPr>
            </w:pPr>
          </w:p>
          <w:p w14:paraId="559085FF">
            <w:pPr>
              <w:pStyle w:val="23"/>
              <w:rPr>
                <w:rFonts w:hint="eastAsia" w:cs="Times New Roman"/>
                <w:color w:val="000000" w:themeColor="text1"/>
                <w:sz w:val="21"/>
                <w:szCs w:val="21"/>
                <w:lang w:val="en-US" w:eastAsia="zh-CN"/>
                <w14:textFill>
                  <w14:solidFill>
                    <w14:schemeClr w14:val="tx1"/>
                  </w14:solidFill>
                </w14:textFill>
              </w:rPr>
            </w:pPr>
          </w:p>
          <w:p w14:paraId="231145B6">
            <w:pPr>
              <w:pStyle w:val="23"/>
              <w:rPr>
                <w:rFonts w:hint="eastAsia" w:cs="Times New Roman"/>
                <w:color w:val="000000" w:themeColor="text1"/>
                <w:sz w:val="21"/>
                <w:szCs w:val="21"/>
                <w:lang w:val="en-US" w:eastAsia="zh-CN"/>
                <w14:textFill>
                  <w14:solidFill>
                    <w14:schemeClr w14:val="tx1"/>
                  </w14:solidFill>
                </w14:textFill>
              </w:rPr>
            </w:pPr>
          </w:p>
          <w:p w14:paraId="6923D94C">
            <w:pPr>
              <w:adjustRightInd w:val="0"/>
              <w:snapToGrid w:val="0"/>
              <w:spacing w:line="360" w:lineRule="auto"/>
              <w:ind w:firstLine="420" w:firstLineChars="200"/>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根据“十四五”</w:t>
            </w:r>
            <w:r>
              <w:rPr>
                <w:rFonts w:hint="eastAsia"/>
                <w:color w:val="000000" w:themeColor="text1"/>
                <w:sz w:val="21"/>
                <w:szCs w:val="21"/>
                <w:lang w:val="en-US" w:eastAsia="zh-CN"/>
                <w14:textFill>
                  <w14:solidFill>
                    <w14:schemeClr w14:val="tx1"/>
                  </w14:solidFill>
                </w14:textFill>
              </w:rPr>
              <w:t>规划</w:t>
            </w:r>
            <w:r>
              <w:rPr>
                <w:rFonts w:hint="eastAsia"/>
                <w:color w:val="000000" w:themeColor="text1"/>
                <w:sz w:val="21"/>
                <w:szCs w:val="21"/>
                <w14:textFill>
                  <w14:solidFill>
                    <w14:schemeClr w14:val="tx1"/>
                  </w14:solidFill>
                </w14:textFill>
              </w:rPr>
              <w:t>节能减排综合工作方案实施期间国家对VOCs、NOx、COD、NH</w:t>
            </w:r>
            <w:r>
              <w:rPr>
                <w:rFonts w:hint="eastAsia"/>
                <w:color w:val="000000" w:themeColor="text1"/>
                <w:sz w:val="21"/>
                <w:szCs w:val="21"/>
                <w:vertAlign w:val="subscript"/>
                <w14:textFill>
                  <w14:solidFill>
                    <w14:schemeClr w14:val="tx1"/>
                  </w14:solidFill>
                </w14:textFill>
              </w:rPr>
              <w:t>3</w:t>
            </w:r>
            <w:r>
              <w:rPr>
                <w:rFonts w:hint="eastAsia"/>
                <w:color w:val="000000" w:themeColor="text1"/>
                <w:sz w:val="21"/>
                <w:szCs w:val="21"/>
                <w14:textFill>
                  <w14:solidFill>
                    <w14:schemeClr w14:val="tx1"/>
                  </w14:solidFill>
                </w14:textFill>
              </w:rPr>
              <w:t>-N</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4种主要污染物实行排放总量控制计划管理</w:t>
            </w:r>
            <w:r>
              <w:rPr>
                <w:rFonts w:hint="eastAsia"/>
                <w:color w:val="000000" w:themeColor="text1"/>
                <w:sz w:val="21"/>
                <w:szCs w:val="21"/>
                <w:lang w:eastAsia="zh-CN"/>
                <w14:textFill>
                  <w14:solidFill>
                    <w14:schemeClr w14:val="tx1"/>
                  </w14:solidFill>
                </w14:textFill>
              </w:rPr>
              <w:t>。</w:t>
            </w:r>
          </w:p>
          <w:p w14:paraId="46ACD977">
            <w:pPr>
              <w:ind w:firstLine="420" w:firstLineChars="200"/>
              <w:rPr>
                <w:rFonts w:hint="eastAsia"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eastAsia="zh-CN"/>
                <w14:textFill>
                  <w14:solidFill>
                    <w14:schemeClr w14:val="tx1"/>
                  </w14:solidFill>
                </w14:textFill>
              </w:rPr>
              <w:t>根据本项目特点</w:t>
            </w:r>
            <w:r>
              <w:rPr>
                <w:rFonts w:hint="eastAsia"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cs="Times New Roman"/>
                <w:color w:val="000000" w:themeColor="text1"/>
                <w:sz w:val="21"/>
                <w:szCs w:val="21"/>
                <w:highlight w:val="none"/>
                <w:lang w:eastAsia="zh-CN"/>
                <w14:textFill>
                  <w14:solidFill>
                    <w14:schemeClr w14:val="tx1"/>
                  </w14:solidFill>
                </w14:textFill>
              </w:rPr>
              <w:t>本项目</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污染物不涉及总量控制指标</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p>
          <w:p w14:paraId="189B59BC">
            <w:pPr>
              <w:pStyle w:val="18"/>
              <w:rPr>
                <w:rFonts w:hint="eastAsia" w:cs="Times New Roman"/>
                <w:color w:val="000000" w:themeColor="text1"/>
                <w:sz w:val="21"/>
                <w:szCs w:val="21"/>
                <w:lang w:val="en-US" w:eastAsia="zh-CN"/>
                <w14:textFill>
                  <w14:solidFill>
                    <w14:schemeClr w14:val="tx1"/>
                  </w14:solidFill>
                </w14:textFill>
              </w:rPr>
            </w:pPr>
          </w:p>
          <w:p w14:paraId="12977AA7">
            <w:pPr>
              <w:pStyle w:val="18"/>
              <w:rPr>
                <w:rFonts w:hint="eastAsia" w:cs="Times New Roman"/>
                <w:color w:val="000000" w:themeColor="text1"/>
                <w:sz w:val="21"/>
                <w:szCs w:val="21"/>
                <w:lang w:val="en-US" w:eastAsia="zh-CN"/>
                <w14:textFill>
                  <w14:solidFill>
                    <w14:schemeClr w14:val="tx1"/>
                  </w14:solidFill>
                </w14:textFill>
              </w:rPr>
            </w:pPr>
          </w:p>
          <w:p w14:paraId="65885E9B">
            <w:pPr>
              <w:rPr>
                <w:rFonts w:hint="eastAsia" w:cs="Times New Roman"/>
                <w:color w:val="000000" w:themeColor="text1"/>
                <w:sz w:val="21"/>
                <w:szCs w:val="21"/>
                <w:lang w:val="en-US" w:eastAsia="zh-CN"/>
                <w14:textFill>
                  <w14:solidFill>
                    <w14:schemeClr w14:val="tx1"/>
                  </w14:solidFill>
                </w14:textFill>
              </w:rPr>
            </w:pPr>
          </w:p>
          <w:p w14:paraId="109137C7">
            <w:pPr>
              <w:pStyle w:val="23"/>
              <w:rPr>
                <w:rFonts w:hint="eastAsia" w:cs="Times New Roman"/>
                <w:color w:val="000000" w:themeColor="text1"/>
                <w:sz w:val="21"/>
                <w:szCs w:val="21"/>
                <w:lang w:val="en-US" w:eastAsia="zh-CN"/>
                <w14:textFill>
                  <w14:solidFill>
                    <w14:schemeClr w14:val="tx1"/>
                  </w14:solidFill>
                </w14:textFill>
              </w:rPr>
            </w:pPr>
          </w:p>
          <w:p w14:paraId="7D136635">
            <w:pPr>
              <w:pStyle w:val="23"/>
              <w:rPr>
                <w:rFonts w:hint="eastAsia" w:cs="Times New Roman"/>
                <w:color w:val="000000" w:themeColor="text1"/>
                <w:sz w:val="21"/>
                <w:szCs w:val="21"/>
                <w:lang w:val="en-US" w:eastAsia="zh-CN"/>
                <w14:textFill>
                  <w14:solidFill>
                    <w14:schemeClr w14:val="tx1"/>
                  </w14:solidFill>
                </w14:textFill>
              </w:rPr>
            </w:pPr>
          </w:p>
          <w:p w14:paraId="5AC40E27">
            <w:pPr>
              <w:pStyle w:val="23"/>
              <w:rPr>
                <w:rFonts w:hint="eastAsia" w:cs="Times New Roman"/>
                <w:color w:val="000000" w:themeColor="text1"/>
                <w:sz w:val="21"/>
                <w:szCs w:val="21"/>
                <w:lang w:val="en-US" w:eastAsia="zh-CN"/>
                <w14:textFill>
                  <w14:solidFill>
                    <w14:schemeClr w14:val="tx1"/>
                  </w14:solidFill>
                </w14:textFill>
              </w:rPr>
            </w:pPr>
          </w:p>
          <w:p w14:paraId="6A60F8B9">
            <w:pPr>
              <w:pStyle w:val="23"/>
              <w:rPr>
                <w:rFonts w:hint="eastAsia" w:cs="Times New Roman"/>
                <w:color w:val="000000" w:themeColor="text1"/>
                <w:sz w:val="21"/>
                <w:szCs w:val="21"/>
                <w:lang w:val="en-US" w:eastAsia="zh-CN"/>
                <w14:textFill>
                  <w14:solidFill>
                    <w14:schemeClr w14:val="tx1"/>
                  </w14:solidFill>
                </w14:textFill>
              </w:rPr>
            </w:pPr>
          </w:p>
          <w:p w14:paraId="723BA2CD">
            <w:pPr>
              <w:rPr>
                <w:rFonts w:hint="eastAsia" w:cs="Times New Roman"/>
                <w:color w:val="000000" w:themeColor="text1"/>
                <w:sz w:val="21"/>
                <w:szCs w:val="21"/>
                <w:lang w:val="en-US" w:eastAsia="zh-CN"/>
                <w14:textFill>
                  <w14:solidFill>
                    <w14:schemeClr w14:val="tx1"/>
                  </w14:solidFill>
                </w14:textFill>
              </w:rPr>
            </w:pPr>
          </w:p>
          <w:p w14:paraId="317EDFE7">
            <w:pPr>
              <w:rPr>
                <w:rFonts w:hint="eastAsia" w:cs="Times New Roman"/>
                <w:color w:val="000000" w:themeColor="text1"/>
                <w:sz w:val="21"/>
                <w:szCs w:val="21"/>
                <w:lang w:val="en-US" w:eastAsia="zh-CN"/>
                <w14:textFill>
                  <w14:solidFill>
                    <w14:schemeClr w14:val="tx1"/>
                  </w14:solidFill>
                </w14:textFill>
              </w:rPr>
            </w:pPr>
          </w:p>
          <w:p w14:paraId="7D539C3D">
            <w:pPr>
              <w:pStyle w:val="18"/>
              <w:ind w:left="0" w:leftChars="0" w:firstLine="0" w:firstLineChars="0"/>
              <w:rPr>
                <w:rFonts w:hint="eastAsia" w:cs="Times New Roman"/>
                <w:color w:val="000000" w:themeColor="text1"/>
                <w:sz w:val="21"/>
                <w:szCs w:val="21"/>
                <w:lang w:val="en-US" w:eastAsia="zh-CN"/>
                <w14:textFill>
                  <w14:solidFill>
                    <w14:schemeClr w14:val="tx1"/>
                  </w14:solidFill>
                </w14:textFill>
              </w:rPr>
            </w:pPr>
          </w:p>
          <w:p w14:paraId="174DE7F0">
            <w:pPr>
              <w:rPr>
                <w:rFonts w:hint="default"/>
                <w:color w:val="000000" w:themeColor="text1"/>
                <w:lang w:val="en-US"/>
                <w14:textFill>
                  <w14:solidFill>
                    <w14:schemeClr w14:val="tx1"/>
                  </w14:solidFill>
                </w14:textFill>
              </w:rPr>
            </w:pPr>
          </w:p>
        </w:tc>
      </w:tr>
    </w:tbl>
    <w:p w14:paraId="4927BF44">
      <w:pPr>
        <w:pStyle w:val="20"/>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6"/>
          <w:szCs w:val="36"/>
          <w14:textFill>
            <w14:solidFill>
              <w14:schemeClr w14:val="tx1"/>
            </w14:solidFill>
          </w14:textFill>
        </w:rPr>
        <w:br w:type="page"/>
      </w:r>
      <w:r>
        <w:rPr>
          <w:rFonts w:hint="default" w:ascii="Times New Roman" w:hAnsi="Times New Roman" w:eastAsia="黑体" w:cs="Times New Roman"/>
          <w:snapToGrid w:val="0"/>
          <w:color w:val="000000" w:themeColor="text1"/>
          <w:sz w:val="30"/>
          <w:szCs w:val="30"/>
          <w14:textFill>
            <w14:solidFill>
              <w14:schemeClr w14:val="tx1"/>
            </w14:solidFill>
          </w14:textFill>
        </w:rPr>
        <w:t>四、主要环境影响和保护措施</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8279"/>
      </w:tblGrid>
      <w:tr w14:paraId="43328F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746" w:type="dxa"/>
            <w:noWrap w:val="0"/>
            <w:tcMar>
              <w:left w:w="28" w:type="dxa"/>
              <w:right w:w="28" w:type="dxa"/>
            </w:tcMar>
            <w:vAlign w:val="center"/>
          </w:tcPr>
          <w:p w14:paraId="1D3A0ABA">
            <w:pPr>
              <w:pStyle w:val="20"/>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施工</w:t>
            </w:r>
          </w:p>
          <w:p w14:paraId="0BF80505">
            <w:pPr>
              <w:pStyle w:val="20"/>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期环</w:t>
            </w:r>
          </w:p>
          <w:p w14:paraId="395543D5">
            <w:pPr>
              <w:pStyle w:val="20"/>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境保</w:t>
            </w:r>
          </w:p>
          <w:p w14:paraId="31F8D57C">
            <w:pPr>
              <w:pStyle w:val="20"/>
              <w:adjustRightInd w:val="0"/>
              <w:snapToGrid w:val="0"/>
              <w:spacing w:before="0" w:beforeAutospacing="0" w:after="0" w:afterAutospacing="0"/>
              <w:jc w:val="center"/>
              <w:rPr>
                <w:rFonts w:hint="default" w:ascii="Times New Roman" w:hAnsi="Times New Roman" w:cs="Times New Roman"/>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护措</w:t>
            </w:r>
          </w:p>
          <w:p w14:paraId="1200E9F7">
            <w:pPr>
              <w:pStyle w:val="20"/>
              <w:adjustRightInd w:val="0"/>
              <w:snapToGrid w:val="0"/>
              <w:spacing w:before="0" w:beforeAutospacing="0" w:after="0" w:afterAutospacing="0"/>
              <w:jc w:val="center"/>
              <w:rPr>
                <w:rFonts w:hint="default" w:ascii="Times New Roman" w:hAnsi="Times New Roman" w:cs="Times New Roman"/>
                <w:bCs/>
                <w:color w:val="000000" w:themeColor="text1"/>
                <w:kern w:val="2"/>
                <w:sz w:val="21"/>
                <w:szCs w:val="21"/>
                <w14:textFill>
                  <w14:solidFill>
                    <w14:schemeClr w14:val="tx1"/>
                  </w14:solidFill>
                </w14:textFill>
              </w:rPr>
            </w:pPr>
            <w:r>
              <w:rPr>
                <w:rFonts w:hint="default" w:ascii="Times New Roman" w:hAnsi="Times New Roman" w:cs="Times New Roman"/>
                <w:color w:val="000000" w:themeColor="text1"/>
                <w:kern w:val="2"/>
                <w:sz w:val="21"/>
                <w:szCs w:val="21"/>
                <w14:textFill>
                  <w14:solidFill>
                    <w14:schemeClr w14:val="tx1"/>
                  </w14:solidFill>
                </w14:textFill>
              </w:rPr>
              <w:t>施</w:t>
            </w:r>
          </w:p>
        </w:tc>
        <w:tc>
          <w:tcPr>
            <w:tcW w:w="8162" w:type="dxa"/>
            <w:noWrap w:val="0"/>
            <w:vAlign w:val="center"/>
          </w:tcPr>
          <w:p w14:paraId="5C9FC563">
            <w:pPr>
              <w:adjustRightInd w:val="0"/>
              <w:snapToGrid w:val="0"/>
              <w:spacing w:line="360" w:lineRule="auto"/>
              <w:ind w:firstLine="420" w:firstLineChars="20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根据现场勘查</w:t>
            </w:r>
            <w:r>
              <w:rPr>
                <w:rFonts w:hint="eastAsia" w:cs="Times New Roman"/>
                <w:color w:val="000000" w:themeColor="text1"/>
                <w:kern w:val="2"/>
                <w:sz w:val="21"/>
                <w:szCs w:val="21"/>
                <w:lang w:val="en-US" w:eastAsia="zh-CN" w:bidi="ar-SA"/>
                <w14:textFill>
                  <w14:solidFill>
                    <w14:schemeClr w14:val="tx1"/>
                  </w14:solidFill>
                </w14:textFill>
              </w:rPr>
              <w:t>，</w:t>
            </w: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本项目租赁</w:t>
            </w:r>
            <w:r>
              <w:rPr>
                <w:rFonts w:hint="eastAsia" w:cs="Times New Roman"/>
                <w:color w:val="000000" w:themeColor="text1"/>
                <w:sz w:val="21"/>
                <w:szCs w:val="21"/>
                <w:lang w:val="en-US" w:eastAsia="zh-CN"/>
                <w14:textFill>
                  <w14:solidFill>
                    <w14:schemeClr w14:val="tx1"/>
                  </w14:solidFill>
                </w14:textFill>
              </w:rPr>
              <w:t>宝鸡得力隆纺织有限公司</w:t>
            </w: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现有</w:t>
            </w:r>
            <w:r>
              <w:rPr>
                <w:rFonts w:hint="eastAsia" w:cs="Times New Roman"/>
                <w:color w:val="000000" w:themeColor="text1"/>
                <w:kern w:val="2"/>
                <w:sz w:val="21"/>
                <w:szCs w:val="21"/>
                <w:lang w:val="en-US" w:eastAsia="zh-CN" w:bidi="ar-SA"/>
                <w14:textFill>
                  <w14:solidFill>
                    <w14:schemeClr w14:val="tx1"/>
                  </w14:solidFill>
                </w14:textFill>
              </w:rPr>
              <w:t>标准化1#厂房，</w:t>
            </w:r>
            <w:r>
              <w:rPr>
                <w:rFonts w:hint="eastAsia" w:ascii="Times New Roman" w:hAnsi="Times New Roman" w:cs="Times New Roman"/>
                <w:color w:val="000000" w:themeColor="text1"/>
                <w:kern w:val="2"/>
                <w:sz w:val="21"/>
                <w:szCs w:val="21"/>
                <w:lang w:val="en-US" w:eastAsia="zh-CN" w:bidi="ar-SA"/>
                <w14:textFill>
                  <w14:solidFill>
                    <w14:schemeClr w14:val="tx1"/>
                  </w14:solidFill>
                </w14:textFill>
              </w:rPr>
              <w:t>施工期工程内容主要是设备的安装和调试</w:t>
            </w:r>
            <w:r>
              <w:rPr>
                <w:rFonts w:hint="default" w:ascii="Times New Roman" w:hAnsi="Times New Roman" w:eastAsia="宋体" w:cs="Times New Roman"/>
                <w:color w:val="000000" w:themeColor="text1"/>
                <w:szCs w:val="21"/>
                <w14:textFill>
                  <w14:solidFill>
                    <w14:schemeClr w14:val="tx1"/>
                  </w14:solidFill>
                </w14:textFill>
              </w:rPr>
              <w:t>。</w:t>
            </w:r>
            <w:r>
              <w:rPr>
                <w:rFonts w:hint="eastAsia" w:cs="Times New Roman"/>
                <w:color w:val="000000" w:themeColor="text1"/>
                <w:szCs w:val="21"/>
                <w:lang w:val="en-US" w:eastAsia="zh-CN"/>
                <w14:textFill>
                  <w14:solidFill>
                    <w14:schemeClr w14:val="tx1"/>
                  </w14:solidFill>
                </w14:textFill>
              </w:rPr>
              <w:t>施工期</w:t>
            </w:r>
            <w:r>
              <w:rPr>
                <w:rFonts w:hint="default" w:ascii="Times New Roman" w:hAnsi="Times New Roman" w:eastAsia="宋体" w:cs="Times New Roman"/>
                <w:color w:val="000000" w:themeColor="text1"/>
                <w:szCs w:val="21"/>
                <w14:textFill>
                  <w14:solidFill>
                    <w14:schemeClr w14:val="tx1"/>
                  </w14:solidFill>
                </w14:textFill>
              </w:rPr>
              <w:t>主要污染有废气、噪声、废水以及固体废物。</w:t>
            </w:r>
          </w:p>
          <w:p w14:paraId="05410032">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360" w:lineRule="auto"/>
              <w:ind w:left="0" w:right="0" w:firstLine="422" w:firstLineChars="200"/>
              <w:textAlignment w:val="auto"/>
              <w:rPr>
                <w:rFonts w:hint="default" w:ascii="Times New Roman" w:hAnsi="Times New Roman" w:cs="Times New Roman"/>
                <w:b/>
                <w:bCs/>
                <w:color w:val="000000" w:themeColor="text1"/>
                <w:sz w:val="21"/>
                <w:szCs w:val="21"/>
                <w:lang w:val="en-US"/>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一、施工期废气保护措施</w:t>
            </w:r>
          </w:p>
          <w:p w14:paraId="44334E14">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Cs/>
                <w:color w:val="000000" w:themeColor="text1"/>
                <w14:textFill>
                  <w14:solidFill>
                    <w14:schemeClr w14:val="tx1"/>
                  </w14:solidFill>
                </w14:textFill>
              </w:rPr>
              <w:t>项目</w:t>
            </w:r>
            <w:r>
              <w:rPr>
                <w:rFonts w:hint="default" w:ascii="Times New Roman" w:hAnsi="Times New Roman" w:cs="Times New Roman"/>
                <w:bCs/>
                <w:color w:val="000000" w:themeColor="text1"/>
                <w:lang w:val="en-US" w:eastAsia="zh-CN"/>
                <w14:textFill>
                  <w14:solidFill>
                    <w14:schemeClr w14:val="tx1"/>
                  </w14:solidFill>
                </w14:textFill>
              </w:rPr>
              <w:t>利用已建厂房进行建设</w:t>
            </w:r>
            <w:r>
              <w:rPr>
                <w:rFonts w:hint="eastAsia" w:cs="Times New Roman"/>
                <w:bCs/>
                <w:color w:val="000000" w:themeColor="text1"/>
                <w:lang w:eastAsia="zh-CN"/>
                <w14:textFill>
                  <w14:solidFill>
                    <w14:schemeClr w14:val="tx1"/>
                  </w14:solidFill>
                </w14:textFill>
              </w:rPr>
              <w:t>，</w:t>
            </w:r>
            <w:r>
              <w:rPr>
                <w:rFonts w:hint="default" w:ascii="Times New Roman" w:hAnsi="Times New Roman" w:cs="Times New Roman"/>
                <w:bCs/>
                <w:color w:val="000000" w:themeColor="text1"/>
                <w14:textFill>
                  <w14:solidFill>
                    <w14:schemeClr w14:val="tx1"/>
                  </w14:solidFill>
                </w14:textFill>
              </w:rPr>
              <w:t>施工期主要为设备安装</w:t>
            </w:r>
            <w:r>
              <w:rPr>
                <w:rFonts w:hint="default" w:ascii="Times New Roman" w:hAnsi="Times New Roman" w:cs="Times New Roman"/>
                <w:bCs/>
                <w:color w:val="000000" w:themeColor="text1"/>
                <w:lang w:val="en-US" w:eastAsia="zh-CN"/>
                <w14:textFill>
                  <w14:solidFill>
                    <w14:schemeClr w14:val="tx1"/>
                  </w14:solidFill>
                </w14:textFill>
              </w:rPr>
              <w:t>和调试</w:t>
            </w:r>
            <w:r>
              <w:rPr>
                <w:rFonts w:hint="eastAsia" w:cs="Times New Roman"/>
                <w:bCs/>
                <w:color w:val="000000" w:themeColor="text1"/>
                <w:lang w:eastAsia="zh-CN"/>
                <w14:textFill>
                  <w14:solidFill>
                    <w14:schemeClr w14:val="tx1"/>
                  </w14:solidFill>
                </w14:textFill>
              </w:rPr>
              <w:t>，</w:t>
            </w:r>
            <w:r>
              <w:rPr>
                <w:rFonts w:hint="default" w:ascii="Times New Roman" w:hAnsi="Times New Roman" w:cs="Times New Roman"/>
                <w:bCs/>
                <w:color w:val="000000" w:themeColor="text1"/>
                <w14:textFill>
                  <w14:solidFill>
                    <w14:schemeClr w14:val="tx1"/>
                  </w14:solidFill>
                </w14:textFill>
              </w:rPr>
              <w:t>不涉及土方施工</w:t>
            </w:r>
            <w:r>
              <w:rPr>
                <w:rFonts w:hint="eastAsia" w:cs="Times New Roman"/>
                <w:bCs/>
                <w:color w:val="000000" w:themeColor="text1"/>
                <w:lang w:eastAsia="zh-CN"/>
                <w14:textFill>
                  <w14:solidFill>
                    <w14:schemeClr w14:val="tx1"/>
                  </w14:solidFill>
                </w14:textFill>
              </w:rPr>
              <w:t>，</w:t>
            </w:r>
            <w:r>
              <w:rPr>
                <w:rFonts w:hint="default" w:ascii="Times New Roman" w:hAnsi="Times New Roman" w:cs="Times New Roman"/>
                <w:bCs/>
                <w:color w:val="000000" w:themeColor="text1"/>
                <w14:textFill>
                  <w14:solidFill>
                    <w14:schemeClr w14:val="tx1"/>
                  </w14:solidFill>
                </w14:textFill>
              </w:rPr>
              <w:t>安装过程中需要进行少量焊接和切割作业</w:t>
            </w:r>
            <w:r>
              <w:rPr>
                <w:rFonts w:hint="eastAsia" w:cs="Times New Roman"/>
                <w:bCs/>
                <w:color w:val="000000" w:themeColor="text1"/>
                <w:lang w:eastAsia="zh-CN"/>
                <w14:textFill>
                  <w14:solidFill>
                    <w14:schemeClr w14:val="tx1"/>
                  </w14:solidFill>
                </w14:textFill>
              </w:rPr>
              <w:t>，</w:t>
            </w:r>
            <w:r>
              <w:rPr>
                <w:rFonts w:hint="default" w:ascii="Times New Roman" w:hAnsi="Times New Roman" w:cs="Times New Roman"/>
                <w:bCs/>
                <w:color w:val="000000" w:themeColor="text1"/>
                <w14:textFill>
                  <w14:solidFill>
                    <w14:schemeClr w14:val="tx1"/>
                  </w14:solidFill>
                </w14:textFill>
              </w:rPr>
              <w:t>评价要求施工材料焊接和切割在车间内进行</w:t>
            </w:r>
            <w:r>
              <w:rPr>
                <w:rFonts w:hint="eastAsia" w:cs="Times New Roman"/>
                <w:bCs/>
                <w:color w:val="000000" w:themeColor="text1"/>
                <w:lang w:eastAsia="zh-CN"/>
                <w14:textFill>
                  <w14:solidFill>
                    <w14:schemeClr w14:val="tx1"/>
                  </w14:solidFill>
                </w14:textFill>
              </w:rPr>
              <w:t>，</w:t>
            </w:r>
            <w:r>
              <w:rPr>
                <w:rFonts w:hint="default" w:ascii="Times New Roman" w:hAnsi="Times New Roman" w:cs="Times New Roman"/>
                <w:bCs/>
                <w:color w:val="000000" w:themeColor="text1"/>
                <w14:textFill>
                  <w14:solidFill>
                    <w14:schemeClr w14:val="tx1"/>
                  </w14:solidFill>
                </w14:textFill>
              </w:rPr>
              <w:t>不得露天焊接和切割。</w:t>
            </w:r>
            <w:r>
              <w:rPr>
                <w:rFonts w:hint="default" w:ascii="Times New Roman" w:hAnsi="Times New Roman" w:cs="Times New Roman"/>
                <w:color w:val="000000" w:themeColor="text1"/>
                <w:sz w:val="21"/>
                <w:szCs w:val="21"/>
                <w14:textFill>
                  <w14:solidFill>
                    <w14:schemeClr w14:val="tx1"/>
                  </w14:solidFill>
                </w14:textFill>
              </w:rPr>
              <w:t>随着施工期结束</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废气的影响将消失</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对周围环境影响也将消失。</w:t>
            </w:r>
          </w:p>
          <w:p w14:paraId="5E393A6E">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360" w:lineRule="auto"/>
              <w:ind w:left="0" w:right="0" w:firstLine="422" w:firstLineChars="200"/>
              <w:textAlignment w:val="auto"/>
              <w:rPr>
                <w:rFonts w:hint="default" w:ascii="Times New Roman" w:hAnsi="Times New Roman" w:cs="Times New Roman"/>
                <w:b/>
                <w:bCs/>
                <w:color w:val="000000" w:themeColor="text1"/>
                <w:sz w:val="21"/>
                <w:szCs w:val="21"/>
                <w:lang w:val="en-US"/>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二、施工期废水保护措施</w:t>
            </w:r>
          </w:p>
          <w:p w14:paraId="3241EB92">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w:t>
            </w:r>
            <w:r>
              <w:rPr>
                <w:rFonts w:hint="default" w:ascii="Times New Roman" w:hAnsi="Times New Roman" w:cs="Times New Roman"/>
                <w:color w:val="000000" w:themeColor="text1"/>
                <w:sz w:val="21"/>
                <w:szCs w:val="21"/>
                <w:lang w:val="en-US" w:eastAsia="zh-CN"/>
                <w14:textFill>
                  <w14:solidFill>
                    <w14:schemeClr w14:val="tx1"/>
                  </w14:solidFill>
                </w14:textFill>
              </w:rPr>
              <w:t>施工期</w:t>
            </w:r>
            <w:r>
              <w:rPr>
                <w:rFonts w:hint="default" w:ascii="Times New Roman" w:hAnsi="Times New Roman" w:cs="Times New Roman"/>
                <w:color w:val="000000" w:themeColor="text1"/>
                <w:sz w:val="21"/>
                <w:szCs w:val="21"/>
                <w14:textFill>
                  <w14:solidFill>
                    <w14:schemeClr w14:val="tx1"/>
                  </w14:solidFill>
                </w14:textFill>
              </w:rPr>
              <w:t>短</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施工人员少</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施工过程中人员产生的生活污水</w:t>
            </w:r>
            <w:r>
              <w:rPr>
                <w:rFonts w:hint="eastAsia" w:ascii="Times New Roman" w:hAnsi="Times New Roman" w:cs="Times New Roman"/>
                <w:color w:val="000000" w:themeColor="text1"/>
                <w:sz w:val="21"/>
                <w:szCs w:val="21"/>
                <w:lang w:val="en-US" w:eastAsia="zh-CN"/>
                <w14:textFill>
                  <w14:solidFill>
                    <w14:schemeClr w14:val="tx1"/>
                  </w14:solidFill>
                </w14:textFill>
              </w:rPr>
              <w:t>依托</w:t>
            </w:r>
            <w:r>
              <w:rPr>
                <w:rFonts w:hint="eastAsia" w:cs="Times New Roman"/>
                <w:color w:val="000000" w:themeColor="text1"/>
                <w:sz w:val="21"/>
                <w:szCs w:val="21"/>
                <w:lang w:val="en-US" w:eastAsia="zh-CN"/>
                <w14:textFill>
                  <w14:solidFill>
                    <w14:schemeClr w14:val="tx1"/>
                  </w14:solidFill>
                </w14:textFill>
              </w:rPr>
              <w:t>鸡得力隆纺织有限公司厂区内</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现有化粪池</w:t>
            </w:r>
            <w:r>
              <w:rPr>
                <w:rFonts w:hint="default" w:ascii="Times New Roman" w:hAnsi="Times New Roman" w:cs="Times New Roman"/>
                <w:color w:val="000000" w:themeColor="text1"/>
                <w:sz w:val="21"/>
                <w:szCs w:val="21"/>
                <w14:textFill>
                  <w14:solidFill>
                    <w14:schemeClr w14:val="tx1"/>
                  </w14:solidFill>
                </w14:textFill>
              </w:rPr>
              <w:t>处理</w:t>
            </w:r>
            <w:r>
              <w:rPr>
                <w:rFonts w:hint="default" w:ascii="Times New Roman" w:hAnsi="Times New Roman" w:cs="Times New Roman"/>
                <w:color w:val="000000" w:themeColor="text1"/>
                <w:sz w:val="21"/>
                <w:szCs w:val="21"/>
                <w:lang w:val="en-US" w:eastAsia="zh-CN"/>
                <w14:textFill>
                  <w14:solidFill>
                    <w14:schemeClr w14:val="tx1"/>
                  </w14:solidFill>
                </w14:textFill>
              </w:rPr>
              <w:t>后</w:t>
            </w:r>
            <w:r>
              <w:rPr>
                <w:rFonts w:hint="eastAsia" w:cs="Times New Roman"/>
                <w:color w:val="000000" w:themeColor="text1"/>
                <w:sz w:val="21"/>
                <w:szCs w:val="21"/>
                <w:lang w:val="en-US" w:eastAsia="zh-CN"/>
                <w14:textFill>
                  <w14:solidFill>
                    <w14:schemeClr w14:val="tx1"/>
                  </w14:solidFill>
                </w14:textFill>
              </w:rPr>
              <w:t>经市政污水管网排入</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宝鸡市陈仓金信安水务有限公司（宝鸡市陈仓区虢镇污水处理厂）</w:t>
            </w:r>
            <w:r>
              <w:rPr>
                <w:rFonts w:hint="eastAsia" w:cs="Times New Roman"/>
                <w:color w:val="000000" w:themeColor="text1"/>
                <w:sz w:val="21"/>
                <w:szCs w:val="21"/>
                <w:lang w:val="en-US" w:eastAsia="zh-CN"/>
                <w14:textFill>
                  <w14:solidFill>
                    <w14:schemeClr w14:val="tx1"/>
                  </w14:solidFill>
                </w14:textFill>
              </w:rPr>
              <w:t>处理</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对周围环境影响较小。</w:t>
            </w:r>
          </w:p>
          <w:p w14:paraId="496E862C">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360" w:lineRule="auto"/>
              <w:ind w:left="0" w:right="0" w:firstLine="422" w:firstLineChars="200"/>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三、施工期噪声保护措施</w:t>
            </w:r>
          </w:p>
          <w:p w14:paraId="699E1D7D">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根据类比调查</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施工</w:t>
            </w:r>
            <w:r>
              <w:rPr>
                <w:rFonts w:hint="default" w:ascii="Times New Roman" w:hAnsi="Times New Roman" w:cs="Times New Roman"/>
                <w:color w:val="000000" w:themeColor="text1"/>
                <w:sz w:val="21"/>
                <w:szCs w:val="21"/>
                <w14:textFill>
                  <w14:solidFill>
                    <w14:schemeClr w14:val="tx1"/>
                  </w14:solidFill>
                </w14:textFill>
              </w:rPr>
              <w:t>阶段主要噪声</w:t>
            </w:r>
            <w:r>
              <w:rPr>
                <w:rFonts w:hint="eastAsia" w:cs="Times New Roman"/>
                <w:color w:val="000000" w:themeColor="text1"/>
                <w:sz w:val="21"/>
                <w:szCs w:val="21"/>
                <w:lang w:eastAsia="zh-CN"/>
                <w14:textFill>
                  <w14:solidFill>
                    <w14:schemeClr w14:val="tx1"/>
                  </w14:solidFill>
                </w14:textFill>
              </w:rPr>
              <w:t>设备</w:t>
            </w:r>
            <w:r>
              <w:rPr>
                <w:rFonts w:hint="default" w:ascii="Times New Roman" w:hAnsi="Times New Roman" w:cs="Times New Roman"/>
                <w:color w:val="000000" w:themeColor="text1"/>
                <w:sz w:val="21"/>
                <w:szCs w:val="21"/>
                <w:lang w:val="en-US" w:eastAsia="zh-CN"/>
                <w14:textFill>
                  <w14:solidFill>
                    <w14:schemeClr w14:val="tx1"/>
                  </w14:solidFill>
                </w14:textFill>
              </w:rPr>
              <w:t>为</w:t>
            </w:r>
            <w:r>
              <w:rPr>
                <w:rFonts w:hint="default" w:ascii="Times New Roman" w:hAnsi="Times New Roman" w:cs="Times New Roman"/>
                <w:color w:val="000000" w:themeColor="text1"/>
                <w:sz w:val="21"/>
                <w:szCs w:val="21"/>
                <w14:textFill>
                  <w14:solidFill>
                    <w14:schemeClr w14:val="tx1"/>
                  </w14:solidFill>
                </w14:textFill>
              </w:rPr>
              <w:t>电锯和电钻</w:t>
            </w:r>
            <w:r>
              <w:rPr>
                <w:rFonts w:hint="default" w:ascii="Times New Roman" w:hAnsi="Times New Roman" w:cs="Times New Roman"/>
                <w:color w:val="000000" w:themeColor="text1"/>
                <w:sz w:val="21"/>
                <w:szCs w:val="21"/>
                <w:lang w:val="en-US" w:eastAsia="zh-CN"/>
                <w14:textFill>
                  <w14:solidFill>
                    <w14:schemeClr w14:val="tx1"/>
                  </w14:solidFill>
                </w14:textFill>
              </w:rPr>
              <w:t>等施工设备</w:t>
            </w:r>
            <w:r>
              <w:rPr>
                <w:rFonts w:hint="eastAsia"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eastAsia="zh-CN"/>
                <w14:textFill>
                  <w14:solidFill>
                    <w14:schemeClr w14:val="tx1"/>
                  </w14:solidFill>
                </w14:textFill>
              </w:rPr>
              <w:t>环评建议</w:t>
            </w:r>
            <w:r>
              <w:rPr>
                <w:rFonts w:hint="default" w:ascii="Times New Roman" w:hAnsi="Times New Roman" w:cs="Times New Roman"/>
                <w:color w:val="000000" w:themeColor="text1"/>
                <w:sz w:val="21"/>
                <w:szCs w:val="21"/>
                <w14:textFill>
                  <w14:solidFill>
                    <w14:schemeClr w14:val="tx1"/>
                  </w14:solidFill>
                </w14:textFill>
              </w:rPr>
              <w:t>建设单位合理安排施工进度和作业时间</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对电锯和电钻噪声设备应采取相应的限时作业；合理安排电锯和电钻的安放位置</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并采取基础减振以减小对周围</w:t>
            </w:r>
            <w:r>
              <w:rPr>
                <w:rFonts w:hint="default" w:ascii="Times New Roman" w:hAnsi="Times New Roman" w:cs="Times New Roman"/>
                <w:color w:val="000000" w:themeColor="text1"/>
                <w:sz w:val="21"/>
                <w:szCs w:val="21"/>
                <w:lang w:val="en-US" w:eastAsia="zh-CN"/>
                <w14:textFill>
                  <w14:solidFill>
                    <w14:schemeClr w14:val="tx1"/>
                  </w14:solidFill>
                </w14:textFill>
              </w:rPr>
              <w:t>居民</w:t>
            </w:r>
            <w:r>
              <w:rPr>
                <w:rFonts w:hint="default" w:ascii="Times New Roman" w:hAnsi="Times New Roman" w:cs="Times New Roman"/>
                <w:color w:val="000000" w:themeColor="text1"/>
                <w:sz w:val="21"/>
                <w:szCs w:val="21"/>
                <w14:textFill>
                  <w14:solidFill>
                    <w14:schemeClr w14:val="tx1"/>
                  </w14:solidFill>
                </w14:textFill>
              </w:rPr>
              <w:t>的影响。</w:t>
            </w:r>
          </w:p>
          <w:p w14:paraId="3DE8ED7A">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360" w:lineRule="auto"/>
              <w:ind w:left="0" w:right="0" w:firstLine="422" w:firstLineChars="200"/>
              <w:textAlignment w:val="auto"/>
              <w:rPr>
                <w:rFonts w:hint="default" w:ascii="Times New Roman" w:hAnsi="Times New Roman" w:cs="Times New Roman"/>
                <w:b/>
                <w:bCs/>
                <w:color w:val="000000" w:themeColor="text1"/>
                <w:sz w:val="21"/>
                <w:szCs w:val="21"/>
                <w:lang w:val="en-US"/>
                <w14:textFill>
                  <w14:solidFill>
                    <w14:schemeClr w14:val="tx1"/>
                  </w14:solidFill>
                </w14:textFill>
              </w:rPr>
            </w:pPr>
            <w:r>
              <w:rPr>
                <w:rFonts w:hint="default" w:ascii="Times New Roman" w:hAnsi="Times New Roman" w:cs="Times New Roman"/>
                <w:b/>
                <w:bCs w:val="0"/>
                <w:color w:val="000000" w:themeColor="text1"/>
                <w:sz w:val="21"/>
                <w:szCs w:val="21"/>
                <w:lang w:val="en-US" w:eastAsia="zh-CN"/>
                <w14:textFill>
                  <w14:solidFill>
                    <w14:schemeClr w14:val="tx1"/>
                  </w14:solidFill>
                </w14:textFill>
              </w:rPr>
              <w:t>四、施工期</w:t>
            </w:r>
            <w:r>
              <w:rPr>
                <w:rFonts w:hint="default" w:ascii="Times New Roman" w:hAnsi="Times New Roman" w:cs="Times New Roman"/>
                <w:b/>
                <w:bCs w:val="0"/>
                <w:color w:val="000000" w:themeColor="text1"/>
                <w:sz w:val="21"/>
                <w:szCs w:val="21"/>
                <w14:textFill>
                  <w14:solidFill>
                    <w14:schemeClr w14:val="tx1"/>
                  </w14:solidFill>
                </w14:textFill>
              </w:rPr>
              <w:t>固体废物</w:t>
            </w:r>
            <w:r>
              <w:rPr>
                <w:rFonts w:hint="default" w:ascii="Times New Roman" w:hAnsi="Times New Roman" w:cs="Times New Roman"/>
                <w:b/>
                <w:bCs/>
                <w:color w:val="000000" w:themeColor="text1"/>
                <w:sz w:val="21"/>
                <w:szCs w:val="21"/>
                <w:lang w:val="en-US" w:eastAsia="zh-CN"/>
                <w14:textFill>
                  <w14:solidFill>
                    <w14:schemeClr w14:val="tx1"/>
                  </w14:solidFill>
                </w14:textFill>
              </w:rPr>
              <w:t>保护措施</w:t>
            </w:r>
          </w:p>
          <w:p w14:paraId="7632523B">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项目施工过程中产生的固体废物主要为</w:t>
            </w:r>
            <w:r>
              <w:rPr>
                <w:rFonts w:hint="default" w:ascii="Times New Roman" w:hAnsi="Times New Roman" w:cs="Times New Roman"/>
                <w:color w:val="000000" w:themeColor="text1"/>
                <w:szCs w:val="21"/>
                <w14:textFill>
                  <w14:solidFill>
                    <w14:schemeClr w14:val="tx1"/>
                  </w14:solidFill>
                </w14:textFill>
              </w:rPr>
              <w:t>施工材料切割废料</w:t>
            </w:r>
            <w:r>
              <w:rPr>
                <w:rFonts w:hint="default" w:ascii="Times New Roman" w:hAnsi="Times New Roman" w:cs="Times New Roman"/>
                <w:bCs/>
                <w:color w:val="000000" w:themeColor="text1"/>
                <w:sz w:val="21"/>
                <w:szCs w:val="21"/>
                <w14:textFill>
                  <w14:solidFill>
                    <w14:schemeClr w14:val="tx1"/>
                  </w14:solidFill>
                </w14:textFill>
              </w:rPr>
              <w:t>及施工人员的生活</w:t>
            </w:r>
            <w:r>
              <w:rPr>
                <w:rFonts w:hint="default" w:ascii="Times New Roman" w:hAnsi="Times New Roman" w:cs="Times New Roman"/>
                <w:bCs/>
                <w:color w:val="000000" w:themeColor="text1"/>
                <w:sz w:val="21"/>
                <w:szCs w:val="21"/>
                <w:lang w:val="en-US" w:eastAsia="zh-CN"/>
                <w14:textFill>
                  <w14:solidFill>
                    <w14:schemeClr w14:val="tx1"/>
                  </w14:solidFill>
                </w14:textFill>
              </w:rPr>
              <w:t>垃圾</w:t>
            </w:r>
            <w:r>
              <w:rPr>
                <w:rFonts w:hint="eastAsia" w:cs="Times New Roman"/>
                <w:bCs/>
                <w:color w:val="000000" w:themeColor="text1"/>
                <w:sz w:val="21"/>
                <w:szCs w:val="21"/>
                <w:lang w:val="en-US" w:eastAsia="zh-CN"/>
                <w14:textFill>
                  <w14:solidFill>
                    <w14:schemeClr w14:val="tx1"/>
                  </w14:solidFill>
                </w14:textFill>
              </w:rPr>
              <w:t>，</w:t>
            </w:r>
            <w:r>
              <w:rPr>
                <w:rFonts w:hint="default" w:ascii="Times New Roman" w:hAnsi="Times New Roman" w:cs="Times New Roman"/>
                <w:bCs/>
                <w:color w:val="000000" w:themeColor="text1"/>
                <w:sz w:val="21"/>
                <w:szCs w:val="21"/>
                <w:lang w:val="en-US" w:eastAsia="zh-CN"/>
                <w14:textFill>
                  <w14:solidFill>
                    <w14:schemeClr w14:val="tx1"/>
                  </w14:solidFill>
                </w14:textFill>
              </w:rPr>
              <w:t>其中</w:t>
            </w:r>
            <w:r>
              <w:rPr>
                <w:rFonts w:hint="default" w:ascii="Times New Roman" w:hAnsi="Times New Roman" w:cs="Times New Roman"/>
                <w:color w:val="000000" w:themeColor="text1"/>
                <w:sz w:val="21"/>
                <w:szCs w:val="21"/>
                <w14:textFill>
                  <w14:solidFill>
                    <w14:schemeClr w14:val="tx1"/>
                  </w14:solidFill>
                </w14:textFill>
              </w:rPr>
              <w:t>施工期生活垃圾</w:t>
            </w:r>
            <w:r>
              <w:rPr>
                <w:rFonts w:hint="default" w:ascii="Times New Roman" w:hAnsi="Times New Roman" w:cs="Times New Roman"/>
                <w:color w:val="000000" w:themeColor="text1"/>
                <w:szCs w:val="21"/>
                <w14:textFill>
                  <w14:solidFill>
                    <w14:schemeClr w14:val="tx1"/>
                  </w14:solidFill>
                </w14:textFill>
              </w:rPr>
              <w:t>委托</w:t>
            </w:r>
            <w:r>
              <w:rPr>
                <w:rFonts w:hint="eastAsia" w:ascii="Times New Roman" w:hAnsi="Times New Roman" w:cs="Times New Roman"/>
                <w:color w:val="000000" w:themeColor="text1"/>
                <w:szCs w:val="21"/>
                <w:lang w:val="en-US" w:eastAsia="zh-CN"/>
                <w14:textFill>
                  <w14:solidFill>
                    <w14:schemeClr w14:val="tx1"/>
                  </w14:solidFill>
                </w14:textFill>
              </w:rPr>
              <w:t>当地</w:t>
            </w:r>
            <w:r>
              <w:rPr>
                <w:rFonts w:hint="default" w:ascii="Times New Roman" w:hAnsi="Times New Roman" w:cs="Times New Roman"/>
                <w:color w:val="000000" w:themeColor="text1"/>
                <w:szCs w:val="21"/>
                <w14:textFill>
                  <w14:solidFill>
                    <w14:schemeClr w14:val="tx1"/>
                  </w14:solidFill>
                </w14:textFill>
              </w:rPr>
              <w:t>环卫部门</w:t>
            </w:r>
            <w:r>
              <w:rPr>
                <w:rFonts w:hint="default" w:ascii="Times New Roman" w:hAnsi="Times New Roman" w:cs="Times New Roman"/>
                <w:color w:val="000000" w:themeColor="text1"/>
                <w:szCs w:val="21"/>
                <w:lang w:val="en-US" w:eastAsia="zh-CN"/>
                <w14:textFill>
                  <w14:solidFill>
                    <w14:schemeClr w14:val="tx1"/>
                  </w14:solidFill>
                </w14:textFill>
              </w:rPr>
              <w:t>统一</w:t>
            </w:r>
            <w:r>
              <w:rPr>
                <w:rFonts w:hint="default" w:ascii="Times New Roman" w:hAnsi="Times New Roman" w:cs="Times New Roman"/>
                <w:color w:val="000000" w:themeColor="text1"/>
                <w:szCs w:val="21"/>
                <w14:textFill>
                  <w14:solidFill>
                    <w14:schemeClr w14:val="tx1"/>
                  </w14:solidFill>
                </w14:textFill>
              </w:rPr>
              <w:t>清运</w:t>
            </w:r>
            <w:r>
              <w:rPr>
                <w:rFonts w:hint="eastAsia" w:cs="Times New Roman"/>
                <w:color w:val="000000" w:themeColor="text1"/>
                <w:szCs w:val="21"/>
                <w:lang w:eastAsia="zh-CN"/>
                <w14:textFill>
                  <w14:solidFill>
                    <w14:schemeClr w14:val="tx1"/>
                  </w14:solidFill>
                </w14:textFill>
              </w:rPr>
              <w:t>，</w:t>
            </w:r>
            <w:r>
              <w:rPr>
                <w:rFonts w:hint="default" w:ascii="Times New Roman" w:hAnsi="Times New Roman" w:cs="Times New Roman"/>
                <w:color w:val="000000" w:themeColor="text1"/>
                <w:szCs w:val="21"/>
                <w14:textFill>
                  <w14:solidFill>
                    <w14:schemeClr w14:val="tx1"/>
                  </w14:solidFill>
                </w14:textFill>
              </w:rPr>
              <w:t>施工材料切割废料及废包装</w:t>
            </w:r>
            <w:r>
              <w:rPr>
                <w:rFonts w:hint="default" w:ascii="Times New Roman" w:hAnsi="Times New Roman" w:cs="Times New Roman"/>
                <w:color w:val="000000" w:themeColor="text1"/>
                <w:szCs w:val="21"/>
                <w:lang w:val="en-US" w:eastAsia="zh-CN"/>
                <w14:textFill>
                  <w14:solidFill>
                    <w14:schemeClr w14:val="tx1"/>
                  </w14:solidFill>
                </w14:textFill>
              </w:rPr>
              <w:t>等施工固废</w:t>
            </w:r>
            <w:r>
              <w:rPr>
                <w:rFonts w:hint="default" w:ascii="Times New Roman" w:hAnsi="Times New Roman" w:cs="Times New Roman"/>
                <w:color w:val="000000" w:themeColor="text1"/>
                <w:szCs w:val="21"/>
                <w14:textFill>
                  <w14:solidFill>
                    <w14:schemeClr w14:val="tx1"/>
                  </w14:solidFill>
                </w14:textFill>
              </w:rPr>
              <w:t>外售综合利用。</w:t>
            </w:r>
          </w:p>
          <w:p w14:paraId="213CC90A">
            <w:pPr>
              <w:keepNext w:val="0"/>
              <w:keepLines w:val="0"/>
              <w:pageBreakBefore w:val="0"/>
              <w:widowControl/>
              <w:kinsoku/>
              <w:wordWrap/>
              <w:overflowPunct w:val="0"/>
              <w:topLinePunct/>
              <w:autoSpaceDE/>
              <w:autoSpaceDN/>
              <w:bidi w:val="0"/>
              <w:adjustRightInd w:val="0"/>
              <w:snapToGrid w:val="0"/>
              <w:spacing w:line="360" w:lineRule="auto"/>
              <w:ind w:firstLine="420" w:firstLineChars="200"/>
              <w:jc w:val="left"/>
              <w:rPr>
                <w:rFonts w:hint="default" w:ascii="Times New Roman" w:hAnsi="Times New Roman" w:eastAsia="宋体" w:cs="Times New Roman"/>
                <w:color w:val="000000" w:themeColor="text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在对</w:t>
            </w:r>
            <w:r>
              <w:rPr>
                <w:rFonts w:hint="default" w:ascii="Times New Roman" w:hAnsi="Times New Roman" w:cs="Times New Roman"/>
                <w:color w:val="000000" w:themeColor="text1"/>
                <w:sz w:val="21"/>
                <w:szCs w:val="21"/>
                <w:lang w:val="en-US" w:eastAsia="zh-CN"/>
                <w14:textFill>
                  <w14:solidFill>
                    <w14:schemeClr w14:val="tx1"/>
                  </w14:solidFill>
                </w14:textFill>
              </w:rPr>
              <w:t>施工期</w:t>
            </w:r>
            <w:r>
              <w:rPr>
                <w:rFonts w:hint="default" w:ascii="Times New Roman" w:hAnsi="Times New Roman" w:cs="Times New Roman"/>
                <w:color w:val="000000" w:themeColor="text1"/>
                <w:sz w:val="21"/>
                <w:szCs w:val="21"/>
                <w14:textFill>
                  <w14:solidFill>
                    <w14:schemeClr w14:val="tx1"/>
                  </w14:solidFill>
                </w14:textFill>
              </w:rPr>
              <w:t>固体废物妥善处置的前提下</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对周围环境的影响较小。</w:t>
            </w:r>
          </w:p>
          <w:p w14:paraId="11708E51">
            <w:pPr>
              <w:rPr>
                <w:rFonts w:hint="default" w:ascii="Times New Roman" w:hAnsi="Times New Roman" w:cs="Times New Roman"/>
                <w:color w:val="000000" w:themeColor="text1"/>
                <w:sz w:val="21"/>
                <w:szCs w:val="21"/>
                <w14:textFill>
                  <w14:solidFill>
                    <w14:schemeClr w14:val="tx1"/>
                  </w14:solidFill>
                </w14:textFill>
              </w:rPr>
            </w:pPr>
          </w:p>
          <w:p w14:paraId="3D60FFA8">
            <w:pPr>
              <w:pStyle w:val="18"/>
              <w:rPr>
                <w:rFonts w:hint="default" w:ascii="Times New Roman" w:hAnsi="Times New Roman" w:cs="Times New Roman"/>
                <w:color w:val="000000" w:themeColor="text1"/>
                <w:sz w:val="21"/>
                <w:szCs w:val="21"/>
                <w14:textFill>
                  <w14:solidFill>
                    <w14:schemeClr w14:val="tx1"/>
                  </w14:solidFill>
                </w14:textFill>
              </w:rPr>
            </w:pPr>
          </w:p>
          <w:p w14:paraId="383D3452">
            <w:pPr>
              <w:rPr>
                <w:rFonts w:hint="default" w:ascii="Times New Roman" w:hAnsi="Times New Roman" w:cs="Times New Roman"/>
                <w:color w:val="000000" w:themeColor="text1"/>
                <w:sz w:val="21"/>
                <w:szCs w:val="21"/>
                <w14:textFill>
                  <w14:solidFill>
                    <w14:schemeClr w14:val="tx1"/>
                  </w14:solidFill>
                </w14:textFill>
              </w:rPr>
            </w:pPr>
          </w:p>
          <w:p w14:paraId="1238F9D4">
            <w:pPr>
              <w:pStyle w:val="18"/>
              <w:rPr>
                <w:rFonts w:hint="default" w:ascii="Times New Roman" w:hAnsi="Times New Roman" w:cs="Times New Roman"/>
                <w:color w:val="000000" w:themeColor="text1"/>
                <w:sz w:val="21"/>
                <w:szCs w:val="21"/>
                <w14:textFill>
                  <w14:solidFill>
                    <w14:schemeClr w14:val="tx1"/>
                  </w14:solidFill>
                </w14:textFill>
              </w:rPr>
            </w:pPr>
          </w:p>
          <w:p w14:paraId="142314A6">
            <w:pPr>
              <w:rPr>
                <w:rFonts w:hint="default" w:ascii="Times New Roman" w:hAnsi="Times New Roman" w:cs="Times New Roman"/>
                <w:color w:val="000000" w:themeColor="text1"/>
                <w:sz w:val="21"/>
                <w:szCs w:val="21"/>
                <w14:textFill>
                  <w14:solidFill>
                    <w14:schemeClr w14:val="tx1"/>
                  </w14:solidFill>
                </w14:textFill>
              </w:rPr>
            </w:pPr>
          </w:p>
          <w:p w14:paraId="5E5B7E89">
            <w:pPr>
              <w:rPr>
                <w:rFonts w:hint="default" w:ascii="Times New Roman" w:hAnsi="Times New Roman" w:cs="Times New Roman"/>
                <w:color w:val="000000" w:themeColor="text1"/>
                <w:sz w:val="21"/>
                <w:szCs w:val="21"/>
                <w14:textFill>
                  <w14:solidFill>
                    <w14:schemeClr w14:val="tx1"/>
                  </w14:solidFill>
                </w14:textFill>
              </w:rPr>
            </w:pPr>
          </w:p>
          <w:p w14:paraId="32D998FF">
            <w:pPr>
              <w:rPr>
                <w:rFonts w:hint="default" w:ascii="Times New Roman" w:hAnsi="Times New Roman" w:cs="Times New Roman"/>
                <w:color w:val="000000" w:themeColor="text1"/>
                <w:sz w:val="21"/>
                <w:szCs w:val="21"/>
                <w14:textFill>
                  <w14:solidFill>
                    <w14:schemeClr w14:val="tx1"/>
                  </w14:solidFill>
                </w14:textFill>
              </w:rPr>
            </w:pPr>
          </w:p>
          <w:p w14:paraId="56A8C203">
            <w:pPr>
              <w:rPr>
                <w:rFonts w:hint="default" w:ascii="Times New Roman" w:hAnsi="Times New Roman" w:cs="Times New Roman"/>
                <w:color w:val="000000" w:themeColor="text1"/>
                <w:sz w:val="21"/>
                <w:szCs w:val="21"/>
                <w14:textFill>
                  <w14:solidFill>
                    <w14:schemeClr w14:val="tx1"/>
                  </w14:solidFill>
                </w14:textFill>
              </w:rPr>
            </w:pPr>
          </w:p>
          <w:p w14:paraId="605DB3DF">
            <w:pPr>
              <w:rPr>
                <w:rFonts w:hint="default" w:ascii="Times New Roman" w:hAnsi="Times New Roman" w:cs="Times New Roman"/>
                <w:color w:val="000000" w:themeColor="text1"/>
                <w:sz w:val="21"/>
                <w:szCs w:val="21"/>
                <w14:textFill>
                  <w14:solidFill>
                    <w14:schemeClr w14:val="tx1"/>
                  </w14:solidFill>
                </w14:textFill>
              </w:rPr>
            </w:pPr>
          </w:p>
          <w:p w14:paraId="1C99A1D5">
            <w:pPr>
              <w:rPr>
                <w:rFonts w:hint="default" w:ascii="Times New Roman" w:hAnsi="Times New Roman" w:cs="Times New Roman"/>
                <w:color w:val="000000" w:themeColor="text1"/>
                <w:sz w:val="21"/>
                <w:szCs w:val="21"/>
                <w14:textFill>
                  <w14:solidFill>
                    <w14:schemeClr w14:val="tx1"/>
                  </w14:solidFill>
                </w14:textFill>
              </w:rPr>
            </w:pPr>
          </w:p>
          <w:p w14:paraId="21FAED2F">
            <w:pPr>
              <w:rPr>
                <w:rFonts w:hint="default" w:ascii="Times New Roman" w:hAnsi="Times New Roman" w:cs="Times New Roman"/>
                <w:color w:val="000000" w:themeColor="text1"/>
                <w:sz w:val="21"/>
                <w:szCs w:val="21"/>
                <w14:textFill>
                  <w14:solidFill>
                    <w14:schemeClr w14:val="tx1"/>
                  </w14:solidFill>
                </w14:textFill>
              </w:rPr>
            </w:pPr>
          </w:p>
          <w:p w14:paraId="0BD75A67">
            <w:pP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w:t>
            </w:r>
          </w:p>
          <w:p w14:paraId="2F1033B2">
            <w:pPr>
              <w:rPr>
                <w:rFonts w:hint="default" w:ascii="Times New Roman" w:hAnsi="Times New Roman" w:cs="Times New Roman"/>
                <w:color w:val="000000" w:themeColor="text1"/>
                <w:sz w:val="21"/>
                <w:szCs w:val="21"/>
                <w14:textFill>
                  <w14:solidFill>
                    <w14:schemeClr w14:val="tx1"/>
                  </w14:solidFill>
                </w14:textFill>
              </w:rPr>
            </w:pPr>
          </w:p>
          <w:p w14:paraId="1E214638">
            <w:pPr>
              <w:rPr>
                <w:rFonts w:hint="default" w:ascii="Times New Roman" w:hAnsi="Times New Roman" w:cs="Times New Roman"/>
                <w:color w:val="000000" w:themeColor="text1"/>
                <w:sz w:val="21"/>
                <w:szCs w:val="21"/>
                <w14:textFill>
                  <w14:solidFill>
                    <w14:schemeClr w14:val="tx1"/>
                  </w14:solidFill>
                </w14:textFill>
              </w:rPr>
            </w:pPr>
          </w:p>
          <w:p w14:paraId="21D06180">
            <w:pPr>
              <w:pStyle w:val="18"/>
              <w:rPr>
                <w:rFonts w:hint="default" w:ascii="Times New Roman" w:hAnsi="Times New Roman" w:cs="Times New Roman"/>
                <w:color w:val="000000" w:themeColor="text1"/>
                <w:sz w:val="21"/>
                <w:szCs w:val="21"/>
                <w14:textFill>
                  <w14:solidFill>
                    <w14:schemeClr w14:val="tx1"/>
                  </w14:solidFill>
                </w14:textFill>
              </w:rPr>
            </w:pPr>
          </w:p>
          <w:p w14:paraId="4C131799">
            <w:pPr>
              <w:rPr>
                <w:rFonts w:hint="default"/>
                <w:color w:val="000000" w:themeColor="text1"/>
                <w14:textFill>
                  <w14:solidFill>
                    <w14:schemeClr w14:val="tx1"/>
                  </w14:solidFill>
                </w14:textFill>
              </w:rPr>
            </w:pPr>
          </w:p>
          <w:p w14:paraId="43A7FBAF">
            <w:pPr>
              <w:adjustRightInd w:val="0"/>
              <w:snapToGrid w:val="0"/>
              <w:rPr>
                <w:rFonts w:hint="default" w:ascii="Times New Roman" w:hAnsi="Times New Roman" w:cs="Times New Roman"/>
                <w:bCs/>
                <w:color w:val="000000" w:themeColor="text1"/>
                <w:spacing w:val="-10"/>
                <w:sz w:val="21"/>
                <w:szCs w:val="21"/>
                <w14:textFill>
                  <w14:solidFill>
                    <w14:schemeClr w14:val="tx1"/>
                  </w14:solidFill>
                </w14:textFill>
              </w:rPr>
            </w:pPr>
          </w:p>
        </w:tc>
      </w:tr>
      <w:tr w14:paraId="2DBFCD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91" w:hRule="atLeast"/>
          <w:jc w:val="center"/>
        </w:trPr>
        <w:tc>
          <w:tcPr>
            <w:tcW w:w="746" w:type="dxa"/>
            <w:noWrap w:val="0"/>
            <w:tcMar>
              <w:left w:w="28" w:type="dxa"/>
              <w:right w:w="28" w:type="dxa"/>
            </w:tcMar>
            <w:vAlign w:val="center"/>
          </w:tcPr>
          <w:p w14:paraId="6723F711">
            <w:pPr>
              <w:adjustRightInd w:val="0"/>
              <w:snapToGri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运营</w:t>
            </w:r>
          </w:p>
          <w:p w14:paraId="034BF0E3">
            <w:pPr>
              <w:adjustRightInd w:val="0"/>
              <w:snapToGri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期环</w:t>
            </w:r>
          </w:p>
          <w:p w14:paraId="0C3CC1C8">
            <w:pPr>
              <w:adjustRightInd w:val="0"/>
              <w:snapToGri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境影</w:t>
            </w:r>
          </w:p>
          <w:p w14:paraId="73259197">
            <w:pPr>
              <w:adjustRightInd w:val="0"/>
              <w:snapToGri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响和</w:t>
            </w:r>
          </w:p>
          <w:p w14:paraId="7E1CEB86">
            <w:pPr>
              <w:adjustRightInd w:val="0"/>
              <w:snapToGri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保护</w:t>
            </w:r>
          </w:p>
          <w:p w14:paraId="34D87E70">
            <w:pPr>
              <w:adjustRightInd w:val="0"/>
              <w:snapToGrid w:val="0"/>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措施</w:t>
            </w:r>
          </w:p>
        </w:tc>
        <w:tc>
          <w:tcPr>
            <w:tcW w:w="8162" w:type="dxa"/>
            <w:noWrap w:val="0"/>
            <w:vAlign w:val="center"/>
          </w:tcPr>
          <w:p w14:paraId="38B50393">
            <w:pPr>
              <w:keepNext/>
              <w:keepLines/>
              <w:widowControl/>
              <w:adjustRightInd w:val="0"/>
              <w:snapToGrid w:val="0"/>
              <w:spacing w:line="360" w:lineRule="auto"/>
              <w:ind w:firstLine="422" w:firstLineChars="200"/>
              <w:jc w:val="left"/>
              <w:outlineLvl w:val="1"/>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color w:val="000000" w:themeColor="text1"/>
                <w:sz w:val="21"/>
                <w:szCs w:val="21"/>
                <w:highlight w:val="none"/>
                <w:lang w:val="en-US" w:eastAsia="zh-CN"/>
                <w14:textFill>
                  <w14:solidFill>
                    <w14:schemeClr w14:val="tx1"/>
                  </w14:solidFill>
                </w14:textFill>
              </w:rPr>
              <w:t>一、</w:t>
            </w:r>
            <w:r>
              <w:rPr>
                <w:rFonts w:hint="default" w:ascii="Times New Roman" w:hAnsi="Times New Roman" w:eastAsia="宋体" w:cs="Times New Roman"/>
                <w:b/>
                <w:color w:val="000000" w:themeColor="text1"/>
                <w:sz w:val="21"/>
                <w:szCs w:val="21"/>
                <w:highlight w:val="none"/>
                <w14:textFill>
                  <w14:solidFill>
                    <w14:schemeClr w14:val="tx1"/>
                  </w14:solidFill>
                </w14:textFill>
              </w:rPr>
              <w:t>废气</w:t>
            </w:r>
            <w:r>
              <w:rPr>
                <w:rFonts w:hint="eastAsia" w:ascii="Times New Roman" w:hAnsi="Times New Roman" w:eastAsia="宋体" w:cs="Times New Roman"/>
                <w:b/>
                <w:color w:val="000000" w:themeColor="text1"/>
                <w:sz w:val="21"/>
                <w:szCs w:val="21"/>
                <w:highlight w:val="none"/>
                <w:lang w:val="en-US" w:eastAsia="zh-CN"/>
                <w14:textFill>
                  <w14:solidFill>
                    <w14:schemeClr w14:val="tx1"/>
                  </w14:solidFill>
                </w14:textFill>
              </w:rPr>
              <w:t>环境影响</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和保护措施</w:t>
            </w:r>
          </w:p>
          <w:p w14:paraId="4A42B2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eastAsia" w:cs="Times New Roman"/>
                <w:b/>
                <w:bCs w:val="0"/>
                <w:color w:val="000000" w:themeColor="text1"/>
                <w:sz w:val="21"/>
                <w:szCs w:val="21"/>
                <w:highlight w:val="none"/>
                <w:lang w:val="en-US" w:eastAsia="zh-CN"/>
                <w14:textFill>
                  <w14:solidFill>
                    <w14:schemeClr w14:val="tx1"/>
                  </w14:solidFill>
                </w14:textFill>
              </w:rPr>
            </w:pPr>
            <w:r>
              <w:rPr>
                <w:rFonts w:hint="eastAsia" w:cs="Times New Roman"/>
                <w:b/>
                <w:bCs w:val="0"/>
                <w:color w:val="000000" w:themeColor="text1"/>
                <w:sz w:val="21"/>
                <w:szCs w:val="21"/>
                <w:highlight w:val="none"/>
                <w:lang w:val="en-US" w:eastAsia="zh-CN"/>
                <w14:textFill>
                  <w14:solidFill>
                    <w14:schemeClr w14:val="tx1"/>
                  </w14:solidFill>
                </w14:textFill>
              </w:rPr>
              <w:t>1、废气产排情况</w:t>
            </w:r>
          </w:p>
          <w:p w14:paraId="63325E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color w:val="000000" w:themeColor="text1"/>
                <w:sz w:val="21"/>
                <w:szCs w:val="21"/>
                <w:highlight w:val="none"/>
                <w14:textFill>
                  <w14:solidFill>
                    <w14:schemeClr w14:val="tx1"/>
                  </w14:solidFill>
                </w14:textFill>
              </w:rPr>
              <w:t>本项目废气主要有</w:t>
            </w:r>
            <w:r>
              <w:rPr>
                <w:rFonts w:hint="eastAsia" w:cs="Times New Roman"/>
                <w:b w:val="0"/>
                <w:bCs/>
                <w:color w:val="000000" w:themeColor="text1"/>
                <w:sz w:val="21"/>
                <w:szCs w:val="21"/>
                <w:highlight w:val="none"/>
                <w:lang w:val="en-US" w:eastAsia="zh-CN"/>
                <w14:textFill>
                  <w14:solidFill>
                    <w14:schemeClr w14:val="tx1"/>
                  </w14:solidFill>
                </w14:textFill>
              </w:rPr>
              <w:t>激光切割工序、焊接工序、修磨工序产生的烟尘颗粒物</w:t>
            </w:r>
            <w:r>
              <w:rPr>
                <w:rFonts w:hint="default" w:ascii="Times New Roman" w:hAnsi="Times New Roman" w:cs="Times New Roman"/>
                <w:b w:val="0"/>
                <w:bCs/>
                <w:color w:val="000000" w:themeColor="text1"/>
                <w:sz w:val="21"/>
                <w:szCs w:val="21"/>
                <w:highlight w:val="none"/>
                <w14:textFill>
                  <w14:solidFill>
                    <w14:schemeClr w14:val="tx1"/>
                  </w14:solidFill>
                </w14:textFill>
              </w:rPr>
              <w:t>。</w:t>
            </w:r>
          </w:p>
          <w:p w14:paraId="1BEDE88B">
            <w:pPr>
              <w:widowControl/>
              <w:spacing w:line="440" w:lineRule="exact"/>
              <w:jc w:val="center"/>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表4-1项目废气产排情况一览表</w:t>
            </w:r>
          </w:p>
          <w:tbl>
            <w:tblPr>
              <w:tblStyle w:val="24"/>
              <w:tblW w:w="803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593"/>
              <w:gridCol w:w="1560"/>
              <w:gridCol w:w="2226"/>
              <w:gridCol w:w="2225"/>
            </w:tblGrid>
            <w:tr w14:paraId="0FFAE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7" w:type="pct"/>
                  <w:gridSpan w:val="2"/>
                  <w:tcBorders>
                    <w:tl2br w:val="nil"/>
                    <w:tr2bl w:val="nil"/>
                  </w:tcBorders>
                  <w:noWrap w:val="0"/>
                  <w:vAlign w:val="center"/>
                </w:tcPr>
                <w:p w14:paraId="59AB99A6">
                  <w:pPr>
                    <w:adjustRightInd w:val="0"/>
                    <w:snapToGrid w:val="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产污环节</w:t>
                  </w:r>
                </w:p>
              </w:tc>
              <w:tc>
                <w:tcPr>
                  <w:tcW w:w="971" w:type="pct"/>
                  <w:tcBorders>
                    <w:tl2br w:val="nil"/>
                    <w:tr2bl w:val="nil"/>
                  </w:tcBorders>
                  <w:noWrap w:val="0"/>
                  <w:vAlign w:val="center"/>
                </w:tcPr>
                <w:p w14:paraId="73BB79DA">
                  <w:pPr>
                    <w:adjustRightInd w:val="0"/>
                    <w:snapToGrid w:val="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激光切割</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工序</w:t>
                  </w:r>
                </w:p>
              </w:tc>
              <w:tc>
                <w:tcPr>
                  <w:tcW w:w="1386" w:type="pct"/>
                  <w:tcBorders>
                    <w:tl2br w:val="nil"/>
                    <w:tr2bl w:val="nil"/>
                  </w:tcBorders>
                  <w:noWrap w:val="0"/>
                  <w:vAlign w:val="center"/>
                </w:tcPr>
                <w:p w14:paraId="68D74992">
                  <w:pPr>
                    <w:adjustRightInd w:val="0"/>
                    <w:snapToGrid w:val="0"/>
                    <w:jc w:val="cente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焊接工序</w:t>
                  </w:r>
                </w:p>
              </w:tc>
              <w:tc>
                <w:tcPr>
                  <w:tcW w:w="1385" w:type="pct"/>
                  <w:tcBorders>
                    <w:tl2br w:val="nil"/>
                    <w:tr2bl w:val="nil"/>
                  </w:tcBorders>
                  <w:noWrap w:val="0"/>
                  <w:vAlign w:val="center"/>
                </w:tcPr>
                <w:p w14:paraId="1B23B0B6">
                  <w:pPr>
                    <w:adjustRightInd w:val="0"/>
                    <w:snapToGrid w:val="0"/>
                    <w:jc w:val="center"/>
                    <w:rPr>
                      <w:rFonts w:hint="default"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修磨工序</w:t>
                  </w:r>
                </w:p>
              </w:tc>
            </w:tr>
            <w:tr w14:paraId="77805E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7" w:type="pct"/>
                  <w:gridSpan w:val="2"/>
                  <w:tcBorders>
                    <w:tl2br w:val="nil"/>
                    <w:tr2bl w:val="nil"/>
                  </w:tcBorders>
                  <w:noWrap w:val="0"/>
                  <w:vAlign w:val="center"/>
                </w:tcPr>
                <w:p w14:paraId="3B53116B">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污染物种类</w:t>
                  </w:r>
                </w:p>
              </w:tc>
              <w:tc>
                <w:tcPr>
                  <w:tcW w:w="971" w:type="pct"/>
                  <w:tcBorders>
                    <w:tl2br w:val="nil"/>
                    <w:tr2bl w:val="nil"/>
                  </w:tcBorders>
                  <w:noWrap w:val="0"/>
                  <w:vAlign w:val="center"/>
                </w:tcPr>
                <w:p w14:paraId="4C23205A">
                  <w:pPr>
                    <w:adjustRightInd w:val="0"/>
                    <w:snapToGrid w:val="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颗粒物</w:t>
                  </w:r>
                </w:p>
              </w:tc>
              <w:tc>
                <w:tcPr>
                  <w:tcW w:w="1386" w:type="pct"/>
                  <w:tcBorders>
                    <w:tl2br w:val="nil"/>
                    <w:tr2bl w:val="nil"/>
                  </w:tcBorders>
                  <w:noWrap w:val="0"/>
                  <w:vAlign w:val="center"/>
                </w:tcPr>
                <w:p w14:paraId="7E253D2E">
                  <w:pPr>
                    <w:adjustRightInd w:val="0"/>
                    <w:snapToGrid w:val="0"/>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颗粒物</w:t>
                  </w:r>
                </w:p>
              </w:tc>
              <w:tc>
                <w:tcPr>
                  <w:tcW w:w="1385" w:type="pct"/>
                  <w:tcBorders>
                    <w:tl2br w:val="nil"/>
                    <w:tr2bl w:val="nil"/>
                  </w:tcBorders>
                  <w:noWrap w:val="0"/>
                  <w:vAlign w:val="center"/>
                </w:tcPr>
                <w:p w14:paraId="35BA46C4">
                  <w:pPr>
                    <w:adjustRightInd w:val="0"/>
                    <w:snapToGrid w:val="0"/>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颗粒物</w:t>
                  </w:r>
                </w:p>
              </w:tc>
            </w:tr>
            <w:tr w14:paraId="4A9FB8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257" w:type="pct"/>
                  <w:gridSpan w:val="2"/>
                  <w:tcBorders>
                    <w:tl2br w:val="nil"/>
                    <w:tr2bl w:val="nil"/>
                  </w:tcBorders>
                  <w:noWrap w:val="0"/>
                  <w:vAlign w:val="center"/>
                </w:tcPr>
                <w:p w14:paraId="57BCA23D">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污染物产生量（t/a）</w:t>
                  </w:r>
                </w:p>
              </w:tc>
              <w:tc>
                <w:tcPr>
                  <w:tcW w:w="971" w:type="pct"/>
                  <w:tcBorders>
                    <w:tl2br w:val="nil"/>
                    <w:tr2bl w:val="nil"/>
                  </w:tcBorders>
                  <w:noWrap w:val="0"/>
                  <w:vAlign w:val="center"/>
                </w:tcPr>
                <w:p w14:paraId="63A03EC4">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0.011</w:t>
                  </w:r>
                </w:p>
              </w:tc>
              <w:tc>
                <w:tcPr>
                  <w:tcW w:w="1386" w:type="pct"/>
                  <w:tcBorders>
                    <w:tl2br w:val="nil"/>
                    <w:tr2bl w:val="nil"/>
                  </w:tcBorders>
                  <w:noWrap w:val="0"/>
                  <w:vAlign w:val="center"/>
                </w:tcPr>
                <w:p w14:paraId="63BB2EC9">
                  <w:pPr>
                    <w:adjustRightInd w:val="0"/>
                    <w:snapToGrid w:val="0"/>
                    <w:jc w:val="center"/>
                    <w:rPr>
                      <w:rFonts w:hint="default"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0.</w:t>
                  </w:r>
                  <w:r>
                    <w:rPr>
                      <w:rFonts w:hint="eastAsia" w:ascii="Times New Roman" w:hAnsi="Times New Roman" w:cs="Times New Roman"/>
                      <w:color w:val="000000" w:themeColor="text1"/>
                      <w:kern w:val="0"/>
                      <w:sz w:val="21"/>
                      <w:szCs w:val="21"/>
                      <w:highlight w:val="none"/>
                      <w:lang w:val="en-US" w:eastAsia="zh-CN" w:bidi="ar-SA"/>
                      <w14:textFill>
                        <w14:solidFill>
                          <w14:schemeClr w14:val="tx1"/>
                        </w14:solidFill>
                      </w14:textFill>
                    </w:rPr>
                    <w:t>9×10</w:t>
                  </w:r>
                  <w:r>
                    <w:rPr>
                      <w:rFonts w:hint="eastAsia" w:ascii="Times New Roman" w:hAnsi="Times New Roman" w:cs="Times New Roman"/>
                      <w:color w:val="000000" w:themeColor="text1"/>
                      <w:kern w:val="0"/>
                      <w:sz w:val="21"/>
                      <w:szCs w:val="21"/>
                      <w:highlight w:val="none"/>
                      <w:vertAlign w:val="superscript"/>
                      <w:lang w:val="en-US" w:eastAsia="zh-CN" w:bidi="ar-SA"/>
                      <w14:textFill>
                        <w14:solidFill>
                          <w14:schemeClr w14:val="tx1"/>
                        </w14:solidFill>
                      </w14:textFill>
                    </w:rPr>
                    <w:t>-4</w:t>
                  </w:r>
                </w:p>
              </w:tc>
              <w:tc>
                <w:tcPr>
                  <w:tcW w:w="1385" w:type="pct"/>
                  <w:tcBorders>
                    <w:tl2br w:val="nil"/>
                    <w:tr2bl w:val="nil"/>
                  </w:tcBorders>
                  <w:noWrap w:val="0"/>
                  <w:vAlign w:val="center"/>
                </w:tcPr>
                <w:p w14:paraId="3A16BB53">
                  <w:pPr>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0.055</w:t>
                  </w:r>
                </w:p>
              </w:tc>
            </w:tr>
            <w:tr w14:paraId="590EBB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257" w:type="pct"/>
                  <w:gridSpan w:val="2"/>
                  <w:tcBorders>
                    <w:tl2br w:val="nil"/>
                    <w:tr2bl w:val="nil"/>
                  </w:tcBorders>
                  <w:noWrap w:val="0"/>
                  <w:vAlign w:val="center"/>
                </w:tcPr>
                <w:p w14:paraId="5DB53AC8">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产生速率（</w:t>
                  </w:r>
                  <w:r>
                    <w:rPr>
                      <w:rFonts w:hint="default" w:ascii="Times New Roman" w:hAnsi="Times New Roman" w:cs="Times New Roman"/>
                      <w:color w:val="000000" w:themeColor="text1"/>
                      <w:sz w:val="21"/>
                      <w:szCs w:val="21"/>
                      <w:highlight w:val="none"/>
                      <w14:textFill>
                        <w14:solidFill>
                          <w14:schemeClr w14:val="tx1"/>
                        </w14:solidFill>
                      </w14:textFill>
                    </w:rPr>
                    <w:t>kg/h</w:t>
                  </w:r>
                  <w:r>
                    <w:rPr>
                      <w:rFonts w:hint="eastAsia" w:cs="Times New Roman"/>
                      <w:color w:val="000000" w:themeColor="text1"/>
                      <w:sz w:val="21"/>
                      <w:szCs w:val="21"/>
                      <w:highlight w:val="none"/>
                      <w:lang w:val="en-US" w:eastAsia="zh-CN"/>
                      <w14:textFill>
                        <w14:solidFill>
                          <w14:schemeClr w14:val="tx1"/>
                        </w14:solidFill>
                      </w14:textFill>
                    </w:rPr>
                    <w:t>）</w:t>
                  </w:r>
                </w:p>
              </w:tc>
              <w:tc>
                <w:tcPr>
                  <w:tcW w:w="971" w:type="pct"/>
                  <w:tcBorders>
                    <w:tl2br w:val="nil"/>
                    <w:tr2bl w:val="nil"/>
                  </w:tcBorders>
                  <w:noWrap w:val="0"/>
                  <w:vAlign w:val="center"/>
                </w:tcPr>
                <w:p w14:paraId="6BEAB295">
                  <w:pPr>
                    <w:adjustRightInd w:val="0"/>
                    <w:snapToGrid w:val="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0.024</w:t>
                  </w:r>
                </w:p>
              </w:tc>
              <w:tc>
                <w:tcPr>
                  <w:tcW w:w="1386" w:type="pct"/>
                  <w:tcBorders>
                    <w:tl2br w:val="nil"/>
                    <w:tr2bl w:val="nil"/>
                  </w:tcBorders>
                  <w:noWrap w:val="0"/>
                  <w:vAlign w:val="center"/>
                </w:tcPr>
                <w:p w14:paraId="55C223F2">
                  <w:pPr>
                    <w:adjustRightInd w:val="0"/>
                    <w:snapToGrid w:val="0"/>
                    <w:jc w:val="center"/>
                    <w:rPr>
                      <w:rFonts w:hint="default"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0.00</w:t>
                  </w:r>
                  <w:r>
                    <w:rPr>
                      <w:rFonts w:hint="eastAsia" w:ascii="Times New Roman" w:hAnsi="Times New Roman" w:cs="Times New Roman"/>
                      <w:color w:val="000000" w:themeColor="text1"/>
                      <w:kern w:val="0"/>
                      <w:sz w:val="21"/>
                      <w:szCs w:val="21"/>
                      <w:highlight w:val="none"/>
                      <w:lang w:val="en-US" w:eastAsia="zh-CN" w:bidi="ar-SA"/>
                      <w14:textFill>
                        <w14:solidFill>
                          <w14:schemeClr w14:val="tx1"/>
                        </w14:solidFill>
                      </w14:textFill>
                    </w:rPr>
                    <w:t>0</w:t>
                  </w:r>
                  <w:r>
                    <w:rPr>
                      <w:rFonts w:hint="eastAsia" w:cs="Times New Roman"/>
                      <w:color w:val="000000" w:themeColor="text1"/>
                      <w:kern w:val="0"/>
                      <w:sz w:val="21"/>
                      <w:szCs w:val="21"/>
                      <w:highlight w:val="none"/>
                      <w:lang w:val="en-US" w:eastAsia="zh-CN" w:bidi="ar-SA"/>
                      <w14:textFill>
                        <w14:solidFill>
                          <w14:schemeClr w14:val="tx1"/>
                        </w14:solidFill>
                      </w14:textFill>
                    </w:rPr>
                    <w:t>2</w:t>
                  </w:r>
                </w:p>
              </w:tc>
              <w:tc>
                <w:tcPr>
                  <w:tcW w:w="1385" w:type="pct"/>
                  <w:tcBorders>
                    <w:tl2br w:val="nil"/>
                    <w:tr2bl w:val="nil"/>
                  </w:tcBorders>
                  <w:noWrap w:val="0"/>
                  <w:vAlign w:val="center"/>
                </w:tcPr>
                <w:p w14:paraId="0E28EA2E">
                  <w:pPr>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0.023</w:t>
                  </w:r>
                </w:p>
              </w:tc>
            </w:tr>
            <w:tr w14:paraId="1A3BC7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7" w:type="pct"/>
                  <w:gridSpan w:val="2"/>
                  <w:tcBorders>
                    <w:tl2br w:val="nil"/>
                    <w:tr2bl w:val="nil"/>
                  </w:tcBorders>
                  <w:noWrap w:val="0"/>
                  <w:vAlign w:val="center"/>
                </w:tcPr>
                <w:p w14:paraId="090B4B6F">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排放形式</w:t>
                  </w:r>
                </w:p>
              </w:tc>
              <w:tc>
                <w:tcPr>
                  <w:tcW w:w="3742" w:type="pct"/>
                  <w:gridSpan w:val="3"/>
                  <w:tcBorders>
                    <w:tl2br w:val="nil"/>
                    <w:tr2bl w:val="nil"/>
                  </w:tcBorders>
                  <w:noWrap w:val="0"/>
                  <w:vAlign w:val="center"/>
                </w:tcPr>
                <w:p w14:paraId="7EB54917">
                  <w:pPr>
                    <w:adjustRightInd w:val="0"/>
                    <w:snapToGrid w:val="0"/>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有组织</w:t>
                  </w:r>
                </w:p>
              </w:tc>
            </w:tr>
            <w:tr w14:paraId="2A807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5" w:type="pct"/>
                  <w:vMerge w:val="restart"/>
                  <w:tcBorders>
                    <w:tl2br w:val="nil"/>
                    <w:tr2bl w:val="nil"/>
                  </w:tcBorders>
                  <w:noWrap w:val="0"/>
                  <w:vAlign w:val="center"/>
                </w:tcPr>
                <w:p w14:paraId="07C34B80">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治理设施</w:t>
                  </w:r>
                </w:p>
              </w:tc>
              <w:tc>
                <w:tcPr>
                  <w:tcW w:w="991" w:type="pct"/>
                  <w:tcBorders>
                    <w:tl2br w:val="nil"/>
                    <w:tr2bl w:val="nil"/>
                  </w:tcBorders>
                  <w:noWrap w:val="0"/>
                  <w:vAlign w:val="center"/>
                </w:tcPr>
                <w:p w14:paraId="3D97CAB3">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收集</w:t>
                  </w:r>
                  <w:r>
                    <w:rPr>
                      <w:rFonts w:hint="default" w:ascii="Times New Roman" w:hAnsi="Times New Roman" w:cs="Times New Roman"/>
                      <w:color w:val="000000" w:themeColor="text1"/>
                      <w:sz w:val="21"/>
                      <w:szCs w:val="21"/>
                      <w:highlight w:val="none"/>
                      <w14:textFill>
                        <w14:solidFill>
                          <w14:schemeClr w14:val="tx1"/>
                        </w14:solidFill>
                      </w14:textFill>
                    </w:rPr>
                    <w:t>设施</w:t>
                  </w:r>
                </w:p>
              </w:tc>
              <w:tc>
                <w:tcPr>
                  <w:tcW w:w="971" w:type="pct"/>
                  <w:tcBorders>
                    <w:tl2br w:val="nil"/>
                    <w:tr2bl w:val="nil"/>
                  </w:tcBorders>
                  <w:noWrap w:val="0"/>
                  <w:vAlign w:val="center"/>
                </w:tcPr>
                <w:p w14:paraId="1EBD5BF9">
                  <w:pPr>
                    <w:adjustRightInd w:val="0"/>
                    <w:snapToGrid w:val="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配套同步移动集气罩+密闭集气管道</w:t>
                  </w:r>
                </w:p>
              </w:tc>
              <w:tc>
                <w:tcPr>
                  <w:tcW w:w="1386" w:type="pct"/>
                  <w:tcBorders>
                    <w:tl2br w:val="nil"/>
                    <w:tr2bl w:val="nil"/>
                  </w:tcBorders>
                  <w:noWrap w:val="0"/>
                  <w:vAlign w:val="center"/>
                </w:tcPr>
                <w:p w14:paraId="5C524A63">
                  <w:pPr>
                    <w:adjustRightInd w:val="0"/>
                    <w:snapToGrid w:val="0"/>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1个固定工位（三面封闭、出入口安装软帘）+1个顶吸集气罩+密闭集气管道</w:t>
                  </w:r>
                </w:p>
              </w:tc>
              <w:tc>
                <w:tcPr>
                  <w:tcW w:w="1385" w:type="pct"/>
                  <w:tcBorders>
                    <w:tl2br w:val="nil"/>
                    <w:tr2bl w:val="nil"/>
                  </w:tcBorders>
                  <w:noWrap w:val="0"/>
                  <w:vAlign w:val="center"/>
                </w:tcPr>
                <w:p w14:paraId="78297A06">
                  <w:pPr>
                    <w:adjustRightInd w:val="0"/>
                    <w:snapToGrid w:val="0"/>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2个固定工位（三面封闭、出入口安装软帘）+2个顶吸集气装置+密闭集气管道</w:t>
                  </w:r>
                </w:p>
              </w:tc>
            </w:tr>
            <w:tr w14:paraId="2DFD3B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5" w:type="pct"/>
                  <w:vMerge w:val="continue"/>
                  <w:tcBorders>
                    <w:tl2br w:val="nil"/>
                    <w:tr2bl w:val="nil"/>
                  </w:tcBorders>
                  <w:noWrap w:val="0"/>
                  <w:vAlign w:val="center"/>
                </w:tcPr>
                <w:p w14:paraId="2E22B7C4">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991" w:type="pct"/>
                  <w:tcBorders>
                    <w:tl2br w:val="nil"/>
                    <w:tr2bl w:val="nil"/>
                  </w:tcBorders>
                  <w:noWrap w:val="0"/>
                  <w:vAlign w:val="center"/>
                </w:tcPr>
                <w:p w14:paraId="606A38DC">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处理设施</w:t>
                  </w:r>
                </w:p>
              </w:tc>
              <w:tc>
                <w:tcPr>
                  <w:tcW w:w="3742" w:type="pct"/>
                  <w:gridSpan w:val="3"/>
                  <w:tcBorders>
                    <w:tl2br w:val="nil"/>
                    <w:tr2bl w:val="nil"/>
                  </w:tcBorders>
                  <w:noWrap w:val="0"/>
                  <w:vAlign w:val="center"/>
                </w:tcPr>
                <w:p w14:paraId="0E42BAFC">
                  <w:pPr>
                    <w:adjustRightInd w:val="0"/>
                    <w:snapToGrid w:val="0"/>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共用1套布袋除尘器+15m排气筒</w:t>
                  </w:r>
                </w:p>
              </w:tc>
            </w:tr>
            <w:tr w14:paraId="2AAF99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5" w:type="pct"/>
                  <w:vMerge w:val="continue"/>
                  <w:tcBorders>
                    <w:tl2br w:val="nil"/>
                    <w:tr2bl w:val="nil"/>
                  </w:tcBorders>
                  <w:noWrap w:val="0"/>
                  <w:vAlign w:val="center"/>
                </w:tcPr>
                <w:p w14:paraId="66AD29F5">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991" w:type="pct"/>
                  <w:tcBorders>
                    <w:tl2br w:val="nil"/>
                    <w:tr2bl w:val="nil"/>
                  </w:tcBorders>
                  <w:noWrap w:val="0"/>
                  <w:vAlign w:val="center"/>
                </w:tcPr>
                <w:p w14:paraId="0C0C859D">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收集效率%</w:t>
                  </w:r>
                </w:p>
              </w:tc>
              <w:tc>
                <w:tcPr>
                  <w:tcW w:w="3742" w:type="pct"/>
                  <w:gridSpan w:val="3"/>
                  <w:tcBorders>
                    <w:tl2br w:val="nil"/>
                    <w:tr2bl w:val="nil"/>
                  </w:tcBorders>
                  <w:noWrap w:val="0"/>
                  <w:vAlign w:val="center"/>
                </w:tcPr>
                <w:p w14:paraId="4AD1674E">
                  <w:pPr>
                    <w:adjustRightInd w:val="0"/>
                    <w:snapToGrid w:val="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90</w:t>
                  </w:r>
                </w:p>
              </w:tc>
            </w:tr>
            <w:tr w14:paraId="39EA80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5" w:type="pct"/>
                  <w:vMerge w:val="continue"/>
                  <w:tcBorders>
                    <w:tl2br w:val="nil"/>
                    <w:tr2bl w:val="nil"/>
                  </w:tcBorders>
                  <w:noWrap w:val="0"/>
                  <w:vAlign w:val="center"/>
                </w:tcPr>
                <w:p w14:paraId="1726CC55">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991" w:type="pct"/>
                  <w:tcBorders>
                    <w:tl2br w:val="nil"/>
                    <w:tr2bl w:val="nil"/>
                  </w:tcBorders>
                  <w:noWrap w:val="0"/>
                  <w:vAlign w:val="center"/>
                </w:tcPr>
                <w:p w14:paraId="12514564">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治理工艺去除率%</w:t>
                  </w:r>
                </w:p>
              </w:tc>
              <w:tc>
                <w:tcPr>
                  <w:tcW w:w="3742" w:type="pct"/>
                  <w:gridSpan w:val="3"/>
                  <w:tcBorders>
                    <w:tl2br w:val="nil"/>
                    <w:tr2bl w:val="nil"/>
                  </w:tcBorders>
                  <w:noWrap w:val="0"/>
                  <w:vAlign w:val="center"/>
                </w:tcPr>
                <w:p w14:paraId="47A23737">
                  <w:pPr>
                    <w:adjustRightInd w:val="0"/>
                    <w:snapToGrid w:val="0"/>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95</w:t>
                  </w:r>
                </w:p>
              </w:tc>
            </w:tr>
            <w:tr w14:paraId="39A5C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5" w:type="pct"/>
                  <w:vMerge w:val="continue"/>
                  <w:tcBorders>
                    <w:tl2br w:val="nil"/>
                    <w:tr2bl w:val="nil"/>
                  </w:tcBorders>
                  <w:noWrap w:val="0"/>
                  <w:vAlign w:val="center"/>
                </w:tcPr>
                <w:p w14:paraId="0ADE62AB">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991" w:type="pct"/>
                  <w:tcBorders>
                    <w:tl2br w:val="nil"/>
                    <w:tr2bl w:val="nil"/>
                  </w:tcBorders>
                  <w:noWrap w:val="0"/>
                  <w:vAlign w:val="center"/>
                </w:tcPr>
                <w:p w14:paraId="0C4732A3">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是否为可行技术</w:t>
                  </w:r>
                </w:p>
              </w:tc>
              <w:tc>
                <w:tcPr>
                  <w:tcW w:w="3742" w:type="pct"/>
                  <w:gridSpan w:val="3"/>
                  <w:tcBorders>
                    <w:tl2br w:val="nil"/>
                    <w:tr2bl w:val="nil"/>
                  </w:tcBorders>
                  <w:noWrap w:val="0"/>
                  <w:vAlign w:val="center"/>
                </w:tcPr>
                <w:p w14:paraId="6940261C">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是</w:t>
                  </w:r>
                </w:p>
              </w:tc>
            </w:tr>
            <w:tr w14:paraId="46322F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7" w:type="pct"/>
                  <w:gridSpan w:val="2"/>
                  <w:tcBorders>
                    <w:tl2br w:val="nil"/>
                    <w:tr2bl w:val="nil"/>
                  </w:tcBorders>
                  <w:noWrap w:val="0"/>
                  <w:vAlign w:val="center"/>
                </w:tcPr>
                <w:p w14:paraId="0AA62639">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污染物排放速率（kg/h）</w:t>
                  </w:r>
                </w:p>
              </w:tc>
              <w:tc>
                <w:tcPr>
                  <w:tcW w:w="3742" w:type="pct"/>
                  <w:gridSpan w:val="3"/>
                  <w:tcBorders>
                    <w:tl2br w:val="nil"/>
                    <w:tr2bl w:val="nil"/>
                  </w:tcBorders>
                  <w:noWrap w:val="0"/>
                  <w:vAlign w:val="center"/>
                </w:tcPr>
                <w:p w14:paraId="3A1778CC">
                  <w:pPr>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0.00125</w:t>
                  </w:r>
                </w:p>
              </w:tc>
            </w:tr>
            <w:tr w14:paraId="37D54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7" w:type="pct"/>
                  <w:gridSpan w:val="2"/>
                  <w:tcBorders>
                    <w:tl2br w:val="nil"/>
                    <w:tr2bl w:val="nil"/>
                  </w:tcBorders>
                  <w:noWrap w:val="0"/>
                  <w:vAlign w:val="center"/>
                </w:tcPr>
                <w:p w14:paraId="058202A5">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污染物排放量（t/a）</w:t>
                  </w:r>
                </w:p>
              </w:tc>
              <w:tc>
                <w:tcPr>
                  <w:tcW w:w="3742" w:type="pct"/>
                  <w:gridSpan w:val="3"/>
                  <w:tcBorders>
                    <w:tl2br w:val="nil"/>
                    <w:tr2bl w:val="nil"/>
                  </w:tcBorders>
                  <w:noWrap w:val="0"/>
                  <w:vAlign w:val="center"/>
                </w:tcPr>
                <w:p w14:paraId="731E8514">
                  <w:pPr>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0.003</w:t>
                  </w:r>
                </w:p>
              </w:tc>
            </w:tr>
            <w:tr w14:paraId="451C42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7" w:type="pct"/>
                  <w:gridSpan w:val="2"/>
                  <w:tcBorders>
                    <w:tl2br w:val="nil"/>
                    <w:tr2bl w:val="nil"/>
                  </w:tcBorders>
                  <w:noWrap w:val="0"/>
                  <w:vAlign w:val="center"/>
                </w:tcPr>
                <w:p w14:paraId="5EC09E1F">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污染物排放</w:t>
                  </w:r>
                  <w:r>
                    <w:rPr>
                      <w:rFonts w:hint="eastAsia" w:cs="Times New Roman"/>
                      <w:color w:val="000000" w:themeColor="text1"/>
                      <w:sz w:val="21"/>
                      <w:szCs w:val="21"/>
                      <w:highlight w:val="none"/>
                      <w:lang w:val="en-US" w:eastAsia="zh-CN"/>
                      <w14:textFill>
                        <w14:solidFill>
                          <w14:schemeClr w14:val="tx1"/>
                        </w14:solidFill>
                      </w14:textFill>
                    </w:rPr>
                    <w:t>浓度</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mg</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m</w:t>
                  </w:r>
                  <w:r>
                    <w:rPr>
                      <w:rFonts w:hint="eastAsia" w:cs="Times New Roman"/>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highlight w:val="none"/>
                      <w14:textFill>
                        <w14:solidFill>
                          <w14:schemeClr w14:val="tx1"/>
                        </w14:solidFill>
                      </w14:textFill>
                    </w:rPr>
                    <w:t>）</w:t>
                  </w:r>
                </w:p>
              </w:tc>
              <w:tc>
                <w:tcPr>
                  <w:tcW w:w="3742" w:type="pct"/>
                  <w:gridSpan w:val="3"/>
                  <w:tcBorders>
                    <w:tl2br w:val="nil"/>
                    <w:tr2bl w:val="nil"/>
                  </w:tcBorders>
                  <w:noWrap w:val="0"/>
                  <w:vAlign w:val="center"/>
                </w:tcPr>
                <w:p w14:paraId="017D164E">
                  <w:pPr>
                    <w:adjustRightInd w:val="0"/>
                    <w:snapToGrid w:val="0"/>
                    <w:jc w:val="center"/>
                    <w:rPr>
                      <w:rFonts w:hint="default"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0.6</w:t>
                  </w:r>
                </w:p>
              </w:tc>
            </w:tr>
            <w:tr w14:paraId="37842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5" w:type="pct"/>
                  <w:vMerge w:val="restart"/>
                  <w:tcBorders>
                    <w:tl2br w:val="nil"/>
                    <w:tr2bl w:val="nil"/>
                  </w:tcBorders>
                  <w:noWrap w:val="0"/>
                  <w:vAlign w:val="center"/>
                </w:tcPr>
                <w:p w14:paraId="70B0A3D6">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排放口基本信息</w:t>
                  </w:r>
                </w:p>
              </w:tc>
              <w:tc>
                <w:tcPr>
                  <w:tcW w:w="991" w:type="pct"/>
                  <w:tcBorders>
                    <w:tl2br w:val="nil"/>
                    <w:tr2bl w:val="nil"/>
                  </w:tcBorders>
                  <w:noWrap w:val="0"/>
                  <w:vAlign w:val="center"/>
                </w:tcPr>
                <w:p w14:paraId="656781CA">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高度（m）</w:t>
                  </w:r>
                </w:p>
              </w:tc>
              <w:tc>
                <w:tcPr>
                  <w:tcW w:w="3742" w:type="pct"/>
                  <w:gridSpan w:val="3"/>
                  <w:tcBorders>
                    <w:tl2br w:val="nil"/>
                    <w:tr2bl w:val="nil"/>
                  </w:tcBorders>
                  <w:noWrap w:val="0"/>
                  <w:vAlign w:val="center"/>
                </w:tcPr>
                <w:p w14:paraId="0A97C3DF">
                  <w:pPr>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15</w:t>
                  </w:r>
                </w:p>
              </w:tc>
            </w:tr>
            <w:tr w14:paraId="74A18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5" w:type="pct"/>
                  <w:vMerge w:val="continue"/>
                  <w:tcBorders>
                    <w:tl2br w:val="nil"/>
                    <w:tr2bl w:val="nil"/>
                  </w:tcBorders>
                  <w:noWrap w:val="0"/>
                  <w:vAlign w:val="center"/>
                </w:tcPr>
                <w:p w14:paraId="6963FDB4">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991" w:type="pct"/>
                  <w:tcBorders>
                    <w:tl2br w:val="nil"/>
                    <w:tr2bl w:val="nil"/>
                  </w:tcBorders>
                  <w:noWrap w:val="0"/>
                  <w:vAlign w:val="center"/>
                </w:tcPr>
                <w:p w14:paraId="49F3FC7E">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排气筒内径（m）</w:t>
                  </w:r>
                </w:p>
              </w:tc>
              <w:tc>
                <w:tcPr>
                  <w:tcW w:w="3742" w:type="pct"/>
                  <w:gridSpan w:val="3"/>
                  <w:tcBorders>
                    <w:tl2br w:val="nil"/>
                    <w:tr2bl w:val="nil"/>
                  </w:tcBorders>
                  <w:noWrap w:val="0"/>
                  <w:vAlign w:val="center"/>
                </w:tcPr>
                <w:p w14:paraId="1BC8747D">
                  <w:pPr>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0.5</w:t>
                  </w:r>
                </w:p>
              </w:tc>
            </w:tr>
            <w:tr w14:paraId="067603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5" w:type="pct"/>
                  <w:vMerge w:val="continue"/>
                  <w:tcBorders>
                    <w:tl2br w:val="nil"/>
                    <w:tr2bl w:val="nil"/>
                  </w:tcBorders>
                  <w:noWrap w:val="0"/>
                  <w:vAlign w:val="center"/>
                </w:tcPr>
                <w:p w14:paraId="76444C47">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991" w:type="pct"/>
                  <w:tcBorders>
                    <w:tl2br w:val="nil"/>
                    <w:tr2bl w:val="nil"/>
                  </w:tcBorders>
                  <w:noWrap w:val="0"/>
                  <w:vAlign w:val="center"/>
                </w:tcPr>
                <w:p w14:paraId="668BD6ED">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温度（℃）</w:t>
                  </w:r>
                </w:p>
              </w:tc>
              <w:tc>
                <w:tcPr>
                  <w:tcW w:w="3742" w:type="pct"/>
                  <w:gridSpan w:val="3"/>
                  <w:tcBorders>
                    <w:tl2br w:val="nil"/>
                    <w:tr2bl w:val="nil"/>
                  </w:tcBorders>
                  <w:noWrap w:val="0"/>
                  <w:vAlign w:val="center"/>
                </w:tcPr>
                <w:p w14:paraId="1FF6CF2A">
                  <w:pPr>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25</w:t>
                  </w:r>
                </w:p>
              </w:tc>
            </w:tr>
            <w:tr w14:paraId="134BD1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5" w:type="pct"/>
                  <w:vMerge w:val="continue"/>
                  <w:tcBorders>
                    <w:tl2br w:val="nil"/>
                    <w:tr2bl w:val="nil"/>
                  </w:tcBorders>
                  <w:noWrap w:val="0"/>
                  <w:vAlign w:val="center"/>
                </w:tcPr>
                <w:p w14:paraId="6215F6FC">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991" w:type="pct"/>
                  <w:tcBorders>
                    <w:tl2br w:val="nil"/>
                    <w:tr2bl w:val="nil"/>
                  </w:tcBorders>
                  <w:noWrap w:val="0"/>
                  <w:vAlign w:val="center"/>
                </w:tcPr>
                <w:p w14:paraId="2926E427">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编号及名称</w:t>
                  </w:r>
                </w:p>
              </w:tc>
              <w:tc>
                <w:tcPr>
                  <w:tcW w:w="3742" w:type="pct"/>
                  <w:gridSpan w:val="3"/>
                  <w:tcBorders>
                    <w:tl2br w:val="nil"/>
                    <w:tr2bl w:val="nil"/>
                  </w:tcBorders>
                  <w:noWrap w:val="0"/>
                  <w:vAlign w:val="center"/>
                </w:tcPr>
                <w:p w14:paraId="19705332">
                  <w:pPr>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21"/>
                      <w:highlight w:val="none"/>
                      <w:lang w:val="en-US" w:eastAsia="zh-CN" w:bidi="ar-SA"/>
                      <w14:textFill>
                        <w14:solidFill>
                          <w14:schemeClr w14:val="tx1"/>
                        </w14:solidFill>
                      </w14:textFill>
                    </w:rPr>
                    <w:t>DA001</w:t>
                  </w:r>
                </w:p>
              </w:tc>
            </w:tr>
            <w:tr w14:paraId="612F63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5" w:type="pct"/>
                  <w:vMerge w:val="continue"/>
                  <w:tcBorders>
                    <w:tl2br w:val="nil"/>
                    <w:tr2bl w:val="nil"/>
                  </w:tcBorders>
                  <w:noWrap w:val="0"/>
                  <w:vAlign w:val="center"/>
                </w:tcPr>
                <w:p w14:paraId="54BEE285">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991" w:type="pct"/>
                  <w:tcBorders>
                    <w:tl2br w:val="nil"/>
                    <w:tr2bl w:val="nil"/>
                  </w:tcBorders>
                  <w:noWrap w:val="0"/>
                  <w:vAlign w:val="center"/>
                </w:tcPr>
                <w:p w14:paraId="088FEAD4">
                  <w:pPr>
                    <w:adjustRightInd w:val="0"/>
                    <w:snapToGrid w:val="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地理坐标（°）</w:t>
                  </w:r>
                </w:p>
              </w:tc>
              <w:tc>
                <w:tcPr>
                  <w:tcW w:w="3742" w:type="pct"/>
                  <w:gridSpan w:val="3"/>
                  <w:tcBorders>
                    <w:tl2br w:val="nil"/>
                    <w:tr2bl w:val="nil"/>
                  </w:tcBorders>
                  <w:noWrap w:val="0"/>
                  <w:vAlign w:val="center"/>
                </w:tcPr>
                <w:p w14:paraId="1E69D887">
                  <w:pPr>
                    <w:adjustRightInd w:val="0"/>
                    <w:snapToGrid w:val="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107.29194577</w:t>
                  </w:r>
                  <w:r>
                    <w:rPr>
                      <w:rFonts w:hint="eastAsia" w:cs="Times New Roman"/>
                      <w:color w:val="000000" w:themeColor="text1"/>
                      <w:kern w:val="0"/>
                      <w:sz w:val="21"/>
                      <w:szCs w:val="21"/>
                      <w:highlight w:val="none"/>
                      <w:lang w:val="en-US" w:eastAsia="zh-CN" w:bidi="ar-SA"/>
                      <w14:textFill>
                        <w14:solidFill>
                          <w14:schemeClr w14:val="tx1"/>
                        </w14:solidFill>
                      </w14:textFill>
                    </w:rPr>
                    <w:t>、34.38662409</w:t>
                  </w:r>
                </w:p>
              </w:tc>
            </w:tr>
            <w:tr w14:paraId="0D1FDA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7" w:type="pct"/>
                  <w:gridSpan w:val="2"/>
                  <w:tcBorders>
                    <w:tl2br w:val="nil"/>
                    <w:tr2bl w:val="nil"/>
                  </w:tcBorders>
                  <w:noWrap w:val="0"/>
                  <w:vAlign w:val="center"/>
                </w:tcPr>
                <w:p w14:paraId="272B44C4">
                  <w:pPr>
                    <w:adjustRightInd w:val="0"/>
                    <w:snapToGrid w:val="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执行标准</w:t>
                  </w:r>
                </w:p>
              </w:tc>
              <w:tc>
                <w:tcPr>
                  <w:tcW w:w="3742" w:type="pct"/>
                  <w:gridSpan w:val="3"/>
                  <w:tcBorders>
                    <w:tl2br w:val="nil"/>
                    <w:tr2bl w:val="nil"/>
                  </w:tcBorders>
                  <w:noWrap w:val="0"/>
                  <w:vAlign w:val="center"/>
                </w:tcPr>
                <w:p w14:paraId="5F9790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《大气污染物综合排放标准》（GB16297-1996）</w:t>
                  </w:r>
                </w:p>
                <w:p w14:paraId="4C70DFFB">
                  <w:pPr>
                    <w:adjustRightInd w:val="0"/>
                    <w:snapToGrid w:val="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18"/>
                      <w:szCs w:val="18"/>
                      <w:highlight w:val="none"/>
                      <w:lang w:val="en-US" w:eastAsia="zh-CN" w:bidi="ar-SA"/>
                      <w14:textFill>
                        <w14:solidFill>
                          <w14:schemeClr w14:val="tx1"/>
                        </w14:solidFill>
                      </w14:textFill>
                    </w:rPr>
                    <w:t>表2的</w:t>
                  </w:r>
                  <w:r>
                    <w:rPr>
                      <w:rFonts w:hint="eastAsia" w:cs="Times New Roman"/>
                      <w:color w:val="000000" w:themeColor="text1"/>
                      <w:kern w:val="2"/>
                      <w:sz w:val="18"/>
                      <w:szCs w:val="18"/>
                      <w:highlight w:val="none"/>
                      <w:lang w:val="en-US" w:eastAsia="zh-CN" w:bidi="ar-SA"/>
                      <w14:textFill>
                        <w14:solidFill>
                          <w14:schemeClr w14:val="tx1"/>
                        </w14:solidFill>
                      </w14:textFill>
                    </w:rPr>
                    <w:t>二级标准要求</w:t>
                  </w:r>
                </w:p>
              </w:tc>
            </w:tr>
            <w:tr w14:paraId="68532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57" w:type="pct"/>
                  <w:gridSpan w:val="2"/>
                  <w:tcBorders>
                    <w:tl2br w:val="nil"/>
                    <w:tr2bl w:val="nil"/>
                  </w:tcBorders>
                  <w:noWrap w:val="0"/>
                  <w:vAlign w:val="center"/>
                </w:tcPr>
                <w:p w14:paraId="1E5C30FF">
                  <w:pPr>
                    <w:adjustRightInd w:val="0"/>
                    <w:snapToGrid w:val="0"/>
                    <w:jc w:val="center"/>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标准限值</w:t>
                  </w:r>
                </w:p>
              </w:tc>
              <w:tc>
                <w:tcPr>
                  <w:tcW w:w="3742" w:type="pct"/>
                  <w:gridSpan w:val="3"/>
                  <w:tcBorders>
                    <w:tl2br w:val="nil"/>
                    <w:tr2bl w:val="nil"/>
                  </w:tcBorders>
                  <w:noWrap w:val="0"/>
                  <w:vAlign w:val="center"/>
                </w:tcPr>
                <w:p w14:paraId="2D5EA44D">
                  <w:pPr>
                    <w:pStyle w:val="18"/>
                    <w:ind w:left="0" w:leftChars="0" w:firstLine="0" w:firstLineChars="0"/>
                    <w:jc w:val="center"/>
                    <w:rPr>
                      <w:rFonts w:hint="eastAsia"/>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有组织：120</w:t>
                  </w:r>
                  <w:r>
                    <w:rPr>
                      <w:rFonts w:hint="default" w:ascii="Times New Roman" w:hAnsi="Times New Roman" w:cs="Times New Roman"/>
                      <w:color w:val="000000" w:themeColor="text1"/>
                      <w:sz w:val="21"/>
                      <w:szCs w:val="21"/>
                      <w14:textFill>
                        <w14:solidFill>
                          <w14:schemeClr w14:val="tx1"/>
                        </w14:solidFill>
                      </w14:textFill>
                    </w:rPr>
                    <w:t>mg/m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kg/h</w:t>
                  </w:r>
                </w:p>
              </w:tc>
            </w:tr>
          </w:tbl>
          <w:p w14:paraId="78E82702">
            <w:pPr>
              <w:spacing w:line="360" w:lineRule="auto"/>
              <w:ind w:firstLine="422" w:firstLineChars="200"/>
              <w:jc w:val="left"/>
              <w:rPr>
                <w:rFonts w:hint="default" w:cs="Times New Roman"/>
                <w:b/>
                <w:bCs/>
                <w:color w:val="000000" w:themeColor="text1"/>
                <w:kern w:val="0"/>
                <w:sz w:val="21"/>
                <w:szCs w:val="21"/>
                <w:lang w:val="en-US" w:eastAsia="zh-CN"/>
                <w14:textFill>
                  <w14:solidFill>
                    <w14:schemeClr w14:val="tx1"/>
                  </w14:solidFill>
                </w14:textFill>
              </w:rPr>
            </w:pPr>
            <w:r>
              <w:rPr>
                <w:rFonts w:hint="eastAsia" w:cs="Times New Roman"/>
                <w:b/>
                <w:bCs/>
                <w:color w:val="000000" w:themeColor="text1"/>
                <w:kern w:val="0"/>
                <w:sz w:val="21"/>
                <w:szCs w:val="21"/>
                <w:lang w:val="en-US" w:eastAsia="zh-CN"/>
                <w14:textFill>
                  <w14:solidFill>
                    <w14:schemeClr w14:val="tx1"/>
                  </w14:solidFill>
                </w14:textFill>
              </w:rPr>
              <w:t>2、废气源强核算过程</w:t>
            </w:r>
          </w:p>
          <w:p w14:paraId="1D61EA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2" w:firstLineChars="200"/>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sz w:val="21"/>
                <w:szCs w:val="21"/>
                <w:lang w:val="en-US" w:eastAsia="zh-CN"/>
                <w14:textFill>
                  <w14:solidFill>
                    <w14:schemeClr w14:val="tx1"/>
                  </w14:solidFill>
                </w14:textFill>
              </w:rPr>
              <w:t>（1）</w:t>
            </w:r>
            <w:r>
              <w:rPr>
                <w:rFonts w:hint="eastAsia" w:cs="Times New Roman"/>
                <w:b/>
                <w:bCs/>
                <w:color w:val="000000" w:themeColor="text1"/>
                <w:sz w:val="21"/>
                <w:szCs w:val="21"/>
                <w:lang w:val="en-US" w:eastAsia="zh-CN"/>
                <w14:textFill>
                  <w14:solidFill>
                    <w14:schemeClr w14:val="tx1"/>
                  </w14:solidFill>
                </w14:textFill>
              </w:rPr>
              <w:t>激光</w:t>
            </w:r>
            <w:r>
              <w:rPr>
                <w:rFonts w:hint="eastAsia" w:ascii="Times New Roman" w:hAnsi="Times New Roman" w:cs="Times New Roman"/>
                <w:b/>
                <w:bCs/>
                <w:color w:val="000000" w:themeColor="text1"/>
                <w:sz w:val="21"/>
                <w:szCs w:val="21"/>
                <w:lang w:val="en-US" w:eastAsia="zh-CN"/>
                <w14:textFill>
                  <w14:solidFill>
                    <w14:schemeClr w14:val="tx1"/>
                  </w14:solidFill>
                </w14:textFill>
              </w:rPr>
              <w:t>切割烟尘</w:t>
            </w:r>
          </w:p>
          <w:p w14:paraId="520AC2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jc w:val="both"/>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本项目</w:t>
            </w:r>
            <w:r>
              <w:rPr>
                <w:rFonts w:hint="eastAsia" w:cs="Times New Roman"/>
                <w:color w:val="000000" w:themeColor="text1"/>
                <w:kern w:val="2"/>
                <w:sz w:val="21"/>
                <w:szCs w:val="21"/>
                <w:highlight w:val="none"/>
                <w:lang w:val="en-US" w:eastAsia="zh-CN" w:bidi="ar-SA"/>
                <w14:textFill>
                  <w14:solidFill>
                    <w14:schemeClr w14:val="tx1"/>
                  </w14:solidFill>
                </w14:textFill>
              </w:rPr>
              <w:t>设置</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1台</w:t>
            </w:r>
            <w:r>
              <w:rPr>
                <w:rFonts w:hint="eastAsia" w:cs="Times New Roman"/>
                <w:color w:val="000000" w:themeColor="text1"/>
                <w:kern w:val="2"/>
                <w:sz w:val="21"/>
                <w:szCs w:val="21"/>
                <w:highlight w:val="none"/>
                <w:lang w:val="en-US" w:eastAsia="zh-CN" w:bidi="ar-SA"/>
                <w14:textFill>
                  <w14:solidFill>
                    <w14:schemeClr w14:val="tx1"/>
                  </w14:solidFill>
                </w14:textFill>
              </w:rPr>
              <w:t>小型</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激光切割机</w:t>
            </w: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对</w:t>
            </w:r>
            <w:r>
              <w:rPr>
                <w:rFonts w:hint="eastAsia" w:cs="Times New Roman"/>
                <w:b w:val="0"/>
                <w:bCs w:val="0"/>
                <w:color w:val="000000" w:themeColor="text1"/>
                <w:sz w:val="21"/>
                <w:szCs w:val="21"/>
                <w:lang w:val="en-US" w:eastAsia="zh-CN"/>
                <w14:textFill>
                  <w14:solidFill>
                    <w14:schemeClr w14:val="tx1"/>
                  </w14:solidFill>
                </w14:textFill>
              </w:rPr>
              <w:t>管状毛坯件进行切割</w:t>
            </w: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cs="Times New Roman"/>
                <w:b w:val="0"/>
                <w:bCs w:val="0"/>
                <w:color w:val="000000" w:themeColor="text1"/>
                <w:kern w:val="2"/>
                <w:sz w:val="21"/>
                <w:szCs w:val="21"/>
                <w:highlight w:val="none"/>
                <w:lang w:val="en-US" w:eastAsia="zh-CN" w:bidi="ar-SA"/>
                <w14:textFill>
                  <w14:solidFill>
                    <w14:schemeClr w14:val="tx1"/>
                  </w14:solidFill>
                </w14:textFill>
              </w:rPr>
              <w:t>年</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有效工作时间为450h</w:t>
            </w:r>
            <w:r>
              <w:rPr>
                <w:rFonts w:hint="eastAsia" w:cs="Times New Roman"/>
                <w:color w:val="000000" w:themeColor="text1"/>
                <w:kern w:val="2"/>
                <w:sz w:val="21"/>
                <w:szCs w:val="21"/>
                <w:highlight w:val="none"/>
                <w:lang w:val="en-US" w:eastAsia="zh-CN" w:bidi="ar-SA"/>
                <w14:textFill>
                  <w14:solidFill>
                    <w14:schemeClr w14:val="tx1"/>
                  </w14:solidFill>
                </w14:textFill>
              </w:rPr>
              <w:t>，参考</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fldChar w:fldCharType="begin"/>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instrText xml:space="preserve"> HYPERLINK "https://www.mee.gov.cn/xxgk2018/xxgk/xxgk01/202106/W020210624327149500026.pdf" </w:instrTex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fldChar w:fldCharType="separate"/>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排放源统计调查产排污核算方法和系数手册</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fldChar w:fldCharType="end"/>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——机械行业系数手册》</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下料工序</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产污系数</w:t>
            </w:r>
            <w:r>
              <w:rPr>
                <w:rFonts w:hint="eastAsia" w:cs="Times New Roman"/>
                <w:color w:val="000000" w:themeColor="text1"/>
                <w:kern w:val="2"/>
                <w:sz w:val="21"/>
                <w:szCs w:val="21"/>
                <w:highlight w:val="none"/>
                <w:lang w:val="en-US" w:eastAsia="zh-CN" w:bidi="ar-SA"/>
                <w14:textFill>
                  <w14:solidFill>
                    <w14:schemeClr w14:val="tx1"/>
                  </w14:solidFill>
                </w14:textFill>
              </w:rPr>
              <w:t>，本项目激光切割工序</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产污系数</w:t>
            </w:r>
            <w:r>
              <w:rPr>
                <w:rFonts w:hint="eastAsia" w:cs="Times New Roman"/>
                <w:color w:val="000000" w:themeColor="text1"/>
                <w:kern w:val="2"/>
                <w:sz w:val="21"/>
                <w:szCs w:val="21"/>
                <w:highlight w:val="none"/>
                <w:lang w:val="en-US" w:eastAsia="zh-CN" w:bidi="ar-SA"/>
                <w14:textFill>
                  <w14:solidFill>
                    <w14:schemeClr w14:val="tx1"/>
                  </w14:solidFill>
                </w14:textFill>
              </w:rPr>
              <w:t>取</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1.10</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千克/吨</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原料。</w:t>
            </w:r>
            <w:r>
              <w:rPr>
                <w:rFonts w:hint="default" w:ascii="Times New Roman" w:hAnsi="Times New Roman" w:cs="Times New Roman"/>
                <w:color w:val="000000" w:themeColor="text1"/>
                <w:sz w:val="21"/>
                <w:szCs w:val="21"/>
                <w:lang w:val="en-US" w:eastAsia="zh-CN"/>
                <w14:textFill>
                  <w14:solidFill>
                    <w14:schemeClr w14:val="tx1"/>
                  </w14:solidFill>
                </w14:textFill>
              </w:rPr>
              <w:t>根据企业提供数据</w:t>
            </w:r>
            <w:r>
              <w:rPr>
                <w:rFonts w:hint="eastAsia"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需要使用激光切割机切割的</w:t>
            </w:r>
            <w:r>
              <w:rPr>
                <w:rFonts w:hint="eastAsia" w:cs="Times New Roman"/>
                <w:b w:val="0"/>
                <w:bCs w:val="0"/>
                <w:color w:val="000000" w:themeColor="text1"/>
                <w:sz w:val="21"/>
                <w:szCs w:val="21"/>
                <w:highlight w:val="none"/>
                <w:lang w:val="en-US" w:eastAsia="zh-CN"/>
                <w14:textFill>
                  <w14:solidFill>
                    <w14:schemeClr w14:val="tx1"/>
                  </w14:solidFill>
                </w14:textFill>
              </w:rPr>
              <w:t>管状毛坯件</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为</w:t>
            </w:r>
            <w:r>
              <w:rPr>
                <w:rFonts w:hint="eastAsia" w:cs="Times New Roman"/>
                <w:color w:val="000000" w:themeColor="text1"/>
                <w:kern w:val="2"/>
                <w:sz w:val="21"/>
                <w:szCs w:val="21"/>
                <w:highlight w:val="none"/>
                <w:lang w:val="en-US" w:eastAsia="zh-CN" w:bidi="ar-SA"/>
                <w14:textFill>
                  <w14:solidFill>
                    <w14:schemeClr w14:val="tx1"/>
                  </w14:solidFill>
                </w14:textFill>
              </w:rPr>
              <w:t>10</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t/a</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则粉尘产生量</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0.0</w:t>
            </w:r>
            <w:r>
              <w:rPr>
                <w:rFonts w:hint="eastAsia" w:cs="Times New Roman"/>
                <w:color w:val="000000" w:themeColor="text1"/>
                <w:kern w:val="2"/>
                <w:sz w:val="21"/>
                <w:szCs w:val="21"/>
                <w:highlight w:val="none"/>
                <w:lang w:val="en-US" w:eastAsia="zh-CN" w:bidi="ar-SA"/>
                <w14:textFill>
                  <w14:solidFill>
                    <w14:schemeClr w14:val="tx1"/>
                  </w14:solidFill>
                </w14:textFill>
              </w:rPr>
              <w:t>11</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t</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a</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产生</w:t>
            </w:r>
            <w:r>
              <w:rPr>
                <w:rFonts w:hint="eastAsia" w:cs="Times New Roman"/>
                <w:color w:val="000000" w:themeColor="text1"/>
                <w:kern w:val="2"/>
                <w:sz w:val="21"/>
                <w:szCs w:val="21"/>
                <w:highlight w:val="none"/>
                <w:lang w:val="en-US" w:eastAsia="zh-CN" w:bidi="ar-SA"/>
                <w14:textFill>
                  <w14:solidFill>
                    <w14:schemeClr w14:val="tx1"/>
                  </w14:solidFill>
                </w14:textFill>
              </w:rPr>
              <w:t>速率为</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0.0</w:t>
            </w:r>
            <w:r>
              <w:rPr>
                <w:rFonts w:hint="eastAsia" w:cs="Times New Roman"/>
                <w:color w:val="000000" w:themeColor="text1"/>
                <w:kern w:val="2"/>
                <w:sz w:val="21"/>
                <w:szCs w:val="21"/>
                <w:highlight w:val="none"/>
                <w:lang w:val="en-US" w:eastAsia="zh-CN" w:bidi="ar-SA"/>
                <w14:textFill>
                  <w14:solidFill>
                    <w14:schemeClr w14:val="tx1"/>
                  </w14:solidFill>
                </w14:textFill>
              </w:rPr>
              <w:t>24</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kg/h</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激光切割机</w:t>
            </w:r>
            <w:r>
              <w:rPr>
                <w:rFonts w:hint="eastAsia" w:cs="Times New Roman"/>
                <w:color w:val="000000" w:themeColor="text1"/>
                <w:kern w:val="2"/>
                <w:sz w:val="21"/>
                <w:szCs w:val="21"/>
                <w:highlight w:val="none"/>
                <w:lang w:val="en-US" w:eastAsia="zh-CN" w:bidi="ar-SA"/>
                <w14:textFill>
                  <w14:solidFill>
                    <w14:schemeClr w14:val="tx1"/>
                  </w14:solidFill>
                </w14:textFill>
              </w:rPr>
              <w:t>配套随动同步移动集气罩（集气效率约为90%），</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集气罩固定在激光切割轴切割头支架</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跟随切割头同步移动</w:t>
            </w:r>
            <w:r>
              <w:rPr>
                <w:rFonts w:hint="eastAsia" w:cs="Times New Roman"/>
                <w:color w:val="000000" w:themeColor="text1"/>
                <w:kern w:val="2"/>
                <w:sz w:val="21"/>
                <w:szCs w:val="21"/>
                <w:highlight w:val="none"/>
                <w:lang w:val="en-US" w:eastAsia="zh-CN" w:bidi="ar-SA"/>
                <w14:textFill>
                  <w14:solidFill>
                    <w14:schemeClr w14:val="tx1"/>
                  </w14:solidFill>
                </w14:textFill>
              </w:rPr>
              <w:t>，废气收集后</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经密闭管道引入</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1套高效脉冲布袋除尘器</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（TA001）处理后通过1根15</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m排气筒</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（DA001）</w:t>
            </w:r>
            <w:r>
              <w:rPr>
                <w:rFonts w:hint="eastAsia" w:cs="Times New Roman"/>
                <w:color w:val="000000" w:themeColor="text1"/>
                <w:kern w:val="2"/>
                <w:szCs w:val="21"/>
                <w:highlight w:val="none"/>
                <w:lang w:val="en-US" w:eastAsia="zh-CN" w:bidi="ar-SA"/>
                <w14:textFill>
                  <w14:solidFill>
                    <w14:schemeClr w14:val="tx1"/>
                  </w14:solidFill>
                </w14:textFill>
              </w:rPr>
              <w:t>。</w:t>
            </w:r>
          </w:p>
          <w:p w14:paraId="47377F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2" w:firstLineChars="200"/>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w:t>
            </w:r>
            <w:r>
              <w:rPr>
                <w:rFonts w:hint="eastAsia" w:ascii="Times New Roman" w:hAnsi="Times New Roman" w:cs="Times New Roman"/>
                <w:b/>
                <w:bCs/>
                <w:color w:val="000000" w:themeColor="text1"/>
                <w:sz w:val="21"/>
                <w:szCs w:val="21"/>
                <w:lang w:val="en-US" w:eastAsia="zh-CN"/>
                <w14:textFill>
                  <w14:solidFill>
                    <w14:schemeClr w14:val="tx1"/>
                  </w14:solidFill>
                </w14:textFill>
              </w:rPr>
              <w:t>2</w:t>
            </w:r>
            <w:r>
              <w:rPr>
                <w:rFonts w:hint="default" w:ascii="Times New Roman" w:hAnsi="Times New Roman" w:cs="Times New Roman"/>
                <w:b/>
                <w:bCs/>
                <w:color w:val="000000" w:themeColor="text1"/>
                <w:sz w:val="21"/>
                <w:szCs w:val="21"/>
                <w:lang w:val="en-US" w:eastAsia="zh-CN"/>
                <w14:textFill>
                  <w14:solidFill>
                    <w14:schemeClr w14:val="tx1"/>
                  </w14:solidFill>
                </w14:textFill>
              </w:rPr>
              <w:t>）</w:t>
            </w:r>
            <w:r>
              <w:rPr>
                <w:rFonts w:hint="eastAsia" w:cs="Times New Roman"/>
                <w:b/>
                <w:bCs/>
                <w:color w:val="000000" w:themeColor="text1"/>
                <w:sz w:val="21"/>
                <w:szCs w:val="21"/>
                <w:lang w:val="en-US" w:eastAsia="zh-CN"/>
                <w14:textFill>
                  <w14:solidFill>
                    <w14:schemeClr w14:val="tx1"/>
                  </w14:solidFill>
                </w14:textFill>
              </w:rPr>
              <w:t>焊接</w:t>
            </w:r>
            <w:r>
              <w:rPr>
                <w:rFonts w:hint="default" w:ascii="Times New Roman" w:hAnsi="Times New Roman" w:cs="Times New Roman"/>
                <w:b/>
                <w:bCs/>
                <w:color w:val="000000" w:themeColor="text1"/>
                <w:sz w:val="21"/>
                <w:szCs w:val="21"/>
                <w14:textFill>
                  <w14:solidFill>
                    <w14:schemeClr w14:val="tx1"/>
                  </w14:solidFill>
                </w14:textFill>
              </w:rPr>
              <w:t>废气</w:t>
            </w:r>
          </w:p>
          <w:p w14:paraId="28C744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本项目</w:t>
            </w:r>
            <w:r>
              <w:rPr>
                <w:rFonts w:hint="eastAsia" w:ascii="Times New Roman" w:hAnsi="Times New Roman" w:cs="Times New Roman"/>
                <w:color w:val="000000" w:themeColor="text1"/>
                <w:kern w:val="0"/>
                <w:sz w:val="21"/>
                <w:szCs w:val="21"/>
                <w:highlight w:val="none"/>
                <w:lang w:val="en-US" w:eastAsia="zh-CN" w:bidi="ar-SA"/>
                <w14:textFill>
                  <w14:solidFill>
                    <w14:schemeClr w14:val="tx1"/>
                  </w14:solidFill>
                </w14:textFill>
              </w:rPr>
              <w:t>焊接工序</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利用氩弧焊机</w:t>
            </w:r>
            <w:r>
              <w:rPr>
                <w:rFonts w:hint="eastAsia" w:cs="Times New Roman"/>
                <w:color w:val="000000" w:themeColor="text1"/>
                <w:sz w:val="21"/>
                <w:szCs w:val="21"/>
                <w:vertAlign w:val="baseline"/>
                <w:lang w:val="en-US" w:eastAsia="zh-CN"/>
                <w14:textFill>
                  <w14:solidFill>
                    <w14:schemeClr w14:val="tx1"/>
                  </w14:solidFill>
                </w14:textFill>
              </w:rPr>
              <w:t>对工</w:t>
            </w:r>
            <w:r>
              <w:rPr>
                <w:rFonts w:hint="eastAsia" w:cs="Times New Roman"/>
                <w:b w:val="0"/>
                <w:bCs w:val="0"/>
                <w:color w:val="000000" w:themeColor="text1"/>
                <w:sz w:val="21"/>
                <w:szCs w:val="21"/>
                <w:highlight w:val="none"/>
                <w:lang w:val="en-US" w:eastAsia="zh-CN"/>
                <w14:textFill>
                  <w14:solidFill>
                    <w14:schemeClr w14:val="tx1"/>
                  </w14:solidFill>
                </w14:textFill>
              </w:rPr>
              <w:t>管状毛坯件</w:t>
            </w:r>
            <w:r>
              <w:rPr>
                <w:rFonts w:hint="eastAsia" w:cs="Times New Roman"/>
                <w:color w:val="000000" w:themeColor="text1"/>
                <w:sz w:val="21"/>
                <w:szCs w:val="21"/>
                <w:vertAlign w:val="baseline"/>
                <w:lang w:val="en-US" w:eastAsia="zh-CN"/>
                <w14:textFill>
                  <w14:solidFill>
                    <w14:schemeClr w14:val="tx1"/>
                  </w14:solidFill>
                </w14:textFill>
              </w:rPr>
              <w:t>缝隙进行焊接处理，项目拟设置1个固定式焊接工位</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（三面封闭、出入口软帘封闭）</w:t>
            </w:r>
            <w:r>
              <w:rPr>
                <w:rFonts w:hint="eastAsia" w:cs="Times New Roman"/>
                <w:color w:val="000000" w:themeColor="text1"/>
                <w:sz w:val="21"/>
                <w:szCs w:val="21"/>
                <w:vertAlign w:val="baseline"/>
                <w:lang w:val="en-US" w:eastAsia="zh-CN"/>
                <w14:textFill>
                  <w14:solidFill>
                    <w14:schemeClr w14:val="tx1"/>
                  </w14:solidFill>
                </w14:textFill>
              </w:rPr>
              <w:t>对其工件进行焊接处理</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。根据企业提供的资料</w:t>
            </w:r>
            <w:r>
              <w:rPr>
                <w:rFonts w:hint="eastAsia" w:cs="Times New Roman"/>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焊接工序有效运行时间为</w:t>
            </w:r>
            <w:r>
              <w:rPr>
                <w:rFonts w:hint="eastAsia" w:cs="Times New Roman"/>
                <w:color w:val="000000" w:themeColor="text1"/>
                <w:kern w:val="0"/>
                <w:sz w:val="21"/>
                <w:szCs w:val="21"/>
                <w:highlight w:val="none"/>
                <w:lang w:val="en-US" w:eastAsia="zh-CN" w:bidi="ar-SA"/>
                <w14:textFill>
                  <w14:solidFill>
                    <w14:schemeClr w14:val="tx1"/>
                  </w14:solidFill>
                </w14:textFill>
              </w:rPr>
              <w:t>1200</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h/a。</w:t>
            </w:r>
            <w:r>
              <w:rPr>
                <w:rFonts w:hint="eastAsia" w:cs="Times New Roman"/>
                <w:color w:val="000000" w:themeColor="text1"/>
                <w:kern w:val="0"/>
                <w:sz w:val="21"/>
                <w:szCs w:val="21"/>
                <w:highlight w:val="none"/>
                <w:lang w:val="en-US" w:eastAsia="zh-CN" w:bidi="ar-SA"/>
                <w14:textFill>
                  <w14:solidFill>
                    <w14:schemeClr w14:val="tx1"/>
                  </w14:solidFill>
                </w14:textFill>
              </w:rPr>
              <w:t>纯钛滤芯焊接期间使用自熔焊工艺，无废气产生。不锈钢滤芯生产期间</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焊接原料（实</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芯</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焊丝）使用量约为0.</w:t>
            </w:r>
            <w:r>
              <w:rPr>
                <w:rFonts w:hint="eastAsia" w:ascii="Times New Roman" w:hAnsi="Times New Roman" w:cs="Times New Roman"/>
                <w:color w:val="000000" w:themeColor="text1"/>
                <w:kern w:val="0"/>
                <w:sz w:val="21"/>
                <w:szCs w:val="21"/>
                <w:highlight w:val="none"/>
                <w:lang w:val="en-US" w:eastAsia="zh-CN" w:bidi="ar-SA"/>
                <w14:textFill>
                  <w14:solidFill>
                    <w14:schemeClr w14:val="tx1"/>
                  </w14:solidFill>
                </w14:textFill>
              </w:rPr>
              <w:t>01</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t/a。</w:t>
            </w:r>
          </w:p>
          <w:p w14:paraId="1FFC89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jc w:val="both"/>
              <w:textAlignment w:val="auto"/>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根据</w:t>
            </w:r>
            <w:r>
              <w:rPr>
                <w:rFonts w:hint="eastAsia" w:cs="Times New Roman"/>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排放源统计调查产排污核算方法和系数手册》（2021年第24号）中的《33－37、机械行业系数手册》（09焊接—实芯焊丝—氩弧焊—颗粒物）可知</w:t>
            </w:r>
            <w:r>
              <w:rPr>
                <w:rFonts w:hint="eastAsia" w:cs="Times New Roman"/>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颗粒物产污系数为9.19千克/吨—原料</w:t>
            </w:r>
            <w:r>
              <w:rPr>
                <w:rFonts w:hint="eastAsia" w:cs="Times New Roman"/>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工业废气量的产污系数为</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2130193</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m</w:t>
            </w:r>
            <w:r>
              <w:rPr>
                <w:rFonts w:hint="default" w:ascii="Times New Roman" w:hAnsi="Times New Roman" w:cs="Times New Roman"/>
                <w:color w:val="000000" w:themeColor="text1"/>
                <w:kern w:val="2"/>
                <w:sz w:val="21"/>
                <w:szCs w:val="21"/>
                <w:highlight w:val="none"/>
                <w:vertAlign w:val="superscript"/>
                <w:lang w:val="en-US" w:eastAsia="zh-CN" w:bidi="ar-SA"/>
                <w14:textFill>
                  <w14:solidFill>
                    <w14:schemeClr w14:val="tx1"/>
                  </w14:solidFill>
                </w14:textFill>
              </w:rPr>
              <w:t>3</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w:t>
            </w:r>
            <w:r>
              <w:rPr>
                <w:rFonts w:hint="eastAsia" w:cs="Times New Roman"/>
                <w:color w:val="000000" w:themeColor="text1"/>
                <w:kern w:val="2"/>
                <w:sz w:val="21"/>
                <w:szCs w:val="21"/>
                <w:highlight w:val="none"/>
                <w:lang w:val="en-US" w:eastAsia="zh-CN" w:bidi="ar-SA"/>
                <w14:textFill>
                  <w14:solidFill>
                    <w14:schemeClr w14:val="tx1"/>
                  </w14:solidFill>
                </w14:textFill>
              </w:rPr>
              <w:t>（t·原料）。</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则运营期焊接工序颗粒物产生量为0.</w:t>
            </w:r>
            <w:r>
              <w:rPr>
                <w:rFonts w:hint="eastAsia" w:ascii="Times New Roman" w:hAnsi="Times New Roman" w:cs="Times New Roman"/>
                <w:color w:val="000000" w:themeColor="text1"/>
                <w:kern w:val="0"/>
                <w:sz w:val="21"/>
                <w:szCs w:val="21"/>
                <w:highlight w:val="none"/>
                <w:lang w:val="en-US" w:eastAsia="zh-CN" w:bidi="ar-SA"/>
                <w14:textFill>
                  <w14:solidFill>
                    <w14:schemeClr w14:val="tx1"/>
                  </w14:solidFill>
                </w14:textFill>
              </w:rPr>
              <w:t>9×10</w:t>
            </w:r>
            <w:r>
              <w:rPr>
                <w:rFonts w:hint="eastAsia" w:ascii="Times New Roman" w:hAnsi="Times New Roman" w:cs="Times New Roman"/>
                <w:color w:val="000000" w:themeColor="text1"/>
                <w:kern w:val="0"/>
                <w:sz w:val="21"/>
                <w:szCs w:val="21"/>
                <w:highlight w:val="none"/>
                <w:vertAlign w:val="superscript"/>
                <w:lang w:val="en-US" w:eastAsia="zh-CN" w:bidi="ar-SA"/>
                <w14:textFill>
                  <w14:solidFill>
                    <w14:schemeClr w14:val="tx1"/>
                  </w14:solidFill>
                </w14:textFill>
              </w:rPr>
              <w:t>-4</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t/a</w:t>
            </w:r>
            <w:r>
              <w:rPr>
                <w:rFonts w:hint="eastAsia" w:cs="Times New Roman"/>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产生速率为0.00</w:t>
            </w:r>
            <w:r>
              <w:rPr>
                <w:rFonts w:hint="eastAsia" w:ascii="Times New Roman" w:hAnsi="Times New Roman" w:cs="Times New Roman"/>
                <w:color w:val="000000" w:themeColor="text1"/>
                <w:kern w:val="0"/>
                <w:sz w:val="21"/>
                <w:szCs w:val="21"/>
                <w:highlight w:val="none"/>
                <w:lang w:val="en-US" w:eastAsia="zh-CN" w:bidi="ar-SA"/>
                <w14:textFill>
                  <w14:solidFill>
                    <w14:schemeClr w14:val="tx1"/>
                  </w14:solidFill>
                </w14:textFill>
              </w:rPr>
              <w:t>0</w:t>
            </w:r>
            <w:r>
              <w:rPr>
                <w:rFonts w:hint="eastAsia" w:cs="Times New Roman"/>
                <w:color w:val="000000" w:themeColor="text1"/>
                <w:kern w:val="0"/>
                <w:sz w:val="21"/>
                <w:szCs w:val="21"/>
                <w:highlight w:val="none"/>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kg/h。</w:t>
            </w:r>
            <w:r>
              <w:rPr>
                <w:rFonts w:hint="eastAsia" w:cs="Times New Roman"/>
                <w:color w:val="000000" w:themeColor="text1"/>
                <w:kern w:val="0"/>
                <w:sz w:val="21"/>
                <w:szCs w:val="21"/>
                <w:highlight w:val="none"/>
                <w:lang w:val="en-US" w:eastAsia="zh-CN" w:bidi="ar-SA"/>
                <w14:textFill>
                  <w14:solidFill>
                    <w14:schemeClr w14:val="tx1"/>
                  </w14:solidFill>
                </w14:textFill>
              </w:rPr>
              <w:t>焊接工位顶部设置</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集气罩</w:t>
            </w:r>
            <w:r>
              <w:rPr>
                <w:rFonts w:hint="eastAsia" w:cs="Times New Roman"/>
                <w:color w:val="000000" w:themeColor="text1"/>
                <w:kern w:val="2"/>
                <w:sz w:val="21"/>
                <w:szCs w:val="21"/>
                <w:highlight w:val="none"/>
                <w:lang w:val="en-US" w:eastAsia="zh-CN" w:bidi="ar-SA"/>
                <w14:textFill>
                  <w14:solidFill>
                    <w14:schemeClr w14:val="tx1"/>
                  </w14:solidFill>
                </w14:textFill>
              </w:rPr>
              <w:t>（集气效率约为90%），废气收集后</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经密闭管道引入</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1套高效脉冲布袋除尘器</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（TA001）处理后通过1根15</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m排气筒</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（DA001）</w:t>
            </w:r>
            <w:r>
              <w:rPr>
                <w:rFonts w:hint="eastAsia" w:cs="Times New Roman"/>
                <w:color w:val="000000" w:themeColor="text1"/>
                <w:kern w:val="2"/>
                <w:szCs w:val="21"/>
                <w:highlight w:val="none"/>
                <w:lang w:val="en-US" w:eastAsia="zh-CN" w:bidi="ar-SA"/>
                <w14:textFill>
                  <w14:solidFill>
                    <w14:schemeClr w14:val="tx1"/>
                  </w14:solidFill>
                </w14:textFill>
              </w:rPr>
              <w:t>。</w:t>
            </w:r>
          </w:p>
          <w:p w14:paraId="632603FB">
            <w:pPr>
              <w:keepNext/>
              <w:keepLines/>
              <w:widowControl/>
              <w:adjustRightInd w:val="0"/>
              <w:snapToGrid w:val="0"/>
              <w:spacing w:line="360" w:lineRule="auto"/>
              <w:ind w:firstLine="422" w:firstLineChars="200"/>
              <w:jc w:val="left"/>
              <w:outlineLvl w:val="1"/>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eastAsia" w:cs="Times New Roman"/>
                <w:b/>
                <w:bCs/>
                <w:color w:val="000000" w:themeColor="text1"/>
                <w:kern w:val="0"/>
                <w:sz w:val="21"/>
                <w:szCs w:val="21"/>
                <w:lang w:val="en-US" w:eastAsia="zh-CN" w:bidi="ar-SA"/>
                <w14:textFill>
                  <w14:solidFill>
                    <w14:schemeClr w14:val="tx1"/>
                  </w14:solidFill>
                </w14:textFill>
              </w:rPr>
              <w:t>（3）打磨废气</w:t>
            </w:r>
          </w:p>
          <w:p w14:paraId="1E538C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jc w:val="both"/>
              <w:textAlignment w:val="auto"/>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本项目设置4台手持修磨机对焊缝以及表面的毛刺进行处置</w:t>
            </w:r>
            <w:r>
              <w:rPr>
                <w:rFonts w:hint="eastAsia" w:cs="Times New Roman"/>
                <w:color w:val="000000" w:themeColor="text1"/>
                <w:kern w:val="2"/>
                <w:szCs w:val="21"/>
                <w:highlight w:val="none"/>
                <w:lang w:val="en-US" w:eastAsia="zh-CN" w:bidi="ar-SA"/>
                <w14:textFill>
                  <w14:solidFill>
                    <w14:schemeClr w14:val="tx1"/>
                  </w14:solidFill>
                </w14:textFill>
              </w:rPr>
              <w:t>，修磨</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工序有效运行时间为</w:t>
            </w:r>
            <w:r>
              <w:rPr>
                <w:rFonts w:hint="eastAsia" w:cs="Times New Roman"/>
                <w:color w:val="000000" w:themeColor="text1"/>
                <w:kern w:val="0"/>
                <w:sz w:val="21"/>
                <w:szCs w:val="21"/>
                <w:highlight w:val="none"/>
                <w:lang w:val="en-US" w:eastAsia="zh-CN" w:bidi="ar-SA"/>
                <w14:textFill>
                  <w14:solidFill>
                    <w14:schemeClr w14:val="tx1"/>
                  </w14:solidFill>
                </w14:textFill>
              </w:rPr>
              <w:t>2400</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h/a。</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根据《</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fldChar w:fldCharType="begin"/>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instrText xml:space="preserve"> HYPERLINK "https://www.mee.gov.cn/xxgk2018/xxgk/xxgk01/202106/W020210624327149500026.pdf" </w:instrTex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fldChar w:fldCharType="separate"/>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排放源统计调查产排污核算方法和系数手册</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fldChar w:fldCharType="end"/>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——机械行业系数手册》干式预处理件产污系数为2.19千克/吨－原料</w:t>
            </w:r>
            <w:r>
              <w:rPr>
                <w:rFonts w:hint="eastAsia" w:cs="Times New Roman"/>
                <w:color w:val="000000" w:themeColor="text1"/>
                <w:kern w:val="2"/>
                <w:szCs w:val="21"/>
                <w:highlight w:val="none"/>
                <w:lang w:val="en-US" w:eastAsia="zh-CN" w:bidi="ar-SA"/>
                <w14:textFill>
                  <w14:solidFill>
                    <w14:schemeClr w14:val="tx1"/>
                  </w14:solidFill>
                </w14:textFill>
              </w:rPr>
              <w:t>，</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工业废气量的产污系数为8500m</w:t>
            </w:r>
            <w:r>
              <w:rPr>
                <w:rFonts w:hint="default" w:ascii="Times New Roman" w:hAnsi="Times New Roman" w:cs="Times New Roman"/>
                <w:color w:val="000000" w:themeColor="text1"/>
                <w:kern w:val="2"/>
                <w:szCs w:val="21"/>
                <w:highlight w:val="none"/>
                <w:vertAlign w:val="superscript"/>
                <w:lang w:val="en-US" w:eastAsia="zh-CN" w:bidi="ar-SA"/>
                <w14:textFill>
                  <w14:solidFill>
                    <w14:schemeClr w14:val="tx1"/>
                  </w14:solidFill>
                </w14:textFill>
              </w:rPr>
              <w:t>3</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/t原料。</w:t>
            </w:r>
            <w:r>
              <w:rPr>
                <w:rFonts w:hint="default" w:ascii="Times New Roman" w:hAnsi="Times New Roman" w:cs="Times New Roman"/>
                <w:color w:val="000000" w:themeColor="text1"/>
                <w:szCs w:val="21"/>
                <w:lang w:val="en-US" w:eastAsia="zh-CN"/>
                <w14:textFill>
                  <w14:solidFill>
                    <w14:schemeClr w14:val="tx1"/>
                  </w14:solidFill>
                </w14:textFill>
              </w:rPr>
              <w:t>根据企业提供数据</w:t>
            </w:r>
            <w:r>
              <w:rPr>
                <w:rFonts w:hint="eastAsia" w:cs="Times New Roman"/>
                <w:color w:val="000000" w:themeColor="text1"/>
                <w:szCs w:val="21"/>
                <w:lang w:val="en-US" w:eastAsia="zh-CN"/>
                <w14:textFill>
                  <w14:solidFill>
                    <w14:schemeClr w14:val="tx1"/>
                  </w14:solidFill>
                </w14:textFill>
              </w:rPr>
              <w:t>，</w:t>
            </w:r>
            <w:r>
              <w:rPr>
                <w:rFonts w:hint="eastAsia" w:ascii="Times New Roman" w:hAnsi="Times New Roman" w:cs="Times New Roman"/>
                <w:color w:val="000000" w:themeColor="text1"/>
                <w:szCs w:val="21"/>
                <w:lang w:val="en-US" w:eastAsia="zh-CN"/>
                <w14:textFill>
                  <w14:solidFill>
                    <w14:schemeClr w14:val="tx1"/>
                  </w14:solidFill>
                </w14:textFill>
              </w:rPr>
              <w:t>每班修磨4小时</w:t>
            </w:r>
            <w:r>
              <w:rPr>
                <w:rFonts w:hint="eastAsia" w:cs="Times New Roman"/>
                <w:color w:val="000000" w:themeColor="text1"/>
                <w:szCs w:val="21"/>
                <w:lang w:val="en-US" w:eastAsia="zh-CN"/>
                <w14:textFill>
                  <w14:solidFill>
                    <w14:schemeClr w14:val="tx1"/>
                  </w14:solidFill>
                </w14:textFill>
              </w:rPr>
              <w:t>，</w:t>
            </w:r>
            <w:r>
              <w:rPr>
                <w:rFonts w:hint="default" w:ascii="Times New Roman" w:hAnsi="Times New Roman" w:cs="Times New Roman"/>
                <w:color w:val="000000" w:themeColor="text1"/>
                <w:szCs w:val="21"/>
                <w:lang w:val="en-US" w:eastAsia="zh-CN"/>
                <w14:textFill>
                  <w14:solidFill>
                    <w14:schemeClr w14:val="tx1"/>
                  </w14:solidFill>
                </w14:textFill>
              </w:rPr>
              <w:t>年</w:t>
            </w:r>
            <w:r>
              <w:rPr>
                <w:rFonts w:hint="eastAsia" w:ascii="Times New Roman" w:hAnsi="Times New Roman" w:cs="Times New Roman"/>
                <w:color w:val="000000" w:themeColor="text1"/>
                <w:szCs w:val="21"/>
                <w:lang w:val="en-US" w:eastAsia="zh-CN"/>
                <w14:textFill>
                  <w14:solidFill>
                    <w14:schemeClr w14:val="tx1"/>
                  </w14:solidFill>
                </w14:textFill>
              </w:rPr>
              <w:t>修磨工序</w:t>
            </w:r>
            <w:r>
              <w:rPr>
                <w:rFonts w:hint="default" w:ascii="Times New Roman" w:hAnsi="Times New Roman" w:cs="Times New Roman"/>
                <w:color w:val="000000" w:themeColor="text1"/>
                <w:szCs w:val="21"/>
                <w:lang w:val="en-US" w:eastAsia="zh-CN"/>
                <w14:textFill>
                  <w14:solidFill>
                    <w14:schemeClr w14:val="tx1"/>
                  </w14:solidFill>
                </w14:textFill>
              </w:rPr>
              <w:t>工作时间2400h</w:t>
            </w:r>
            <w:r>
              <w:rPr>
                <w:rFonts w:hint="eastAsia" w:cs="Times New Roman"/>
                <w:color w:val="000000" w:themeColor="text1"/>
                <w:szCs w:val="21"/>
                <w:lang w:val="en-US" w:eastAsia="zh-CN"/>
                <w14:textFill>
                  <w14:solidFill>
                    <w14:schemeClr w14:val="tx1"/>
                  </w14:solidFill>
                </w14:textFill>
              </w:rPr>
              <w:t>，</w:t>
            </w:r>
            <w:r>
              <w:rPr>
                <w:rFonts w:hint="eastAsia" w:ascii="Times New Roman" w:hAnsi="Times New Roman" w:cs="Times New Roman"/>
                <w:color w:val="000000" w:themeColor="text1"/>
                <w:szCs w:val="21"/>
                <w:lang w:val="en-US" w:eastAsia="zh-CN"/>
                <w14:textFill>
                  <w14:solidFill>
                    <w14:schemeClr w14:val="tx1"/>
                  </w14:solidFill>
                </w14:textFill>
              </w:rPr>
              <w:t>修磨</w:t>
            </w:r>
            <w:r>
              <w:rPr>
                <w:rFonts w:hint="default" w:ascii="Times New Roman" w:hAnsi="Times New Roman" w:cs="Times New Roman"/>
                <w:color w:val="000000" w:themeColor="text1"/>
                <w:szCs w:val="21"/>
                <w:lang w:val="en-US" w:eastAsia="zh-CN"/>
                <w14:textFill>
                  <w14:solidFill>
                    <w14:schemeClr w14:val="tx1"/>
                  </w14:solidFill>
                </w14:textFill>
              </w:rPr>
              <w:t>工序加工的</w:t>
            </w:r>
            <w:r>
              <w:rPr>
                <w:rFonts w:hint="eastAsia" w:cs="Times New Roman"/>
                <w:color w:val="000000" w:themeColor="text1"/>
                <w:szCs w:val="21"/>
                <w:lang w:val="en-US" w:eastAsia="zh-CN"/>
                <w14:textFill>
                  <w14:solidFill>
                    <w14:schemeClr w14:val="tx1"/>
                  </w14:solidFill>
                </w14:textFill>
              </w:rPr>
              <w:t>板状及管状件</w:t>
            </w:r>
            <w:r>
              <w:rPr>
                <w:rFonts w:hint="default" w:ascii="Times New Roman" w:hAnsi="Times New Roman" w:cs="Times New Roman"/>
                <w:color w:val="000000" w:themeColor="text1"/>
                <w:szCs w:val="21"/>
                <w:lang w:val="en-US" w:eastAsia="zh-CN"/>
                <w14:textFill>
                  <w14:solidFill>
                    <w14:schemeClr w14:val="tx1"/>
                  </w14:solidFill>
                </w14:textFill>
              </w:rPr>
              <w:t>总用</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量约为</w:t>
            </w:r>
            <w:r>
              <w:rPr>
                <w:rFonts w:hint="eastAsia" w:cs="Times New Roman"/>
                <w:color w:val="000000" w:themeColor="text1"/>
                <w:kern w:val="2"/>
                <w:szCs w:val="21"/>
                <w:highlight w:val="none"/>
                <w:lang w:val="en-US" w:eastAsia="zh-CN" w:bidi="ar-SA"/>
                <w14:textFill>
                  <w14:solidFill>
                    <w14:schemeClr w14:val="tx1"/>
                  </w14:solidFill>
                </w14:textFill>
              </w:rPr>
              <w:t>25</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t/a</w:t>
            </w:r>
            <w:r>
              <w:rPr>
                <w:rFonts w:hint="eastAsia" w:cs="Times New Roman"/>
                <w:color w:val="000000" w:themeColor="text1"/>
                <w:kern w:val="2"/>
                <w:szCs w:val="21"/>
                <w:highlight w:val="none"/>
                <w:lang w:val="en-US" w:eastAsia="zh-CN" w:bidi="ar-SA"/>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则粉尘产生量</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0.0</w:t>
            </w:r>
            <w:r>
              <w:rPr>
                <w:rFonts w:hint="eastAsia" w:cs="Times New Roman"/>
                <w:color w:val="000000" w:themeColor="text1"/>
                <w:kern w:val="2"/>
                <w:sz w:val="21"/>
                <w:szCs w:val="21"/>
                <w:highlight w:val="none"/>
                <w:lang w:val="en-US" w:eastAsia="zh-CN" w:bidi="ar-SA"/>
                <w14:textFill>
                  <w14:solidFill>
                    <w14:schemeClr w14:val="tx1"/>
                  </w14:solidFill>
                </w14:textFill>
              </w:rPr>
              <w:t>55</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t</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a</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产生</w:t>
            </w:r>
            <w:r>
              <w:rPr>
                <w:rFonts w:hint="eastAsia" w:cs="Times New Roman"/>
                <w:color w:val="000000" w:themeColor="text1"/>
                <w:kern w:val="2"/>
                <w:sz w:val="21"/>
                <w:szCs w:val="21"/>
                <w:highlight w:val="none"/>
                <w:lang w:val="en-US" w:eastAsia="zh-CN" w:bidi="ar-SA"/>
                <w14:textFill>
                  <w14:solidFill>
                    <w14:schemeClr w14:val="tx1"/>
                  </w14:solidFill>
                </w14:textFill>
              </w:rPr>
              <w:t>速率为</w:t>
            </w: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0.0</w:t>
            </w:r>
            <w:r>
              <w:rPr>
                <w:rFonts w:hint="eastAsia" w:cs="Times New Roman"/>
                <w:color w:val="000000" w:themeColor="text1"/>
                <w:kern w:val="2"/>
                <w:sz w:val="21"/>
                <w:szCs w:val="21"/>
                <w:highlight w:val="none"/>
                <w:lang w:val="en-US" w:eastAsia="zh-CN" w:bidi="ar-SA"/>
                <w14:textFill>
                  <w14:solidFill>
                    <w14:schemeClr w14:val="tx1"/>
                  </w14:solidFill>
                </w14:textFill>
              </w:rPr>
              <w:t>23</w:t>
            </w:r>
            <w:r>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t>kg/h</w:t>
            </w:r>
            <w:r>
              <w:rPr>
                <w:rFonts w:hint="eastAsia" w:cs="Times New Roman"/>
                <w:color w:val="000000" w:themeColor="text1"/>
                <w:kern w:val="2"/>
                <w:sz w:val="21"/>
                <w:szCs w:val="21"/>
                <w:highlight w:val="none"/>
                <w:lang w:val="en-US" w:eastAsia="zh-CN" w:bidi="ar-SA"/>
                <w14:textFill>
                  <w14:solidFill>
                    <w14:schemeClr w14:val="tx1"/>
                  </w14:solidFill>
                </w14:textFill>
              </w:rPr>
              <w:t>。</w:t>
            </w:r>
          </w:p>
          <w:p w14:paraId="3CB584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jc w:val="both"/>
              <w:textAlignment w:val="auto"/>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2台修磨机设置1组工位（三面封闭、出入口软帘封闭）</w:t>
            </w:r>
            <w:r>
              <w:rPr>
                <w:rFonts w:hint="eastAsia" w:cs="Times New Roman"/>
                <w:color w:val="000000" w:themeColor="text1"/>
                <w:kern w:val="2"/>
                <w:szCs w:val="21"/>
                <w:highlight w:val="none"/>
                <w:lang w:val="en-US" w:eastAsia="zh-CN" w:bidi="ar-SA"/>
                <w14:textFill>
                  <w14:solidFill>
                    <w14:schemeClr w14:val="tx1"/>
                  </w14:solidFill>
                </w14:textFill>
              </w:rPr>
              <w:t>，</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共设置2组工位</w:t>
            </w:r>
            <w:r>
              <w:rPr>
                <w:rFonts w:hint="eastAsia" w:cs="Times New Roman"/>
                <w:color w:val="000000" w:themeColor="text1"/>
                <w:kern w:val="2"/>
                <w:szCs w:val="21"/>
                <w:highlight w:val="none"/>
                <w:lang w:val="en-US" w:eastAsia="zh-CN" w:bidi="ar-SA"/>
                <w14:textFill>
                  <w14:solidFill>
                    <w14:schemeClr w14:val="tx1"/>
                  </w14:solidFill>
                </w14:textFill>
              </w:rPr>
              <w:t>，</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每组工位设置顶吸风装置</w:t>
            </w:r>
            <w:r>
              <w:rPr>
                <w:rFonts w:hint="eastAsia" w:cs="Times New Roman"/>
                <w:color w:val="000000" w:themeColor="text1"/>
                <w:kern w:val="2"/>
                <w:sz w:val="21"/>
                <w:szCs w:val="21"/>
                <w:highlight w:val="none"/>
                <w:lang w:val="en-US" w:eastAsia="zh-CN" w:bidi="ar-SA"/>
                <w14:textFill>
                  <w14:solidFill>
                    <w14:schemeClr w14:val="tx1"/>
                  </w14:solidFill>
                </w14:textFill>
              </w:rPr>
              <w:t>（集气效率约为90%）</w:t>
            </w:r>
            <w:r>
              <w:rPr>
                <w:rFonts w:hint="eastAsia" w:cs="Times New Roman"/>
                <w:color w:val="000000" w:themeColor="text1"/>
                <w:kern w:val="2"/>
                <w:szCs w:val="21"/>
                <w:highlight w:val="none"/>
                <w:lang w:val="en-US" w:eastAsia="zh-CN" w:bidi="ar-SA"/>
                <w14:textFill>
                  <w14:solidFill>
                    <w14:schemeClr w14:val="tx1"/>
                  </w14:solidFill>
                </w14:textFill>
              </w:rPr>
              <w:t>，</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经密闭管道引入</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1套高效脉冲布袋除尘器</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（TA001）处理后通过1根15</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m排气筒</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（DA001）</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w:t>
            </w:r>
          </w:p>
          <w:p w14:paraId="36D952A8">
            <w:pPr>
              <w:keepNext/>
              <w:keepLines/>
              <w:widowControl/>
              <w:adjustRightInd w:val="0"/>
              <w:snapToGrid w:val="0"/>
              <w:spacing w:line="360" w:lineRule="auto"/>
              <w:ind w:firstLine="420" w:firstLineChars="200"/>
              <w:jc w:val="both"/>
              <w:outlineLvl w:val="1"/>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pPr>
            <w:r>
              <w:rPr>
                <w:rFonts w:hint="eastAsia" w:cs="Times New Roman"/>
                <w:b w:val="0"/>
                <w:bCs w:val="0"/>
                <w:color w:val="000000" w:themeColor="text1"/>
                <w:kern w:val="0"/>
                <w:sz w:val="21"/>
                <w:szCs w:val="21"/>
                <w:lang w:val="en-US" w:eastAsia="zh-CN" w:bidi="ar-SA"/>
                <w14:textFill>
                  <w14:solidFill>
                    <w14:schemeClr w14:val="tx1"/>
                  </w14:solidFill>
                </w14:textFill>
              </w:rPr>
              <w:t>上述工序加工产生的烟尘（粉尘）通过密闭管道引入1套除尘系统，采用</w:t>
            </w:r>
            <w:r>
              <w:rPr>
                <w:rFonts w:hint="default" w:ascii="Times New Roman" w:hAnsi="Times New Roman" w:cs="Times New Roman"/>
                <w:b w:val="0"/>
                <w:bCs w:val="0"/>
                <w:color w:val="000000" w:themeColor="text1"/>
                <w:kern w:val="2"/>
                <w:szCs w:val="21"/>
                <w:highlight w:val="none"/>
                <w:lang w:val="en-US" w:eastAsia="zh-CN" w:bidi="ar-SA"/>
                <w14:textFill>
                  <w14:solidFill>
                    <w14:schemeClr w14:val="tx1"/>
                  </w14:solidFill>
                </w14:textFill>
              </w:rPr>
              <w:t>高效脉冲布袋除尘器</w:t>
            </w:r>
            <w:r>
              <w:rPr>
                <w:rFonts w:hint="eastAsia" w:ascii="Times New Roman" w:hAnsi="Times New Roman" w:cs="Times New Roman"/>
                <w:b w:val="0"/>
                <w:bCs w:val="0"/>
                <w:color w:val="000000" w:themeColor="text1"/>
                <w:kern w:val="2"/>
                <w:szCs w:val="21"/>
                <w:highlight w:val="none"/>
                <w:lang w:val="en-US" w:eastAsia="zh-CN" w:bidi="ar-SA"/>
                <w14:textFill>
                  <w14:solidFill>
                    <w14:schemeClr w14:val="tx1"/>
                  </w14:solidFill>
                </w14:textFill>
              </w:rPr>
              <w:t>（TA001）进行处理</w:t>
            </w:r>
            <w:r>
              <w:rPr>
                <w:rFonts w:hint="eastAsia" w:cs="Times New Roman"/>
                <w:b w:val="0"/>
                <w:bCs w:val="0"/>
                <w:color w:val="000000" w:themeColor="text1"/>
                <w:kern w:val="2"/>
                <w:szCs w:val="21"/>
                <w:highlight w:val="none"/>
                <w:lang w:val="en-US" w:eastAsia="zh-CN" w:bidi="ar-SA"/>
                <w14:textFill>
                  <w14:solidFill>
                    <w14:schemeClr w14:val="tx1"/>
                  </w14:solidFill>
                </w14:textFill>
              </w:rPr>
              <w:t>，设计1台风机。总风量20000m</w:t>
            </w:r>
            <w:r>
              <w:rPr>
                <w:rFonts w:hint="eastAsia" w:cs="Times New Roman"/>
                <w:b w:val="0"/>
                <w:bCs w:val="0"/>
                <w:color w:val="000000" w:themeColor="text1"/>
                <w:kern w:val="2"/>
                <w:szCs w:val="21"/>
                <w:highlight w:val="none"/>
                <w:vertAlign w:val="superscript"/>
                <w:lang w:val="en-US" w:eastAsia="zh-CN" w:bidi="ar-SA"/>
                <w14:textFill>
                  <w14:solidFill>
                    <w14:schemeClr w14:val="tx1"/>
                  </w14:solidFill>
                </w14:textFill>
              </w:rPr>
              <w:t>3</w:t>
            </w:r>
            <w:r>
              <w:rPr>
                <w:rFonts w:hint="eastAsia" w:cs="Times New Roman"/>
                <w:b w:val="0"/>
                <w:bCs w:val="0"/>
                <w:color w:val="000000" w:themeColor="text1"/>
                <w:kern w:val="2"/>
                <w:szCs w:val="21"/>
                <w:highlight w:val="none"/>
                <w:lang w:val="en-US" w:eastAsia="zh-CN" w:bidi="ar-SA"/>
                <w14:textFill>
                  <w14:solidFill>
                    <w14:schemeClr w14:val="tx1"/>
                  </w14:solidFill>
                </w14:textFill>
              </w:rPr>
              <w:t>/h，</w:t>
            </w:r>
            <w:r>
              <w:rPr>
                <w:rFonts w:hint="eastAsia" w:ascii="Times New Roman" w:hAnsi="Times New Roman" w:cs="Times New Roman"/>
                <w:b w:val="0"/>
                <w:bCs w:val="0"/>
                <w:color w:val="000000" w:themeColor="text1"/>
                <w:kern w:val="2"/>
                <w:szCs w:val="21"/>
                <w:highlight w:val="none"/>
                <w:lang w:val="en-US" w:eastAsia="zh-CN" w:bidi="ar-SA"/>
                <w14:textFill>
                  <w14:solidFill>
                    <w14:schemeClr w14:val="tx1"/>
                  </w14:solidFill>
                </w14:textFill>
              </w:rPr>
              <w:t>除尘效率约为95%</w:t>
            </w:r>
            <w:r>
              <w:rPr>
                <w:rFonts w:hint="eastAsia" w:cs="Times New Roman"/>
                <w:b w:val="0"/>
                <w:bCs w:val="0"/>
                <w:color w:val="000000" w:themeColor="text1"/>
                <w:kern w:val="2"/>
                <w:szCs w:val="21"/>
                <w:highlight w:val="none"/>
                <w:lang w:val="en-US" w:eastAsia="zh-CN" w:bidi="ar-SA"/>
                <w14:textFill>
                  <w14:solidFill>
                    <w14:schemeClr w14:val="tx1"/>
                  </w14:solidFill>
                </w14:textFill>
              </w:rPr>
              <w:t>，</w:t>
            </w:r>
            <w:r>
              <w:rPr>
                <w:rFonts w:hint="eastAsia" w:ascii="Times New Roman" w:hAnsi="Times New Roman" w:cs="Times New Roman"/>
                <w:b w:val="0"/>
                <w:bCs w:val="0"/>
                <w:color w:val="000000" w:themeColor="text1"/>
                <w:kern w:val="2"/>
                <w:szCs w:val="21"/>
                <w:highlight w:val="none"/>
                <w:lang w:val="en-US" w:eastAsia="zh-CN" w:bidi="ar-SA"/>
                <w14:textFill>
                  <w14:solidFill>
                    <w14:schemeClr w14:val="tx1"/>
                  </w14:solidFill>
                </w14:textFill>
              </w:rPr>
              <w:t>处理后通过1根15</w:t>
            </w:r>
            <w:r>
              <w:rPr>
                <w:rFonts w:hint="default" w:ascii="Times New Roman" w:hAnsi="Times New Roman" w:cs="Times New Roman"/>
                <w:b w:val="0"/>
                <w:bCs w:val="0"/>
                <w:color w:val="000000" w:themeColor="text1"/>
                <w:kern w:val="2"/>
                <w:szCs w:val="21"/>
                <w:highlight w:val="none"/>
                <w:lang w:val="en-US" w:eastAsia="zh-CN" w:bidi="ar-SA"/>
                <w14:textFill>
                  <w14:solidFill>
                    <w14:schemeClr w14:val="tx1"/>
                  </w14:solidFill>
                </w14:textFill>
              </w:rPr>
              <w:t>m</w:t>
            </w:r>
            <w:r>
              <w:rPr>
                <w:rFonts w:hint="default" w:ascii="Times New Roman" w:hAnsi="Times New Roman" w:cs="Times New Roman"/>
                <w:color w:val="000000" w:themeColor="text1"/>
                <w:kern w:val="2"/>
                <w:szCs w:val="21"/>
                <w:highlight w:val="none"/>
                <w:lang w:val="en-US" w:eastAsia="zh-CN" w:bidi="ar-SA"/>
                <w14:textFill>
                  <w14:solidFill>
                    <w14:schemeClr w14:val="tx1"/>
                  </w14:solidFill>
                </w14:textFill>
              </w:rPr>
              <w:t>排气筒</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（DA001）排放。</w:t>
            </w:r>
          </w:p>
          <w:p w14:paraId="47AE76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根据计算</w:t>
            </w:r>
            <w:r>
              <w:rPr>
                <w:rFonts w:hint="eastAsia" w:cs="Times New Roman"/>
                <w:color w:val="000000" w:themeColor="text1"/>
                <w:kern w:val="2"/>
                <w:szCs w:val="21"/>
                <w:highlight w:val="none"/>
                <w:lang w:val="en-US" w:eastAsia="zh-CN" w:bidi="ar-SA"/>
                <w14:textFill>
                  <w14:solidFill>
                    <w14:schemeClr w14:val="tx1"/>
                  </w14:solidFill>
                </w14:textFill>
              </w:rPr>
              <w:t>，</w:t>
            </w:r>
            <w:r>
              <w:rPr>
                <w:rFonts w:hint="eastAsia" w:ascii="Times New Roman" w:hAnsi="Times New Roman" w:cs="Times New Roman"/>
                <w:color w:val="000000" w:themeColor="text1"/>
                <w:kern w:val="2"/>
                <w:szCs w:val="21"/>
                <w:highlight w:val="none"/>
                <w:lang w:val="en-US" w:eastAsia="zh-CN" w:bidi="ar-SA"/>
                <w14:textFill>
                  <w14:solidFill>
                    <w14:schemeClr w14:val="tx1"/>
                  </w14:solidFill>
                </w14:textFill>
              </w:rPr>
              <w:t>DA001排气筒有组织排放的颗粒物量为</w:t>
            </w:r>
            <w:r>
              <w:rPr>
                <w:rFonts w:hint="eastAsia" w:cs="Times New Roman"/>
                <w:color w:val="000000" w:themeColor="text1"/>
                <w:kern w:val="2"/>
                <w:szCs w:val="21"/>
                <w:highlight w:val="none"/>
                <w:lang w:val="en-US" w:eastAsia="zh-CN" w:bidi="ar-SA"/>
                <w14:textFill>
                  <w14:solidFill>
                    <w14:schemeClr w14:val="tx1"/>
                  </w14:solidFill>
                </w14:textFill>
              </w:rPr>
              <w:t>0.003t/a，排放速率为0.00125kg/h，排放浓度为0.6mg/m</w:t>
            </w:r>
            <w:r>
              <w:rPr>
                <w:rFonts w:hint="eastAsia" w:cs="Times New Roman"/>
                <w:color w:val="000000" w:themeColor="text1"/>
                <w:kern w:val="2"/>
                <w:szCs w:val="21"/>
                <w:highlight w:val="none"/>
                <w:vertAlign w:val="superscript"/>
                <w:lang w:val="en-US" w:eastAsia="zh-CN" w:bidi="ar-SA"/>
                <w14:textFill>
                  <w14:solidFill>
                    <w14:schemeClr w14:val="tx1"/>
                  </w14:solidFill>
                </w14:textFill>
              </w:rPr>
              <w:t>3</w:t>
            </w:r>
            <w:r>
              <w:rPr>
                <w:rFonts w:hint="eastAsia" w:cs="Times New Roman"/>
                <w:color w:val="000000" w:themeColor="text1"/>
                <w:kern w:val="2"/>
                <w:szCs w:val="21"/>
                <w:highlight w:val="none"/>
                <w:lang w:val="en-US" w:eastAsia="zh-CN" w:bidi="ar-SA"/>
                <w14:textFill>
                  <w14:solidFill>
                    <w14:schemeClr w14:val="tx1"/>
                  </w14:solidFill>
                </w14:textFill>
              </w:rPr>
              <w:t>，排放浓度和排放速率满足</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《大气污染物综合排放标准》（GB16297-1996）表2的</w:t>
            </w:r>
            <w:r>
              <w:rPr>
                <w:rFonts w:hint="eastAsia" w:cs="Times New Roman"/>
                <w:color w:val="000000" w:themeColor="text1"/>
                <w:kern w:val="2"/>
                <w:sz w:val="21"/>
                <w:szCs w:val="21"/>
                <w:highlight w:val="none"/>
                <w:lang w:val="en-US" w:eastAsia="zh-CN" w:bidi="ar-SA"/>
                <w14:textFill>
                  <w14:solidFill>
                    <w14:schemeClr w14:val="tx1"/>
                  </w14:solidFill>
                </w14:textFill>
              </w:rPr>
              <w:t>二级标准要求。</w:t>
            </w:r>
          </w:p>
          <w:p w14:paraId="1C93EB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未收集到的粉尘以无组织形式排放，排放量为0.0067t/a，排放速率为0.0028kg/a，</w:t>
            </w:r>
            <w:r>
              <w:rPr>
                <w:rFonts w:hint="eastAsia" w:cs="Times New Roman"/>
                <w:color w:val="000000" w:themeColor="text1"/>
                <w:kern w:val="2"/>
                <w:szCs w:val="21"/>
                <w:highlight w:val="none"/>
                <w:lang w:val="en-US" w:eastAsia="zh-CN" w:bidi="ar-SA"/>
                <w14:textFill>
                  <w14:solidFill>
                    <w14:schemeClr w14:val="tx1"/>
                  </w14:solidFill>
                </w14:textFill>
              </w:rPr>
              <w:t>满足</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《大气污染物综合排放标准》（GB16297-1996）表2的</w:t>
            </w:r>
            <w:r>
              <w:rPr>
                <w:rFonts w:hint="eastAsia" w:cs="Times New Roman"/>
                <w:color w:val="000000" w:themeColor="text1"/>
                <w:kern w:val="2"/>
                <w:sz w:val="21"/>
                <w:szCs w:val="21"/>
                <w:highlight w:val="none"/>
                <w:lang w:val="en-US" w:eastAsia="zh-CN" w:bidi="ar-SA"/>
                <w14:textFill>
                  <w14:solidFill>
                    <w14:schemeClr w14:val="tx1"/>
                  </w14:solidFill>
                </w14:textFill>
              </w:rPr>
              <w:t>无组织排放限值要求。</w:t>
            </w:r>
          </w:p>
          <w:p w14:paraId="42A676D0">
            <w:pPr>
              <w:keepNext/>
              <w:keepLines/>
              <w:widowControl/>
              <w:adjustRightInd w:val="0"/>
              <w:snapToGrid w:val="0"/>
              <w:spacing w:line="360" w:lineRule="auto"/>
              <w:ind w:firstLine="422" w:firstLineChars="200"/>
              <w:jc w:val="left"/>
              <w:outlineLvl w:val="1"/>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3</w:t>
            </w:r>
            <w:r>
              <w:rPr>
                <w:rFonts w:hint="eastAsia" w:cs="Times New Roman"/>
                <w:b/>
                <w:bCs/>
                <w:color w:val="000000" w:themeColor="text1"/>
                <w:kern w:val="0"/>
                <w:sz w:val="21"/>
                <w:szCs w:val="21"/>
                <w:lang w:val="en-US" w:eastAsia="zh-CN" w:bidi="ar-SA"/>
                <w14:textFill>
                  <w14:solidFill>
                    <w14:schemeClr w14:val="tx1"/>
                  </w14:solidFill>
                </w14:textFill>
              </w:rPr>
              <w:t>、</w:t>
            </w: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非正常工况废气</w:t>
            </w:r>
          </w:p>
          <w:p w14:paraId="7C0B5F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jc w:val="both"/>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非正常工况指生产系统开停车、设备检修停车、设备故障、环保设施达不到要求等情况</w:t>
            </w:r>
            <w:r>
              <w:rPr>
                <w:rFonts w:hint="eastAsia" w:cs="Times New Roman"/>
                <w:b w:val="0"/>
                <w:bCs/>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由于本项目环保设施先于主体设备开车</w:t>
            </w:r>
            <w:r>
              <w:rPr>
                <w:rFonts w:hint="eastAsia" w:cs="Times New Roman"/>
                <w:b w:val="0"/>
                <w:bCs/>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后于主体设备停车；主体设备故障时停车检修</w:t>
            </w:r>
            <w:r>
              <w:rPr>
                <w:rFonts w:hint="eastAsia" w:cs="Times New Roman"/>
                <w:b w:val="0"/>
                <w:bCs/>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检修合格后再开车</w:t>
            </w:r>
            <w:r>
              <w:rPr>
                <w:rFonts w:hint="eastAsia" w:cs="Times New Roman"/>
                <w:b w:val="0"/>
                <w:bCs/>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故本次环评不考虑开停车、主体设备检修、故障等非正常工况</w:t>
            </w:r>
            <w:r>
              <w:rPr>
                <w:rFonts w:hint="eastAsia" w:cs="Times New Roman"/>
                <w:b w:val="0"/>
                <w:bCs/>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只考虑环保设施达不到要求的情况。</w:t>
            </w:r>
          </w:p>
          <w:p w14:paraId="19FBB5B0">
            <w:pPr>
              <w:pStyle w:val="18"/>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本项目非正常工况</w:t>
            </w:r>
            <w:r>
              <w:rPr>
                <w:rFonts w:hint="eastAsia" w:cs="Times New Roman"/>
                <w:b w:val="0"/>
                <w:bCs/>
                <w:color w:val="000000" w:themeColor="text1"/>
                <w:kern w:val="0"/>
                <w:sz w:val="21"/>
                <w:szCs w:val="21"/>
                <w:highlight w:val="none"/>
                <w:lang w:val="en-US" w:eastAsia="zh-CN" w:bidi="ar-SA"/>
                <w14:textFill>
                  <w14:solidFill>
                    <w14:schemeClr w14:val="tx1"/>
                  </w14:solidFill>
                </w14:textFill>
              </w:rPr>
              <w:t>指高效脉冲布袋除尘器</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发生故障时</w:t>
            </w:r>
            <w:r>
              <w:rPr>
                <w:rFonts w:hint="eastAsia" w:cs="Times New Roman"/>
                <w:b w:val="0"/>
                <w:bCs/>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以最不利情况下处理设备全部失效</w:t>
            </w:r>
            <w:r>
              <w:rPr>
                <w:rFonts w:hint="eastAsia" w:cs="Times New Roman"/>
                <w:b w:val="0"/>
                <w:bCs/>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即处理效率为0且无法正常运行时考虑</w:t>
            </w:r>
            <w:r>
              <w:rPr>
                <w:rFonts w:hint="eastAsia" w:cs="Times New Roman"/>
                <w:b w:val="0"/>
                <w:bCs/>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源强最大的时段废气排放20min对周围环境的影响。</w:t>
            </w:r>
          </w:p>
          <w:p w14:paraId="64B072CE">
            <w:pPr>
              <w:spacing w:line="360" w:lineRule="auto"/>
              <w:ind w:firstLine="420" w:firstLineChars="20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非正常工况源强详见下表。</w:t>
            </w:r>
          </w:p>
          <w:p w14:paraId="44FBA357">
            <w:pPr>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000000" w:themeColor="text1"/>
                <w:sz w:val="21"/>
                <w:szCs w:val="21"/>
                <w:highlight w:val="none"/>
                <w14:textFill>
                  <w14:solidFill>
                    <w14:schemeClr w14:val="tx1"/>
                  </w14:solidFill>
                </w14:textFill>
              </w:rPr>
            </w:pPr>
            <w:r>
              <w:rPr>
                <w:rFonts w:hint="default" w:ascii="Times New Roman" w:hAnsi="Times New Roman" w:eastAsia="宋体" w:cs="Times New Roman"/>
                <w:b/>
                <w:color w:val="000000" w:themeColor="text1"/>
                <w:sz w:val="21"/>
                <w:szCs w:val="21"/>
                <w:highlight w:val="none"/>
                <w14:textFill>
                  <w14:solidFill>
                    <w14:schemeClr w14:val="tx1"/>
                  </w14:solidFill>
                </w14:textFill>
              </w:rPr>
              <w:t>表4-</w:t>
            </w:r>
            <w:r>
              <w:rPr>
                <w:rFonts w:hint="eastAsia" w:cs="Times New Roman"/>
                <w:b/>
                <w:color w:val="000000" w:themeColor="text1"/>
                <w:sz w:val="21"/>
                <w:szCs w:val="21"/>
                <w:highlight w:val="none"/>
                <w:lang w:val="en-US" w:eastAsia="zh-CN"/>
                <w14:textFill>
                  <w14:solidFill>
                    <w14:schemeClr w14:val="tx1"/>
                  </w14:solidFill>
                </w14:textFill>
              </w:rPr>
              <w:t xml:space="preserve">2    </w:t>
            </w:r>
            <w:r>
              <w:rPr>
                <w:rFonts w:hint="default" w:ascii="Times New Roman" w:hAnsi="Times New Roman" w:eastAsia="宋体" w:cs="Times New Roman"/>
                <w:b/>
                <w:color w:val="000000" w:themeColor="text1"/>
                <w:sz w:val="21"/>
                <w:szCs w:val="21"/>
                <w:highlight w:val="none"/>
                <w14:textFill>
                  <w14:solidFill>
                    <w14:schemeClr w14:val="tx1"/>
                  </w14:solidFill>
                </w14:textFill>
              </w:rPr>
              <w:t>非正常工况废气排放情况一览表</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33"/>
              <w:gridCol w:w="2173"/>
              <w:gridCol w:w="1740"/>
              <w:gridCol w:w="1984"/>
            </w:tblGrid>
            <w:tr w14:paraId="38EDFE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28" w:type="pct"/>
                  <w:tcBorders>
                    <w:tl2br w:val="nil"/>
                    <w:tr2bl w:val="nil"/>
                  </w:tcBorders>
                  <w:noWrap w:val="0"/>
                  <w:vAlign w:val="center"/>
                </w:tcPr>
                <w:p w14:paraId="368E1FD9">
                  <w:pPr>
                    <w:jc w:val="center"/>
                    <w:rPr>
                      <w:rFonts w:hint="default" w:ascii="Times New Roman" w:hAnsi="Times New Roman" w:eastAsia="宋体" w:cs="Times New Roman"/>
                      <w:b/>
                      <w:bCs/>
                      <w:color w:val="000000" w:themeColor="text1"/>
                      <w:spacing w:val="-10"/>
                      <w:sz w:val="21"/>
                      <w:szCs w:val="21"/>
                      <w:highlight w:val="none"/>
                      <w:lang w:val="en-US" w:eastAsia="zh-CN"/>
                      <w14:textFill>
                        <w14:solidFill>
                          <w14:schemeClr w14:val="tx1"/>
                        </w14:solidFill>
                      </w14:textFill>
                    </w:rPr>
                  </w:pPr>
                  <w:r>
                    <w:rPr>
                      <w:rFonts w:hint="eastAsia" w:cs="Times New Roman"/>
                      <w:b/>
                      <w:bCs/>
                      <w:color w:val="000000" w:themeColor="text1"/>
                      <w:spacing w:val="-10"/>
                      <w:sz w:val="21"/>
                      <w:szCs w:val="21"/>
                      <w:highlight w:val="none"/>
                      <w:lang w:val="en-US" w:eastAsia="zh-CN"/>
                      <w14:textFill>
                        <w14:solidFill>
                          <w14:schemeClr w14:val="tx1"/>
                        </w14:solidFill>
                      </w14:textFill>
                    </w:rPr>
                    <w:t>排放口</w:t>
                  </w:r>
                </w:p>
              </w:tc>
              <w:tc>
                <w:tcPr>
                  <w:tcW w:w="1353" w:type="pct"/>
                  <w:tcBorders>
                    <w:tl2br w:val="nil"/>
                    <w:tr2bl w:val="nil"/>
                  </w:tcBorders>
                  <w:noWrap w:val="0"/>
                  <w:vAlign w:val="center"/>
                </w:tcPr>
                <w:p w14:paraId="0F2A8B39">
                  <w:pPr>
                    <w:jc w:val="center"/>
                    <w:rPr>
                      <w:rFonts w:hint="default" w:ascii="Times New Roman" w:hAnsi="Times New Roman" w:eastAsia="宋体" w:cs="Times New Roman"/>
                      <w:b/>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pacing w:val="-10"/>
                      <w:sz w:val="21"/>
                      <w:szCs w:val="21"/>
                      <w:highlight w:val="none"/>
                      <w14:textFill>
                        <w14:solidFill>
                          <w14:schemeClr w14:val="tx1"/>
                        </w14:solidFill>
                      </w14:textFill>
                    </w:rPr>
                    <w:t>污染物种类</w:t>
                  </w:r>
                </w:p>
              </w:tc>
              <w:tc>
                <w:tcPr>
                  <w:tcW w:w="1083" w:type="pct"/>
                  <w:tcBorders>
                    <w:tl2br w:val="nil"/>
                    <w:tr2bl w:val="nil"/>
                  </w:tcBorders>
                  <w:noWrap w:val="0"/>
                  <w:vAlign w:val="center"/>
                </w:tcPr>
                <w:p w14:paraId="15A33AC0">
                  <w:pPr>
                    <w:jc w:val="center"/>
                    <w:rPr>
                      <w:rFonts w:hint="default" w:ascii="Times New Roman" w:hAnsi="Times New Roman" w:eastAsia="宋体" w:cs="Times New Roman"/>
                      <w:b/>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pacing w:val="-10"/>
                      <w:sz w:val="21"/>
                      <w:szCs w:val="21"/>
                      <w:highlight w:val="none"/>
                      <w14:textFill>
                        <w14:solidFill>
                          <w14:schemeClr w14:val="tx1"/>
                        </w14:solidFill>
                      </w14:textFill>
                    </w:rPr>
                    <w:t>持续时间</w:t>
                  </w:r>
                </w:p>
              </w:tc>
              <w:tc>
                <w:tcPr>
                  <w:tcW w:w="1235" w:type="pct"/>
                  <w:tcBorders>
                    <w:tl2br w:val="nil"/>
                    <w:tr2bl w:val="nil"/>
                  </w:tcBorders>
                  <w:noWrap w:val="0"/>
                  <w:vAlign w:val="center"/>
                </w:tcPr>
                <w:p w14:paraId="2E0EEE2A">
                  <w:pPr>
                    <w:jc w:val="center"/>
                    <w:rPr>
                      <w:rFonts w:hint="default" w:ascii="Times New Roman" w:hAnsi="Times New Roman" w:eastAsia="宋体" w:cs="Times New Roman"/>
                      <w:b/>
                      <w:bCs/>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pacing w:val="-10"/>
                      <w:sz w:val="21"/>
                      <w:szCs w:val="21"/>
                      <w:highlight w:val="none"/>
                      <w14:textFill>
                        <w14:solidFill>
                          <w14:schemeClr w14:val="tx1"/>
                        </w14:solidFill>
                      </w14:textFill>
                    </w:rPr>
                    <w:t>排放量</w:t>
                  </w:r>
                </w:p>
              </w:tc>
            </w:tr>
            <w:tr w14:paraId="4ABC8F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28" w:type="pct"/>
                  <w:tcBorders>
                    <w:tl2br w:val="nil"/>
                    <w:tr2bl w:val="nil"/>
                  </w:tcBorders>
                  <w:noWrap w:val="0"/>
                  <w:vAlign w:val="center"/>
                </w:tcPr>
                <w:p w14:paraId="23DB1DAC">
                  <w:pPr>
                    <w:jc w:val="cente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pPr>
                  <w:r>
                    <w:rPr>
                      <w:rFonts w:hint="eastAsia" w:cs="Times New Roman"/>
                      <w:color w:val="000000" w:themeColor="text1"/>
                      <w:spacing w:val="-10"/>
                      <w:sz w:val="21"/>
                      <w:szCs w:val="21"/>
                      <w:highlight w:val="none"/>
                      <w:lang w:val="en-US" w:eastAsia="zh-CN"/>
                      <w14:textFill>
                        <w14:solidFill>
                          <w14:schemeClr w14:val="tx1"/>
                        </w14:solidFill>
                      </w14:textFill>
                    </w:rPr>
                    <w:t>DA001</w:t>
                  </w:r>
                  <w:r>
                    <w:rPr>
                      <w:rFonts w:hint="eastAsia" w:cs="Times New Roman"/>
                      <w:b w:val="0"/>
                      <w:bCs/>
                      <w:color w:val="000000" w:themeColor="text1"/>
                      <w:szCs w:val="21"/>
                      <w:lang w:val="en-US" w:eastAsia="zh-CN"/>
                      <w14:textFill>
                        <w14:solidFill>
                          <w14:schemeClr w14:val="tx1"/>
                        </w14:solidFill>
                      </w14:textFill>
                    </w:rPr>
                    <w:t>排气筒</w:t>
                  </w:r>
                </w:p>
              </w:tc>
              <w:tc>
                <w:tcPr>
                  <w:tcW w:w="1353" w:type="pct"/>
                  <w:tcBorders>
                    <w:tl2br w:val="nil"/>
                    <w:tr2bl w:val="nil"/>
                  </w:tcBorders>
                  <w:noWrap w:val="0"/>
                  <w:vAlign w:val="center"/>
                </w:tcPr>
                <w:p w14:paraId="052EBB3F">
                  <w:pPr>
                    <w:jc w:val="cente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t>颗粒物</w:t>
                  </w:r>
                </w:p>
              </w:tc>
              <w:tc>
                <w:tcPr>
                  <w:tcW w:w="1083" w:type="pct"/>
                  <w:tcBorders>
                    <w:tl2br w:val="nil"/>
                    <w:tr2bl w:val="nil"/>
                  </w:tcBorders>
                  <w:noWrap w:val="0"/>
                  <w:vAlign w:val="center"/>
                </w:tcPr>
                <w:p w14:paraId="5337B2AD">
                  <w:pPr>
                    <w:jc w:val="center"/>
                    <w:rPr>
                      <w:rFonts w:hint="default" w:ascii="Times New Roman" w:hAnsi="Times New Roman" w:eastAsia="宋体" w:cs="Times New Roman"/>
                      <w:color w:val="000000" w:themeColor="text1"/>
                      <w:spacing w:val="-1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20min</w:t>
                  </w:r>
                </w:p>
              </w:tc>
              <w:tc>
                <w:tcPr>
                  <w:tcW w:w="1235" w:type="pct"/>
                  <w:tcBorders>
                    <w:tl2br w:val="nil"/>
                    <w:tr2bl w:val="nil"/>
                  </w:tcBorders>
                  <w:noWrap w:val="0"/>
                  <w:vAlign w:val="center"/>
                </w:tcPr>
                <w:p w14:paraId="138E06F4">
                  <w:pPr>
                    <w:jc w:val="cente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pPr>
                  <w:r>
                    <w:rPr>
                      <w:rFonts w:hint="eastAsia" w:cs="Times New Roman"/>
                      <w:color w:val="000000" w:themeColor="text1"/>
                      <w:spacing w:val="-10"/>
                      <w:sz w:val="21"/>
                      <w:szCs w:val="21"/>
                      <w:highlight w:val="none"/>
                      <w:lang w:val="en-US" w:eastAsia="zh-CN"/>
                      <w14:textFill>
                        <w14:solidFill>
                          <w14:schemeClr w14:val="tx1"/>
                        </w14:solidFill>
                      </w14:textFill>
                    </w:rPr>
                    <w:t>0.009kg</w:t>
                  </w:r>
                </w:p>
              </w:tc>
            </w:tr>
            <w:tr w14:paraId="1735F8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64" w:type="pct"/>
                  <w:gridSpan w:val="3"/>
                  <w:tcBorders>
                    <w:tl2br w:val="nil"/>
                    <w:tr2bl w:val="nil"/>
                  </w:tcBorders>
                  <w:noWrap w:val="0"/>
                  <w:vAlign w:val="center"/>
                </w:tcPr>
                <w:p w14:paraId="27864614">
                  <w:pPr>
                    <w:jc w:val="cente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cs="Times New Roman"/>
                      <w:b w:val="0"/>
                      <w:bCs/>
                      <w:color w:val="000000" w:themeColor="text1"/>
                      <w:kern w:val="0"/>
                      <w:sz w:val="21"/>
                      <w:szCs w:val="21"/>
                      <w:highlight w:val="none"/>
                      <w:lang w:val="en-US" w:eastAsia="zh-CN" w:bidi="ar-SA"/>
                      <w14:textFill>
                        <w14:solidFill>
                          <w14:schemeClr w14:val="tx1"/>
                        </w14:solidFill>
                      </w14:textFill>
                    </w:rPr>
                    <w:t>合计</w:t>
                  </w:r>
                </w:p>
              </w:tc>
              <w:tc>
                <w:tcPr>
                  <w:tcW w:w="1235" w:type="pct"/>
                  <w:tcBorders>
                    <w:tl2br w:val="nil"/>
                    <w:tr2bl w:val="nil"/>
                  </w:tcBorders>
                  <w:noWrap w:val="0"/>
                  <w:vAlign w:val="center"/>
                </w:tcPr>
                <w:p w14:paraId="3B716343">
                  <w:pPr>
                    <w:jc w:val="center"/>
                    <w:rPr>
                      <w:rFonts w:hint="default" w:ascii="Times New Roman" w:hAnsi="Times New Roman" w:eastAsia="宋体" w:cs="Times New Roman"/>
                      <w:color w:val="000000" w:themeColor="text1"/>
                      <w:spacing w:val="-10"/>
                      <w:sz w:val="21"/>
                      <w:szCs w:val="21"/>
                      <w:highlight w:val="none"/>
                      <w:lang w:val="en-US" w:eastAsia="zh-CN"/>
                      <w14:textFill>
                        <w14:solidFill>
                          <w14:schemeClr w14:val="tx1"/>
                        </w14:solidFill>
                      </w14:textFill>
                    </w:rPr>
                  </w:pPr>
                  <w:r>
                    <w:rPr>
                      <w:rFonts w:hint="eastAsia" w:cs="Times New Roman"/>
                      <w:color w:val="000000" w:themeColor="text1"/>
                      <w:spacing w:val="-10"/>
                      <w:sz w:val="21"/>
                      <w:szCs w:val="21"/>
                      <w:highlight w:val="none"/>
                      <w:lang w:val="en-US" w:eastAsia="zh-CN"/>
                      <w14:textFill>
                        <w14:solidFill>
                          <w14:schemeClr w14:val="tx1"/>
                        </w14:solidFill>
                      </w14:textFill>
                    </w:rPr>
                    <w:t>0.009kg</w:t>
                  </w:r>
                </w:p>
              </w:tc>
            </w:tr>
          </w:tbl>
          <w:p w14:paraId="5E8F76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为防止生产废气非正常情况排放</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企业必须加强废气处理设施的</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管理</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定期检修</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确保废气处理设施正常运行</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在废气处理设备停止运行或出现故障时</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产生废气的各工序也必须相应停止生产。</w:t>
            </w:r>
          </w:p>
          <w:p w14:paraId="5D198D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为杜绝废气非正常排放</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要求建设单位做好以下措施：</w:t>
            </w:r>
          </w:p>
          <w:p w14:paraId="5EC53C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①安排专人负责环保设备的日常维护和管理</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每隔固定时间检查、汇报情况</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及时发现废气处理设备的隐患</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确保废气处理系统正常运行；</w:t>
            </w:r>
          </w:p>
          <w:p w14:paraId="5B36B2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②严格按照环保设备使用手册</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定期对除尘装置进行清理；</w:t>
            </w:r>
          </w:p>
          <w:p w14:paraId="3A8357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③建立健全的环保管理机构</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对环保管理人员和技术人员进行岗位培训</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委托具有专业资质的环境检测单位对项目排放的各类污染物进行定期检测</w:t>
            </w:r>
            <w:r>
              <w:rPr>
                <w:rFonts w:hint="eastAsia" w:cs="Times New Roman"/>
                <w:color w:val="000000" w:themeColor="text1"/>
                <w:sz w:val="21"/>
                <w:szCs w:val="21"/>
                <w:lang w:val="en-US" w:eastAsia="zh-CN"/>
                <w14:textFill>
                  <w14:solidFill>
                    <w14:schemeClr w14:val="tx1"/>
                  </w14:solidFill>
                </w14:textFill>
              </w:rPr>
              <w:t>。</w:t>
            </w:r>
          </w:p>
          <w:p w14:paraId="29BF4987">
            <w:pPr>
              <w:keepNext/>
              <w:keepLines/>
              <w:widowControl/>
              <w:adjustRightInd w:val="0"/>
              <w:snapToGrid w:val="0"/>
              <w:spacing w:line="360" w:lineRule="auto"/>
              <w:ind w:firstLine="422" w:firstLineChars="200"/>
              <w:jc w:val="left"/>
              <w:outlineLvl w:val="1"/>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pPr>
            <w:r>
              <w:rPr>
                <w:rFonts w:hint="eastAsia" w:cs="Times New Roman"/>
                <w:b/>
                <w:bCs/>
                <w:color w:val="000000" w:themeColor="text1"/>
                <w:kern w:val="0"/>
                <w:sz w:val="21"/>
                <w:szCs w:val="21"/>
                <w:lang w:val="en-US" w:eastAsia="zh-CN"/>
                <w14:textFill>
                  <w14:solidFill>
                    <w14:schemeClr w14:val="tx1"/>
                  </w14:solidFill>
                </w14:textFill>
              </w:rPr>
              <w:t>4、污染防治措施</w:t>
            </w:r>
            <w:r>
              <w:rPr>
                <w:rFonts w:hint="default" w:ascii="Times New Roman" w:hAnsi="Times New Roman" w:eastAsia="宋体" w:cs="Times New Roman"/>
                <w:b/>
                <w:bCs/>
                <w:color w:val="000000" w:themeColor="text1"/>
                <w:kern w:val="0"/>
                <w:sz w:val="21"/>
                <w:szCs w:val="21"/>
                <w:lang w:val="en-US" w:eastAsia="zh-CN" w:bidi="ar-SA"/>
                <w14:textFill>
                  <w14:solidFill>
                    <w14:schemeClr w14:val="tx1"/>
                  </w14:solidFill>
                </w14:textFill>
              </w:rPr>
              <w:t>可行性分析</w:t>
            </w:r>
          </w:p>
          <w:p w14:paraId="2D736595">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本项目氩弧焊接</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修磨、</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激光切割工序涉及的产品尺寸相对较小</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切割工件板材最大尺寸1.0mm</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330mm</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440mm（厚</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宽</w:t>
            </w:r>
            <w:r>
              <w:rPr>
                <w:rFonts w:hint="eastAsia" w:cs="Times New Roman"/>
                <w:color w:val="000000" w:themeColor="text1"/>
                <w:sz w:val="21"/>
                <w:szCs w:val="21"/>
                <w:vertAlign w:val="baseline"/>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长），管材最大尺寸φ60mm、L1000mm、厚1.0mm。焊接、修磨及激光切割</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工作量小</w:t>
            </w:r>
            <w:r>
              <w:rPr>
                <w:rFonts w:hint="eastAsia" w:cs="Times New Roman"/>
                <w:color w:val="000000" w:themeColor="text1"/>
                <w:sz w:val="21"/>
                <w:szCs w:val="21"/>
                <w:highlight w:val="none"/>
                <w:lang w:val="en-US" w:eastAsia="zh-CN"/>
                <w14:textFill>
                  <w14:solidFill>
                    <w14:schemeClr w14:val="tx1"/>
                  </w14:solidFill>
                </w14:textFill>
              </w:rPr>
              <w:t>，使用频率低，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废气产生量也小。</w:t>
            </w:r>
          </w:p>
          <w:p w14:paraId="342E196B">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360" w:lineRule="auto"/>
              <w:ind w:left="0" w:leftChars="0" w:right="0" w:firstLine="420" w:firstLineChars="200"/>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本项目拟</w:t>
            </w:r>
            <w:r>
              <w:rPr>
                <w:rFonts w:hint="eastAsia" w:cs="Times New Roman"/>
                <w:b w:val="0"/>
                <w:bCs w:val="0"/>
                <w:color w:val="000000" w:themeColor="text1"/>
                <w:kern w:val="0"/>
                <w:sz w:val="21"/>
                <w:szCs w:val="21"/>
                <w:lang w:val="en-US" w:eastAsia="zh-CN" w:bidi="ar-SA"/>
                <w14:textFill>
                  <w14:solidFill>
                    <w14:schemeClr w14:val="tx1"/>
                  </w14:solidFill>
                </w14:textFill>
              </w:rPr>
              <w:t>对激光切割工序、焊接工序以及修磨工序设共用1套高效脉冲布袋除尘器，</w:t>
            </w: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本项目采用的</w:t>
            </w:r>
            <w:r>
              <w:rPr>
                <w:rFonts w:hint="eastAsia" w:cs="Times New Roman"/>
                <w:b w:val="0"/>
                <w:bCs w:val="0"/>
                <w:color w:val="000000" w:themeColor="text1"/>
                <w:kern w:val="0"/>
                <w:sz w:val="21"/>
                <w:szCs w:val="21"/>
                <w:lang w:val="en-US" w:eastAsia="zh-CN" w:bidi="ar-SA"/>
                <w14:textFill>
                  <w14:solidFill>
                    <w14:schemeClr w14:val="tx1"/>
                  </w14:solidFill>
                </w14:textFill>
              </w:rPr>
              <w:t>高效脉冲布袋除尘器</w:t>
            </w:r>
            <w:r>
              <w:rPr>
                <w:rFonts w:hint="default" w:ascii="Times New Roman" w:hAnsi="Times New Roman" w:eastAsia="宋体" w:cs="Times New Roman"/>
                <w:b w:val="0"/>
                <w:bCs w:val="0"/>
                <w:color w:val="000000" w:themeColor="text1"/>
                <w:kern w:val="0"/>
                <w:sz w:val="21"/>
                <w:szCs w:val="21"/>
                <w:lang w:val="en-US" w:eastAsia="zh-CN" w:bidi="ar-SA"/>
                <w14:textFill>
                  <w14:solidFill>
                    <w14:schemeClr w14:val="tx1"/>
                  </w14:solidFill>
                </w14:textFill>
              </w:rPr>
              <w:t>属于</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《排放源统计调查产排污核算方法和系数手册》（2021年第24号）中的《33－37、机械行业系数手册》（09焊接）中包含的末端治理技术中</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r>
              <w:rPr>
                <w:rFonts w:hint="eastAsia" w:cs="Times New Roman"/>
                <w:b w:val="0"/>
                <w:bCs w:val="0"/>
                <w:color w:val="000000" w:themeColor="text1"/>
                <w:kern w:val="0"/>
                <w:sz w:val="21"/>
                <w:szCs w:val="21"/>
                <w:lang w:val="en-US" w:eastAsia="zh-CN" w:bidi="ar-SA"/>
                <w14:textFill>
                  <w14:solidFill>
                    <w14:schemeClr w14:val="tx1"/>
                  </w14:solidFill>
                </w14:textFill>
              </w:rPr>
              <w:t>布袋除尘</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治理技术</w:t>
            </w:r>
            <w:r>
              <w:rPr>
                <w:rFonts w:hint="eastAsia" w:cs="Times New Roman"/>
                <w:color w:val="000000" w:themeColor="text1"/>
                <w:kern w:val="0"/>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属于可行技术。</w:t>
            </w:r>
            <w:r>
              <w:rPr>
                <w:rFonts w:hint="default" w:ascii="Times New Roman" w:hAnsi="Times New Roman" w:eastAsia="宋体" w:cs="Times New Roman"/>
                <w:color w:val="000000" w:themeColor="text1"/>
                <w:spacing w:val="-1"/>
                <w:sz w:val="21"/>
                <w:szCs w:val="21"/>
                <w:highlight w:val="none"/>
                <w:lang w:val="en-US" w:eastAsia="zh-CN"/>
                <w14:textFill>
                  <w14:solidFill>
                    <w14:schemeClr w14:val="tx1"/>
                  </w14:solidFill>
                </w14:textFill>
              </w:rPr>
              <w:t>因此该措施设置合理。</w:t>
            </w:r>
          </w:p>
          <w:p w14:paraId="5C2599EA">
            <w:pPr>
              <w:spacing w:line="360" w:lineRule="auto"/>
              <w:ind w:firstLine="422" w:firstLineChars="200"/>
              <w:jc w:val="left"/>
              <w:rPr>
                <w:rFonts w:hint="default" w:cs="Times New Roman"/>
                <w:b/>
                <w:bCs/>
                <w:color w:val="000000" w:themeColor="text1"/>
                <w:kern w:val="0"/>
                <w:sz w:val="21"/>
                <w:szCs w:val="21"/>
                <w:lang w:val="en-US" w:eastAsia="zh-CN"/>
                <w14:textFill>
                  <w14:solidFill>
                    <w14:schemeClr w14:val="tx1"/>
                  </w14:solidFill>
                </w14:textFill>
              </w:rPr>
            </w:pPr>
            <w:r>
              <w:rPr>
                <w:rFonts w:hint="eastAsia" w:cs="Times New Roman"/>
                <w:b/>
                <w:bCs/>
                <w:color w:val="000000" w:themeColor="text1"/>
                <w:kern w:val="0"/>
                <w:sz w:val="21"/>
                <w:szCs w:val="21"/>
                <w:lang w:val="en-US" w:eastAsia="zh-CN"/>
                <w14:textFill>
                  <w14:solidFill>
                    <w14:schemeClr w14:val="tx1"/>
                  </w14:solidFill>
                </w14:textFill>
              </w:rPr>
              <w:t>5、自行监测计划</w:t>
            </w:r>
          </w:p>
          <w:p w14:paraId="44D1F45B">
            <w:pPr>
              <w:keepNext w:val="0"/>
              <w:keepLines w:val="0"/>
              <w:pageBreakBefore w:val="0"/>
              <w:widowControl w:val="0"/>
              <w:kinsoku/>
              <w:wordWrap/>
              <w:overflowPunct/>
              <w:topLinePunct/>
              <w:autoSpaceDE/>
              <w:autoSpaceDN/>
              <w:bidi w:val="0"/>
              <w:adjustRightInd w:val="0"/>
              <w:snapToGrid w:val="0"/>
              <w:spacing w:line="360" w:lineRule="auto"/>
              <w:ind w:firstLine="420" w:firstLineChars="200"/>
              <w:jc w:val="left"/>
              <w:textAlignment w:val="auto"/>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结合项目</w:t>
            </w:r>
            <w:r>
              <w:rPr>
                <w:rFonts w:hint="eastAsia" w:ascii="Times New Roman" w:hAnsi="Times New Roman" w:cs="Times New Roman"/>
                <w:b w:val="0"/>
                <w:bCs w:val="0"/>
                <w:color w:val="000000" w:themeColor="text1"/>
                <w:kern w:val="0"/>
                <w:sz w:val="21"/>
                <w:szCs w:val="21"/>
                <w:lang w:val="en-US" w:eastAsia="zh-CN"/>
                <w14:textFill>
                  <w14:solidFill>
                    <w14:schemeClr w14:val="tx1"/>
                  </w14:solidFill>
                </w14:textFill>
              </w:rPr>
              <w:t>实际情况</w:t>
            </w:r>
            <w:r>
              <w:rPr>
                <w:rFonts w:hint="eastAsia" w:cs="Times New Roman"/>
                <w:b w:val="0"/>
                <w:bCs w:val="0"/>
                <w:color w:val="000000" w:themeColor="text1"/>
                <w:kern w:val="0"/>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同时根据《排污单位自行监测技术指南总则》（HJ819-2017）和《排污许可证申请与核发技术规范总则</w:t>
            </w:r>
            <w:r>
              <w:rPr>
                <w:rFonts w:hint="eastAsia" w:cs="Times New Roman"/>
                <w:b w:val="0"/>
                <w:bCs w:val="0"/>
                <w:color w:val="000000" w:themeColor="text1"/>
                <w:kern w:val="0"/>
                <w:sz w:val="21"/>
                <w:szCs w:val="21"/>
                <w:lang w:val="en-US" w:eastAsia="zh-CN"/>
                <w14:textFill>
                  <w14:solidFill>
                    <w14:schemeClr w14:val="tx1"/>
                  </w14:solidFill>
                </w14:textFill>
              </w:rPr>
              <w:t>》等相关要求，</w:t>
            </w: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本项目废气自行监测方案如下表所示。</w:t>
            </w:r>
          </w:p>
          <w:p w14:paraId="33CACF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zh-CN"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zh-CN" w:eastAsia="zh-CN"/>
                <w14:textFill>
                  <w14:solidFill>
                    <w14:schemeClr w14:val="tx1"/>
                  </w14:solidFill>
                </w14:textFill>
              </w:rPr>
              <w:t>表</w:t>
            </w:r>
            <w:r>
              <w:rPr>
                <w:rFonts w:hint="eastAsia" w:ascii="Times New Roman" w:hAnsi="Times New Roman" w:cs="Times New Roman"/>
                <w:b/>
                <w:bCs/>
                <w:color w:val="000000" w:themeColor="text1"/>
                <w:sz w:val="21"/>
                <w:szCs w:val="21"/>
                <w:lang w:val="en-US" w:eastAsia="zh-CN"/>
                <w14:textFill>
                  <w14:solidFill>
                    <w14:schemeClr w14:val="tx1"/>
                  </w14:solidFill>
                </w14:textFill>
              </w:rPr>
              <w:t>4-</w:t>
            </w:r>
            <w:r>
              <w:rPr>
                <w:rFonts w:hint="eastAsia" w:cs="Times New Roman"/>
                <w:b/>
                <w:bCs/>
                <w:color w:val="000000" w:themeColor="text1"/>
                <w:sz w:val="21"/>
                <w:szCs w:val="21"/>
                <w:lang w:val="en-US" w:eastAsia="zh-CN"/>
                <w14:textFill>
                  <w14:solidFill>
                    <w14:schemeClr w14:val="tx1"/>
                  </w14:solidFill>
                </w14:textFill>
              </w:rPr>
              <w:t xml:space="preserve">3  </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自行</w:t>
            </w:r>
            <w:r>
              <w:rPr>
                <w:rFonts w:hint="default" w:ascii="Times New Roman" w:hAnsi="Times New Roman" w:eastAsia="宋体" w:cs="Times New Roman"/>
                <w:b/>
                <w:bCs/>
                <w:color w:val="000000" w:themeColor="text1"/>
                <w:sz w:val="21"/>
                <w:szCs w:val="21"/>
                <w:lang w:val="zh-CN" w:eastAsia="zh-CN"/>
                <w14:textFill>
                  <w14:solidFill>
                    <w14:schemeClr w14:val="tx1"/>
                  </w14:solidFill>
                </w14:textFill>
              </w:rPr>
              <w:t>监测</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计划</w:t>
            </w:r>
            <w:r>
              <w:rPr>
                <w:rFonts w:hint="default" w:ascii="Times New Roman" w:hAnsi="Times New Roman" w:eastAsia="宋体" w:cs="Times New Roman"/>
                <w:b/>
                <w:bCs/>
                <w:color w:val="000000" w:themeColor="text1"/>
                <w:sz w:val="21"/>
                <w:szCs w:val="21"/>
                <w:lang w:val="zh-CN" w:eastAsia="zh-CN"/>
                <w14:textFill>
                  <w14:solidFill>
                    <w14:schemeClr w14:val="tx1"/>
                  </w14:solidFill>
                </w14:textFill>
              </w:rPr>
              <w:t>一览表</w:t>
            </w:r>
          </w:p>
          <w:tbl>
            <w:tblPr>
              <w:tblStyle w:val="24"/>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673"/>
              <w:gridCol w:w="3153"/>
              <w:gridCol w:w="1207"/>
            </w:tblGrid>
            <w:tr w14:paraId="1BFCE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86" w:type="pct"/>
                  <w:tcBorders>
                    <w:tl2br w:val="nil"/>
                    <w:tr2bl w:val="nil"/>
                  </w:tcBorders>
                  <w:noWrap w:val="0"/>
                  <w:vAlign w:val="center"/>
                </w:tcPr>
                <w:p w14:paraId="6718C23B">
                  <w:pPr>
                    <w:jc w:val="center"/>
                    <w:rPr>
                      <w:rFonts w:hint="default" w:ascii="Times New Roman" w:hAnsi="Times New Roman" w:cs="Times New Roman"/>
                      <w:b/>
                      <w:color w:val="000000" w:themeColor="text1"/>
                      <w:szCs w:val="21"/>
                      <w14:textFill>
                        <w14:solidFill>
                          <w14:schemeClr w14:val="tx1"/>
                        </w14:solidFill>
                      </w14:textFill>
                    </w:rPr>
                  </w:pPr>
                  <w:r>
                    <w:rPr>
                      <w:rFonts w:hint="default" w:ascii="Times New Roman" w:hAnsi="Times New Roman" w:cs="Times New Roman"/>
                      <w:b/>
                      <w:color w:val="000000" w:themeColor="text1"/>
                      <w:szCs w:val="21"/>
                      <w14:textFill>
                        <w14:solidFill>
                          <w14:schemeClr w14:val="tx1"/>
                        </w14:solidFill>
                      </w14:textFill>
                    </w:rPr>
                    <w:t>监测点位</w:t>
                  </w:r>
                </w:p>
              </w:tc>
              <w:tc>
                <w:tcPr>
                  <w:tcW w:w="1962" w:type="pct"/>
                  <w:tcBorders>
                    <w:tl2br w:val="nil"/>
                    <w:tr2bl w:val="nil"/>
                  </w:tcBorders>
                  <w:noWrap w:val="0"/>
                  <w:vAlign w:val="center"/>
                </w:tcPr>
                <w:p w14:paraId="5CC76DE1">
                  <w:pPr>
                    <w:autoSpaceDE w:val="0"/>
                    <w:autoSpaceDN w:val="0"/>
                    <w:adjustRightInd w:val="0"/>
                    <w:jc w:val="center"/>
                    <w:rPr>
                      <w:rFonts w:hint="default" w:ascii="Times New Roman" w:hAnsi="Times New Roman" w:cs="Times New Roman"/>
                      <w:b/>
                      <w:color w:val="000000" w:themeColor="text1"/>
                      <w:kern w:val="0"/>
                      <w:szCs w:val="21"/>
                      <w14:textFill>
                        <w14:solidFill>
                          <w14:schemeClr w14:val="tx1"/>
                        </w14:solidFill>
                      </w14:textFill>
                    </w:rPr>
                  </w:pPr>
                  <w:r>
                    <w:rPr>
                      <w:rFonts w:hint="default" w:ascii="Times New Roman" w:hAnsi="Times New Roman" w:cs="Times New Roman"/>
                      <w:b/>
                      <w:color w:val="000000" w:themeColor="text1"/>
                      <w:kern w:val="0"/>
                      <w:szCs w:val="21"/>
                      <w14:textFill>
                        <w14:solidFill>
                          <w14:schemeClr w14:val="tx1"/>
                        </w14:solidFill>
                      </w14:textFill>
                    </w:rPr>
                    <w:t>监测因子</w:t>
                  </w:r>
                </w:p>
              </w:tc>
              <w:tc>
                <w:tcPr>
                  <w:tcW w:w="751" w:type="pct"/>
                  <w:tcBorders>
                    <w:tl2br w:val="nil"/>
                    <w:tr2bl w:val="nil"/>
                  </w:tcBorders>
                  <w:noWrap w:val="0"/>
                  <w:vAlign w:val="center"/>
                </w:tcPr>
                <w:p w14:paraId="4474089D">
                  <w:pPr>
                    <w:autoSpaceDE w:val="0"/>
                    <w:autoSpaceDN w:val="0"/>
                    <w:adjustRightInd w:val="0"/>
                    <w:jc w:val="center"/>
                    <w:rPr>
                      <w:rFonts w:hint="default" w:ascii="Times New Roman" w:hAnsi="Times New Roman" w:cs="Times New Roman"/>
                      <w:b/>
                      <w:color w:val="000000" w:themeColor="text1"/>
                      <w:kern w:val="0"/>
                      <w:szCs w:val="21"/>
                      <w14:textFill>
                        <w14:solidFill>
                          <w14:schemeClr w14:val="tx1"/>
                        </w14:solidFill>
                      </w14:textFill>
                    </w:rPr>
                  </w:pPr>
                  <w:r>
                    <w:rPr>
                      <w:rFonts w:hint="default" w:ascii="Times New Roman" w:hAnsi="Times New Roman" w:cs="Times New Roman"/>
                      <w:b/>
                      <w:color w:val="000000" w:themeColor="text1"/>
                      <w:kern w:val="0"/>
                      <w:szCs w:val="21"/>
                      <w14:textFill>
                        <w14:solidFill>
                          <w14:schemeClr w14:val="tx1"/>
                        </w14:solidFill>
                      </w14:textFill>
                    </w:rPr>
                    <w:t>监测频次</w:t>
                  </w:r>
                </w:p>
              </w:tc>
            </w:tr>
            <w:tr w14:paraId="772B6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86" w:type="pct"/>
                  <w:tcBorders>
                    <w:tl2br w:val="nil"/>
                    <w:tr2bl w:val="nil"/>
                  </w:tcBorders>
                  <w:noWrap w:val="0"/>
                  <w:vAlign w:val="center"/>
                </w:tcPr>
                <w:p w14:paraId="2A14A0E0">
                  <w:pPr>
                    <w:jc w:val="center"/>
                    <w:rPr>
                      <w:rFonts w:hint="default" w:ascii="Times New Roman" w:hAnsi="Times New Roman" w:eastAsia="宋体" w:cs="Times New Roman"/>
                      <w:b w:val="0"/>
                      <w:bCs/>
                      <w:color w:val="000000" w:themeColor="text1"/>
                      <w:szCs w:val="21"/>
                      <w:lang w:val="en-US" w:eastAsia="zh-CN"/>
                      <w14:textFill>
                        <w14:solidFill>
                          <w14:schemeClr w14:val="tx1"/>
                        </w14:solidFill>
                      </w14:textFill>
                    </w:rPr>
                  </w:pPr>
                  <w:r>
                    <w:rPr>
                      <w:rFonts w:hint="eastAsia" w:cs="Times New Roman"/>
                      <w:b w:val="0"/>
                      <w:bCs/>
                      <w:color w:val="000000" w:themeColor="text1"/>
                      <w:szCs w:val="21"/>
                      <w:lang w:val="en-US" w:eastAsia="zh-CN"/>
                      <w14:textFill>
                        <w14:solidFill>
                          <w14:schemeClr w14:val="tx1"/>
                        </w14:solidFill>
                      </w14:textFill>
                    </w:rPr>
                    <w:t>DA001排气筒出口断面</w:t>
                  </w:r>
                </w:p>
              </w:tc>
              <w:tc>
                <w:tcPr>
                  <w:tcW w:w="1962" w:type="pct"/>
                  <w:tcBorders>
                    <w:tl2br w:val="nil"/>
                    <w:tr2bl w:val="nil"/>
                  </w:tcBorders>
                  <w:noWrap w:val="0"/>
                  <w:vAlign w:val="center"/>
                </w:tcPr>
                <w:p w14:paraId="625E1B1C">
                  <w:pPr>
                    <w:autoSpaceDE w:val="0"/>
                    <w:autoSpaceDN w:val="0"/>
                    <w:adjustRightInd w:val="0"/>
                    <w:jc w:val="center"/>
                    <w:rPr>
                      <w:rFonts w:hint="default" w:ascii="Times New Roman" w:hAnsi="Times New Roman" w:cs="Times New Roman"/>
                      <w:b w:val="0"/>
                      <w:bCs/>
                      <w:color w:val="000000" w:themeColor="text1"/>
                      <w:kern w:val="0"/>
                      <w:szCs w:val="21"/>
                      <w14:textFill>
                        <w14:solidFill>
                          <w14:schemeClr w14:val="tx1"/>
                        </w14:solidFill>
                      </w14:textFill>
                    </w:rPr>
                  </w:pPr>
                  <w:r>
                    <w:rPr>
                      <w:rFonts w:hint="eastAsia" w:ascii="Times New Roman" w:hAnsi="Times New Roman" w:cs="Times New Roman"/>
                      <w:b w:val="0"/>
                      <w:bCs/>
                      <w:color w:val="000000" w:themeColor="text1"/>
                      <w:szCs w:val="21"/>
                      <w:lang w:val="en-US" w:eastAsia="zh-CN"/>
                      <w14:textFill>
                        <w14:solidFill>
                          <w14:schemeClr w14:val="tx1"/>
                        </w14:solidFill>
                      </w14:textFill>
                    </w:rPr>
                    <w:t>颗粒物</w:t>
                  </w:r>
                </w:p>
              </w:tc>
              <w:tc>
                <w:tcPr>
                  <w:tcW w:w="751" w:type="pct"/>
                  <w:tcBorders>
                    <w:tl2br w:val="nil"/>
                    <w:tr2bl w:val="nil"/>
                  </w:tcBorders>
                  <w:noWrap w:val="0"/>
                  <w:vAlign w:val="center"/>
                </w:tcPr>
                <w:p w14:paraId="08AB963A">
                  <w:pPr>
                    <w:autoSpaceDE w:val="0"/>
                    <w:autoSpaceDN w:val="0"/>
                    <w:adjustRightInd w:val="0"/>
                    <w:jc w:val="center"/>
                    <w:rPr>
                      <w:rFonts w:hint="default" w:ascii="Times New Roman" w:hAnsi="Times New Roman" w:cs="Times New Roman"/>
                      <w:b/>
                      <w:color w:val="000000" w:themeColor="text1"/>
                      <w:kern w:val="0"/>
                      <w:szCs w:val="21"/>
                      <w14:textFill>
                        <w14:solidFill>
                          <w14:schemeClr w14:val="tx1"/>
                        </w14:solidFill>
                      </w14:textFill>
                    </w:rPr>
                  </w:pPr>
                  <w:r>
                    <w:rPr>
                      <w:rFonts w:hint="default" w:ascii="Times New Roman" w:hAnsi="Times New Roman" w:cs="Times New Roman"/>
                      <w:b w:val="0"/>
                      <w:bCs/>
                      <w:color w:val="000000" w:themeColor="text1"/>
                      <w:szCs w:val="21"/>
                      <w14:textFill>
                        <w14:solidFill>
                          <w14:schemeClr w14:val="tx1"/>
                        </w14:solidFill>
                      </w14:textFill>
                    </w:rPr>
                    <w:t>每年一次</w:t>
                  </w:r>
                </w:p>
              </w:tc>
            </w:tr>
            <w:tr w14:paraId="175CEB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86" w:type="pct"/>
                  <w:tcBorders>
                    <w:tl2br w:val="nil"/>
                    <w:tr2bl w:val="nil"/>
                  </w:tcBorders>
                  <w:noWrap w:val="0"/>
                  <w:vAlign w:val="center"/>
                </w:tcPr>
                <w:p w14:paraId="73076A9F">
                  <w:pPr>
                    <w:jc w:val="center"/>
                    <w:rPr>
                      <w:rFonts w:hint="default" w:ascii="Times New Roman" w:hAnsi="Times New Roman" w:cs="Times New Roman"/>
                      <w:b w:val="0"/>
                      <w:bCs/>
                      <w:color w:val="000000" w:themeColor="text1"/>
                      <w:szCs w:val="21"/>
                      <w14:textFill>
                        <w14:solidFill>
                          <w14:schemeClr w14:val="tx1"/>
                        </w14:solidFill>
                      </w14:textFill>
                    </w:rPr>
                  </w:pPr>
                  <w:r>
                    <w:rPr>
                      <w:rFonts w:hint="default" w:ascii="Times New Roman" w:hAnsi="Times New Roman" w:cs="Times New Roman"/>
                      <w:b w:val="0"/>
                      <w:bCs/>
                      <w:color w:val="000000" w:themeColor="text1"/>
                      <w:szCs w:val="21"/>
                      <w14:textFill>
                        <w14:solidFill>
                          <w14:schemeClr w14:val="tx1"/>
                        </w14:solidFill>
                      </w14:textFill>
                    </w:rPr>
                    <w:t>厂址上风向1个</w:t>
                  </w:r>
                  <w:r>
                    <w:rPr>
                      <w:rFonts w:hint="eastAsia" w:cs="Times New Roman"/>
                      <w:b w:val="0"/>
                      <w:bCs/>
                      <w:color w:val="000000" w:themeColor="text1"/>
                      <w:szCs w:val="21"/>
                      <w:lang w:eastAsia="zh-CN"/>
                      <w14:textFill>
                        <w14:solidFill>
                          <w14:schemeClr w14:val="tx1"/>
                        </w14:solidFill>
                      </w14:textFill>
                    </w:rPr>
                    <w:t>；</w:t>
                  </w:r>
                  <w:r>
                    <w:rPr>
                      <w:rFonts w:hint="default" w:ascii="Times New Roman" w:hAnsi="Times New Roman" w:cs="Times New Roman"/>
                      <w:b w:val="0"/>
                      <w:bCs/>
                      <w:color w:val="000000" w:themeColor="text1"/>
                      <w:szCs w:val="21"/>
                      <w14:textFill>
                        <w14:solidFill>
                          <w14:schemeClr w14:val="tx1"/>
                        </w14:solidFill>
                      </w14:textFill>
                    </w:rPr>
                    <w:t>厂址下风向3个</w:t>
                  </w:r>
                </w:p>
              </w:tc>
              <w:tc>
                <w:tcPr>
                  <w:tcW w:w="1962" w:type="pct"/>
                  <w:tcBorders>
                    <w:tl2br w:val="nil"/>
                    <w:tr2bl w:val="nil"/>
                  </w:tcBorders>
                  <w:noWrap w:val="0"/>
                  <w:vAlign w:val="center"/>
                </w:tcPr>
                <w:p w14:paraId="3582DFF8">
                  <w:pPr>
                    <w:jc w:val="center"/>
                    <w:rPr>
                      <w:rFonts w:hint="default" w:ascii="Times New Roman" w:hAnsi="Times New Roman" w:cs="Times New Roman"/>
                      <w:b w:val="0"/>
                      <w:bCs/>
                      <w:color w:val="000000" w:themeColor="text1"/>
                      <w:szCs w:val="21"/>
                      <w14:textFill>
                        <w14:solidFill>
                          <w14:schemeClr w14:val="tx1"/>
                        </w14:solidFill>
                      </w14:textFill>
                    </w:rPr>
                  </w:pPr>
                  <w:r>
                    <w:rPr>
                      <w:rFonts w:hint="eastAsia" w:ascii="Times New Roman" w:hAnsi="Times New Roman" w:cs="Times New Roman"/>
                      <w:b w:val="0"/>
                      <w:bCs/>
                      <w:color w:val="000000" w:themeColor="text1"/>
                      <w:szCs w:val="21"/>
                      <w:lang w:val="en-US" w:eastAsia="zh-CN"/>
                      <w14:textFill>
                        <w14:solidFill>
                          <w14:schemeClr w14:val="tx1"/>
                        </w14:solidFill>
                      </w14:textFill>
                    </w:rPr>
                    <w:t>颗粒物</w:t>
                  </w:r>
                </w:p>
              </w:tc>
              <w:tc>
                <w:tcPr>
                  <w:tcW w:w="751" w:type="pct"/>
                  <w:tcBorders>
                    <w:tl2br w:val="nil"/>
                    <w:tr2bl w:val="nil"/>
                  </w:tcBorders>
                  <w:noWrap w:val="0"/>
                  <w:vAlign w:val="center"/>
                </w:tcPr>
                <w:p w14:paraId="687AE65A">
                  <w:pPr>
                    <w:jc w:val="center"/>
                    <w:rPr>
                      <w:rFonts w:hint="default" w:ascii="Times New Roman" w:hAnsi="Times New Roman" w:cs="Times New Roman"/>
                      <w:b w:val="0"/>
                      <w:bCs/>
                      <w:color w:val="000000" w:themeColor="text1"/>
                      <w:szCs w:val="21"/>
                      <w14:textFill>
                        <w14:solidFill>
                          <w14:schemeClr w14:val="tx1"/>
                        </w14:solidFill>
                      </w14:textFill>
                    </w:rPr>
                  </w:pPr>
                  <w:r>
                    <w:rPr>
                      <w:rFonts w:hint="default" w:ascii="Times New Roman" w:hAnsi="Times New Roman" w:cs="Times New Roman"/>
                      <w:b w:val="0"/>
                      <w:bCs/>
                      <w:color w:val="000000" w:themeColor="text1"/>
                      <w:szCs w:val="21"/>
                      <w14:textFill>
                        <w14:solidFill>
                          <w14:schemeClr w14:val="tx1"/>
                        </w14:solidFill>
                      </w14:textFill>
                    </w:rPr>
                    <w:t>每年一次</w:t>
                  </w:r>
                </w:p>
              </w:tc>
            </w:tr>
          </w:tbl>
          <w:p w14:paraId="35B2C97A">
            <w:pPr>
              <w:keepNext/>
              <w:keepLines/>
              <w:widowControl/>
              <w:adjustRightInd w:val="0"/>
              <w:snapToGrid w:val="0"/>
              <w:spacing w:line="360" w:lineRule="auto"/>
              <w:ind w:firstLine="422" w:firstLineChars="200"/>
              <w:jc w:val="left"/>
              <w:outlineLvl w:val="1"/>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二</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、废水</w:t>
            </w: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环境影响和保护措施</w:t>
            </w:r>
          </w:p>
          <w:p w14:paraId="519C4984">
            <w:pPr>
              <w:adjustRightInd w:val="0"/>
              <w:spacing w:line="360" w:lineRule="auto"/>
              <w:ind w:firstLine="422" w:firstLineChars="200"/>
              <w:rPr>
                <w:rFonts w:hint="eastAsia"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1、废水污染物工序及源强</w:t>
            </w:r>
          </w:p>
          <w:p w14:paraId="4C147F30">
            <w:pPr>
              <w:spacing w:line="360" w:lineRule="auto"/>
              <w:ind w:firstLine="420" w:firstLineChars="20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本项目外排废水主要为生活污水。</w:t>
            </w:r>
          </w:p>
          <w:p w14:paraId="44B4D80D">
            <w:pPr>
              <w:spacing w:line="360" w:lineRule="auto"/>
              <w:ind w:firstLine="420" w:firstLineChars="200"/>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根据水平衡分析，</w:t>
            </w:r>
            <w:r>
              <w:rPr>
                <w:rFonts w:hint="default" w:ascii="Times New Roman" w:hAnsi="Times New Roman" w:cs="Times New Roman"/>
                <w:color w:val="000000" w:themeColor="text1"/>
                <w:sz w:val="21"/>
                <w:szCs w:val="21"/>
                <w:lang w:val="en-US" w:eastAsia="zh-CN"/>
                <w14:textFill>
                  <w14:solidFill>
                    <w14:schemeClr w14:val="tx1"/>
                  </w14:solidFill>
                </w14:textFill>
              </w:rPr>
              <w:t>本项目</w:t>
            </w:r>
            <w:r>
              <w:rPr>
                <w:rFonts w:hint="default" w:ascii="Times New Roman" w:hAnsi="Times New Roman" w:cs="Times New Roman"/>
                <w:bCs/>
                <w:color w:val="000000" w:themeColor="text1"/>
                <w:sz w:val="21"/>
                <w:szCs w:val="21"/>
                <w14:textFill>
                  <w14:solidFill>
                    <w14:schemeClr w14:val="tx1"/>
                  </w14:solidFill>
                </w14:textFill>
              </w:rPr>
              <w:t>员工生活污水产生量为</w:t>
            </w:r>
            <w:r>
              <w:rPr>
                <w:rFonts w:hint="eastAsia" w:cs="Times New Roman"/>
                <w:bCs/>
                <w:color w:val="000000" w:themeColor="text1"/>
                <w:sz w:val="21"/>
                <w:szCs w:val="21"/>
                <w:lang w:val="en-US" w:eastAsia="zh-CN"/>
                <w14:textFill>
                  <w14:solidFill>
                    <w14:schemeClr w14:val="tx1"/>
                  </w14:solidFill>
                </w14:textFill>
              </w:rPr>
              <w:t>0.28</w:t>
            </w:r>
            <w:r>
              <w:rPr>
                <w:rFonts w:hint="default" w:ascii="Times New Roman" w:hAnsi="Times New Roman" w:cs="Times New Roman"/>
                <w:bCs/>
                <w:color w:val="000000" w:themeColor="text1"/>
                <w:sz w:val="21"/>
                <w:szCs w:val="21"/>
                <w14:textFill>
                  <w14:solidFill>
                    <w14:schemeClr w14:val="tx1"/>
                  </w14:solidFill>
                </w14:textFill>
              </w:rPr>
              <w:t>m</w:t>
            </w:r>
            <w:r>
              <w:rPr>
                <w:rFonts w:hint="default" w:ascii="Times New Roman" w:hAnsi="Times New Roman" w:cs="Times New Roman"/>
                <w:bCs/>
                <w:color w:val="000000" w:themeColor="text1"/>
                <w:sz w:val="21"/>
                <w:szCs w:val="21"/>
                <w:vertAlign w:val="superscript"/>
                <w14:textFill>
                  <w14:solidFill>
                    <w14:schemeClr w14:val="tx1"/>
                  </w14:solidFill>
                </w14:textFill>
              </w:rPr>
              <w:t>3</w:t>
            </w:r>
            <w:r>
              <w:rPr>
                <w:rFonts w:hint="default" w:ascii="Times New Roman" w:hAnsi="Times New Roman" w:cs="Times New Roman"/>
                <w:bCs/>
                <w:color w:val="000000" w:themeColor="text1"/>
                <w:sz w:val="21"/>
                <w:szCs w:val="21"/>
                <w14:textFill>
                  <w14:solidFill>
                    <w14:schemeClr w14:val="tx1"/>
                  </w14:solidFill>
                </w14:textFill>
              </w:rPr>
              <w:t>/d</w:t>
            </w:r>
            <w:r>
              <w:rPr>
                <w:rFonts w:hint="eastAsia" w:cs="Times New Roman"/>
                <w:bCs/>
                <w:color w:val="000000" w:themeColor="text1"/>
                <w:sz w:val="21"/>
                <w:szCs w:val="21"/>
                <w:lang w:eastAsia="zh-CN"/>
                <w14:textFill>
                  <w14:solidFill>
                    <w14:schemeClr w14:val="tx1"/>
                  </w14:solidFill>
                </w14:textFill>
              </w:rPr>
              <w:t>，</w:t>
            </w:r>
            <w:r>
              <w:rPr>
                <w:rFonts w:hint="eastAsia" w:cs="Times New Roman"/>
                <w:bCs/>
                <w:color w:val="000000" w:themeColor="text1"/>
                <w:sz w:val="21"/>
                <w:szCs w:val="21"/>
                <w:lang w:val="en-US" w:eastAsia="zh-CN"/>
                <w14:textFill>
                  <w14:solidFill>
                    <w14:schemeClr w14:val="tx1"/>
                  </w14:solidFill>
                </w14:textFill>
              </w:rPr>
              <w:t>84</w:t>
            </w:r>
            <w:r>
              <w:rPr>
                <w:rFonts w:hint="default" w:ascii="Times New Roman" w:hAnsi="Times New Roman" w:cs="Times New Roman"/>
                <w:bCs/>
                <w:color w:val="000000" w:themeColor="text1"/>
                <w:sz w:val="21"/>
                <w:szCs w:val="21"/>
                <w14:textFill>
                  <w14:solidFill>
                    <w14:schemeClr w14:val="tx1"/>
                  </w14:solidFill>
                </w14:textFill>
              </w:rPr>
              <w:t>m</w:t>
            </w:r>
            <w:r>
              <w:rPr>
                <w:rFonts w:hint="default" w:ascii="Times New Roman" w:hAnsi="Times New Roman" w:cs="Times New Roman"/>
                <w:bCs/>
                <w:color w:val="000000" w:themeColor="text1"/>
                <w:sz w:val="21"/>
                <w:szCs w:val="21"/>
                <w:vertAlign w:val="superscript"/>
                <w14:textFill>
                  <w14:solidFill>
                    <w14:schemeClr w14:val="tx1"/>
                  </w14:solidFill>
                </w14:textFill>
              </w:rPr>
              <w:t>3</w:t>
            </w:r>
            <w:r>
              <w:rPr>
                <w:rFonts w:hint="default" w:ascii="Times New Roman" w:hAnsi="Times New Roman" w:cs="Times New Roman"/>
                <w:bCs/>
                <w:color w:val="000000" w:themeColor="text1"/>
                <w:sz w:val="21"/>
                <w:szCs w:val="21"/>
                <w14:textFill>
                  <w14:solidFill>
                    <w14:schemeClr w14:val="tx1"/>
                  </w14:solidFill>
                </w14:textFill>
              </w:rPr>
              <w:t>/a</w:t>
            </w:r>
            <w:r>
              <w:rPr>
                <w:rFonts w:hint="eastAsia" w:cs="Times New Roman"/>
                <w:bCs/>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生活污水</w:t>
            </w:r>
            <w:r>
              <w:rPr>
                <w:rFonts w:hint="eastAsia" w:cs="Times New Roman"/>
                <w:color w:val="000000" w:themeColor="text1"/>
                <w:sz w:val="21"/>
                <w:szCs w:val="21"/>
                <w:lang w:val="en-US" w:eastAsia="zh-CN"/>
                <w14:textFill>
                  <w14:solidFill>
                    <w14:schemeClr w14:val="tx1"/>
                  </w14:solidFill>
                </w14:textFill>
              </w:rPr>
              <w:t>依托宝鸡得力隆纺织有限公司现有</w:t>
            </w:r>
            <w:r>
              <w:rPr>
                <w:rFonts w:hint="default" w:ascii="Times New Roman" w:hAnsi="Times New Roman" w:cs="Times New Roman"/>
                <w:color w:val="000000" w:themeColor="text1"/>
                <w:sz w:val="21"/>
                <w:szCs w:val="21"/>
                <w14:textFill>
                  <w14:solidFill>
                    <w14:schemeClr w14:val="tx1"/>
                  </w14:solidFill>
                </w14:textFill>
              </w:rPr>
              <w:t>化粪池处理后沿</w:t>
            </w:r>
            <w:r>
              <w:rPr>
                <w:rFonts w:hint="eastAsia" w:cs="Times New Roman"/>
                <w:color w:val="000000" w:themeColor="text1"/>
                <w:sz w:val="21"/>
                <w:szCs w:val="21"/>
                <w:lang w:val="en-US" w:eastAsia="zh-CN"/>
                <w14:textFill>
                  <w14:solidFill>
                    <w14:schemeClr w14:val="tx1"/>
                  </w14:solidFill>
                </w14:textFill>
              </w:rPr>
              <w:t>市政污水</w:t>
            </w:r>
            <w:r>
              <w:rPr>
                <w:rFonts w:hint="default" w:ascii="Times New Roman" w:hAnsi="Times New Roman" w:cs="Times New Roman"/>
                <w:color w:val="000000" w:themeColor="text1"/>
                <w:sz w:val="21"/>
                <w:szCs w:val="21"/>
                <w14:textFill>
                  <w14:solidFill>
                    <w14:schemeClr w14:val="tx1"/>
                  </w14:solidFill>
                </w14:textFill>
              </w:rPr>
              <w:t>管网排入宝</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鸡市陈仓金信安水务有限公司（宝鸡市陈仓区虢镇污水处理厂）</w:t>
            </w:r>
            <w:r>
              <w:rPr>
                <w:rFonts w:hint="eastAsia" w:cs="Times New Roman"/>
                <w:color w:val="000000" w:themeColor="text1"/>
                <w:sz w:val="21"/>
                <w:szCs w:val="21"/>
                <w:lang w:val="en-US" w:eastAsia="zh-CN"/>
                <w14:textFill>
                  <w14:solidFill>
                    <w14:schemeClr w14:val="tx1"/>
                  </w14:solidFill>
                </w14:textFill>
              </w:rPr>
              <w:t>处理</w:t>
            </w:r>
            <w:r>
              <w:rPr>
                <w:rFonts w:hint="default" w:ascii="Times New Roman" w:hAnsi="Times New Roman" w:cs="Times New Roman"/>
                <w:color w:val="000000" w:themeColor="text1"/>
                <w:sz w:val="21"/>
                <w:szCs w:val="21"/>
                <w14:textFill>
                  <w14:solidFill>
                    <w14:schemeClr w14:val="tx1"/>
                  </w14:solidFill>
                </w14:textFill>
              </w:rPr>
              <w:t>。</w:t>
            </w:r>
          </w:p>
          <w:p w14:paraId="69378207">
            <w:pPr>
              <w:spacing w:line="360" w:lineRule="auto"/>
              <w:ind w:firstLine="420"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经调查，宝鸡得力隆纺织有限公司现有化粪池有效容积为30m</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cs="Times New Roman"/>
                <w:color w:val="000000" w:themeColor="text1"/>
                <w:sz w:val="21"/>
                <w:szCs w:val="21"/>
                <w:lang w:val="en-US" w:eastAsia="zh-CN"/>
                <w14:textFill>
                  <w14:solidFill>
                    <w14:schemeClr w14:val="tx1"/>
                  </w14:solidFill>
                </w14:textFill>
              </w:rPr>
              <w:t>，可完全容纳本项目生活污水。</w:t>
            </w:r>
          </w:p>
          <w:p w14:paraId="42E2DEA0">
            <w:pPr>
              <w:adjustRightInd w:val="0"/>
              <w:snapToGrid w:val="0"/>
              <w:spacing w:line="360" w:lineRule="auto"/>
              <w:ind w:firstLine="420" w:firstLineChars="200"/>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本项目</w:t>
            </w:r>
            <w:r>
              <w:rPr>
                <w:rFonts w:hint="default" w:ascii="Times New Roman" w:hAnsi="Times New Roman" w:cs="Times New Roman"/>
                <w:color w:val="000000" w:themeColor="text1"/>
                <w:kern w:val="0"/>
                <w:sz w:val="21"/>
                <w:szCs w:val="21"/>
                <w:lang w:val="en-US" w:eastAsia="zh-CN"/>
                <w14:textFill>
                  <w14:solidFill>
                    <w14:schemeClr w14:val="tx1"/>
                  </w14:solidFill>
                </w14:textFill>
              </w:rPr>
              <w:t>生活污水产排情况见</w:t>
            </w:r>
            <w:r>
              <w:rPr>
                <w:rFonts w:hint="eastAsia" w:cs="Times New Roman"/>
                <w:color w:val="000000" w:themeColor="text1"/>
                <w:kern w:val="0"/>
                <w:sz w:val="21"/>
                <w:szCs w:val="21"/>
                <w:lang w:val="en-US" w:eastAsia="zh-CN"/>
                <w14:textFill>
                  <w14:solidFill>
                    <w14:schemeClr w14:val="tx1"/>
                  </w14:solidFill>
                </w14:textFill>
              </w:rPr>
              <w:t>下</w:t>
            </w:r>
            <w:r>
              <w:rPr>
                <w:rFonts w:hint="default" w:ascii="Times New Roman" w:hAnsi="Times New Roman" w:cs="Times New Roman"/>
                <w:color w:val="000000" w:themeColor="text1"/>
                <w:kern w:val="0"/>
                <w:sz w:val="21"/>
                <w:szCs w:val="21"/>
                <w:lang w:val="en-US" w:eastAsia="zh-CN"/>
                <w14:textFill>
                  <w14:solidFill>
                    <w14:schemeClr w14:val="tx1"/>
                  </w14:solidFill>
                </w14:textFill>
              </w:rPr>
              <w:t>表</w:t>
            </w:r>
            <w:r>
              <w:rPr>
                <w:rFonts w:hint="default" w:ascii="Times New Roman" w:hAnsi="Times New Roman" w:eastAsia="宋体" w:cs="Times New Roman"/>
                <w:color w:val="000000" w:themeColor="text1"/>
                <w:kern w:val="0"/>
                <w:sz w:val="21"/>
                <w:szCs w:val="21"/>
                <w14:textFill>
                  <w14:solidFill>
                    <w14:schemeClr w14:val="tx1"/>
                  </w14:solidFill>
                </w14:textFill>
              </w:rPr>
              <w:t>。</w:t>
            </w:r>
          </w:p>
          <w:p w14:paraId="475B792A">
            <w:pPr>
              <w:keepNext w:val="0"/>
              <w:keepLines w:val="0"/>
              <w:pageBreakBefore w:val="0"/>
              <w:widowControl w:val="0"/>
              <w:kinsoku/>
              <w:wordWrap/>
              <w:overflowPunct/>
              <w:topLinePunct w:val="0"/>
              <w:autoSpaceDE/>
              <w:autoSpaceDN/>
              <w:bidi w:val="0"/>
              <w:adjustRightInd/>
              <w:snapToGrid/>
              <w:spacing w:line="240" w:lineRule="auto"/>
              <w:ind w:firstLine="42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表4-</w:t>
            </w:r>
            <w:r>
              <w:rPr>
                <w:rFonts w:hint="eastAsia" w:cs="Times New Roman"/>
                <w:b/>
                <w:bCs/>
                <w:color w:val="000000" w:themeColor="text1"/>
                <w:sz w:val="21"/>
                <w:szCs w:val="21"/>
                <w:lang w:val="en-US" w:eastAsia="zh-CN"/>
                <w14:textFill>
                  <w14:solidFill>
                    <w14:schemeClr w14:val="tx1"/>
                  </w14:solidFill>
                </w14:textFill>
              </w:rPr>
              <w:t>4    废水</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产排情况一览表</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905"/>
              <w:gridCol w:w="1165"/>
              <w:gridCol w:w="1069"/>
              <w:gridCol w:w="1689"/>
              <w:gridCol w:w="1128"/>
              <w:gridCol w:w="944"/>
            </w:tblGrid>
            <w:tr w14:paraId="457B91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705" w:type="pct"/>
                  <w:vMerge w:val="restart"/>
                  <w:tcBorders>
                    <w:tl2br w:val="nil"/>
                    <w:tr2bl w:val="nil"/>
                  </w:tcBorders>
                  <w:noWrap w:val="0"/>
                  <w:vAlign w:val="center"/>
                </w:tcPr>
                <w:p w14:paraId="5CE7781E">
                  <w:pPr>
                    <w:widowControl/>
                    <w:spacing w:line="32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污水</w:t>
                  </w:r>
                </w:p>
              </w:tc>
              <w:tc>
                <w:tcPr>
                  <w:tcW w:w="563" w:type="pct"/>
                  <w:vMerge w:val="restart"/>
                  <w:tcBorders>
                    <w:tl2br w:val="nil"/>
                    <w:tr2bl w:val="nil"/>
                  </w:tcBorders>
                  <w:noWrap w:val="0"/>
                  <w:vAlign w:val="center"/>
                </w:tcPr>
                <w:p w14:paraId="73ED3157">
                  <w:pPr>
                    <w:widowControl/>
                    <w:spacing w:line="32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污染物</w:t>
                  </w:r>
                </w:p>
              </w:tc>
              <w:tc>
                <w:tcPr>
                  <w:tcW w:w="1390" w:type="pct"/>
                  <w:gridSpan w:val="2"/>
                  <w:tcBorders>
                    <w:tl2br w:val="nil"/>
                    <w:tr2bl w:val="nil"/>
                  </w:tcBorders>
                  <w:noWrap w:val="0"/>
                  <w:vAlign w:val="center"/>
                </w:tcPr>
                <w:p w14:paraId="445D30C8">
                  <w:pPr>
                    <w:widowControl/>
                    <w:spacing w:line="32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产生情况</w:t>
                  </w:r>
                </w:p>
              </w:tc>
              <w:tc>
                <w:tcPr>
                  <w:tcW w:w="1051" w:type="pct"/>
                  <w:vMerge w:val="restart"/>
                  <w:tcBorders>
                    <w:tl2br w:val="nil"/>
                    <w:tr2bl w:val="nil"/>
                  </w:tcBorders>
                  <w:noWrap w:val="0"/>
                  <w:vAlign w:val="center"/>
                </w:tcPr>
                <w:p w14:paraId="6D44A85C">
                  <w:pPr>
                    <w:widowControl/>
                    <w:spacing w:line="32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处理措施</w:t>
                  </w:r>
                </w:p>
              </w:tc>
              <w:tc>
                <w:tcPr>
                  <w:tcW w:w="1289" w:type="pct"/>
                  <w:gridSpan w:val="2"/>
                  <w:tcBorders>
                    <w:tl2br w:val="nil"/>
                    <w:tr2bl w:val="nil"/>
                  </w:tcBorders>
                  <w:noWrap w:val="0"/>
                  <w:vAlign w:val="center"/>
                </w:tcPr>
                <w:p w14:paraId="4C73FE04">
                  <w:pPr>
                    <w:widowControl/>
                    <w:spacing w:line="32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排放情况</w:t>
                  </w:r>
                </w:p>
              </w:tc>
            </w:tr>
            <w:tr w14:paraId="574D06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705" w:type="pct"/>
                  <w:vMerge w:val="continue"/>
                  <w:tcBorders>
                    <w:tl2br w:val="nil"/>
                    <w:tr2bl w:val="nil"/>
                  </w:tcBorders>
                  <w:noWrap w:val="0"/>
                  <w:vAlign w:val="center"/>
                </w:tcPr>
                <w:p w14:paraId="7341B24C">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p>
              </w:tc>
              <w:tc>
                <w:tcPr>
                  <w:tcW w:w="563" w:type="pct"/>
                  <w:vMerge w:val="continue"/>
                  <w:tcBorders>
                    <w:tl2br w:val="nil"/>
                    <w:tr2bl w:val="nil"/>
                  </w:tcBorders>
                  <w:noWrap w:val="0"/>
                  <w:vAlign w:val="center"/>
                </w:tcPr>
                <w:p w14:paraId="6633B99A">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p>
              </w:tc>
              <w:tc>
                <w:tcPr>
                  <w:tcW w:w="725" w:type="pct"/>
                  <w:tcBorders>
                    <w:tl2br w:val="nil"/>
                    <w:tr2bl w:val="nil"/>
                  </w:tcBorders>
                  <w:noWrap w:val="0"/>
                  <w:vAlign w:val="center"/>
                </w:tcPr>
                <w:p w14:paraId="68F49730">
                  <w:pPr>
                    <w:widowControl/>
                    <w:spacing w:line="32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产生浓度</w:t>
                  </w:r>
                </w:p>
              </w:tc>
              <w:tc>
                <w:tcPr>
                  <w:tcW w:w="665" w:type="pct"/>
                  <w:tcBorders>
                    <w:tl2br w:val="nil"/>
                    <w:tr2bl w:val="nil"/>
                  </w:tcBorders>
                  <w:noWrap w:val="0"/>
                  <w:vAlign w:val="center"/>
                </w:tcPr>
                <w:p w14:paraId="5F372039">
                  <w:pPr>
                    <w:widowControl/>
                    <w:spacing w:line="32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产生量</w:t>
                  </w:r>
                </w:p>
              </w:tc>
              <w:tc>
                <w:tcPr>
                  <w:tcW w:w="1051" w:type="pct"/>
                  <w:vMerge w:val="continue"/>
                  <w:tcBorders>
                    <w:tl2br w:val="nil"/>
                    <w:tr2bl w:val="nil"/>
                  </w:tcBorders>
                  <w:noWrap w:val="0"/>
                  <w:vAlign w:val="center"/>
                </w:tcPr>
                <w:p w14:paraId="691D1E4C">
                  <w:pPr>
                    <w:widowControl/>
                    <w:spacing w:line="320" w:lineRule="exact"/>
                    <w:jc w:val="center"/>
                    <w:rPr>
                      <w:rFonts w:hint="default" w:ascii="Times New Roman" w:hAnsi="Times New Roman" w:cs="Times New Roman"/>
                      <w:b/>
                      <w:color w:val="000000" w:themeColor="text1"/>
                      <w:sz w:val="21"/>
                      <w:szCs w:val="21"/>
                      <w14:textFill>
                        <w14:solidFill>
                          <w14:schemeClr w14:val="tx1"/>
                        </w14:solidFill>
                      </w14:textFill>
                    </w:rPr>
                  </w:pPr>
                </w:p>
              </w:tc>
              <w:tc>
                <w:tcPr>
                  <w:tcW w:w="702" w:type="pct"/>
                  <w:tcBorders>
                    <w:tl2br w:val="nil"/>
                    <w:tr2bl w:val="nil"/>
                  </w:tcBorders>
                  <w:noWrap w:val="0"/>
                  <w:vAlign w:val="center"/>
                </w:tcPr>
                <w:p w14:paraId="096B311F">
                  <w:pPr>
                    <w:widowControl/>
                    <w:spacing w:line="32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排放浓度</w:t>
                  </w:r>
                </w:p>
              </w:tc>
              <w:tc>
                <w:tcPr>
                  <w:tcW w:w="586" w:type="pct"/>
                  <w:tcBorders>
                    <w:tl2br w:val="nil"/>
                    <w:tr2bl w:val="nil"/>
                  </w:tcBorders>
                  <w:noWrap w:val="0"/>
                  <w:vAlign w:val="center"/>
                </w:tcPr>
                <w:p w14:paraId="66CAC56C">
                  <w:pPr>
                    <w:widowControl/>
                    <w:spacing w:line="320" w:lineRule="exact"/>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排放量</w:t>
                  </w:r>
                </w:p>
              </w:tc>
            </w:tr>
            <w:tr w14:paraId="2DFD1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05" w:type="pct"/>
                  <w:vMerge w:val="restart"/>
                  <w:tcBorders>
                    <w:tl2br w:val="nil"/>
                    <w:tr2bl w:val="nil"/>
                  </w:tcBorders>
                  <w:noWrap w:val="0"/>
                  <w:vAlign w:val="center"/>
                </w:tcPr>
                <w:p w14:paraId="0E524F7F">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生活污水</w:t>
                  </w:r>
                </w:p>
                <w:p w14:paraId="538B3C5B">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84</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/a</w:t>
                  </w:r>
                </w:p>
              </w:tc>
              <w:tc>
                <w:tcPr>
                  <w:tcW w:w="563" w:type="pct"/>
                  <w:tcBorders>
                    <w:tl2br w:val="nil"/>
                    <w:tr2bl w:val="nil"/>
                  </w:tcBorders>
                  <w:noWrap w:val="0"/>
                  <w:vAlign w:val="center"/>
                </w:tcPr>
                <w:p w14:paraId="2926C26F">
                  <w:pPr>
                    <w:widowControl/>
                    <w:spacing w:line="320" w:lineRule="exact"/>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COD</w:t>
                  </w:r>
                </w:p>
              </w:tc>
              <w:tc>
                <w:tcPr>
                  <w:tcW w:w="725" w:type="pct"/>
                  <w:tcBorders>
                    <w:tl2br w:val="nil"/>
                    <w:tr2bl w:val="nil"/>
                  </w:tcBorders>
                  <w:noWrap w:val="0"/>
                  <w:vAlign w:val="center"/>
                </w:tcPr>
                <w:p w14:paraId="4FCEBA23">
                  <w:pPr>
                    <w:widowControl/>
                    <w:spacing w:line="320" w:lineRule="exact"/>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350mg/L</w:t>
                  </w:r>
                </w:p>
              </w:tc>
              <w:tc>
                <w:tcPr>
                  <w:tcW w:w="665" w:type="pct"/>
                  <w:tcBorders>
                    <w:tl2br w:val="nil"/>
                    <w:tr2bl w:val="nil"/>
                  </w:tcBorders>
                  <w:noWrap w:val="0"/>
                  <w:vAlign w:val="center"/>
                </w:tcPr>
                <w:p w14:paraId="0BA53777">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029</w:t>
                  </w:r>
                  <w:r>
                    <w:rPr>
                      <w:rFonts w:hint="default" w:ascii="Times New Roman" w:hAnsi="Times New Roman" w:cs="Times New Roman"/>
                      <w:color w:val="000000" w:themeColor="text1"/>
                      <w:sz w:val="21"/>
                      <w:szCs w:val="21"/>
                      <w14:textFill>
                        <w14:solidFill>
                          <w14:schemeClr w14:val="tx1"/>
                        </w14:solidFill>
                      </w14:textFill>
                    </w:rPr>
                    <w:t>t/a</w:t>
                  </w:r>
                </w:p>
              </w:tc>
              <w:tc>
                <w:tcPr>
                  <w:tcW w:w="1051" w:type="pct"/>
                  <w:vMerge w:val="restart"/>
                  <w:tcBorders>
                    <w:tl2br w:val="nil"/>
                    <w:tr2bl w:val="nil"/>
                  </w:tcBorders>
                  <w:noWrap w:val="0"/>
                  <w:vAlign w:val="center"/>
                </w:tcPr>
                <w:p w14:paraId="372774A1">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经</w:t>
                  </w:r>
                  <w:r>
                    <w:rPr>
                      <w:rFonts w:hint="eastAsia" w:cs="Times New Roman"/>
                      <w:color w:val="000000" w:themeColor="text1"/>
                      <w:sz w:val="21"/>
                      <w:szCs w:val="21"/>
                      <w:lang w:val="en-US" w:eastAsia="zh-CN"/>
                      <w14:textFill>
                        <w14:solidFill>
                          <w14:schemeClr w14:val="tx1"/>
                        </w14:solidFill>
                      </w14:textFill>
                    </w:rPr>
                    <w:t>厂区现有</w:t>
                  </w:r>
                  <w:r>
                    <w:rPr>
                      <w:rFonts w:hint="default" w:ascii="Times New Roman" w:hAnsi="Times New Roman" w:cs="Times New Roman"/>
                      <w:color w:val="000000" w:themeColor="text1"/>
                      <w:sz w:val="21"/>
                      <w:szCs w:val="21"/>
                      <w14:textFill>
                        <w14:solidFill>
                          <w14:schemeClr w14:val="tx1"/>
                        </w14:solidFill>
                      </w14:textFill>
                    </w:rPr>
                    <w:t>化粪池</w:t>
                  </w:r>
                  <w:r>
                    <w:rPr>
                      <w:rFonts w:hint="eastAsia" w:cs="Times New Roman"/>
                      <w:color w:val="000000" w:themeColor="text1"/>
                      <w:sz w:val="21"/>
                      <w:szCs w:val="21"/>
                      <w:lang w:val="en-US" w:eastAsia="zh-CN"/>
                      <w14:textFill>
                        <w14:solidFill>
                          <w14:schemeClr w14:val="tx1"/>
                        </w14:solidFill>
                      </w14:textFill>
                    </w:rPr>
                    <w:t>收集</w:t>
                  </w:r>
                  <w:r>
                    <w:rPr>
                      <w:rFonts w:hint="default" w:ascii="Times New Roman" w:hAnsi="Times New Roman" w:cs="Times New Roman"/>
                      <w:color w:val="000000" w:themeColor="text1"/>
                      <w:sz w:val="21"/>
                      <w:szCs w:val="21"/>
                      <w14:textFill>
                        <w14:solidFill>
                          <w14:schemeClr w14:val="tx1"/>
                        </w14:solidFill>
                      </w14:textFill>
                    </w:rPr>
                    <w:t>处理后排入市政</w:t>
                  </w:r>
                  <w:r>
                    <w:rPr>
                      <w:rFonts w:hint="eastAsia" w:cs="Times New Roman"/>
                      <w:color w:val="000000" w:themeColor="text1"/>
                      <w:sz w:val="21"/>
                      <w:szCs w:val="21"/>
                      <w:lang w:val="en-US" w:eastAsia="zh-CN"/>
                      <w14:textFill>
                        <w14:solidFill>
                          <w14:schemeClr w14:val="tx1"/>
                        </w14:solidFill>
                      </w14:textFill>
                    </w:rPr>
                    <w:t>污水</w:t>
                  </w:r>
                  <w:r>
                    <w:rPr>
                      <w:rFonts w:hint="default" w:ascii="Times New Roman" w:hAnsi="Times New Roman" w:cs="Times New Roman"/>
                      <w:color w:val="000000" w:themeColor="text1"/>
                      <w:sz w:val="21"/>
                      <w:szCs w:val="21"/>
                      <w14:textFill>
                        <w14:solidFill>
                          <w14:schemeClr w14:val="tx1"/>
                        </w14:solidFill>
                      </w14:textFill>
                    </w:rPr>
                    <w:t>管网</w:t>
                  </w:r>
                </w:p>
              </w:tc>
              <w:tc>
                <w:tcPr>
                  <w:tcW w:w="702" w:type="pct"/>
                  <w:tcBorders>
                    <w:tl2br w:val="nil"/>
                    <w:tr2bl w:val="nil"/>
                  </w:tcBorders>
                  <w:noWrap w:val="0"/>
                  <w:vAlign w:val="center"/>
                </w:tcPr>
                <w:p w14:paraId="4F296F83">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300mg/L</w:t>
                  </w:r>
                </w:p>
              </w:tc>
              <w:tc>
                <w:tcPr>
                  <w:tcW w:w="586" w:type="pct"/>
                  <w:tcBorders>
                    <w:tl2br w:val="nil"/>
                    <w:tr2bl w:val="nil"/>
                  </w:tcBorders>
                  <w:noWrap w:val="0"/>
                  <w:vAlign w:val="center"/>
                </w:tcPr>
                <w:p w14:paraId="71D60ACA">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025</w:t>
                  </w:r>
                  <w:r>
                    <w:rPr>
                      <w:rFonts w:hint="default" w:ascii="Times New Roman" w:hAnsi="Times New Roman" w:cs="Times New Roman"/>
                      <w:color w:val="000000" w:themeColor="text1"/>
                      <w:sz w:val="21"/>
                      <w:szCs w:val="21"/>
                      <w14:textFill>
                        <w14:solidFill>
                          <w14:schemeClr w14:val="tx1"/>
                        </w14:solidFill>
                      </w14:textFill>
                    </w:rPr>
                    <w:t>t/a</w:t>
                  </w:r>
                </w:p>
              </w:tc>
            </w:tr>
            <w:tr w14:paraId="386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05" w:type="pct"/>
                  <w:vMerge w:val="continue"/>
                  <w:tcBorders>
                    <w:tl2br w:val="nil"/>
                    <w:tr2bl w:val="nil"/>
                  </w:tcBorders>
                  <w:noWrap w:val="0"/>
                  <w:vAlign w:val="center"/>
                </w:tcPr>
                <w:p w14:paraId="7465360C">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p>
              </w:tc>
              <w:tc>
                <w:tcPr>
                  <w:tcW w:w="563" w:type="pct"/>
                  <w:tcBorders>
                    <w:tl2br w:val="nil"/>
                    <w:tr2bl w:val="nil"/>
                  </w:tcBorders>
                  <w:noWrap w:val="0"/>
                  <w:vAlign w:val="center"/>
                </w:tcPr>
                <w:p w14:paraId="2B3E4C89">
                  <w:pPr>
                    <w:widowControl/>
                    <w:spacing w:line="320" w:lineRule="exact"/>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BOD</w:t>
                  </w:r>
                  <w:r>
                    <w:rPr>
                      <w:rFonts w:hint="default" w:ascii="Times New Roman" w:hAnsi="Times New Roman" w:cs="Times New Roman"/>
                      <w:bCs/>
                      <w:color w:val="000000" w:themeColor="text1"/>
                      <w:sz w:val="21"/>
                      <w:szCs w:val="21"/>
                      <w:vertAlign w:val="subscript"/>
                      <w14:textFill>
                        <w14:solidFill>
                          <w14:schemeClr w14:val="tx1"/>
                        </w14:solidFill>
                      </w14:textFill>
                    </w:rPr>
                    <w:t>5</w:t>
                  </w:r>
                </w:p>
              </w:tc>
              <w:tc>
                <w:tcPr>
                  <w:tcW w:w="725" w:type="pct"/>
                  <w:tcBorders>
                    <w:tl2br w:val="nil"/>
                    <w:tr2bl w:val="nil"/>
                  </w:tcBorders>
                  <w:noWrap w:val="0"/>
                  <w:vAlign w:val="center"/>
                </w:tcPr>
                <w:p w14:paraId="7B04E785">
                  <w:pPr>
                    <w:widowControl/>
                    <w:spacing w:line="320" w:lineRule="exact"/>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180</w:t>
                  </w:r>
                  <w:r>
                    <w:rPr>
                      <w:rFonts w:hint="default" w:ascii="Times New Roman" w:hAnsi="Times New Roman" w:cs="Times New Roman"/>
                      <w:color w:val="000000" w:themeColor="text1"/>
                      <w:sz w:val="21"/>
                      <w:szCs w:val="21"/>
                      <w14:textFill>
                        <w14:solidFill>
                          <w14:schemeClr w14:val="tx1"/>
                        </w14:solidFill>
                      </w14:textFill>
                    </w:rPr>
                    <w:t>mg/L</w:t>
                  </w:r>
                </w:p>
              </w:tc>
              <w:tc>
                <w:tcPr>
                  <w:tcW w:w="665" w:type="pct"/>
                  <w:tcBorders>
                    <w:tl2br w:val="nil"/>
                    <w:tr2bl w:val="nil"/>
                  </w:tcBorders>
                  <w:noWrap w:val="0"/>
                  <w:vAlign w:val="center"/>
                </w:tcPr>
                <w:p w14:paraId="59A832EC">
                  <w:pPr>
                    <w:widowControl/>
                    <w:spacing w:line="320" w:lineRule="exact"/>
                    <w:jc w:val="center"/>
                    <w:rPr>
                      <w:rFonts w:hint="default" w:ascii="Times New Roman" w:hAnsi="Times New Roman" w:cs="Times New Roman"/>
                      <w:bCs/>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0.015</w:t>
                  </w:r>
                  <w:r>
                    <w:rPr>
                      <w:rFonts w:hint="default" w:ascii="Times New Roman" w:hAnsi="Times New Roman" w:cs="Times New Roman"/>
                      <w:color w:val="000000" w:themeColor="text1"/>
                      <w:sz w:val="21"/>
                      <w:szCs w:val="21"/>
                      <w14:textFill>
                        <w14:solidFill>
                          <w14:schemeClr w14:val="tx1"/>
                        </w14:solidFill>
                      </w14:textFill>
                    </w:rPr>
                    <w:t>t/a</w:t>
                  </w:r>
                </w:p>
              </w:tc>
              <w:tc>
                <w:tcPr>
                  <w:tcW w:w="1051" w:type="pct"/>
                  <w:vMerge w:val="continue"/>
                  <w:tcBorders>
                    <w:tl2br w:val="nil"/>
                    <w:tr2bl w:val="nil"/>
                  </w:tcBorders>
                  <w:noWrap w:val="0"/>
                  <w:vAlign w:val="center"/>
                </w:tcPr>
                <w:p w14:paraId="75131A3A">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p>
              </w:tc>
              <w:tc>
                <w:tcPr>
                  <w:tcW w:w="702" w:type="pct"/>
                  <w:tcBorders>
                    <w:tl2br w:val="nil"/>
                    <w:tr2bl w:val="nil"/>
                  </w:tcBorders>
                  <w:noWrap w:val="0"/>
                  <w:vAlign w:val="center"/>
                </w:tcPr>
                <w:p w14:paraId="7887BD87">
                  <w:pPr>
                    <w:widowControl/>
                    <w:spacing w:line="320" w:lineRule="exact"/>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150</w:t>
                  </w:r>
                  <w:r>
                    <w:rPr>
                      <w:rFonts w:hint="default" w:ascii="Times New Roman" w:hAnsi="Times New Roman" w:cs="Times New Roman"/>
                      <w:color w:val="000000" w:themeColor="text1"/>
                      <w:sz w:val="21"/>
                      <w:szCs w:val="21"/>
                      <w14:textFill>
                        <w14:solidFill>
                          <w14:schemeClr w14:val="tx1"/>
                        </w14:solidFill>
                      </w14:textFill>
                    </w:rPr>
                    <w:t>mg/L</w:t>
                  </w:r>
                </w:p>
              </w:tc>
              <w:tc>
                <w:tcPr>
                  <w:tcW w:w="586" w:type="pct"/>
                  <w:tcBorders>
                    <w:tl2br w:val="nil"/>
                    <w:tr2bl w:val="nil"/>
                  </w:tcBorders>
                  <w:noWrap w:val="0"/>
                  <w:vAlign w:val="center"/>
                </w:tcPr>
                <w:p w14:paraId="3CDA6DF2">
                  <w:pPr>
                    <w:widowControl/>
                    <w:spacing w:line="320" w:lineRule="exact"/>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w:t>
                  </w:r>
                  <w:r>
                    <w:rPr>
                      <w:rFonts w:hint="eastAsia" w:cs="Times New Roman"/>
                      <w:color w:val="000000" w:themeColor="text1"/>
                      <w:sz w:val="21"/>
                      <w:szCs w:val="21"/>
                      <w:lang w:val="en-US" w:eastAsia="zh-CN"/>
                      <w14:textFill>
                        <w14:solidFill>
                          <w14:schemeClr w14:val="tx1"/>
                        </w14:solidFill>
                      </w14:textFill>
                    </w:rPr>
                    <w:t>13</w:t>
                  </w:r>
                  <w:r>
                    <w:rPr>
                      <w:rFonts w:hint="default" w:ascii="Times New Roman" w:hAnsi="Times New Roman" w:cs="Times New Roman"/>
                      <w:color w:val="000000" w:themeColor="text1"/>
                      <w:sz w:val="21"/>
                      <w:szCs w:val="21"/>
                      <w14:textFill>
                        <w14:solidFill>
                          <w14:schemeClr w14:val="tx1"/>
                        </w14:solidFill>
                      </w14:textFill>
                    </w:rPr>
                    <w:t>t/a</w:t>
                  </w:r>
                </w:p>
              </w:tc>
            </w:tr>
            <w:tr w14:paraId="11A741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05" w:type="pct"/>
                  <w:vMerge w:val="continue"/>
                  <w:tcBorders>
                    <w:tl2br w:val="nil"/>
                    <w:tr2bl w:val="nil"/>
                  </w:tcBorders>
                  <w:noWrap w:val="0"/>
                  <w:vAlign w:val="center"/>
                </w:tcPr>
                <w:p w14:paraId="40FAAA0D">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p>
              </w:tc>
              <w:tc>
                <w:tcPr>
                  <w:tcW w:w="563" w:type="pct"/>
                  <w:tcBorders>
                    <w:tl2br w:val="nil"/>
                    <w:tr2bl w:val="nil"/>
                  </w:tcBorders>
                  <w:noWrap w:val="0"/>
                  <w:vAlign w:val="center"/>
                </w:tcPr>
                <w:p w14:paraId="2C405623">
                  <w:pPr>
                    <w:widowControl/>
                    <w:spacing w:line="320" w:lineRule="exact"/>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SS</w:t>
                  </w:r>
                </w:p>
              </w:tc>
              <w:tc>
                <w:tcPr>
                  <w:tcW w:w="725" w:type="pct"/>
                  <w:tcBorders>
                    <w:tl2br w:val="nil"/>
                    <w:tr2bl w:val="nil"/>
                  </w:tcBorders>
                  <w:noWrap w:val="0"/>
                  <w:vAlign w:val="center"/>
                </w:tcPr>
                <w:p w14:paraId="6D5CFBB9">
                  <w:pPr>
                    <w:widowControl/>
                    <w:spacing w:line="320" w:lineRule="exact"/>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200mg/L</w:t>
                  </w:r>
                </w:p>
              </w:tc>
              <w:tc>
                <w:tcPr>
                  <w:tcW w:w="665" w:type="pct"/>
                  <w:tcBorders>
                    <w:tl2br w:val="nil"/>
                    <w:tr2bl w:val="nil"/>
                  </w:tcBorders>
                  <w:noWrap w:val="0"/>
                  <w:vAlign w:val="center"/>
                </w:tcPr>
                <w:p w14:paraId="139EB6A7">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017</w:t>
                  </w:r>
                  <w:r>
                    <w:rPr>
                      <w:rFonts w:hint="default" w:ascii="Times New Roman" w:hAnsi="Times New Roman" w:cs="Times New Roman"/>
                      <w:color w:val="000000" w:themeColor="text1"/>
                      <w:sz w:val="21"/>
                      <w:szCs w:val="21"/>
                      <w14:textFill>
                        <w14:solidFill>
                          <w14:schemeClr w14:val="tx1"/>
                        </w14:solidFill>
                      </w14:textFill>
                    </w:rPr>
                    <w:t>t/a</w:t>
                  </w:r>
                </w:p>
              </w:tc>
              <w:tc>
                <w:tcPr>
                  <w:tcW w:w="1051" w:type="pct"/>
                  <w:vMerge w:val="continue"/>
                  <w:tcBorders>
                    <w:tl2br w:val="nil"/>
                    <w:tr2bl w:val="nil"/>
                  </w:tcBorders>
                  <w:noWrap w:val="0"/>
                  <w:vAlign w:val="center"/>
                </w:tcPr>
                <w:p w14:paraId="1228E095">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p>
              </w:tc>
              <w:tc>
                <w:tcPr>
                  <w:tcW w:w="702" w:type="pct"/>
                  <w:tcBorders>
                    <w:tl2br w:val="nil"/>
                    <w:tr2bl w:val="nil"/>
                  </w:tcBorders>
                  <w:noWrap w:val="0"/>
                  <w:vAlign w:val="center"/>
                </w:tcPr>
                <w:p w14:paraId="3FE8AC88">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140mg/L</w:t>
                  </w:r>
                </w:p>
              </w:tc>
              <w:tc>
                <w:tcPr>
                  <w:tcW w:w="586" w:type="pct"/>
                  <w:tcBorders>
                    <w:tl2br w:val="nil"/>
                    <w:tr2bl w:val="nil"/>
                  </w:tcBorders>
                  <w:noWrap w:val="0"/>
                  <w:vAlign w:val="center"/>
                </w:tcPr>
                <w:p w14:paraId="3B0E516F">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w:t>
                  </w:r>
                  <w:r>
                    <w:rPr>
                      <w:rFonts w:hint="eastAsia" w:cs="Times New Roman"/>
                      <w:color w:val="000000" w:themeColor="text1"/>
                      <w:sz w:val="21"/>
                      <w:szCs w:val="21"/>
                      <w:lang w:val="en-US" w:eastAsia="zh-CN"/>
                      <w14:textFill>
                        <w14:solidFill>
                          <w14:schemeClr w14:val="tx1"/>
                        </w14:solidFill>
                      </w14:textFill>
                    </w:rPr>
                    <w:t>12</w:t>
                  </w:r>
                  <w:r>
                    <w:rPr>
                      <w:rFonts w:hint="default" w:ascii="Times New Roman" w:hAnsi="Times New Roman" w:cs="Times New Roman"/>
                      <w:color w:val="000000" w:themeColor="text1"/>
                      <w:sz w:val="21"/>
                      <w:szCs w:val="21"/>
                      <w14:textFill>
                        <w14:solidFill>
                          <w14:schemeClr w14:val="tx1"/>
                        </w14:solidFill>
                      </w14:textFill>
                    </w:rPr>
                    <w:t>t/a</w:t>
                  </w:r>
                </w:p>
              </w:tc>
            </w:tr>
            <w:tr w14:paraId="1F41A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05" w:type="pct"/>
                  <w:vMerge w:val="continue"/>
                  <w:tcBorders>
                    <w:tl2br w:val="nil"/>
                    <w:tr2bl w:val="nil"/>
                  </w:tcBorders>
                  <w:noWrap w:val="0"/>
                  <w:vAlign w:val="center"/>
                </w:tcPr>
                <w:p w14:paraId="27E28FEA">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p>
              </w:tc>
              <w:tc>
                <w:tcPr>
                  <w:tcW w:w="563" w:type="pct"/>
                  <w:tcBorders>
                    <w:tl2br w:val="nil"/>
                    <w:tr2bl w:val="nil"/>
                  </w:tcBorders>
                  <w:noWrap w:val="0"/>
                  <w:vAlign w:val="center"/>
                </w:tcPr>
                <w:p w14:paraId="0BA82CB1">
                  <w:pPr>
                    <w:widowControl/>
                    <w:spacing w:line="320" w:lineRule="exact"/>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氨氮</w:t>
                  </w:r>
                </w:p>
              </w:tc>
              <w:tc>
                <w:tcPr>
                  <w:tcW w:w="725" w:type="pct"/>
                  <w:tcBorders>
                    <w:tl2br w:val="nil"/>
                    <w:tr2bl w:val="nil"/>
                  </w:tcBorders>
                  <w:noWrap w:val="0"/>
                  <w:vAlign w:val="center"/>
                </w:tcPr>
                <w:p w14:paraId="587101A6">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35mg/L</w:t>
                  </w:r>
                </w:p>
              </w:tc>
              <w:tc>
                <w:tcPr>
                  <w:tcW w:w="665" w:type="pct"/>
                  <w:tcBorders>
                    <w:tl2br w:val="nil"/>
                    <w:tr2bl w:val="nil"/>
                  </w:tcBorders>
                  <w:noWrap w:val="0"/>
                  <w:vAlign w:val="center"/>
                </w:tcPr>
                <w:p w14:paraId="28B3FA5A">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w:t>
                  </w:r>
                  <w:r>
                    <w:rPr>
                      <w:rFonts w:hint="eastAsia" w:cs="Times New Roman"/>
                      <w:color w:val="000000" w:themeColor="text1"/>
                      <w:sz w:val="21"/>
                      <w:szCs w:val="21"/>
                      <w:lang w:val="en-US" w:eastAsia="zh-CN"/>
                      <w14:textFill>
                        <w14:solidFill>
                          <w14:schemeClr w14:val="tx1"/>
                        </w14:solidFill>
                      </w14:textFill>
                    </w:rPr>
                    <w:t>03</w:t>
                  </w:r>
                  <w:r>
                    <w:rPr>
                      <w:rFonts w:hint="default" w:ascii="Times New Roman" w:hAnsi="Times New Roman" w:cs="Times New Roman"/>
                      <w:color w:val="000000" w:themeColor="text1"/>
                      <w:sz w:val="21"/>
                      <w:szCs w:val="21"/>
                      <w14:textFill>
                        <w14:solidFill>
                          <w14:schemeClr w14:val="tx1"/>
                        </w14:solidFill>
                      </w14:textFill>
                    </w:rPr>
                    <w:t>t/a</w:t>
                  </w:r>
                </w:p>
              </w:tc>
              <w:tc>
                <w:tcPr>
                  <w:tcW w:w="1051" w:type="pct"/>
                  <w:vMerge w:val="continue"/>
                  <w:tcBorders>
                    <w:tl2br w:val="nil"/>
                    <w:tr2bl w:val="nil"/>
                  </w:tcBorders>
                  <w:noWrap w:val="0"/>
                  <w:vAlign w:val="center"/>
                </w:tcPr>
                <w:p w14:paraId="2826E990">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p>
              </w:tc>
              <w:tc>
                <w:tcPr>
                  <w:tcW w:w="702" w:type="pct"/>
                  <w:tcBorders>
                    <w:tl2br w:val="nil"/>
                    <w:tr2bl w:val="nil"/>
                  </w:tcBorders>
                  <w:noWrap w:val="0"/>
                  <w:vAlign w:val="center"/>
                </w:tcPr>
                <w:p w14:paraId="2412CCEF">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35mg/L</w:t>
                  </w:r>
                </w:p>
              </w:tc>
              <w:tc>
                <w:tcPr>
                  <w:tcW w:w="944" w:type="dxa"/>
                  <w:tcBorders>
                    <w:tl2br w:val="nil"/>
                    <w:tr2bl w:val="nil"/>
                  </w:tcBorders>
                  <w:noWrap w:val="0"/>
                  <w:vAlign w:val="center"/>
                </w:tcPr>
                <w:p w14:paraId="66E23091">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w:t>
                  </w:r>
                  <w:r>
                    <w:rPr>
                      <w:rFonts w:hint="eastAsia" w:cs="Times New Roman"/>
                      <w:color w:val="000000" w:themeColor="text1"/>
                      <w:sz w:val="21"/>
                      <w:szCs w:val="21"/>
                      <w:lang w:val="en-US" w:eastAsia="zh-CN"/>
                      <w14:textFill>
                        <w14:solidFill>
                          <w14:schemeClr w14:val="tx1"/>
                        </w14:solidFill>
                      </w14:textFill>
                    </w:rPr>
                    <w:t>03</w:t>
                  </w:r>
                  <w:r>
                    <w:rPr>
                      <w:rFonts w:hint="default" w:ascii="Times New Roman" w:hAnsi="Times New Roman" w:cs="Times New Roman"/>
                      <w:color w:val="000000" w:themeColor="text1"/>
                      <w:sz w:val="21"/>
                      <w:szCs w:val="21"/>
                      <w14:textFill>
                        <w14:solidFill>
                          <w14:schemeClr w14:val="tx1"/>
                        </w14:solidFill>
                      </w14:textFill>
                    </w:rPr>
                    <w:t>t/a</w:t>
                  </w:r>
                </w:p>
              </w:tc>
            </w:tr>
            <w:tr w14:paraId="014AF4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05" w:type="pct"/>
                  <w:vMerge w:val="continue"/>
                  <w:tcBorders>
                    <w:tl2br w:val="nil"/>
                    <w:tr2bl w:val="nil"/>
                  </w:tcBorders>
                  <w:noWrap w:val="0"/>
                  <w:vAlign w:val="center"/>
                </w:tcPr>
                <w:p w14:paraId="1B690A4E">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p>
              </w:tc>
              <w:tc>
                <w:tcPr>
                  <w:tcW w:w="563" w:type="pct"/>
                  <w:tcBorders>
                    <w:tl2br w:val="nil"/>
                    <w:tr2bl w:val="nil"/>
                  </w:tcBorders>
                  <w:noWrap w:val="0"/>
                  <w:vAlign w:val="center"/>
                </w:tcPr>
                <w:p w14:paraId="0337CF85">
                  <w:pPr>
                    <w:widowControl/>
                    <w:spacing w:line="320" w:lineRule="exact"/>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总磷</w:t>
                  </w:r>
                </w:p>
              </w:tc>
              <w:tc>
                <w:tcPr>
                  <w:tcW w:w="725" w:type="pct"/>
                  <w:tcBorders>
                    <w:tl2br w:val="nil"/>
                    <w:tr2bl w:val="nil"/>
                  </w:tcBorders>
                  <w:noWrap w:val="0"/>
                  <w:vAlign w:val="center"/>
                </w:tcPr>
                <w:p w14:paraId="47A9892E">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8mg/L</w:t>
                  </w:r>
                </w:p>
              </w:tc>
              <w:tc>
                <w:tcPr>
                  <w:tcW w:w="665" w:type="pct"/>
                  <w:tcBorders>
                    <w:tl2br w:val="nil"/>
                    <w:tr2bl w:val="nil"/>
                  </w:tcBorders>
                  <w:noWrap w:val="0"/>
                  <w:vAlign w:val="center"/>
                </w:tcPr>
                <w:p w14:paraId="0AF495D2">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w:t>
                  </w:r>
                  <w:r>
                    <w:rPr>
                      <w:rFonts w:hint="eastAsia" w:cs="Times New Roman"/>
                      <w:color w:val="000000" w:themeColor="text1"/>
                      <w:sz w:val="21"/>
                      <w:szCs w:val="21"/>
                      <w:lang w:val="en-US" w:eastAsia="zh-CN"/>
                      <w14:textFill>
                        <w14:solidFill>
                          <w14:schemeClr w14:val="tx1"/>
                        </w14:solidFill>
                      </w14:textFill>
                    </w:rPr>
                    <w:t>01</w:t>
                  </w:r>
                  <w:r>
                    <w:rPr>
                      <w:rFonts w:hint="default" w:ascii="Times New Roman" w:hAnsi="Times New Roman" w:cs="Times New Roman"/>
                      <w:color w:val="000000" w:themeColor="text1"/>
                      <w:sz w:val="21"/>
                      <w:szCs w:val="21"/>
                      <w14:textFill>
                        <w14:solidFill>
                          <w14:schemeClr w14:val="tx1"/>
                        </w14:solidFill>
                      </w14:textFill>
                    </w:rPr>
                    <w:t>t/a</w:t>
                  </w:r>
                </w:p>
              </w:tc>
              <w:tc>
                <w:tcPr>
                  <w:tcW w:w="1051" w:type="pct"/>
                  <w:vMerge w:val="continue"/>
                  <w:tcBorders>
                    <w:tl2br w:val="nil"/>
                    <w:tr2bl w:val="nil"/>
                  </w:tcBorders>
                  <w:noWrap w:val="0"/>
                  <w:vAlign w:val="center"/>
                </w:tcPr>
                <w:p w14:paraId="76D9318D">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p>
              </w:tc>
              <w:tc>
                <w:tcPr>
                  <w:tcW w:w="702" w:type="pct"/>
                  <w:tcBorders>
                    <w:tl2br w:val="nil"/>
                    <w:tr2bl w:val="nil"/>
                  </w:tcBorders>
                  <w:noWrap w:val="0"/>
                  <w:vAlign w:val="center"/>
                </w:tcPr>
                <w:p w14:paraId="6647CAAB">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8mg/L</w:t>
                  </w:r>
                </w:p>
              </w:tc>
              <w:tc>
                <w:tcPr>
                  <w:tcW w:w="944" w:type="dxa"/>
                  <w:tcBorders>
                    <w:tl2br w:val="nil"/>
                    <w:tr2bl w:val="nil"/>
                  </w:tcBorders>
                  <w:noWrap w:val="0"/>
                  <w:vAlign w:val="center"/>
                </w:tcPr>
                <w:p w14:paraId="0803CAD3">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w:t>
                  </w:r>
                  <w:r>
                    <w:rPr>
                      <w:rFonts w:hint="eastAsia" w:cs="Times New Roman"/>
                      <w:color w:val="000000" w:themeColor="text1"/>
                      <w:sz w:val="21"/>
                      <w:szCs w:val="21"/>
                      <w:lang w:val="en-US" w:eastAsia="zh-CN"/>
                      <w14:textFill>
                        <w14:solidFill>
                          <w14:schemeClr w14:val="tx1"/>
                        </w14:solidFill>
                      </w14:textFill>
                    </w:rPr>
                    <w:t>01</w:t>
                  </w:r>
                  <w:r>
                    <w:rPr>
                      <w:rFonts w:hint="default" w:ascii="Times New Roman" w:hAnsi="Times New Roman" w:cs="Times New Roman"/>
                      <w:color w:val="000000" w:themeColor="text1"/>
                      <w:sz w:val="21"/>
                      <w:szCs w:val="21"/>
                      <w14:textFill>
                        <w14:solidFill>
                          <w14:schemeClr w14:val="tx1"/>
                        </w14:solidFill>
                      </w14:textFill>
                    </w:rPr>
                    <w:t>t/a</w:t>
                  </w:r>
                </w:p>
              </w:tc>
            </w:tr>
            <w:tr w14:paraId="6BE031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05" w:type="pct"/>
                  <w:vMerge w:val="continue"/>
                  <w:tcBorders>
                    <w:tl2br w:val="nil"/>
                    <w:tr2bl w:val="nil"/>
                  </w:tcBorders>
                  <w:noWrap w:val="0"/>
                  <w:vAlign w:val="center"/>
                </w:tcPr>
                <w:p w14:paraId="4E40A7FD">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p>
              </w:tc>
              <w:tc>
                <w:tcPr>
                  <w:tcW w:w="563" w:type="pct"/>
                  <w:tcBorders>
                    <w:tl2br w:val="nil"/>
                    <w:tr2bl w:val="nil"/>
                  </w:tcBorders>
                  <w:noWrap w:val="0"/>
                  <w:vAlign w:val="center"/>
                </w:tcPr>
                <w:p w14:paraId="5D8E8046">
                  <w:pPr>
                    <w:widowControl/>
                    <w:spacing w:line="320" w:lineRule="exact"/>
                    <w:jc w:val="center"/>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总氮</w:t>
                  </w:r>
                </w:p>
              </w:tc>
              <w:tc>
                <w:tcPr>
                  <w:tcW w:w="725" w:type="pct"/>
                  <w:tcBorders>
                    <w:tl2br w:val="nil"/>
                    <w:tr2bl w:val="nil"/>
                  </w:tcBorders>
                  <w:noWrap w:val="0"/>
                  <w:vAlign w:val="center"/>
                </w:tcPr>
                <w:p w14:paraId="76934881">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70mg/L</w:t>
                  </w:r>
                </w:p>
              </w:tc>
              <w:tc>
                <w:tcPr>
                  <w:tcW w:w="665" w:type="pct"/>
                  <w:tcBorders>
                    <w:tl2br w:val="nil"/>
                    <w:tr2bl w:val="nil"/>
                  </w:tcBorders>
                  <w:noWrap w:val="0"/>
                  <w:vAlign w:val="center"/>
                </w:tcPr>
                <w:p w14:paraId="25A59F24">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w:t>
                  </w:r>
                  <w:r>
                    <w:rPr>
                      <w:rFonts w:hint="eastAsia" w:cs="Times New Roman"/>
                      <w:color w:val="000000" w:themeColor="text1"/>
                      <w:sz w:val="21"/>
                      <w:szCs w:val="21"/>
                      <w:lang w:val="en-US" w:eastAsia="zh-CN"/>
                      <w14:textFill>
                        <w14:solidFill>
                          <w14:schemeClr w14:val="tx1"/>
                        </w14:solidFill>
                      </w14:textFill>
                    </w:rPr>
                    <w:t>06</w:t>
                  </w:r>
                  <w:r>
                    <w:rPr>
                      <w:rFonts w:hint="default" w:ascii="Times New Roman" w:hAnsi="Times New Roman" w:cs="Times New Roman"/>
                      <w:color w:val="000000" w:themeColor="text1"/>
                      <w:sz w:val="21"/>
                      <w:szCs w:val="21"/>
                      <w14:textFill>
                        <w14:solidFill>
                          <w14:schemeClr w14:val="tx1"/>
                        </w14:solidFill>
                      </w14:textFill>
                    </w:rPr>
                    <w:t>t/a</w:t>
                  </w:r>
                </w:p>
              </w:tc>
              <w:tc>
                <w:tcPr>
                  <w:tcW w:w="1051" w:type="pct"/>
                  <w:vMerge w:val="continue"/>
                  <w:tcBorders>
                    <w:tl2br w:val="nil"/>
                    <w:tr2bl w:val="nil"/>
                  </w:tcBorders>
                  <w:noWrap w:val="0"/>
                  <w:vAlign w:val="center"/>
                </w:tcPr>
                <w:p w14:paraId="2B67EC76">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p>
              </w:tc>
              <w:tc>
                <w:tcPr>
                  <w:tcW w:w="702" w:type="pct"/>
                  <w:tcBorders>
                    <w:tl2br w:val="nil"/>
                    <w:tr2bl w:val="nil"/>
                  </w:tcBorders>
                  <w:noWrap w:val="0"/>
                  <w:vAlign w:val="center"/>
                </w:tcPr>
                <w:p w14:paraId="3D2C7891">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70mg/L</w:t>
                  </w:r>
                </w:p>
              </w:tc>
              <w:tc>
                <w:tcPr>
                  <w:tcW w:w="944" w:type="dxa"/>
                  <w:tcBorders>
                    <w:tl2br w:val="nil"/>
                    <w:tr2bl w:val="nil"/>
                  </w:tcBorders>
                  <w:noWrap w:val="0"/>
                  <w:vAlign w:val="center"/>
                </w:tcPr>
                <w:p w14:paraId="339791AF">
                  <w:pPr>
                    <w:widowControl/>
                    <w:spacing w:line="320" w:lineRule="exact"/>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w:t>
                  </w:r>
                  <w:r>
                    <w:rPr>
                      <w:rFonts w:hint="eastAsia" w:cs="Times New Roman"/>
                      <w:color w:val="000000" w:themeColor="text1"/>
                      <w:sz w:val="21"/>
                      <w:szCs w:val="21"/>
                      <w:lang w:val="en-US" w:eastAsia="zh-CN"/>
                      <w14:textFill>
                        <w14:solidFill>
                          <w14:schemeClr w14:val="tx1"/>
                        </w14:solidFill>
                      </w14:textFill>
                    </w:rPr>
                    <w:t>06</w:t>
                  </w:r>
                  <w:r>
                    <w:rPr>
                      <w:rFonts w:hint="default" w:ascii="Times New Roman" w:hAnsi="Times New Roman" w:cs="Times New Roman"/>
                      <w:color w:val="000000" w:themeColor="text1"/>
                      <w:sz w:val="21"/>
                      <w:szCs w:val="21"/>
                      <w14:textFill>
                        <w14:solidFill>
                          <w14:schemeClr w14:val="tx1"/>
                        </w14:solidFill>
                      </w14:textFill>
                    </w:rPr>
                    <w:t>t/a</w:t>
                  </w:r>
                </w:p>
              </w:tc>
            </w:tr>
          </w:tbl>
          <w:p w14:paraId="66BB388C">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p>
          <w:p w14:paraId="2D80454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p>
          <w:p w14:paraId="1CB68AE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表4</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w:t>
            </w:r>
            <w:r>
              <w:rPr>
                <w:rFonts w:hint="eastAsia" w:cs="Times New Roman"/>
                <w:b/>
                <w:color w:val="000000" w:themeColor="text1"/>
                <w:sz w:val="21"/>
                <w:szCs w:val="21"/>
                <w:lang w:val="en-US" w:eastAsia="zh-CN"/>
                <w14:textFill>
                  <w14:solidFill>
                    <w14:schemeClr w14:val="tx1"/>
                  </w14:solidFill>
                </w14:textFill>
              </w:rPr>
              <w:t xml:space="preserve">5    </w:t>
            </w:r>
            <w:r>
              <w:rPr>
                <w:rFonts w:hint="default" w:ascii="Times New Roman" w:hAnsi="Times New Roman" w:eastAsia="宋体" w:cs="Times New Roman"/>
                <w:b/>
                <w:color w:val="000000" w:themeColor="text1"/>
                <w:sz w:val="21"/>
                <w:szCs w:val="21"/>
                <w14:textFill>
                  <w14:solidFill>
                    <w14:schemeClr w14:val="tx1"/>
                  </w14:solidFill>
                </w14:textFill>
              </w:rPr>
              <w:t>废水类别、污染物及污染治理设施信息表</w:t>
            </w:r>
          </w:p>
          <w:tbl>
            <w:tblPr>
              <w:tblStyle w:val="24"/>
              <w:tblW w:w="5000"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429"/>
              <w:gridCol w:w="949"/>
              <w:gridCol w:w="823"/>
              <w:gridCol w:w="638"/>
              <w:gridCol w:w="859"/>
              <w:gridCol w:w="844"/>
              <w:gridCol w:w="744"/>
              <w:gridCol w:w="881"/>
              <w:gridCol w:w="868"/>
              <w:gridCol w:w="571"/>
            </w:tblGrid>
            <w:tr w14:paraId="6575C3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65" w:type="pct"/>
                  <w:vMerge w:val="restart"/>
                  <w:tcBorders>
                    <w:tl2br w:val="nil"/>
                    <w:tr2bl w:val="nil"/>
                  </w:tcBorders>
                  <w:noWrap w:val="0"/>
                  <w:vAlign w:val="center"/>
                </w:tcPr>
                <w:p w14:paraId="358F9BE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267" w:type="pct"/>
                  <w:vMerge w:val="restart"/>
                  <w:tcBorders>
                    <w:tl2br w:val="nil"/>
                    <w:tr2bl w:val="nil"/>
                  </w:tcBorders>
                  <w:noWrap w:val="0"/>
                  <w:vAlign w:val="center"/>
                </w:tcPr>
                <w:p w14:paraId="35CECE6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废水类别</w:t>
                  </w:r>
                </w:p>
              </w:tc>
              <w:tc>
                <w:tcPr>
                  <w:tcW w:w="590" w:type="pct"/>
                  <w:vMerge w:val="restart"/>
                  <w:tcBorders>
                    <w:tl2br w:val="nil"/>
                    <w:tr2bl w:val="nil"/>
                  </w:tcBorders>
                  <w:noWrap w:val="0"/>
                  <w:vAlign w:val="center"/>
                </w:tcPr>
                <w:p w14:paraId="1A62478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污染物种类</w:t>
                  </w:r>
                </w:p>
              </w:tc>
              <w:tc>
                <w:tcPr>
                  <w:tcW w:w="512" w:type="pct"/>
                  <w:vMerge w:val="restart"/>
                  <w:tcBorders>
                    <w:tl2br w:val="nil"/>
                    <w:tr2bl w:val="nil"/>
                  </w:tcBorders>
                  <w:noWrap w:val="0"/>
                  <w:vAlign w:val="center"/>
                </w:tcPr>
                <w:p w14:paraId="0236FD0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排放去向</w:t>
                  </w:r>
                </w:p>
              </w:tc>
              <w:tc>
                <w:tcPr>
                  <w:tcW w:w="397" w:type="pct"/>
                  <w:vMerge w:val="restart"/>
                  <w:tcBorders>
                    <w:tl2br w:val="nil"/>
                    <w:tr2bl w:val="nil"/>
                  </w:tcBorders>
                  <w:noWrap w:val="0"/>
                  <w:vAlign w:val="center"/>
                </w:tcPr>
                <w:p w14:paraId="33F1ACD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排放规律</w:t>
                  </w:r>
                </w:p>
              </w:tc>
              <w:tc>
                <w:tcPr>
                  <w:tcW w:w="1522" w:type="pct"/>
                  <w:gridSpan w:val="3"/>
                  <w:tcBorders>
                    <w:tl2br w:val="nil"/>
                    <w:tr2bl w:val="nil"/>
                  </w:tcBorders>
                  <w:noWrap w:val="0"/>
                  <w:vAlign w:val="center"/>
                </w:tcPr>
                <w:p w14:paraId="7A2AB83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污染治理设施</w:t>
                  </w:r>
                </w:p>
              </w:tc>
              <w:tc>
                <w:tcPr>
                  <w:tcW w:w="548" w:type="pct"/>
                  <w:vMerge w:val="restart"/>
                  <w:tcBorders>
                    <w:tl2br w:val="nil"/>
                    <w:tr2bl w:val="nil"/>
                  </w:tcBorders>
                  <w:noWrap w:val="0"/>
                  <w:vAlign w:val="center"/>
                </w:tcPr>
                <w:p w14:paraId="532D425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排放口编号</w:t>
                  </w:r>
                </w:p>
              </w:tc>
              <w:tc>
                <w:tcPr>
                  <w:tcW w:w="540" w:type="pct"/>
                  <w:vMerge w:val="restart"/>
                  <w:tcBorders>
                    <w:tl2br w:val="nil"/>
                    <w:tr2bl w:val="nil"/>
                  </w:tcBorders>
                  <w:noWrap w:val="0"/>
                  <w:vAlign w:val="center"/>
                </w:tcPr>
                <w:p w14:paraId="18CF28C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排放口设置是否符合要求</w:t>
                  </w:r>
                </w:p>
              </w:tc>
              <w:tc>
                <w:tcPr>
                  <w:tcW w:w="355" w:type="pct"/>
                  <w:vMerge w:val="restart"/>
                  <w:tcBorders>
                    <w:tl2br w:val="nil"/>
                    <w:tr2bl w:val="nil"/>
                  </w:tcBorders>
                  <w:noWrap w:val="0"/>
                  <w:vAlign w:val="center"/>
                </w:tcPr>
                <w:p w14:paraId="7AAEA32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排放口类型</w:t>
                  </w:r>
                </w:p>
              </w:tc>
            </w:tr>
            <w:tr w14:paraId="08AF2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5" w:type="pct"/>
                  <w:vMerge w:val="continue"/>
                  <w:tcBorders>
                    <w:tl2br w:val="nil"/>
                    <w:tr2bl w:val="nil"/>
                  </w:tcBorders>
                  <w:noWrap w:val="0"/>
                  <w:vAlign w:val="center"/>
                </w:tcPr>
                <w:p w14:paraId="39DEC607">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themeColor="text1"/>
                      <w14:textFill>
                        <w14:solidFill>
                          <w14:schemeClr w14:val="tx1"/>
                        </w14:solidFill>
                      </w14:textFill>
                    </w:rPr>
                  </w:pPr>
                </w:p>
              </w:tc>
              <w:tc>
                <w:tcPr>
                  <w:tcW w:w="267" w:type="pct"/>
                  <w:vMerge w:val="continue"/>
                  <w:tcBorders>
                    <w:tl2br w:val="nil"/>
                    <w:tr2bl w:val="nil"/>
                  </w:tcBorders>
                  <w:noWrap w:val="0"/>
                  <w:vAlign w:val="center"/>
                </w:tcPr>
                <w:p w14:paraId="5B8BB0F0">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themeColor="text1"/>
                      <w14:textFill>
                        <w14:solidFill>
                          <w14:schemeClr w14:val="tx1"/>
                        </w14:solidFill>
                      </w14:textFill>
                    </w:rPr>
                  </w:pPr>
                </w:p>
              </w:tc>
              <w:tc>
                <w:tcPr>
                  <w:tcW w:w="590" w:type="pct"/>
                  <w:vMerge w:val="continue"/>
                  <w:tcBorders>
                    <w:tl2br w:val="nil"/>
                    <w:tr2bl w:val="nil"/>
                  </w:tcBorders>
                  <w:noWrap w:val="0"/>
                  <w:vAlign w:val="center"/>
                </w:tcPr>
                <w:p w14:paraId="64F84CEC">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themeColor="text1"/>
                      <w14:textFill>
                        <w14:solidFill>
                          <w14:schemeClr w14:val="tx1"/>
                        </w14:solidFill>
                      </w14:textFill>
                    </w:rPr>
                  </w:pPr>
                </w:p>
              </w:tc>
              <w:tc>
                <w:tcPr>
                  <w:tcW w:w="512" w:type="pct"/>
                  <w:vMerge w:val="continue"/>
                  <w:tcBorders>
                    <w:tl2br w:val="nil"/>
                    <w:tr2bl w:val="nil"/>
                  </w:tcBorders>
                  <w:noWrap w:val="0"/>
                  <w:vAlign w:val="center"/>
                </w:tcPr>
                <w:p w14:paraId="241FF710">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themeColor="text1"/>
                      <w14:textFill>
                        <w14:solidFill>
                          <w14:schemeClr w14:val="tx1"/>
                        </w14:solidFill>
                      </w14:textFill>
                    </w:rPr>
                  </w:pPr>
                </w:p>
              </w:tc>
              <w:tc>
                <w:tcPr>
                  <w:tcW w:w="397" w:type="pct"/>
                  <w:vMerge w:val="continue"/>
                  <w:tcBorders>
                    <w:tl2br w:val="nil"/>
                    <w:tr2bl w:val="nil"/>
                  </w:tcBorders>
                  <w:noWrap w:val="0"/>
                  <w:vAlign w:val="center"/>
                </w:tcPr>
                <w:p w14:paraId="5ED9468C">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themeColor="text1"/>
                      <w14:textFill>
                        <w14:solidFill>
                          <w14:schemeClr w14:val="tx1"/>
                        </w14:solidFill>
                      </w14:textFill>
                    </w:rPr>
                  </w:pPr>
                </w:p>
              </w:tc>
              <w:tc>
                <w:tcPr>
                  <w:tcW w:w="534" w:type="pct"/>
                  <w:tcBorders>
                    <w:tl2br w:val="nil"/>
                    <w:tr2bl w:val="nil"/>
                  </w:tcBorders>
                  <w:noWrap w:val="0"/>
                  <w:vAlign w:val="center"/>
                </w:tcPr>
                <w:p w14:paraId="644A784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污染物治理设施编号</w:t>
                  </w:r>
                </w:p>
              </w:tc>
              <w:tc>
                <w:tcPr>
                  <w:tcW w:w="525" w:type="pct"/>
                  <w:tcBorders>
                    <w:tl2br w:val="nil"/>
                    <w:tr2bl w:val="nil"/>
                  </w:tcBorders>
                  <w:noWrap w:val="0"/>
                  <w:vAlign w:val="center"/>
                </w:tcPr>
                <w:p w14:paraId="1ED60D0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污染治理设施名称</w:t>
                  </w:r>
                </w:p>
              </w:tc>
              <w:tc>
                <w:tcPr>
                  <w:tcW w:w="462" w:type="pct"/>
                  <w:tcBorders>
                    <w:tl2br w:val="nil"/>
                    <w:tr2bl w:val="nil"/>
                  </w:tcBorders>
                  <w:noWrap w:val="0"/>
                  <w:vAlign w:val="center"/>
                </w:tcPr>
                <w:p w14:paraId="7C52937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污染治理设施工艺</w:t>
                  </w:r>
                </w:p>
              </w:tc>
              <w:tc>
                <w:tcPr>
                  <w:tcW w:w="548" w:type="pct"/>
                  <w:vMerge w:val="continue"/>
                  <w:tcBorders>
                    <w:tl2br w:val="nil"/>
                    <w:tr2bl w:val="nil"/>
                  </w:tcBorders>
                  <w:noWrap w:val="0"/>
                  <w:vAlign w:val="center"/>
                </w:tcPr>
                <w:p w14:paraId="5EAD43EB">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themeColor="text1"/>
                      <w14:textFill>
                        <w14:solidFill>
                          <w14:schemeClr w14:val="tx1"/>
                        </w14:solidFill>
                      </w14:textFill>
                    </w:rPr>
                  </w:pPr>
                </w:p>
              </w:tc>
              <w:tc>
                <w:tcPr>
                  <w:tcW w:w="540" w:type="pct"/>
                  <w:vMerge w:val="continue"/>
                  <w:tcBorders>
                    <w:tl2br w:val="nil"/>
                    <w:tr2bl w:val="nil"/>
                  </w:tcBorders>
                  <w:noWrap w:val="0"/>
                  <w:vAlign w:val="center"/>
                </w:tcPr>
                <w:p w14:paraId="75E32343">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themeColor="text1"/>
                      <w14:textFill>
                        <w14:solidFill>
                          <w14:schemeClr w14:val="tx1"/>
                        </w14:solidFill>
                      </w14:textFill>
                    </w:rPr>
                  </w:pPr>
                </w:p>
              </w:tc>
              <w:tc>
                <w:tcPr>
                  <w:tcW w:w="355" w:type="pct"/>
                  <w:vMerge w:val="continue"/>
                  <w:tcBorders>
                    <w:tl2br w:val="nil"/>
                    <w:tr2bl w:val="nil"/>
                  </w:tcBorders>
                  <w:noWrap w:val="0"/>
                  <w:vAlign w:val="center"/>
                </w:tcPr>
                <w:p w14:paraId="2C904577">
                  <w:pPr>
                    <w:keepNext w:val="0"/>
                    <w:keepLines w:val="0"/>
                    <w:widowControl/>
                    <w:suppressLineNumbers w:val="0"/>
                    <w:spacing w:before="0" w:beforeAutospacing="0" w:after="0" w:afterAutospacing="0"/>
                    <w:ind w:left="0" w:right="0"/>
                    <w:jc w:val="left"/>
                    <w:rPr>
                      <w:rFonts w:hint="default" w:ascii="Times New Roman" w:hAnsi="Times New Roman" w:cs="Times New Roman"/>
                      <w:color w:val="000000" w:themeColor="text1"/>
                      <w14:textFill>
                        <w14:solidFill>
                          <w14:schemeClr w14:val="tx1"/>
                        </w14:solidFill>
                      </w14:textFill>
                    </w:rPr>
                  </w:pPr>
                </w:p>
              </w:tc>
            </w:tr>
            <w:tr w14:paraId="05BC9B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265" w:type="pct"/>
                  <w:tcBorders>
                    <w:tl2br w:val="nil"/>
                    <w:tr2bl w:val="nil"/>
                  </w:tcBorders>
                  <w:noWrap w:val="0"/>
                  <w:vAlign w:val="center"/>
                </w:tcPr>
                <w:p w14:paraId="47C4D9C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267" w:type="pct"/>
                  <w:tcBorders>
                    <w:tl2br w:val="nil"/>
                    <w:tr2bl w:val="nil"/>
                  </w:tcBorders>
                  <w:noWrap w:val="0"/>
                  <w:vAlign w:val="center"/>
                </w:tcPr>
                <w:p w14:paraId="30631C2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生活污水</w:t>
                  </w:r>
                </w:p>
              </w:tc>
              <w:tc>
                <w:tcPr>
                  <w:tcW w:w="590" w:type="pct"/>
                  <w:tcBorders>
                    <w:tl2br w:val="nil"/>
                    <w:tr2bl w:val="nil"/>
                  </w:tcBorders>
                  <w:noWrap w:val="0"/>
                  <w:vAlign w:val="center"/>
                </w:tcPr>
                <w:p w14:paraId="3380834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COD、BOD</w:t>
                  </w:r>
                  <w:r>
                    <w:rPr>
                      <w:rFonts w:hint="eastAsia" w:ascii="Times New Roman" w:hAnsi="Times New Roman" w:eastAsia="宋体" w:cs="Times New Roman"/>
                      <w:color w:val="000000" w:themeColor="text1"/>
                      <w:sz w:val="21"/>
                      <w:szCs w:val="21"/>
                      <w:vertAlign w:val="subscript"/>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、氨氮、</w:t>
                  </w:r>
                  <w:r>
                    <w:rPr>
                      <w:rFonts w:hint="eastAsia" w:ascii="Times New Roman" w:hAnsi="Times New Roman" w:cs="Times New Roman"/>
                      <w:color w:val="000000" w:themeColor="text1"/>
                      <w:sz w:val="21"/>
                      <w:szCs w:val="21"/>
                      <w:lang w:val="en-US" w:eastAsia="zh-CN"/>
                      <w14:textFill>
                        <w14:solidFill>
                          <w14:schemeClr w14:val="tx1"/>
                        </w14:solidFill>
                      </w14:textFill>
                    </w:rPr>
                    <w:t>SS、总磷、总氮</w:t>
                  </w:r>
                </w:p>
              </w:tc>
              <w:tc>
                <w:tcPr>
                  <w:tcW w:w="512" w:type="pct"/>
                  <w:tcBorders>
                    <w:tl2br w:val="nil"/>
                    <w:tr2bl w:val="nil"/>
                  </w:tcBorders>
                  <w:noWrap w:val="0"/>
                  <w:vAlign w:val="center"/>
                </w:tcPr>
                <w:p w14:paraId="7EB69DF6">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宝鸡市陈仓区虢镇污水处理厂</w:t>
                  </w:r>
                </w:p>
              </w:tc>
              <w:tc>
                <w:tcPr>
                  <w:tcW w:w="397" w:type="pct"/>
                  <w:tcBorders>
                    <w:tl2br w:val="nil"/>
                    <w:tr2bl w:val="nil"/>
                  </w:tcBorders>
                  <w:noWrap w:val="0"/>
                  <w:vAlign w:val="center"/>
                </w:tcPr>
                <w:p w14:paraId="6EB32D10">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间歇排放</w:t>
                  </w:r>
                </w:p>
              </w:tc>
              <w:tc>
                <w:tcPr>
                  <w:tcW w:w="534" w:type="pct"/>
                  <w:tcBorders>
                    <w:tl2br w:val="nil"/>
                    <w:tr2bl w:val="nil"/>
                  </w:tcBorders>
                  <w:noWrap w:val="0"/>
                  <w:vAlign w:val="center"/>
                </w:tcPr>
                <w:p w14:paraId="223DFCD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TW001</w:t>
                  </w:r>
                </w:p>
              </w:tc>
              <w:tc>
                <w:tcPr>
                  <w:tcW w:w="525" w:type="pct"/>
                  <w:tcBorders>
                    <w:tl2br w:val="nil"/>
                    <w:tr2bl w:val="nil"/>
                  </w:tcBorders>
                  <w:noWrap w:val="0"/>
                  <w:vAlign w:val="center"/>
                </w:tcPr>
                <w:p w14:paraId="474DEDEC">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化粪池</w:t>
                  </w:r>
                </w:p>
              </w:tc>
              <w:tc>
                <w:tcPr>
                  <w:tcW w:w="462" w:type="pct"/>
                  <w:tcBorders>
                    <w:tl2br w:val="nil"/>
                    <w:tr2bl w:val="nil"/>
                  </w:tcBorders>
                  <w:noWrap w:val="0"/>
                  <w:vAlign w:val="center"/>
                </w:tcPr>
                <w:p w14:paraId="2F39366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物理</w:t>
                  </w:r>
                </w:p>
              </w:tc>
              <w:tc>
                <w:tcPr>
                  <w:tcW w:w="548" w:type="pct"/>
                  <w:tcBorders>
                    <w:tl2br w:val="nil"/>
                    <w:tr2bl w:val="nil"/>
                  </w:tcBorders>
                  <w:noWrap w:val="0"/>
                  <w:vAlign w:val="center"/>
                </w:tcPr>
                <w:p w14:paraId="07991175">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DW001</w:t>
                  </w:r>
                </w:p>
              </w:tc>
              <w:tc>
                <w:tcPr>
                  <w:tcW w:w="540" w:type="pct"/>
                  <w:tcBorders>
                    <w:tl2br w:val="nil"/>
                    <w:tr2bl w:val="nil"/>
                  </w:tcBorders>
                  <w:noWrap w:val="0"/>
                  <w:vAlign w:val="center"/>
                </w:tcPr>
                <w:p w14:paraId="67C9C12F">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是</w:t>
                  </w:r>
                </w:p>
              </w:tc>
              <w:tc>
                <w:tcPr>
                  <w:tcW w:w="355" w:type="pct"/>
                  <w:tcBorders>
                    <w:tl2br w:val="nil"/>
                    <w:tr2bl w:val="nil"/>
                  </w:tcBorders>
                  <w:noWrap w:val="0"/>
                  <w:vAlign w:val="center"/>
                </w:tcPr>
                <w:p w14:paraId="03B0A49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污水总排口</w:t>
                  </w:r>
                </w:p>
              </w:tc>
            </w:tr>
          </w:tbl>
          <w:p w14:paraId="58471CE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表4</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w:t>
            </w:r>
            <w:r>
              <w:rPr>
                <w:rFonts w:hint="eastAsia" w:cs="Times New Roman"/>
                <w:b/>
                <w:color w:val="000000" w:themeColor="text1"/>
                <w:sz w:val="21"/>
                <w:szCs w:val="21"/>
                <w:lang w:val="en-US" w:eastAsia="zh-CN"/>
                <w14:textFill>
                  <w14:solidFill>
                    <w14:schemeClr w14:val="tx1"/>
                  </w14:solidFill>
                </w14:textFill>
              </w:rPr>
              <w:t xml:space="preserve">6    </w:t>
            </w:r>
            <w:r>
              <w:rPr>
                <w:rFonts w:hint="default" w:ascii="Times New Roman" w:hAnsi="Times New Roman" w:eastAsia="宋体" w:cs="Times New Roman"/>
                <w:b/>
                <w:color w:val="000000" w:themeColor="text1"/>
                <w:sz w:val="21"/>
                <w:szCs w:val="21"/>
                <w14:textFill>
                  <w14:solidFill>
                    <w14:schemeClr w14:val="tx1"/>
                  </w14:solidFill>
                </w14:textFill>
              </w:rPr>
              <w:t>废水排放口基本情况表</w:t>
            </w:r>
          </w:p>
          <w:tbl>
            <w:tblPr>
              <w:tblStyle w:val="24"/>
              <w:tblW w:w="5000" w:type="pct"/>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881"/>
              <w:gridCol w:w="1214"/>
              <w:gridCol w:w="1109"/>
              <w:gridCol w:w="689"/>
              <w:gridCol w:w="427"/>
              <w:gridCol w:w="427"/>
              <w:gridCol w:w="427"/>
              <w:gridCol w:w="728"/>
              <w:gridCol w:w="1704"/>
            </w:tblGrid>
            <w:tr w14:paraId="4C5964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5" w:type="pct"/>
                  <w:vMerge w:val="restart"/>
                  <w:tcBorders>
                    <w:tl2br w:val="nil"/>
                    <w:tr2bl w:val="nil"/>
                  </w:tcBorders>
                  <w:noWrap w:val="0"/>
                  <w:vAlign w:val="center"/>
                </w:tcPr>
                <w:p w14:paraId="7D48E9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序号</w:t>
                  </w:r>
                </w:p>
              </w:tc>
              <w:tc>
                <w:tcPr>
                  <w:tcW w:w="351" w:type="pct"/>
                  <w:vMerge w:val="restart"/>
                  <w:tcBorders>
                    <w:tl2br w:val="nil"/>
                    <w:tr2bl w:val="nil"/>
                  </w:tcBorders>
                  <w:noWrap w:val="0"/>
                  <w:vAlign w:val="center"/>
                </w:tcPr>
                <w:p w14:paraId="17E0FED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排放口编号</w:t>
                  </w:r>
                </w:p>
              </w:tc>
              <w:tc>
                <w:tcPr>
                  <w:tcW w:w="1179" w:type="pct"/>
                  <w:gridSpan w:val="2"/>
                  <w:tcBorders>
                    <w:tl2br w:val="nil"/>
                    <w:tr2bl w:val="nil"/>
                  </w:tcBorders>
                  <w:noWrap w:val="0"/>
                  <w:vAlign w:val="center"/>
                </w:tcPr>
                <w:p w14:paraId="268B1AD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排放口坐标</w:t>
                  </w:r>
                </w:p>
              </w:tc>
              <w:tc>
                <w:tcPr>
                  <w:tcW w:w="485" w:type="pct"/>
                  <w:vMerge w:val="restart"/>
                  <w:tcBorders>
                    <w:tl2br w:val="nil"/>
                    <w:tr2bl w:val="nil"/>
                  </w:tcBorders>
                  <w:noWrap w:val="0"/>
                  <w:vAlign w:val="center"/>
                </w:tcPr>
                <w:p w14:paraId="14D4692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废水排放量（万t/a）</w:t>
                  </w:r>
                </w:p>
              </w:tc>
              <w:tc>
                <w:tcPr>
                  <w:tcW w:w="272" w:type="pct"/>
                  <w:vMerge w:val="restart"/>
                  <w:tcBorders>
                    <w:tl2br w:val="nil"/>
                    <w:tr2bl w:val="nil"/>
                  </w:tcBorders>
                  <w:noWrap w:val="0"/>
                  <w:vAlign w:val="center"/>
                </w:tcPr>
                <w:p w14:paraId="662B1DE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排放去向</w:t>
                  </w:r>
                </w:p>
              </w:tc>
              <w:tc>
                <w:tcPr>
                  <w:tcW w:w="354" w:type="pct"/>
                  <w:vMerge w:val="restart"/>
                  <w:tcBorders>
                    <w:tl2br w:val="nil"/>
                    <w:tr2bl w:val="nil"/>
                  </w:tcBorders>
                  <w:noWrap w:val="0"/>
                  <w:vAlign w:val="center"/>
                </w:tcPr>
                <w:p w14:paraId="44ADF1D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排放规律</w:t>
                  </w:r>
                </w:p>
              </w:tc>
              <w:tc>
                <w:tcPr>
                  <w:tcW w:w="2091" w:type="pct"/>
                  <w:gridSpan w:val="3"/>
                  <w:tcBorders>
                    <w:tl2br w:val="nil"/>
                    <w:tr2bl w:val="nil"/>
                  </w:tcBorders>
                  <w:noWrap w:val="0"/>
                  <w:vAlign w:val="center"/>
                </w:tcPr>
                <w:p w14:paraId="04AEA4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受纳污水处理厂</w:t>
                  </w:r>
                </w:p>
                <w:p w14:paraId="033285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信息</w:t>
                  </w:r>
                </w:p>
              </w:tc>
            </w:tr>
            <w:tr w14:paraId="078C63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65" w:type="pct"/>
                  <w:vMerge w:val="continue"/>
                  <w:tcBorders>
                    <w:tl2br w:val="nil"/>
                    <w:tr2bl w:val="nil"/>
                  </w:tcBorders>
                  <w:noWrap w:val="0"/>
                  <w:vAlign w:val="center"/>
                </w:tcPr>
                <w:p w14:paraId="3EC78B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b/>
                      <w:bCs/>
                      <w:color w:val="000000" w:themeColor="text1"/>
                      <w14:textFill>
                        <w14:solidFill>
                          <w14:schemeClr w14:val="tx1"/>
                        </w14:solidFill>
                      </w14:textFill>
                    </w:rPr>
                  </w:pPr>
                </w:p>
              </w:tc>
              <w:tc>
                <w:tcPr>
                  <w:tcW w:w="351" w:type="pct"/>
                  <w:vMerge w:val="continue"/>
                  <w:tcBorders>
                    <w:tl2br w:val="nil"/>
                    <w:tr2bl w:val="nil"/>
                  </w:tcBorders>
                  <w:noWrap w:val="0"/>
                  <w:vAlign w:val="center"/>
                </w:tcPr>
                <w:p w14:paraId="52F31C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b/>
                      <w:bCs/>
                      <w:color w:val="000000" w:themeColor="text1"/>
                      <w14:textFill>
                        <w14:solidFill>
                          <w14:schemeClr w14:val="tx1"/>
                        </w14:solidFill>
                      </w14:textFill>
                    </w:rPr>
                  </w:pPr>
                </w:p>
              </w:tc>
              <w:tc>
                <w:tcPr>
                  <w:tcW w:w="539" w:type="pct"/>
                  <w:tcBorders>
                    <w:tl2br w:val="nil"/>
                    <w:tr2bl w:val="nil"/>
                  </w:tcBorders>
                  <w:noWrap w:val="0"/>
                  <w:vAlign w:val="center"/>
                </w:tcPr>
                <w:p w14:paraId="65CE51D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经度</w:t>
                  </w:r>
                </w:p>
              </w:tc>
              <w:tc>
                <w:tcPr>
                  <w:tcW w:w="639" w:type="pct"/>
                  <w:tcBorders>
                    <w:tl2br w:val="nil"/>
                    <w:tr2bl w:val="nil"/>
                  </w:tcBorders>
                  <w:noWrap w:val="0"/>
                  <w:vAlign w:val="center"/>
                </w:tcPr>
                <w:p w14:paraId="1F4E628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纬度</w:t>
                  </w:r>
                </w:p>
              </w:tc>
              <w:tc>
                <w:tcPr>
                  <w:tcW w:w="485" w:type="pct"/>
                  <w:vMerge w:val="continue"/>
                  <w:tcBorders>
                    <w:tl2br w:val="nil"/>
                    <w:tr2bl w:val="nil"/>
                  </w:tcBorders>
                  <w:noWrap w:val="0"/>
                  <w:vAlign w:val="center"/>
                </w:tcPr>
                <w:p w14:paraId="07A8A8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b/>
                      <w:bCs/>
                      <w:color w:val="000000" w:themeColor="text1"/>
                      <w14:textFill>
                        <w14:solidFill>
                          <w14:schemeClr w14:val="tx1"/>
                        </w14:solidFill>
                      </w14:textFill>
                    </w:rPr>
                  </w:pPr>
                </w:p>
              </w:tc>
              <w:tc>
                <w:tcPr>
                  <w:tcW w:w="272" w:type="pct"/>
                  <w:vMerge w:val="continue"/>
                  <w:tcBorders>
                    <w:tl2br w:val="nil"/>
                    <w:tr2bl w:val="nil"/>
                  </w:tcBorders>
                  <w:noWrap w:val="0"/>
                  <w:vAlign w:val="center"/>
                </w:tcPr>
                <w:p w14:paraId="5117F6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b/>
                      <w:bCs/>
                      <w:color w:val="000000" w:themeColor="text1"/>
                      <w14:textFill>
                        <w14:solidFill>
                          <w14:schemeClr w14:val="tx1"/>
                        </w14:solidFill>
                      </w14:textFill>
                    </w:rPr>
                  </w:pPr>
                </w:p>
              </w:tc>
              <w:tc>
                <w:tcPr>
                  <w:tcW w:w="354" w:type="pct"/>
                  <w:vMerge w:val="continue"/>
                  <w:tcBorders>
                    <w:tl2br w:val="nil"/>
                    <w:tr2bl w:val="nil"/>
                  </w:tcBorders>
                  <w:noWrap w:val="0"/>
                  <w:vAlign w:val="center"/>
                </w:tcPr>
                <w:p w14:paraId="66AFDA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b/>
                      <w:bCs/>
                      <w:color w:val="000000" w:themeColor="text1"/>
                      <w14:textFill>
                        <w14:solidFill>
                          <w14:schemeClr w14:val="tx1"/>
                        </w14:solidFill>
                      </w14:textFill>
                    </w:rPr>
                  </w:pPr>
                </w:p>
              </w:tc>
              <w:tc>
                <w:tcPr>
                  <w:tcW w:w="576" w:type="pct"/>
                  <w:tcBorders>
                    <w:tl2br w:val="nil"/>
                    <w:tr2bl w:val="nil"/>
                  </w:tcBorders>
                  <w:noWrap w:val="0"/>
                  <w:vAlign w:val="center"/>
                </w:tcPr>
                <w:p w14:paraId="33A79CD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名称</w:t>
                  </w:r>
                </w:p>
              </w:tc>
              <w:tc>
                <w:tcPr>
                  <w:tcW w:w="453" w:type="pct"/>
                  <w:tcBorders>
                    <w:tl2br w:val="nil"/>
                    <w:tr2bl w:val="nil"/>
                  </w:tcBorders>
                  <w:noWrap w:val="0"/>
                  <w:vAlign w:val="center"/>
                </w:tcPr>
                <w:p w14:paraId="57FCB06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污染物</w:t>
                  </w:r>
                </w:p>
              </w:tc>
              <w:tc>
                <w:tcPr>
                  <w:tcW w:w="1061" w:type="pct"/>
                  <w:tcBorders>
                    <w:tl2br w:val="nil"/>
                    <w:tr2bl w:val="nil"/>
                  </w:tcBorders>
                  <w:noWrap w:val="0"/>
                  <w:vAlign w:val="center"/>
                </w:tcPr>
                <w:p w14:paraId="07DE9F6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国家或地方污染物排放浓度限值</w:t>
                  </w:r>
                </w:p>
              </w:tc>
            </w:tr>
            <w:tr w14:paraId="2F5668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265" w:type="pct"/>
                  <w:vMerge w:val="restart"/>
                  <w:tcBorders>
                    <w:tl2br w:val="nil"/>
                    <w:tr2bl w:val="nil"/>
                  </w:tcBorders>
                  <w:noWrap w:val="0"/>
                  <w:vAlign w:val="center"/>
                </w:tcPr>
                <w:p w14:paraId="25EC1FC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p>
              </w:tc>
              <w:tc>
                <w:tcPr>
                  <w:tcW w:w="351" w:type="pct"/>
                  <w:vMerge w:val="restart"/>
                  <w:tcBorders>
                    <w:tl2br w:val="nil"/>
                    <w:tr2bl w:val="nil"/>
                  </w:tcBorders>
                  <w:noWrap w:val="0"/>
                  <w:vAlign w:val="center"/>
                </w:tcPr>
                <w:p w14:paraId="55FC287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DW001</w:t>
                  </w:r>
                </w:p>
              </w:tc>
              <w:tc>
                <w:tcPr>
                  <w:tcW w:w="539" w:type="pct"/>
                  <w:vMerge w:val="restart"/>
                  <w:tcBorders>
                    <w:tl2br w:val="nil"/>
                    <w:tr2bl w:val="nil"/>
                  </w:tcBorders>
                  <w:noWrap w:val="0"/>
                  <w:vAlign w:val="center"/>
                </w:tcPr>
                <w:p w14:paraId="4236804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107.</w:t>
                  </w:r>
                  <w:r>
                    <w:rPr>
                      <w:rFonts w:hint="eastAsia" w:ascii="Times New Roman" w:hAnsi="Times New Roman" w:cs="Times New Roman"/>
                      <w:color w:val="000000" w:themeColor="text1"/>
                      <w:lang w:val="en-US" w:eastAsia="zh-CN"/>
                      <w14:textFill>
                        <w14:solidFill>
                          <w14:schemeClr w14:val="tx1"/>
                        </w14:solidFill>
                      </w14:textFill>
                    </w:rPr>
                    <w:t>262058</w:t>
                  </w:r>
                </w:p>
              </w:tc>
              <w:tc>
                <w:tcPr>
                  <w:tcW w:w="639" w:type="pct"/>
                  <w:vMerge w:val="restart"/>
                  <w:tcBorders>
                    <w:tl2br w:val="nil"/>
                    <w:tr2bl w:val="nil"/>
                  </w:tcBorders>
                  <w:noWrap w:val="0"/>
                  <w:vAlign w:val="center"/>
                </w:tcPr>
                <w:p w14:paraId="7376F67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34.</w:t>
                  </w:r>
                  <w:r>
                    <w:rPr>
                      <w:rFonts w:hint="eastAsia" w:ascii="Times New Roman" w:hAnsi="Times New Roman" w:cs="Times New Roman"/>
                      <w:color w:val="000000" w:themeColor="text1"/>
                      <w:lang w:val="en-US" w:eastAsia="zh-CN"/>
                      <w14:textFill>
                        <w14:solidFill>
                          <w14:schemeClr w14:val="tx1"/>
                        </w14:solidFill>
                      </w14:textFill>
                    </w:rPr>
                    <w:t>305677</w:t>
                  </w:r>
                </w:p>
              </w:tc>
              <w:tc>
                <w:tcPr>
                  <w:tcW w:w="485" w:type="pct"/>
                  <w:vMerge w:val="restart"/>
                  <w:tcBorders>
                    <w:tl2br w:val="nil"/>
                    <w:tr2bl w:val="nil"/>
                  </w:tcBorders>
                  <w:noWrap w:val="0"/>
                  <w:vAlign w:val="center"/>
                </w:tcPr>
                <w:p w14:paraId="643BB96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0.053</w:t>
                  </w:r>
                </w:p>
              </w:tc>
              <w:tc>
                <w:tcPr>
                  <w:tcW w:w="272" w:type="pct"/>
                  <w:vMerge w:val="restart"/>
                  <w:tcBorders>
                    <w:tl2br w:val="nil"/>
                    <w:tr2bl w:val="nil"/>
                  </w:tcBorders>
                  <w:noWrap w:val="0"/>
                  <w:vAlign w:val="center"/>
                </w:tcPr>
                <w:p w14:paraId="0F20FE6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lang w:val="en-US"/>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市政污水管网</w:t>
                  </w:r>
                </w:p>
              </w:tc>
              <w:tc>
                <w:tcPr>
                  <w:tcW w:w="354" w:type="pct"/>
                  <w:vMerge w:val="restart"/>
                  <w:tcBorders>
                    <w:tl2br w:val="nil"/>
                    <w:tr2bl w:val="nil"/>
                  </w:tcBorders>
                  <w:noWrap w:val="0"/>
                  <w:vAlign w:val="center"/>
                </w:tcPr>
                <w:p w14:paraId="507160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间歇排放</w:t>
                  </w:r>
                </w:p>
              </w:tc>
              <w:tc>
                <w:tcPr>
                  <w:tcW w:w="576" w:type="pct"/>
                  <w:vMerge w:val="restart"/>
                  <w:tcBorders>
                    <w:tl2br w:val="nil"/>
                    <w:tr2bl w:val="nil"/>
                  </w:tcBorders>
                  <w:noWrap w:val="0"/>
                  <w:vAlign w:val="center"/>
                </w:tcPr>
                <w:p w14:paraId="33A6244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宝鸡市陈仓区虢镇污水处理厂</w:t>
                  </w:r>
                </w:p>
              </w:tc>
              <w:tc>
                <w:tcPr>
                  <w:tcW w:w="453" w:type="pct"/>
                  <w:tcBorders>
                    <w:tl2br w:val="nil"/>
                    <w:tr2bl w:val="nil"/>
                  </w:tcBorders>
                  <w:noWrap w:val="0"/>
                  <w:vAlign w:val="center"/>
                </w:tcPr>
                <w:p w14:paraId="230C28D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pH</w:t>
                  </w:r>
                </w:p>
              </w:tc>
              <w:tc>
                <w:tcPr>
                  <w:tcW w:w="1061" w:type="pct"/>
                  <w:tcBorders>
                    <w:tl2br w:val="nil"/>
                    <w:tr2bl w:val="nil"/>
                  </w:tcBorders>
                  <w:noWrap w:val="0"/>
                  <w:vAlign w:val="center"/>
                </w:tcPr>
                <w:p w14:paraId="2081F06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6—9</w:t>
                  </w:r>
                </w:p>
              </w:tc>
            </w:tr>
            <w:tr w14:paraId="566D2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265" w:type="pct"/>
                  <w:vMerge w:val="continue"/>
                  <w:tcBorders>
                    <w:tl2br w:val="nil"/>
                    <w:tr2bl w:val="nil"/>
                  </w:tcBorders>
                  <w:noWrap w:val="0"/>
                  <w:vAlign w:val="center"/>
                </w:tcPr>
                <w:p w14:paraId="47F05F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p>
              </w:tc>
              <w:tc>
                <w:tcPr>
                  <w:tcW w:w="351" w:type="pct"/>
                  <w:vMerge w:val="continue"/>
                  <w:tcBorders>
                    <w:tl2br w:val="nil"/>
                    <w:tr2bl w:val="nil"/>
                  </w:tcBorders>
                  <w:noWrap w:val="0"/>
                  <w:vAlign w:val="center"/>
                </w:tcPr>
                <w:p w14:paraId="63537BC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p>
              </w:tc>
              <w:tc>
                <w:tcPr>
                  <w:tcW w:w="539" w:type="pct"/>
                  <w:vMerge w:val="continue"/>
                  <w:tcBorders>
                    <w:tl2br w:val="nil"/>
                    <w:tr2bl w:val="nil"/>
                  </w:tcBorders>
                  <w:noWrap w:val="0"/>
                  <w:vAlign w:val="center"/>
                </w:tcPr>
                <w:p w14:paraId="6C59C2D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p>
              </w:tc>
              <w:tc>
                <w:tcPr>
                  <w:tcW w:w="639" w:type="pct"/>
                  <w:vMerge w:val="continue"/>
                  <w:tcBorders>
                    <w:tl2br w:val="nil"/>
                    <w:tr2bl w:val="nil"/>
                  </w:tcBorders>
                  <w:noWrap w:val="0"/>
                  <w:vAlign w:val="center"/>
                </w:tcPr>
                <w:p w14:paraId="78E8AD6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p>
              </w:tc>
              <w:tc>
                <w:tcPr>
                  <w:tcW w:w="485" w:type="pct"/>
                  <w:vMerge w:val="continue"/>
                  <w:tcBorders>
                    <w:tl2br w:val="nil"/>
                    <w:tr2bl w:val="nil"/>
                  </w:tcBorders>
                  <w:noWrap w:val="0"/>
                  <w:vAlign w:val="center"/>
                </w:tcPr>
                <w:p w14:paraId="0E5008E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cs="Times New Roman"/>
                      <w:color w:val="000000" w:themeColor="text1"/>
                      <w:lang w:val="en-US" w:eastAsia="zh-CN"/>
                      <w14:textFill>
                        <w14:solidFill>
                          <w14:schemeClr w14:val="tx1"/>
                        </w14:solidFill>
                      </w14:textFill>
                    </w:rPr>
                  </w:pPr>
                </w:p>
              </w:tc>
              <w:tc>
                <w:tcPr>
                  <w:tcW w:w="272" w:type="pct"/>
                  <w:vMerge w:val="continue"/>
                  <w:tcBorders>
                    <w:tl2br w:val="nil"/>
                    <w:tr2bl w:val="nil"/>
                  </w:tcBorders>
                  <w:noWrap w:val="0"/>
                  <w:vAlign w:val="center"/>
                </w:tcPr>
                <w:p w14:paraId="259822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cs="Times New Roman"/>
                      <w:color w:val="000000" w:themeColor="text1"/>
                      <w:lang w:val="en-US" w:eastAsia="zh-CN"/>
                      <w14:textFill>
                        <w14:solidFill>
                          <w14:schemeClr w14:val="tx1"/>
                        </w14:solidFill>
                      </w14:textFill>
                    </w:rPr>
                  </w:pPr>
                </w:p>
              </w:tc>
              <w:tc>
                <w:tcPr>
                  <w:tcW w:w="354" w:type="pct"/>
                  <w:vMerge w:val="continue"/>
                  <w:tcBorders>
                    <w:tl2br w:val="nil"/>
                    <w:tr2bl w:val="nil"/>
                  </w:tcBorders>
                  <w:noWrap w:val="0"/>
                  <w:vAlign w:val="center"/>
                </w:tcPr>
                <w:p w14:paraId="535C58E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p>
              </w:tc>
              <w:tc>
                <w:tcPr>
                  <w:tcW w:w="576" w:type="pct"/>
                  <w:vMerge w:val="continue"/>
                  <w:tcBorders>
                    <w:tl2br w:val="nil"/>
                    <w:tr2bl w:val="nil"/>
                  </w:tcBorders>
                  <w:noWrap w:val="0"/>
                  <w:vAlign w:val="center"/>
                </w:tcPr>
                <w:p w14:paraId="66E5718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cs="Times New Roman"/>
                      <w:color w:val="000000" w:themeColor="text1"/>
                      <w:lang w:val="en-US" w:eastAsia="zh-CN"/>
                      <w14:textFill>
                        <w14:solidFill>
                          <w14:schemeClr w14:val="tx1"/>
                        </w14:solidFill>
                      </w14:textFill>
                    </w:rPr>
                  </w:pPr>
                </w:p>
              </w:tc>
              <w:tc>
                <w:tcPr>
                  <w:tcW w:w="453" w:type="pct"/>
                  <w:tcBorders>
                    <w:tl2br w:val="nil"/>
                    <w:tr2bl w:val="nil"/>
                  </w:tcBorders>
                  <w:noWrap w:val="0"/>
                  <w:vAlign w:val="center"/>
                </w:tcPr>
                <w:p w14:paraId="72215CA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COD</w:t>
                  </w:r>
                </w:p>
              </w:tc>
              <w:tc>
                <w:tcPr>
                  <w:tcW w:w="1061" w:type="pct"/>
                  <w:tcBorders>
                    <w:tl2br w:val="nil"/>
                    <w:tr2bl w:val="nil"/>
                  </w:tcBorders>
                  <w:noWrap w:val="0"/>
                  <w:vAlign w:val="center"/>
                </w:tcPr>
                <w:p w14:paraId="58415F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30</w:t>
                  </w:r>
                  <w:r>
                    <w:rPr>
                      <w:rFonts w:hint="default" w:ascii="Times New Roman" w:hAnsi="Times New Roman" w:cs="Times New Roman"/>
                      <w:color w:val="000000" w:themeColor="text1"/>
                      <w14:textFill>
                        <w14:solidFill>
                          <w14:schemeClr w14:val="tx1"/>
                        </w14:solidFill>
                      </w14:textFill>
                    </w:rPr>
                    <w:t>mg/L</w:t>
                  </w:r>
                </w:p>
              </w:tc>
            </w:tr>
            <w:tr w14:paraId="2E00B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5" w:type="pct"/>
                  <w:vMerge w:val="continue"/>
                  <w:tcBorders>
                    <w:tl2br w:val="nil"/>
                    <w:tr2bl w:val="nil"/>
                  </w:tcBorders>
                  <w:noWrap w:val="0"/>
                  <w:vAlign w:val="center"/>
                </w:tcPr>
                <w:p w14:paraId="6DB1168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351" w:type="pct"/>
                  <w:vMerge w:val="continue"/>
                  <w:tcBorders>
                    <w:tl2br w:val="nil"/>
                    <w:tr2bl w:val="nil"/>
                  </w:tcBorders>
                  <w:noWrap w:val="0"/>
                  <w:vAlign w:val="center"/>
                </w:tcPr>
                <w:p w14:paraId="60D44C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539" w:type="pct"/>
                  <w:vMerge w:val="continue"/>
                  <w:tcBorders>
                    <w:tl2br w:val="nil"/>
                    <w:tr2bl w:val="nil"/>
                  </w:tcBorders>
                  <w:noWrap w:val="0"/>
                  <w:vAlign w:val="center"/>
                </w:tcPr>
                <w:p w14:paraId="3AF8F4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639" w:type="pct"/>
                  <w:vMerge w:val="continue"/>
                  <w:tcBorders>
                    <w:tl2br w:val="nil"/>
                    <w:tr2bl w:val="nil"/>
                  </w:tcBorders>
                  <w:noWrap w:val="0"/>
                  <w:vAlign w:val="center"/>
                </w:tcPr>
                <w:p w14:paraId="67311A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485" w:type="pct"/>
                  <w:vMerge w:val="continue"/>
                  <w:tcBorders>
                    <w:tl2br w:val="nil"/>
                    <w:tr2bl w:val="nil"/>
                  </w:tcBorders>
                  <w:noWrap w:val="0"/>
                  <w:vAlign w:val="center"/>
                </w:tcPr>
                <w:p w14:paraId="4C6C22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272" w:type="pct"/>
                  <w:vMerge w:val="continue"/>
                  <w:tcBorders>
                    <w:tl2br w:val="nil"/>
                    <w:tr2bl w:val="nil"/>
                  </w:tcBorders>
                  <w:noWrap w:val="0"/>
                  <w:vAlign w:val="center"/>
                </w:tcPr>
                <w:p w14:paraId="042701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354" w:type="pct"/>
                  <w:vMerge w:val="continue"/>
                  <w:tcBorders>
                    <w:tl2br w:val="nil"/>
                    <w:tr2bl w:val="nil"/>
                  </w:tcBorders>
                  <w:noWrap w:val="0"/>
                  <w:vAlign w:val="center"/>
                </w:tcPr>
                <w:p w14:paraId="280E15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576" w:type="pct"/>
                  <w:vMerge w:val="continue"/>
                  <w:tcBorders>
                    <w:tl2br w:val="nil"/>
                    <w:tr2bl w:val="nil"/>
                  </w:tcBorders>
                  <w:noWrap w:val="0"/>
                  <w:vAlign w:val="center"/>
                </w:tcPr>
                <w:p w14:paraId="072C64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453" w:type="pct"/>
                  <w:tcBorders>
                    <w:tl2br w:val="nil"/>
                    <w:tr2bl w:val="nil"/>
                  </w:tcBorders>
                  <w:noWrap w:val="0"/>
                  <w:vAlign w:val="center"/>
                </w:tcPr>
                <w:p w14:paraId="1052B99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BOD</w:t>
                  </w:r>
                  <w:r>
                    <w:rPr>
                      <w:rFonts w:hint="default" w:ascii="Times New Roman" w:hAnsi="Times New Roman" w:cs="Times New Roman"/>
                      <w:color w:val="000000" w:themeColor="text1"/>
                      <w:vertAlign w:val="subscript"/>
                      <w14:textFill>
                        <w14:solidFill>
                          <w14:schemeClr w14:val="tx1"/>
                        </w14:solidFill>
                      </w14:textFill>
                    </w:rPr>
                    <w:t>5</w:t>
                  </w:r>
                </w:p>
              </w:tc>
              <w:tc>
                <w:tcPr>
                  <w:tcW w:w="1061" w:type="pct"/>
                  <w:tcBorders>
                    <w:tl2br w:val="nil"/>
                    <w:tr2bl w:val="nil"/>
                  </w:tcBorders>
                  <w:noWrap w:val="0"/>
                  <w:vAlign w:val="center"/>
                </w:tcPr>
                <w:p w14:paraId="04CF154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6</w:t>
                  </w:r>
                  <w:r>
                    <w:rPr>
                      <w:rFonts w:hint="default" w:ascii="Times New Roman" w:hAnsi="Times New Roman" w:cs="Times New Roman"/>
                      <w:color w:val="000000" w:themeColor="text1"/>
                      <w14:textFill>
                        <w14:solidFill>
                          <w14:schemeClr w14:val="tx1"/>
                        </w14:solidFill>
                      </w14:textFill>
                    </w:rPr>
                    <w:t>mg/L</w:t>
                  </w:r>
                </w:p>
              </w:tc>
            </w:tr>
            <w:tr w14:paraId="2FADDF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65" w:type="pct"/>
                  <w:vMerge w:val="continue"/>
                  <w:tcBorders>
                    <w:tl2br w:val="nil"/>
                    <w:tr2bl w:val="nil"/>
                  </w:tcBorders>
                  <w:noWrap w:val="0"/>
                  <w:vAlign w:val="center"/>
                </w:tcPr>
                <w:p w14:paraId="7584322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351" w:type="pct"/>
                  <w:vMerge w:val="continue"/>
                  <w:tcBorders>
                    <w:tl2br w:val="nil"/>
                    <w:tr2bl w:val="nil"/>
                  </w:tcBorders>
                  <w:noWrap w:val="0"/>
                  <w:vAlign w:val="center"/>
                </w:tcPr>
                <w:p w14:paraId="4BE3D5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539" w:type="pct"/>
                  <w:vMerge w:val="continue"/>
                  <w:tcBorders>
                    <w:tl2br w:val="nil"/>
                    <w:tr2bl w:val="nil"/>
                  </w:tcBorders>
                  <w:noWrap w:val="0"/>
                  <w:vAlign w:val="center"/>
                </w:tcPr>
                <w:p w14:paraId="54C03E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639" w:type="pct"/>
                  <w:vMerge w:val="continue"/>
                  <w:tcBorders>
                    <w:tl2br w:val="nil"/>
                    <w:tr2bl w:val="nil"/>
                  </w:tcBorders>
                  <w:noWrap w:val="0"/>
                  <w:vAlign w:val="center"/>
                </w:tcPr>
                <w:p w14:paraId="7E253D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485" w:type="pct"/>
                  <w:vMerge w:val="continue"/>
                  <w:tcBorders>
                    <w:tl2br w:val="nil"/>
                    <w:tr2bl w:val="nil"/>
                  </w:tcBorders>
                  <w:noWrap w:val="0"/>
                  <w:vAlign w:val="center"/>
                </w:tcPr>
                <w:p w14:paraId="470F70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272" w:type="pct"/>
                  <w:vMerge w:val="continue"/>
                  <w:tcBorders>
                    <w:tl2br w:val="nil"/>
                    <w:tr2bl w:val="nil"/>
                  </w:tcBorders>
                  <w:noWrap w:val="0"/>
                  <w:vAlign w:val="center"/>
                </w:tcPr>
                <w:p w14:paraId="0C176D2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354" w:type="pct"/>
                  <w:vMerge w:val="continue"/>
                  <w:tcBorders>
                    <w:tl2br w:val="nil"/>
                    <w:tr2bl w:val="nil"/>
                  </w:tcBorders>
                  <w:noWrap w:val="0"/>
                  <w:vAlign w:val="center"/>
                </w:tcPr>
                <w:p w14:paraId="750405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576" w:type="pct"/>
                  <w:vMerge w:val="continue"/>
                  <w:tcBorders>
                    <w:tl2br w:val="nil"/>
                    <w:tr2bl w:val="nil"/>
                  </w:tcBorders>
                  <w:noWrap w:val="0"/>
                  <w:vAlign w:val="center"/>
                </w:tcPr>
                <w:p w14:paraId="6270580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453" w:type="pct"/>
                  <w:tcBorders>
                    <w:tl2br w:val="nil"/>
                    <w:tr2bl w:val="nil"/>
                  </w:tcBorders>
                  <w:noWrap w:val="0"/>
                  <w:vAlign w:val="center"/>
                </w:tcPr>
                <w:p w14:paraId="4032AEB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SS</w:t>
                  </w:r>
                </w:p>
              </w:tc>
              <w:tc>
                <w:tcPr>
                  <w:tcW w:w="1061" w:type="pct"/>
                  <w:tcBorders>
                    <w:tl2br w:val="nil"/>
                    <w:tr2bl w:val="nil"/>
                  </w:tcBorders>
                  <w:noWrap w:val="0"/>
                  <w:vAlign w:val="center"/>
                </w:tcPr>
                <w:p w14:paraId="0366BF2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10mg/L</w:t>
                  </w:r>
                </w:p>
              </w:tc>
            </w:tr>
            <w:tr w14:paraId="52ED80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265" w:type="pct"/>
                  <w:vMerge w:val="continue"/>
                  <w:tcBorders>
                    <w:tl2br w:val="nil"/>
                    <w:tr2bl w:val="nil"/>
                  </w:tcBorders>
                  <w:noWrap w:val="0"/>
                  <w:vAlign w:val="center"/>
                </w:tcPr>
                <w:p w14:paraId="279DE3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351" w:type="pct"/>
                  <w:vMerge w:val="continue"/>
                  <w:tcBorders>
                    <w:tl2br w:val="nil"/>
                    <w:tr2bl w:val="nil"/>
                  </w:tcBorders>
                  <w:noWrap w:val="0"/>
                  <w:vAlign w:val="center"/>
                </w:tcPr>
                <w:p w14:paraId="475797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539" w:type="pct"/>
                  <w:vMerge w:val="continue"/>
                  <w:tcBorders>
                    <w:tl2br w:val="nil"/>
                    <w:tr2bl w:val="nil"/>
                  </w:tcBorders>
                  <w:noWrap w:val="0"/>
                  <w:vAlign w:val="center"/>
                </w:tcPr>
                <w:p w14:paraId="167778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639" w:type="pct"/>
                  <w:vMerge w:val="continue"/>
                  <w:tcBorders>
                    <w:tl2br w:val="nil"/>
                    <w:tr2bl w:val="nil"/>
                  </w:tcBorders>
                  <w:noWrap w:val="0"/>
                  <w:vAlign w:val="center"/>
                </w:tcPr>
                <w:p w14:paraId="3A7BB6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485" w:type="pct"/>
                  <w:vMerge w:val="continue"/>
                  <w:tcBorders>
                    <w:tl2br w:val="nil"/>
                    <w:tr2bl w:val="nil"/>
                  </w:tcBorders>
                  <w:noWrap w:val="0"/>
                  <w:vAlign w:val="center"/>
                </w:tcPr>
                <w:p w14:paraId="61FCE7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272" w:type="pct"/>
                  <w:vMerge w:val="continue"/>
                  <w:tcBorders>
                    <w:tl2br w:val="nil"/>
                    <w:tr2bl w:val="nil"/>
                  </w:tcBorders>
                  <w:noWrap w:val="0"/>
                  <w:vAlign w:val="center"/>
                </w:tcPr>
                <w:p w14:paraId="53C057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354" w:type="pct"/>
                  <w:vMerge w:val="continue"/>
                  <w:tcBorders>
                    <w:tl2br w:val="nil"/>
                    <w:tr2bl w:val="nil"/>
                  </w:tcBorders>
                  <w:noWrap w:val="0"/>
                  <w:vAlign w:val="center"/>
                </w:tcPr>
                <w:p w14:paraId="59F001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576" w:type="pct"/>
                  <w:vMerge w:val="continue"/>
                  <w:tcBorders>
                    <w:tl2br w:val="nil"/>
                    <w:tr2bl w:val="nil"/>
                  </w:tcBorders>
                  <w:noWrap w:val="0"/>
                  <w:vAlign w:val="center"/>
                </w:tcPr>
                <w:p w14:paraId="532C25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453" w:type="pct"/>
                  <w:tcBorders>
                    <w:tl2br w:val="nil"/>
                    <w:tr2bl w:val="nil"/>
                  </w:tcBorders>
                  <w:noWrap w:val="0"/>
                  <w:vAlign w:val="center"/>
                </w:tcPr>
                <w:p w14:paraId="60BB350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总磷</w:t>
                  </w:r>
                </w:p>
              </w:tc>
              <w:tc>
                <w:tcPr>
                  <w:tcW w:w="1061" w:type="pct"/>
                  <w:tcBorders>
                    <w:tl2br w:val="nil"/>
                    <w:tr2bl w:val="nil"/>
                  </w:tcBorders>
                  <w:noWrap w:val="0"/>
                  <w:vAlign w:val="center"/>
                </w:tcPr>
                <w:p w14:paraId="39272CE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0.3</w:t>
                  </w:r>
                  <w:r>
                    <w:rPr>
                      <w:rFonts w:hint="default" w:ascii="Times New Roman" w:hAnsi="Times New Roman" w:cs="Times New Roman"/>
                      <w:color w:val="000000" w:themeColor="text1"/>
                      <w14:textFill>
                        <w14:solidFill>
                          <w14:schemeClr w14:val="tx1"/>
                        </w14:solidFill>
                      </w14:textFill>
                    </w:rPr>
                    <w:t>mg/L</w:t>
                  </w:r>
                </w:p>
              </w:tc>
            </w:tr>
            <w:tr w14:paraId="4B2BEF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265" w:type="pct"/>
                  <w:vMerge w:val="continue"/>
                  <w:tcBorders>
                    <w:tl2br w:val="nil"/>
                    <w:tr2bl w:val="nil"/>
                  </w:tcBorders>
                  <w:noWrap w:val="0"/>
                  <w:vAlign w:val="center"/>
                </w:tcPr>
                <w:p w14:paraId="2BCF32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351" w:type="pct"/>
                  <w:vMerge w:val="continue"/>
                  <w:tcBorders>
                    <w:tl2br w:val="nil"/>
                    <w:tr2bl w:val="nil"/>
                  </w:tcBorders>
                  <w:noWrap w:val="0"/>
                  <w:vAlign w:val="center"/>
                </w:tcPr>
                <w:p w14:paraId="67C7E0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539" w:type="pct"/>
                  <w:vMerge w:val="continue"/>
                  <w:tcBorders>
                    <w:tl2br w:val="nil"/>
                    <w:tr2bl w:val="nil"/>
                  </w:tcBorders>
                  <w:noWrap w:val="0"/>
                  <w:vAlign w:val="center"/>
                </w:tcPr>
                <w:p w14:paraId="0E42C7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639" w:type="pct"/>
                  <w:vMerge w:val="continue"/>
                  <w:tcBorders>
                    <w:tl2br w:val="nil"/>
                    <w:tr2bl w:val="nil"/>
                  </w:tcBorders>
                  <w:noWrap w:val="0"/>
                  <w:vAlign w:val="center"/>
                </w:tcPr>
                <w:p w14:paraId="63FB0A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485" w:type="pct"/>
                  <w:vMerge w:val="continue"/>
                  <w:tcBorders>
                    <w:tl2br w:val="nil"/>
                    <w:tr2bl w:val="nil"/>
                  </w:tcBorders>
                  <w:noWrap w:val="0"/>
                  <w:vAlign w:val="center"/>
                </w:tcPr>
                <w:p w14:paraId="044DE3D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272" w:type="pct"/>
                  <w:vMerge w:val="continue"/>
                  <w:tcBorders>
                    <w:tl2br w:val="nil"/>
                    <w:tr2bl w:val="nil"/>
                  </w:tcBorders>
                  <w:noWrap w:val="0"/>
                  <w:vAlign w:val="center"/>
                </w:tcPr>
                <w:p w14:paraId="2BF6DD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354" w:type="pct"/>
                  <w:vMerge w:val="continue"/>
                  <w:tcBorders>
                    <w:tl2br w:val="nil"/>
                    <w:tr2bl w:val="nil"/>
                  </w:tcBorders>
                  <w:noWrap w:val="0"/>
                  <w:vAlign w:val="center"/>
                </w:tcPr>
                <w:p w14:paraId="072B15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576" w:type="pct"/>
                  <w:vMerge w:val="continue"/>
                  <w:tcBorders>
                    <w:tl2br w:val="nil"/>
                    <w:tr2bl w:val="nil"/>
                  </w:tcBorders>
                  <w:noWrap w:val="0"/>
                  <w:vAlign w:val="center"/>
                </w:tcPr>
                <w:p w14:paraId="4A8C8B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453" w:type="pct"/>
                  <w:tcBorders>
                    <w:tl2br w:val="nil"/>
                    <w:tr2bl w:val="nil"/>
                  </w:tcBorders>
                  <w:noWrap w:val="0"/>
                  <w:vAlign w:val="center"/>
                </w:tcPr>
                <w:p w14:paraId="0B0ECF3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氨氮</w:t>
                  </w:r>
                </w:p>
              </w:tc>
              <w:tc>
                <w:tcPr>
                  <w:tcW w:w="1061" w:type="pct"/>
                  <w:tcBorders>
                    <w:tl2br w:val="nil"/>
                    <w:tr2bl w:val="nil"/>
                  </w:tcBorders>
                  <w:noWrap w:val="0"/>
                  <w:vAlign w:val="center"/>
                </w:tcPr>
                <w:p w14:paraId="3B3448F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1.5</w:t>
                  </w:r>
                  <w:r>
                    <w:rPr>
                      <w:rFonts w:hint="default" w:ascii="Times New Roman" w:hAnsi="Times New Roman" w:cs="Times New Roman"/>
                      <w:color w:val="000000" w:themeColor="text1"/>
                      <w14:textFill>
                        <w14:solidFill>
                          <w14:schemeClr w14:val="tx1"/>
                        </w14:solidFill>
                      </w14:textFill>
                    </w:rPr>
                    <w:t>mg/L</w:t>
                  </w:r>
                  <w:r>
                    <w:rPr>
                      <w:rFonts w:hint="eastAsia"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mg/L</w:t>
                  </w:r>
                </w:p>
              </w:tc>
            </w:tr>
            <w:tr w14:paraId="7C3658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265" w:type="pct"/>
                  <w:vMerge w:val="continue"/>
                  <w:tcBorders>
                    <w:tl2br w:val="nil"/>
                    <w:tr2bl w:val="nil"/>
                  </w:tcBorders>
                  <w:noWrap w:val="0"/>
                  <w:vAlign w:val="center"/>
                </w:tcPr>
                <w:p w14:paraId="301983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351" w:type="pct"/>
                  <w:vMerge w:val="continue"/>
                  <w:tcBorders>
                    <w:tl2br w:val="nil"/>
                    <w:tr2bl w:val="nil"/>
                  </w:tcBorders>
                  <w:noWrap w:val="0"/>
                  <w:vAlign w:val="center"/>
                </w:tcPr>
                <w:p w14:paraId="2B08CD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539" w:type="pct"/>
                  <w:vMerge w:val="continue"/>
                  <w:tcBorders>
                    <w:tl2br w:val="nil"/>
                    <w:tr2bl w:val="nil"/>
                  </w:tcBorders>
                  <w:noWrap w:val="0"/>
                  <w:vAlign w:val="center"/>
                </w:tcPr>
                <w:p w14:paraId="7758D6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639" w:type="pct"/>
                  <w:vMerge w:val="continue"/>
                  <w:tcBorders>
                    <w:tl2br w:val="nil"/>
                    <w:tr2bl w:val="nil"/>
                  </w:tcBorders>
                  <w:noWrap w:val="0"/>
                  <w:vAlign w:val="center"/>
                </w:tcPr>
                <w:p w14:paraId="097C16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485" w:type="pct"/>
                  <w:vMerge w:val="continue"/>
                  <w:tcBorders>
                    <w:tl2br w:val="nil"/>
                    <w:tr2bl w:val="nil"/>
                  </w:tcBorders>
                  <w:noWrap w:val="0"/>
                  <w:vAlign w:val="center"/>
                </w:tcPr>
                <w:p w14:paraId="032C7F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272" w:type="pct"/>
                  <w:vMerge w:val="continue"/>
                  <w:tcBorders>
                    <w:tl2br w:val="nil"/>
                    <w:tr2bl w:val="nil"/>
                  </w:tcBorders>
                  <w:noWrap w:val="0"/>
                  <w:vAlign w:val="center"/>
                </w:tcPr>
                <w:p w14:paraId="373ABC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354" w:type="pct"/>
                  <w:vMerge w:val="continue"/>
                  <w:tcBorders>
                    <w:tl2br w:val="nil"/>
                    <w:tr2bl w:val="nil"/>
                  </w:tcBorders>
                  <w:noWrap w:val="0"/>
                  <w:vAlign w:val="center"/>
                </w:tcPr>
                <w:p w14:paraId="47122B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576" w:type="pct"/>
                  <w:vMerge w:val="continue"/>
                  <w:tcBorders>
                    <w:tl2br w:val="nil"/>
                    <w:tr2bl w:val="nil"/>
                  </w:tcBorders>
                  <w:noWrap w:val="0"/>
                  <w:vAlign w:val="center"/>
                </w:tcPr>
                <w:p w14:paraId="388EE7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000000" w:themeColor="text1"/>
                      <w14:textFill>
                        <w14:solidFill>
                          <w14:schemeClr w14:val="tx1"/>
                        </w14:solidFill>
                      </w14:textFill>
                    </w:rPr>
                  </w:pPr>
                </w:p>
              </w:tc>
              <w:tc>
                <w:tcPr>
                  <w:tcW w:w="453" w:type="pct"/>
                  <w:tcBorders>
                    <w:tl2br w:val="nil"/>
                    <w:tr2bl w:val="nil"/>
                  </w:tcBorders>
                  <w:noWrap w:val="0"/>
                  <w:vAlign w:val="center"/>
                </w:tcPr>
                <w:p w14:paraId="4C8F739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总氮</w:t>
                  </w:r>
                </w:p>
              </w:tc>
              <w:tc>
                <w:tcPr>
                  <w:tcW w:w="1061" w:type="pct"/>
                  <w:tcBorders>
                    <w:tl2br w:val="nil"/>
                    <w:tr2bl w:val="nil"/>
                  </w:tcBorders>
                  <w:noWrap w:val="0"/>
                  <w:vAlign w:val="center"/>
                </w:tcPr>
                <w:p w14:paraId="71A558F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15</w:t>
                  </w:r>
                  <w:r>
                    <w:rPr>
                      <w:rFonts w:hint="default" w:ascii="Times New Roman" w:hAnsi="Times New Roman" w:cs="Times New Roman"/>
                      <w:color w:val="000000" w:themeColor="text1"/>
                      <w14:textFill>
                        <w14:solidFill>
                          <w14:schemeClr w14:val="tx1"/>
                        </w14:solidFill>
                      </w14:textFill>
                    </w:rPr>
                    <w:t>mg/L</w:t>
                  </w:r>
                </w:p>
              </w:tc>
            </w:tr>
          </w:tbl>
          <w:p w14:paraId="0CD1F0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b/>
                <w:bCs/>
                <w:color w:val="000000" w:themeColor="text1"/>
                <w:sz w:val="21"/>
                <w:szCs w:val="21"/>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2、</w:t>
            </w:r>
            <w:r>
              <w:rPr>
                <w:rFonts w:hint="eastAsia" w:ascii="Times New Roman" w:hAnsi="Times New Roman" w:eastAsia="宋体" w:cs="Times New Roman"/>
                <w:b/>
                <w:bCs/>
                <w:color w:val="000000" w:themeColor="text1"/>
                <w:sz w:val="21"/>
                <w:szCs w:val="21"/>
                <w14:textFill>
                  <w14:solidFill>
                    <w14:schemeClr w14:val="tx1"/>
                  </w14:solidFill>
                </w14:textFill>
              </w:rPr>
              <w:t>废水排放达标情况</w:t>
            </w:r>
          </w:p>
          <w:p w14:paraId="5D9F57EC">
            <w:pPr>
              <w:numPr>
                <w:ilvl w:val="0"/>
                <w:numId w:val="0"/>
              </w:numPr>
              <w:spacing w:line="360" w:lineRule="auto"/>
              <w:ind w:firstLine="420" w:firstLineChars="200"/>
              <w:rPr>
                <w:rFonts w:hint="eastAsia" w:cs="Times New Roman"/>
                <w:b/>
                <w:bCs/>
                <w:color w:val="000000" w:themeColor="text1"/>
                <w:sz w:val="21"/>
                <w:szCs w:val="21"/>
                <w:lang w:val="en-US" w:eastAsia="zh-CN"/>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lang w:val="en-US" w:eastAsia="zh-CN"/>
                <w14:textFill>
                  <w14:solidFill>
                    <w14:schemeClr w14:val="tx1"/>
                  </w14:solidFill>
                </w14:textFill>
              </w:rPr>
              <w:t>外排</w:t>
            </w:r>
            <w:r>
              <w:rPr>
                <w:color w:val="000000" w:themeColor="text1"/>
                <w:kern w:val="0"/>
                <w:sz w:val="21"/>
                <w:szCs w:val="21"/>
                <w14:textFill>
                  <w14:solidFill>
                    <w14:schemeClr w14:val="tx1"/>
                  </w14:solidFill>
                </w14:textFill>
              </w:rPr>
              <w:t>废水主要为职工</w:t>
            </w:r>
            <w:r>
              <w:rPr>
                <w:rFonts w:hint="eastAsia"/>
                <w:color w:val="000000" w:themeColor="text1"/>
                <w:kern w:val="0"/>
                <w:sz w:val="21"/>
                <w:szCs w:val="21"/>
                <w14:textFill>
                  <w14:solidFill>
                    <w14:schemeClr w14:val="tx1"/>
                  </w14:solidFill>
                </w14:textFill>
              </w:rPr>
              <w:t>生活污水</w:t>
            </w:r>
            <w:r>
              <w:rPr>
                <w:rFonts w:hint="eastAsia"/>
                <w:color w:val="000000" w:themeColor="text1"/>
                <w:kern w:val="0"/>
                <w:sz w:val="21"/>
                <w:szCs w:val="21"/>
                <w:lang w:eastAsia="zh-CN"/>
                <w14:textFill>
                  <w14:solidFill>
                    <w14:schemeClr w14:val="tx1"/>
                  </w14:solidFill>
                </w14:textFill>
              </w:rPr>
              <w:t>，</w:t>
            </w:r>
            <w:r>
              <w:rPr>
                <w:rFonts w:hint="eastAsia"/>
                <w:color w:val="000000" w:themeColor="text1"/>
                <w:kern w:val="0"/>
                <w:sz w:val="21"/>
                <w:szCs w:val="21"/>
                <w14:textFill>
                  <w14:solidFill>
                    <w14:schemeClr w14:val="tx1"/>
                  </w14:solidFill>
                </w14:textFill>
              </w:rPr>
              <w:t>生活污水产生量为</w:t>
            </w:r>
            <w:r>
              <w:rPr>
                <w:rFonts w:hint="eastAsia"/>
                <w:color w:val="000000" w:themeColor="text1"/>
                <w:sz w:val="21"/>
                <w:szCs w:val="21"/>
                <w:lang w:val="en-US" w:eastAsia="zh-CN"/>
                <w14:textFill>
                  <w14:solidFill>
                    <w14:schemeClr w14:val="tx1"/>
                  </w14:solidFill>
                </w14:textFill>
              </w:rPr>
              <w:t>84</w:t>
            </w:r>
            <w:r>
              <w:rPr>
                <w:color w:val="000000" w:themeColor="text1"/>
                <w:sz w:val="21"/>
                <w:szCs w:val="21"/>
                <w14:textFill>
                  <w14:solidFill>
                    <w14:schemeClr w14:val="tx1"/>
                  </w14:solidFill>
                </w14:textFill>
              </w:rPr>
              <w:t>m</w:t>
            </w:r>
            <w:r>
              <w:rPr>
                <w:color w:val="000000" w:themeColor="text1"/>
                <w:sz w:val="21"/>
                <w:szCs w:val="21"/>
                <w:vertAlign w:val="superscript"/>
                <w14:textFill>
                  <w14:solidFill>
                    <w14:schemeClr w14:val="tx1"/>
                  </w14:solidFill>
                </w14:textFill>
              </w:rPr>
              <w:t>3</w:t>
            </w:r>
            <w:r>
              <w:rPr>
                <w:rFonts w:hint="eastAsia"/>
                <w:color w:val="000000" w:themeColor="text1"/>
                <w:sz w:val="21"/>
                <w:szCs w:val="21"/>
                <w14:textFill>
                  <w14:solidFill>
                    <w14:schemeClr w14:val="tx1"/>
                  </w14:solidFill>
                </w14:textFill>
              </w:rPr>
              <w:t>/a</w:t>
            </w:r>
            <w:r>
              <w:rPr>
                <w:rFonts w:hint="eastAsia"/>
                <w:bCs/>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生活污水主要污染物为C</w:t>
            </w:r>
            <w:r>
              <w:rPr>
                <w:color w:val="000000" w:themeColor="text1"/>
                <w:sz w:val="21"/>
                <w:szCs w:val="21"/>
                <w14:textFill>
                  <w14:solidFill>
                    <w14:schemeClr w14:val="tx1"/>
                  </w14:solidFill>
                </w14:textFill>
              </w:rPr>
              <w:t>OD</w:t>
            </w:r>
            <w:r>
              <w:rPr>
                <w:rFonts w:hint="eastAsia"/>
                <w:color w:val="000000" w:themeColor="text1"/>
                <w:sz w:val="21"/>
                <w:szCs w:val="2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BOD</w:t>
            </w:r>
            <w:r>
              <w:rPr>
                <w:rFonts w:hint="default" w:ascii="Times New Roman" w:hAnsi="Times New Roman" w:cs="Times New Roman"/>
                <w:color w:val="000000" w:themeColor="text1"/>
                <w:vertAlign w:val="subscript"/>
                <w14:textFill>
                  <w14:solidFill>
                    <w14:schemeClr w14:val="tx1"/>
                  </w14:solidFill>
                </w14:textFill>
              </w:rPr>
              <w:t>5</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总磷</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氨氮</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总氮</w:t>
            </w:r>
            <w:r>
              <w:rPr>
                <w:rFonts w:hint="eastAsia"/>
                <w:color w:val="000000" w:themeColor="text1"/>
                <w:sz w:val="21"/>
                <w:szCs w:val="21"/>
                <w14:textFill>
                  <w14:solidFill>
                    <w14:schemeClr w14:val="tx1"/>
                  </w14:solidFill>
                </w14:textFill>
              </w:rPr>
              <w:t>等</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生活污水经</w:t>
            </w:r>
            <w:r>
              <w:rPr>
                <w:rFonts w:hint="eastAsia" w:cs="Times New Roman"/>
                <w:color w:val="000000" w:themeColor="text1"/>
                <w:sz w:val="21"/>
                <w:szCs w:val="21"/>
                <w:lang w:val="en-US" w:eastAsia="zh-CN"/>
                <w14:textFill>
                  <w14:solidFill>
                    <w14:schemeClr w14:val="tx1"/>
                  </w14:solidFill>
                </w14:textFill>
              </w:rPr>
              <w:t>宝鸡得力隆纺织有限公司</w:t>
            </w:r>
            <w:r>
              <w:rPr>
                <w:rFonts w:hint="eastAsia"/>
                <w:color w:val="000000" w:themeColor="text1"/>
                <w:sz w:val="21"/>
                <w:szCs w:val="21"/>
                <w:lang w:val="en-US" w:eastAsia="zh-CN"/>
                <w14:textFill>
                  <w14:solidFill>
                    <w14:schemeClr w14:val="tx1"/>
                  </w14:solidFill>
                </w14:textFill>
              </w:rPr>
              <w:t>厂区内现有</w:t>
            </w:r>
            <w:r>
              <w:rPr>
                <w:rFonts w:hint="eastAsia"/>
                <w:color w:val="000000" w:themeColor="text1"/>
                <w:sz w:val="21"/>
                <w:szCs w:val="21"/>
                <w14:textFill>
                  <w14:solidFill>
                    <w14:schemeClr w14:val="tx1"/>
                  </w14:solidFill>
                </w14:textFill>
              </w:rPr>
              <w:t>化粪池处理后进入市政污水管网</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最终进入</w:t>
            </w:r>
            <w:r>
              <w:rPr>
                <w:rFonts w:hint="default" w:ascii="Times New Roman" w:hAnsi="Times New Roman" w:cs="Times New Roman"/>
                <w:color w:val="000000" w:themeColor="text1"/>
                <w:sz w:val="21"/>
                <w:szCs w:val="21"/>
                <w14:textFill>
                  <w14:solidFill>
                    <w14:schemeClr w14:val="tx1"/>
                  </w14:solidFill>
                </w14:textFill>
              </w:rPr>
              <w:t>宝</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鸡市陈仓金信安水务有限公司（宝鸡市陈仓区虢镇污水处理厂）</w:t>
            </w:r>
            <w:r>
              <w:rPr>
                <w:rFonts w:hint="eastAsia"/>
                <w:color w:val="000000" w:themeColor="text1"/>
                <w:sz w:val="21"/>
                <w:szCs w:val="21"/>
                <w14:textFill>
                  <w14:solidFill>
                    <w14:schemeClr w14:val="tx1"/>
                  </w14:solidFill>
                </w14:textFill>
              </w:rPr>
              <w:t>。</w:t>
            </w:r>
            <w:r>
              <w:rPr>
                <w:rFonts w:hint="eastAsia"/>
                <w:bCs/>
                <w:color w:val="000000" w:themeColor="text1"/>
                <w:sz w:val="21"/>
                <w:szCs w:val="21"/>
                <w:lang w:val="en-US" w:eastAsia="zh-CN"/>
                <w14:textFill>
                  <w14:solidFill>
                    <w14:schemeClr w14:val="tx1"/>
                  </w14:solidFill>
                </w14:textFill>
              </w:rPr>
              <w:t>经源强核算，本项目外排的废水污染因子中</w:t>
            </w:r>
            <w:r>
              <w:rPr>
                <w:rFonts w:hint="eastAsia"/>
                <w:color w:val="000000" w:themeColor="text1"/>
                <w:sz w:val="21"/>
                <w:szCs w:val="21"/>
                <w14:textFill>
                  <w14:solidFill>
                    <w14:schemeClr w14:val="tx1"/>
                  </w14:solidFill>
                </w14:textFill>
              </w:rPr>
              <w:t>C</w:t>
            </w:r>
            <w:r>
              <w:rPr>
                <w:color w:val="000000" w:themeColor="text1"/>
                <w:sz w:val="21"/>
                <w:szCs w:val="21"/>
                <w14:textFill>
                  <w14:solidFill>
                    <w14:schemeClr w14:val="tx1"/>
                  </w14:solidFill>
                </w14:textFill>
              </w:rPr>
              <w:t>OD</w:t>
            </w:r>
            <w:r>
              <w:rPr>
                <w:rFonts w:hint="eastAsia"/>
                <w:color w:val="000000" w:themeColor="text1"/>
                <w:sz w:val="21"/>
                <w:szCs w:val="21"/>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BOD</w:t>
            </w:r>
            <w:r>
              <w:rPr>
                <w:rFonts w:hint="default" w:ascii="Times New Roman" w:hAnsi="Times New Roman" w:cs="Times New Roman"/>
                <w:color w:val="000000" w:themeColor="text1"/>
                <w:vertAlign w:val="subscript"/>
                <w14:textFill>
                  <w14:solidFill>
                    <w14:schemeClr w14:val="tx1"/>
                  </w14:solidFill>
                </w14:textFill>
              </w:rPr>
              <w:t>5</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总磷</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氨氮</w:t>
            </w:r>
            <w:r>
              <w:rPr>
                <w:rFonts w:hint="eastAsia"/>
                <w:bCs/>
                <w:color w:val="000000" w:themeColor="text1"/>
                <w:sz w:val="21"/>
                <w:szCs w:val="21"/>
                <w:lang w:val="en-US" w:eastAsia="zh-CN"/>
                <w14:textFill>
                  <w14:solidFill>
                    <w14:schemeClr w14:val="tx1"/>
                  </w14:solidFill>
                </w14:textFill>
              </w:rPr>
              <w:t>浓度均</w:t>
            </w:r>
            <w:r>
              <w:rPr>
                <w:rFonts w:hint="eastAsia"/>
                <w:color w:val="000000" w:themeColor="text1"/>
                <w:sz w:val="21"/>
                <w:szCs w:val="21"/>
                <w14:textFill>
                  <w14:solidFill>
                    <w14:schemeClr w14:val="tx1"/>
                  </w14:solidFill>
                </w14:textFill>
              </w:rPr>
              <w:t>满足</w:t>
            </w:r>
            <w:r>
              <w:rPr>
                <w:rFonts w:hint="eastAsia"/>
                <w:bCs/>
                <w:color w:val="000000" w:themeColor="text1"/>
                <w:sz w:val="21"/>
                <w:szCs w:val="21"/>
                <w:lang w:bidi="ar"/>
                <w14:textFill>
                  <w14:solidFill>
                    <w14:schemeClr w14:val="tx1"/>
                  </w14:solidFill>
                </w14:textFill>
              </w:rPr>
              <w:t>《污水综合排放标准》（</w:t>
            </w:r>
            <w:r>
              <w:rPr>
                <w:bCs/>
                <w:color w:val="000000" w:themeColor="text1"/>
                <w:sz w:val="21"/>
                <w:szCs w:val="21"/>
                <w:lang w:bidi="ar"/>
                <w14:textFill>
                  <w14:solidFill>
                    <w14:schemeClr w14:val="tx1"/>
                  </w14:solidFill>
                </w14:textFill>
              </w:rPr>
              <w:t>GB8978-1996</w:t>
            </w:r>
            <w:r>
              <w:rPr>
                <w:rFonts w:hint="eastAsia"/>
                <w:bCs/>
                <w:color w:val="000000" w:themeColor="text1"/>
                <w:sz w:val="21"/>
                <w:szCs w:val="21"/>
                <w:lang w:bidi="ar"/>
                <w14:textFill>
                  <w14:solidFill>
                    <w14:schemeClr w14:val="tx1"/>
                  </w14:solidFill>
                </w14:textFill>
              </w:rPr>
              <w:t>）中的三级标准要求</w:t>
            </w:r>
            <w:r>
              <w:rPr>
                <w:rFonts w:hint="eastAsia"/>
                <w:bCs/>
                <w:color w:val="000000" w:themeColor="text1"/>
                <w:sz w:val="21"/>
                <w:szCs w:val="21"/>
                <w:lang w:eastAsia="zh-CN" w:bidi="ar"/>
                <w14:textFill>
                  <w14:solidFill>
                    <w14:schemeClr w14:val="tx1"/>
                  </w14:solidFill>
                </w14:textFill>
              </w:rPr>
              <w:t>，</w:t>
            </w:r>
            <w:r>
              <w:rPr>
                <w:rFonts w:hint="eastAsia"/>
                <w:bCs/>
                <w:color w:val="000000" w:themeColor="text1"/>
                <w:sz w:val="21"/>
                <w:szCs w:val="21"/>
                <w:lang w:bidi="ar"/>
                <w14:textFill>
                  <w14:solidFill>
                    <w14:schemeClr w14:val="tx1"/>
                  </w14:solidFill>
                </w14:textFill>
              </w:rPr>
              <w:t>氨氮</w:t>
            </w:r>
            <w:r>
              <w:rPr>
                <w:rFonts w:hint="eastAsia"/>
                <w:bCs/>
                <w:color w:val="000000" w:themeColor="text1"/>
                <w:sz w:val="21"/>
                <w:szCs w:val="21"/>
                <w:lang w:eastAsia="zh-CN" w:bidi="ar"/>
                <w14:textFill>
                  <w14:solidFill>
                    <w14:schemeClr w14:val="tx1"/>
                  </w14:solidFill>
                </w14:textFill>
              </w:rPr>
              <w:t>、</w:t>
            </w:r>
            <w:r>
              <w:rPr>
                <w:rFonts w:hint="eastAsia"/>
                <w:bCs/>
                <w:color w:val="000000" w:themeColor="text1"/>
                <w:sz w:val="21"/>
                <w:szCs w:val="21"/>
                <w:lang w:val="en-US" w:eastAsia="zh-CN" w:bidi="ar"/>
                <w14:textFill>
                  <w14:solidFill>
                    <w14:schemeClr w14:val="tx1"/>
                  </w14:solidFill>
                </w14:textFill>
              </w:rPr>
              <w:t>溶解性总固体浓度</w:t>
            </w:r>
            <w:r>
              <w:rPr>
                <w:rFonts w:hint="eastAsia"/>
                <w:bCs/>
                <w:color w:val="000000" w:themeColor="text1"/>
                <w:sz w:val="21"/>
                <w:szCs w:val="21"/>
                <w:lang w:bidi="ar"/>
                <w14:textFill>
                  <w14:solidFill>
                    <w14:schemeClr w14:val="tx1"/>
                  </w14:solidFill>
                </w14:textFill>
              </w:rPr>
              <w:t>满足《污水排入城镇下水道水质标准》</w:t>
            </w:r>
            <w:r>
              <w:rPr>
                <w:rFonts w:eastAsia="黑体"/>
                <w:color w:val="000000" w:themeColor="text1"/>
                <w:sz w:val="21"/>
                <w:szCs w:val="21"/>
                <w:lang w:bidi="ar"/>
                <w14:textFill>
                  <w14:solidFill>
                    <w14:schemeClr w14:val="tx1"/>
                  </w14:solidFill>
                </w14:textFill>
              </w:rPr>
              <w:t>（</w:t>
            </w:r>
            <w:r>
              <w:rPr>
                <w:rFonts w:hint="eastAsia"/>
                <w:bCs/>
                <w:color w:val="000000" w:themeColor="text1"/>
                <w:sz w:val="21"/>
                <w:szCs w:val="21"/>
                <w:lang w:bidi="ar"/>
                <w14:textFill>
                  <w14:solidFill>
                    <w14:schemeClr w14:val="tx1"/>
                  </w14:solidFill>
                </w14:textFill>
              </w:rPr>
              <w:t>GB/T31962-2015</w:t>
            </w:r>
            <w:r>
              <w:rPr>
                <w:bCs/>
                <w:color w:val="000000" w:themeColor="text1"/>
                <w:sz w:val="21"/>
                <w:szCs w:val="21"/>
                <w:lang w:bidi="ar"/>
                <w14:textFill>
                  <w14:solidFill>
                    <w14:schemeClr w14:val="tx1"/>
                  </w14:solidFill>
                </w14:textFill>
              </w:rPr>
              <w:t>）</w:t>
            </w:r>
            <w:r>
              <w:rPr>
                <w:rFonts w:hint="eastAsia"/>
                <w:bCs/>
                <w:color w:val="000000" w:themeColor="text1"/>
                <w:sz w:val="21"/>
                <w:szCs w:val="21"/>
                <w:lang w:bidi="ar"/>
                <w14:textFill>
                  <w14:solidFill>
                    <w14:schemeClr w14:val="tx1"/>
                  </w14:solidFill>
                </w14:textFill>
              </w:rPr>
              <w:t>B级标准要求。</w:t>
            </w:r>
          </w:p>
          <w:p w14:paraId="74B9A6A7">
            <w:pPr>
              <w:numPr>
                <w:ilvl w:val="0"/>
                <w:numId w:val="0"/>
              </w:numPr>
              <w:spacing w:line="360" w:lineRule="auto"/>
              <w:ind w:leftChars="200"/>
              <w:rPr>
                <w:rFonts w:hint="eastAsia"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1"/>
                <w:szCs w:val="21"/>
                <w:lang w:val="en-US" w:eastAsia="zh-CN" w:bidi="ar-SA"/>
                <w14:textFill>
                  <w14:solidFill>
                    <w14:schemeClr w14:val="tx1"/>
                  </w14:solidFill>
                </w14:textFill>
              </w:rPr>
              <w:t>3、</w:t>
            </w:r>
            <w:r>
              <w:rPr>
                <w:rFonts w:hint="eastAsia" w:cs="Times New Roman"/>
                <w:b/>
                <w:bCs/>
                <w:color w:val="000000" w:themeColor="text1"/>
                <w:sz w:val="21"/>
                <w:szCs w:val="21"/>
                <w:lang w:val="en-US" w:eastAsia="zh-CN"/>
                <w14:textFill>
                  <w14:solidFill>
                    <w14:schemeClr w14:val="tx1"/>
                  </w14:solidFill>
                </w14:textFill>
              </w:rPr>
              <w:t>污水处理厂依托可行性分析</w:t>
            </w:r>
          </w:p>
          <w:p w14:paraId="031C3586">
            <w:pPr>
              <w:numPr>
                <w:ilvl w:val="0"/>
                <w:numId w:val="0"/>
              </w:numPr>
              <w:spacing w:line="360" w:lineRule="auto"/>
              <w:ind w:firstLine="420"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宝鸡市陈仓金信安水务有限公司（宝鸡市陈仓区虢镇污水处理厂）位于陈仓规划区的东南角</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渭河以北</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西宝高速以南55m处。污水处理厂区南边界距渭河大堤约200m。主要服务范围为陈仓区城区、市行政中心以东区域内的生活污水和工业废水</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服务人口约15万人</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服务面积18km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14:paraId="575F2172">
            <w:pPr>
              <w:numPr>
                <w:ilvl w:val="0"/>
                <w:numId w:val="0"/>
              </w:numPr>
              <w:spacing w:line="360" w:lineRule="auto"/>
              <w:ind w:firstLine="420" w:firstLineChars="20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宝鸡市陈仓金信安水务有限公司（宝鸡市陈仓区虢镇污水处理厂）总处理规模5万m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/d。污水处理采用“粗细格栅+曝气沉砂池+初沉池+A</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/O工艺+二沉池+高效沉淀池+砂滤池+接触消毒池+砂滤池+液氯消毒”工艺</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出水水质满足《陕西省黄河流域污水综合排放标准》（DB61/224-2018）中表1中A标准要求。</w:t>
            </w:r>
          </w:p>
          <w:p w14:paraId="7EA41616">
            <w:pPr>
              <w:pStyle w:val="23"/>
              <w:keepNext w:val="0"/>
              <w:keepLines w:val="0"/>
              <w:pageBreakBefore w:val="0"/>
              <w:widowControl w:val="0"/>
              <w:kinsoku/>
              <w:wordWrap/>
              <w:overflowPunct/>
              <w:topLinePunct/>
              <w:autoSpaceDE/>
              <w:autoSpaceDN/>
              <w:bidi w:val="0"/>
              <w:adjustRightInd w:val="0"/>
              <w:snapToGrid w:val="0"/>
              <w:spacing w:after="0" w:line="360" w:lineRule="auto"/>
              <w:ind w:left="0" w:leftChars="0" w:firstLine="420" w:firstLineChars="200"/>
              <w:jc w:val="both"/>
              <w:textAlignment w:val="auto"/>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项目位于陕西省</w:t>
            </w:r>
            <w:r>
              <w:rPr>
                <w:rFonts w:hint="eastAsia" w:cs="Times New Roman"/>
                <w:color w:val="000000" w:themeColor="text1"/>
                <w:kern w:val="0"/>
                <w:sz w:val="21"/>
                <w:szCs w:val="21"/>
                <w:highlight w:val="none"/>
                <w:lang w:val="en-US" w:eastAsia="zh-CN" w:bidi="ar"/>
                <w14:textFill>
                  <w14:solidFill>
                    <w14:schemeClr w14:val="tx1"/>
                  </w14:solidFill>
                </w14:textFill>
              </w:rPr>
              <w:t>宝鸡市</w:t>
            </w:r>
            <w:r>
              <w:rPr>
                <w:rFonts w:hint="eastAsia" w:cs="Times New Roman"/>
                <w:color w:val="000000" w:themeColor="text1"/>
                <w:sz w:val="21"/>
                <w:szCs w:val="21"/>
                <w:highlight w:val="none"/>
                <w:u w:val="none"/>
                <w:lang w:val="en-US" w:eastAsia="zh-CN"/>
                <w14:textFill>
                  <w14:solidFill>
                    <w14:schemeClr w14:val="tx1"/>
                  </w14:solidFill>
                </w14:textFill>
              </w:rPr>
              <w:t>千河镇宝鸡得力隆纺织有限公司厂区内</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经调查项目所在地园区管网配套完善</w:t>
            </w:r>
            <w:r>
              <w:rPr>
                <w:rFonts w:hint="eastAsia" w:cs="Times New Roman"/>
                <w:color w:val="000000" w:themeColor="text1"/>
                <w:kern w:val="0"/>
                <w:sz w:val="21"/>
                <w:szCs w:val="21"/>
                <w:highlight w:val="none"/>
                <w:lang w:val="en-US" w:eastAsia="zh-CN" w:bidi="ar"/>
                <w14:textFill>
                  <w14:solidFill>
                    <w14:schemeClr w14:val="tx1"/>
                  </w14:solidFill>
                </w14:textFill>
              </w:rPr>
              <w:t>，属于</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宝鸡市陈仓金信安水务有限公司（宝鸡市陈仓区虢镇污水处理厂）集水范围内</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目前</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污水处理厂</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运行稳定</w:t>
            </w:r>
            <w:r>
              <w:rPr>
                <w:rFonts w:hint="eastAsia" w:cs="Times New Roman"/>
                <w:color w:val="000000" w:themeColor="text1"/>
                <w:kern w:val="0"/>
                <w:sz w:val="21"/>
                <w:szCs w:val="21"/>
                <w:highlight w:val="none"/>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项目污水进入</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宝鸡市陈仓金信安水务有限公司（宝鸡市陈仓区虢镇污水处理厂）</w:t>
            </w:r>
            <w:r>
              <w:rPr>
                <w:rFonts w:hint="eastAsia"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可行。</w:t>
            </w:r>
          </w:p>
          <w:p w14:paraId="565E5438">
            <w:pPr>
              <w:widowControl/>
              <w:spacing w:line="360" w:lineRule="auto"/>
              <w:ind w:firstLine="420" w:firstLineChars="20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综上分析</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本项目废水对外环境产生的影响很小</w:t>
            </w:r>
            <w:r>
              <w:rPr>
                <w:rFonts w:hint="default" w:ascii="Times New Roman" w:hAnsi="Times New Roman" w:cs="Times New Roman"/>
                <w:color w:val="000000" w:themeColor="text1"/>
                <w:sz w:val="21"/>
                <w:szCs w:val="21"/>
                <w14:textFill>
                  <w14:solidFill>
                    <w14:schemeClr w14:val="tx1"/>
                  </w14:solidFill>
                </w14:textFill>
              </w:rPr>
              <w:t>。</w:t>
            </w:r>
          </w:p>
          <w:p w14:paraId="1E94D632">
            <w:pPr>
              <w:keepNext/>
              <w:keepLines/>
              <w:widowControl/>
              <w:adjustRightInd w:val="0"/>
              <w:snapToGrid w:val="0"/>
              <w:spacing w:line="360" w:lineRule="auto"/>
              <w:ind w:firstLine="422" w:firstLineChars="200"/>
              <w:jc w:val="left"/>
              <w:outlineLvl w:val="1"/>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三、</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噪声</w:t>
            </w: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环境影响分析</w:t>
            </w:r>
          </w:p>
          <w:p w14:paraId="77F20CA8">
            <w:pPr>
              <w:keepNext w:val="0"/>
              <w:keepLines w:val="0"/>
              <w:suppressLineNumbers w:val="0"/>
              <w:adjustRightInd w:val="0"/>
              <w:spacing w:before="0" w:beforeAutospacing="0" w:after="0" w:afterAutospacing="0" w:line="360" w:lineRule="auto"/>
              <w:ind w:left="0" w:right="0" w:firstLine="422" w:firstLineChars="200"/>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噪声源强</w:t>
            </w:r>
          </w:p>
          <w:p w14:paraId="253CD932">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snapToGrid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本项目运营期主要噪声源为</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车间内</w:t>
            </w:r>
            <w:r>
              <w:rPr>
                <w:rFonts w:hint="default" w:ascii="Times New Roman" w:hAnsi="Times New Roman" w:cs="Times New Roman"/>
                <w:color w:val="000000" w:themeColor="text1"/>
                <w:sz w:val="21"/>
                <w:szCs w:val="21"/>
                <w:highlight w:val="none"/>
                <w14:textFill>
                  <w14:solidFill>
                    <w14:schemeClr w14:val="tx1"/>
                  </w14:solidFill>
                </w14:textFill>
              </w:rPr>
              <w:t>机械设备运行过程中产生的</w:t>
            </w:r>
            <w:r>
              <w:rPr>
                <w:rFonts w:hint="default" w:ascii="Times New Roman" w:hAnsi="Times New Roman" w:cs="Times New Roman"/>
                <w:snapToGrid w:val="0"/>
                <w:color w:val="000000" w:themeColor="text1"/>
                <w:kern w:val="0"/>
                <w:sz w:val="21"/>
                <w:szCs w:val="21"/>
                <w:highlight w:val="none"/>
                <w14:textFill>
                  <w14:solidFill>
                    <w14:schemeClr w14:val="tx1"/>
                  </w14:solidFill>
                </w14:textFill>
              </w:rPr>
              <w:t>机械噪声</w:t>
            </w:r>
            <w:r>
              <w:rPr>
                <w:rFonts w:hint="eastAsia" w:cs="Times New Roman"/>
                <w:snapToGrid w:val="0"/>
                <w:color w:val="000000" w:themeColor="text1"/>
                <w:kern w:val="0"/>
                <w:sz w:val="21"/>
                <w:szCs w:val="21"/>
                <w:highlight w:val="none"/>
                <w:lang w:eastAsia="zh-CN"/>
                <w14:textFill>
                  <w14:solidFill>
                    <w14:schemeClr w14:val="tx1"/>
                  </w14:solidFill>
                </w14:textFill>
              </w:rPr>
              <w:t>，</w:t>
            </w:r>
            <w:r>
              <w:rPr>
                <w:rFonts w:hint="default" w:ascii="Times New Roman" w:hAnsi="Times New Roman" w:cs="Times New Roman"/>
                <w:snapToGrid w:val="0"/>
                <w:color w:val="000000" w:themeColor="text1"/>
                <w:kern w:val="0"/>
                <w:sz w:val="21"/>
                <w:szCs w:val="21"/>
                <w:highlight w:val="none"/>
                <w:lang w:val="en-US" w:eastAsia="zh-CN"/>
                <w14:textFill>
                  <w14:solidFill>
                    <w14:schemeClr w14:val="tx1"/>
                  </w14:solidFill>
                </w14:textFill>
              </w:rPr>
              <w:t>生产设备均位于车间内</w:t>
            </w:r>
            <w:r>
              <w:rPr>
                <w:rFonts w:hint="eastAsia" w:cs="Times New Roman"/>
                <w:snapToGrid w:val="0"/>
                <w:color w:val="000000" w:themeColor="text1"/>
                <w:kern w:val="0"/>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依据《环境工程手册环境噪声控制卷》</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以及</w:t>
            </w:r>
            <w:r>
              <w:rPr>
                <w:rFonts w:hint="default" w:ascii="Times New Roman" w:hAnsi="Times New Roman" w:cs="Times New Roman"/>
                <w:color w:val="000000" w:themeColor="text1"/>
                <w:sz w:val="21"/>
                <w:szCs w:val="21"/>
                <w:highlight w:val="none"/>
                <w14:textFill>
                  <w14:solidFill>
                    <w14:schemeClr w14:val="tx1"/>
                  </w14:solidFill>
                </w14:textFill>
              </w:rPr>
              <w:t>《环境噪声与振动控制工程技术导则》（HJ2034—2013）附录A表A.1常见环境噪声污染源及其声功率</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噪声源强在75d</w:t>
            </w:r>
            <w:r>
              <w:rPr>
                <w:rFonts w:hint="default" w:ascii="Times New Roman" w:hAnsi="Times New Roman" w:cs="Times New Roman"/>
                <w:snapToGrid w:val="0"/>
                <w:color w:val="000000" w:themeColor="text1"/>
                <w:kern w:val="0"/>
                <w:sz w:val="21"/>
                <w:szCs w:val="21"/>
                <w:highlight w:val="none"/>
                <w:lang w:val="en-US" w:eastAsia="zh-CN"/>
                <w14:textFill>
                  <w14:solidFill>
                    <w14:schemeClr w14:val="tx1"/>
                  </w14:solidFill>
                </w14:textFill>
              </w:rPr>
              <w:t>B（A）</w:t>
            </w:r>
            <w:r>
              <w:rPr>
                <w:rFonts w:hint="eastAsia" w:cs="Times New Roman"/>
                <w:b/>
                <w:color w:val="000000" w:themeColor="text1"/>
                <w:sz w:val="21"/>
                <w:szCs w:val="21"/>
                <w:highlight w:val="none"/>
                <w:lang w:eastAsia="zh-CN"/>
                <w14:textFill>
                  <w14:solidFill>
                    <w14:schemeClr w14:val="tx1"/>
                  </w14:solidFill>
                </w14:textFill>
              </w:rPr>
              <w:t>—</w:t>
            </w:r>
            <w:r>
              <w:rPr>
                <w:rFonts w:hint="default" w:ascii="Times New Roman" w:hAnsi="Times New Roman" w:cs="Times New Roman"/>
                <w:snapToGrid w:val="0"/>
                <w:color w:val="000000" w:themeColor="text1"/>
                <w:kern w:val="0"/>
                <w:sz w:val="21"/>
                <w:szCs w:val="21"/>
                <w:highlight w:val="none"/>
                <w:lang w:val="en-US" w:eastAsia="zh-CN"/>
                <w14:textFill>
                  <w14:solidFill>
                    <w14:schemeClr w14:val="tx1"/>
                  </w14:solidFill>
                </w14:textFill>
              </w:rPr>
              <w:t>90dB（A）之间。</w:t>
            </w:r>
          </w:p>
          <w:p w14:paraId="21CBAA0E">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snapToGrid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snapToGrid w:val="0"/>
                <w:color w:val="000000" w:themeColor="text1"/>
                <w:kern w:val="0"/>
                <w:sz w:val="21"/>
                <w:szCs w:val="21"/>
                <w:highlight w:val="none"/>
                <w:lang w:val="en-US" w:eastAsia="zh-CN"/>
                <w14:textFill>
                  <w14:solidFill>
                    <w14:schemeClr w14:val="tx1"/>
                  </w14:solidFill>
                </w14:textFill>
              </w:rPr>
              <w:t>通过类比调查结果分析</w:t>
            </w:r>
            <w:r>
              <w:rPr>
                <w:rFonts w:hint="eastAsia" w:cs="Times New Roman"/>
                <w:snapToGrid w:val="0"/>
                <w:color w:val="000000" w:themeColor="text1"/>
                <w:kern w:val="0"/>
                <w:sz w:val="21"/>
                <w:szCs w:val="21"/>
                <w:highlight w:val="none"/>
                <w:lang w:val="en-US" w:eastAsia="zh-CN"/>
                <w14:textFill>
                  <w14:solidFill>
                    <w14:schemeClr w14:val="tx1"/>
                  </w14:solidFill>
                </w14:textFill>
              </w:rPr>
              <w:t>，</w:t>
            </w:r>
            <w:r>
              <w:rPr>
                <w:rFonts w:hint="default" w:ascii="Times New Roman" w:hAnsi="Times New Roman" w:cs="Times New Roman"/>
                <w:snapToGrid w:val="0"/>
                <w:color w:val="000000" w:themeColor="text1"/>
                <w:kern w:val="0"/>
                <w:sz w:val="21"/>
                <w:szCs w:val="21"/>
                <w:highlight w:val="none"/>
                <w:lang w:val="en-US" w:eastAsia="zh-CN"/>
                <w14:textFill>
                  <w14:solidFill>
                    <w14:schemeClr w14:val="tx1"/>
                  </w14:solidFill>
                </w14:textFill>
              </w:rPr>
              <w:t>本项目主要噪声源强如下：</w:t>
            </w:r>
          </w:p>
          <w:p w14:paraId="16B514B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color w:val="000000" w:themeColor="text1"/>
                <w:sz w:val="21"/>
                <w:szCs w:val="21"/>
                <w:highlight w:val="none"/>
                <w:lang w:eastAsia="zh-CN"/>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表4</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w:t>
            </w:r>
            <w:r>
              <w:rPr>
                <w:rFonts w:hint="eastAsia" w:cs="Times New Roman"/>
                <w:b/>
                <w:color w:val="000000" w:themeColor="text1"/>
                <w:sz w:val="21"/>
                <w:szCs w:val="21"/>
                <w:highlight w:val="none"/>
                <w:lang w:val="en-US" w:eastAsia="zh-CN"/>
                <w14:textFill>
                  <w14:solidFill>
                    <w14:schemeClr w14:val="tx1"/>
                  </w14:solidFill>
                </w14:textFill>
              </w:rPr>
              <w:t xml:space="preserve">7    </w:t>
            </w:r>
            <w:r>
              <w:rPr>
                <w:rFonts w:hint="default" w:ascii="Times New Roman" w:hAnsi="Times New Roman" w:cs="Times New Roman"/>
                <w:b/>
                <w:color w:val="000000" w:themeColor="text1"/>
                <w:sz w:val="21"/>
                <w:szCs w:val="21"/>
                <w:highlight w:val="none"/>
                <w14:textFill>
                  <w14:solidFill>
                    <w14:schemeClr w14:val="tx1"/>
                  </w14:solidFill>
                </w14:textFill>
              </w:rPr>
              <w:t>噪声源声级值</w:t>
            </w:r>
            <w:r>
              <w:rPr>
                <w:rFonts w:hint="default" w:ascii="Times New Roman" w:hAnsi="Times New Roman" w:cs="Times New Roman"/>
                <w:b/>
                <w:color w:val="000000" w:themeColor="text1"/>
                <w:sz w:val="21"/>
                <w:szCs w:val="21"/>
                <w:highlight w:val="none"/>
                <w:lang w:eastAsia="zh-CN"/>
                <w14:textFill>
                  <w14:solidFill>
                    <w14:schemeClr w14:val="tx1"/>
                  </w14:solidFill>
                </w14:textFill>
              </w:rPr>
              <w:t>（</w:t>
            </w:r>
            <w:r>
              <w:rPr>
                <w:rFonts w:hint="default" w:ascii="Times New Roman" w:hAnsi="Times New Roman" w:cs="Times New Roman"/>
                <w:b/>
                <w:color w:val="000000" w:themeColor="text1"/>
                <w:sz w:val="21"/>
                <w:szCs w:val="21"/>
                <w:highlight w:val="none"/>
                <w:lang w:val="en-US" w:eastAsia="zh-CN"/>
                <w14:textFill>
                  <w14:solidFill>
                    <w14:schemeClr w14:val="tx1"/>
                  </w14:solidFill>
                </w14:textFill>
              </w:rPr>
              <w:t>室内声源</w:t>
            </w:r>
            <w:r>
              <w:rPr>
                <w:rFonts w:hint="default" w:ascii="Times New Roman" w:hAnsi="Times New Roman" w:cs="Times New Roman"/>
                <w:b/>
                <w:color w:val="000000" w:themeColor="text1"/>
                <w:sz w:val="21"/>
                <w:szCs w:val="21"/>
                <w:highlight w:val="none"/>
                <w:lang w:eastAsia="zh-CN"/>
                <w14:textFill>
                  <w14:solidFill>
                    <w14:schemeClr w14:val="tx1"/>
                  </w14:solidFill>
                </w14:textFill>
              </w:rPr>
              <w:t>）</w:t>
            </w:r>
          </w:p>
          <w:tbl>
            <w:tblPr>
              <w:tblStyle w:val="24"/>
              <w:tblW w:w="5000" w:type="pct"/>
              <w:tblInd w:w="-4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64"/>
              <w:gridCol w:w="251"/>
              <w:gridCol w:w="1005"/>
              <w:gridCol w:w="584"/>
              <w:gridCol w:w="727"/>
              <w:gridCol w:w="447"/>
              <w:gridCol w:w="397"/>
              <w:gridCol w:w="384"/>
              <w:gridCol w:w="610"/>
              <w:gridCol w:w="505"/>
              <w:gridCol w:w="632"/>
              <w:gridCol w:w="584"/>
              <w:gridCol w:w="584"/>
              <w:gridCol w:w="463"/>
              <w:gridCol w:w="596"/>
            </w:tblGrid>
            <w:tr w14:paraId="492C4B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64" w:type="pct"/>
                  <w:vMerge w:val="restart"/>
                  <w:tcBorders>
                    <w:tl2br w:val="nil"/>
                    <w:tr2bl w:val="nil"/>
                  </w:tcBorders>
                  <w:noWrap w:val="0"/>
                  <w:vAlign w:val="center"/>
                </w:tcPr>
                <w:p w14:paraId="0B12D8DA">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序号</w:t>
                  </w:r>
                </w:p>
              </w:tc>
              <w:tc>
                <w:tcPr>
                  <w:tcW w:w="781" w:type="pct"/>
                  <w:gridSpan w:val="2"/>
                  <w:vMerge w:val="restart"/>
                  <w:tcBorders>
                    <w:tl2br w:val="nil"/>
                    <w:tr2bl w:val="nil"/>
                  </w:tcBorders>
                  <w:noWrap w:val="0"/>
                  <w:vAlign w:val="center"/>
                </w:tcPr>
                <w:p w14:paraId="1C7F21C7">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声源名称</w:t>
                  </w:r>
                </w:p>
              </w:tc>
              <w:tc>
                <w:tcPr>
                  <w:tcW w:w="363" w:type="pct"/>
                  <w:vMerge w:val="restart"/>
                  <w:tcBorders>
                    <w:tl2br w:val="nil"/>
                    <w:tr2bl w:val="nil"/>
                  </w:tcBorders>
                  <w:noWrap w:val="0"/>
                  <w:vAlign w:val="center"/>
                </w:tcPr>
                <w:p w14:paraId="4BE3DE8A">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声功率级</w:t>
                  </w:r>
                </w:p>
                <w:p w14:paraId="0934EADF">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/dB</w:t>
                  </w:r>
                  <w:r>
                    <w:rPr>
                      <w:rFonts w:hint="default" w:ascii="Times New Roman" w:hAnsi="Times New Roman" w:cs="Times New Roman"/>
                      <w:b/>
                      <w:bCs/>
                      <w:color w:val="000000" w:themeColor="text1"/>
                      <w:sz w:val="21"/>
                      <w:szCs w:val="21"/>
                      <w:lang w:eastAsia="zh-CN"/>
                      <w14:textFill>
                        <w14:solidFill>
                          <w14:schemeClr w14:val="tx1"/>
                        </w14:solidFill>
                      </w14:textFill>
                    </w:rPr>
                    <w:t>（</w:t>
                  </w:r>
                  <w:r>
                    <w:rPr>
                      <w:rFonts w:hint="default" w:ascii="Times New Roman" w:hAnsi="Times New Roman" w:cs="Times New Roman"/>
                      <w:b/>
                      <w:bCs/>
                      <w:color w:val="000000" w:themeColor="text1"/>
                      <w:sz w:val="21"/>
                      <w:szCs w:val="21"/>
                      <w14:textFill>
                        <w14:solidFill>
                          <w14:schemeClr w14:val="tx1"/>
                        </w14:solidFill>
                      </w14:textFill>
                    </w:rPr>
                    <w:t>A</w:t>
                  </w:r>
                  <w:r>
                    <w:rPr>
                      <w:rFonts w:hint="default" w:ascii="Times New Roman" w:hAnsi="Times New Roman" w:cs="Times New Roman"/>
                      <w:b/>
                      <w:bCs/>
                      <w:color w:val="000000" w:themeColor="text1"/>
                      <w:sz w:val="21"/>
                      <w:szCs w:val="21"/>
                      <w:lang w:eastAsia="zh-CN"/>
                      <w14:textFill>
                        <w14:solidFill>
                          <w14:schemeClr w14:val="tx1"/>
                        </w14:solidFill>
                      </w14:textFill>
                    </w:rPr>
                    <w:t>）</w:t>
                  </w:r>
                </w:p>
              </w:tc>
              <w:tc>
                <w:tcPr>
                  <w:tcW w:w="452" w:type="pct"/>
                  <w:vMerge w:val="restart"/>
                  <w:tcBorders>
                    <w:tl2br w:val="nil"/>
                    <w:tr2bl w:val="nil"/>
                  </w:tcBorders>
                  <w:noWrap w:val="0"/>
                  <w:vAlign w:val="center"/>
                </w:tcPr>
                <w:p w14:paraId="1C9E8FA3">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声源</w:t>
                  </w:r>
                </w:p>
                <w:p w14:paraId="2D9FB90D">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控制</w:t>
                  </w:r>
                </w:p>
                <w:p w14:paraId="56237FF4">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措施</w:t>
                  </w:r>
                </w:p>
              </w:tc>
              <w:tc>
                <w:tcPr>
                  <w:tcW w:w="764" w:type="pct"/>
                  <w:gridSpan w:val="3"/>
                  <w:tcBorders>
                    <w:tl2br w:val="nil"/>
                    <w:tr2bl w:val="nil"/>
                  </w:tcBorders>
                  <w:noWrap w:val="0"/>
                  <w:vAlign w:val="center"/>
                </w:tcPr>
                <w:p w14:paraId="5FCFF238">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空间相对位置</w:t>
                  </w:r>
                  <w:r>
                    <w:rPr>
                      <w:rFonts w:hint="default" w:ascii="Times New Roman" w:hAnsi="Times New Roman" w:eastAsia="Times New Roman" w:cs="Times New Roman"/>
                      <w:b/>
                      <w:bCs/>
                      <w:color w:val="000000" w:themeColor="text1"/>
                      <w:sz w:val="21"/>
                      <w:szCs w:val="21"/>
                      <w14:textFill>
                        <w14:solidFill>
                          <w14:schemeClr w14:val="tx1"/>
                        </w14:solidFill>
                      </w14:textFill>
                    </w:rPr>
                    <w:t>/m</w:t>
                  </w:r>
                </w:p>
              </w:tc>
              <w:tc>
                <w:tcPr>
                  <w:tcW w:w="379" w:type="pct"/>
                  <w:vMerge w:val="restart"/>
                  <w:tcBorders>
                    <w:tl2br w:val="nil"/>
                    <w:tr2bl w:val="nil"/>
                  </w:tcBorders>
                  <w:noWrap w:val="0"/>
                  <w:vAlign w:val="center"/>
                </w:tcPr>
                <w:p w14:paraId="529B286C">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运行时段</w:t>
                  </w:r>
                </w:p>
              </w:tc>
              <w:tc>
                <w:tcPr>
                  <w:tcW w:w="314" w:type="pct"/>
                  <w:vMerge w:val="restart"/>
                  <w:tcBorders>
                    <w:tl2br w:val="nil"/>
                    <w:tr2bl w:val="nil"/>
                  </w:tcBorders>
                  <w:noWrap w:val="0"/>
                  <w:vAlign w:val="center"/>
                </w:tcPr>
                <w:p w14:paraId="2DB64B3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t>距室内边</w:t>
                  </w:r>
                </w:p>
                <w:p w14:paraId="2CA3CA7C">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t>界距离</w:t>
                  </w: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/m</w:t>
                  </w:r>
                </w:p>
              </w:tc>
              <w:tc>
                <w:tcPr>
                  <w:tcW w:w="393" w:type="pct"/>
                  <w:vMerge w:val="restart"/>
                  <w:tcBorders>
                    <w:tl2br w:val="nil"/>
                    <w:tr2bl w:val="nil"/>
                  </w:tcBorders>
                  <w:noWrap w:val="0"/>
                  <w:vAlign w:val="center"/>
                </w:tcPr>
                <w:p w14:paraId="16955E38">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t>室内边界声级</w:t>
                  </w:r>
                </w:p>
                <w:p w14:paraId="48D18447">
                  <w:pPr>
                    <w:keepNext w:val="0"/>
                    <w:keepLines w:val="0"/>
                    <w:pageBreakBefore w:val="0"/>
                    <w:widowControl/>
                    <w:suppressLineNumbers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/dB（A）</w:t>
                  </w:r>
                </w:p>
              </w:tc>
              <w:tc>
                <w:tcPr>
                  <w:tcW w:w="363" w:type="pct"/>
                  <w:vMerge w:val="restart"/>
                  <w:tcBorders>
                    <w:tl2br w:val="nil"/>
                    <w:tr2bl w:val="nil"/>
                  </w:tcBorders>
                  <w:noWrap w:val="0"/>
                  <w:vAlign w:val="center"/>
                </w:tcPr>
                <w:p w14:paraId="42BBD709">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t>建筑物插</w:t>
                  </w:r>
                </w:p>
                <w:p w14:paraId="0C83CC94">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t>入损失</w:t>
                  </w: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w:t>
                  </w:r>
                </w:p>
                <w:p w14:paraId="390D4129">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dB（A）</w:t>
                  </w:r>
                </w:p>
              </w:tc>
              <w:tc>
                <w:tcPr>
                  <w:tcW w:w="651" w:type="pct"/>
                  <w:gridSpan w:val="2"/>
                  <w:tcBorders>
                    <w:tl2br w:val="nil"/>
                    <w:tr2bl w:val="nil"/>
                  </w:tcBorders>
                  <w:noWrap w:val="0"/>
                  <w:vAlign w:val="center"/>
                </w:tcPr>
                <w:p w14:paraId="73001ACB">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t>建筑物</w:t>
                  </w:r>
                </w:p>
                <w:p w14:paraId="5766D1F2">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t>外噪声</w:t>
                  </w:r>
                </w:p>
              </w:tc>
              <w:tc>
                <w:tcPr>
                  <w:tcW w:w="370" w:type="pct"/>
                  <w:vMerge w:val="restart"/>
                  <w:tcBorders>
                    <w:tl2br w:val="nil"/>
                    <w:tr2bl w:val="nil"/>
                  </w:tcBorders>
                  <w:noWrap w:val="0"/>
                  <w:vAlign w:val="center"/>
                </w:tcPr>
                <w:p w14:paraId="01536238">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持续时间</w:t>
                  </w:r>
                </w:p>
              </w:tc>
            </w:tr>
            <w:tr w14:paraId="0A109F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vMerge w:val="continue"/>
                  <w:tcBorders>
                    <w:tl2br w:val="nil"/>
                    <w:tr2bl w:val="nil"/>
                  </w:tcBorders>
                  <w:noWrap w:val="0"/>
                  <w:vAlign w:val="center"/>
                </w:tcPr>
                <w:p w14:paraId="63740A9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781" w:type="pct"/>
                  <w:gridSpan w:val="2"/>
                  <w:vMerge w:val="continue"/>
                  <w:tcBorders>
                    <w:tl2br w:val="nil"/>
                    <w:tr2bl w:val="nil"/>
                  </w:tcBorders>
                  <w:noWrap w:val="0"/>
                  <w:vAlign w:val="center"/>
                </w:tcPr>
                <w:p w14:paraId="2396ECC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363" w:type="pct"/>
                  <w:vMerge w:val="continue"/>
                  <w:tcBorders>
                    <w:tl2br w:val="nil"/>
                    <w:tr2bl w:val="nil"/>
                  </w:tcBorders>
                  <w:noWrap w:val="0"/>
                  <w:vAlign w:val="center"/>
                </w:tcPr>
                <w:p w14:paraId="7BB799F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452" w:type="pct"/>
                  <w:vMerge w:val="continue"/>
                  <w:tcBorders>
                    <w:tl2br w:val="nil"/>
                    <w:tr2bl w:val="nil"/>
                  </w:tcBorders>
                  <w:noWrap w:val="0"/>
                  <w:vAlign w:val="center"/>
                </w:tcPr>
                <w:p w14:paraId="4DB0B16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278" w:type="pct"/>
                  <w:tcBorders>
                    <w:tl2br w:val="nil"/>
                    <w:tr2bl w:val="nil"/>
                  </w:tcBorders>
                  <w:noWrap w:val="0"/>
                  <w:vAlign w:val="center"/>
                </w:tcPr>
                <w:p w14:paraId="650DB2C3">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i/>
                      <w:color w:val="000000" w:themeColor="text1"/>
                      <w:sz w:val="21"/>
                      <w:szCs w:val="21"/>
                      <w14:textFill>
                        <w14:solidFill>
                          <w14:schemeClr w14:val="tx1"/>
                        </w14:solidFill>
                      </w14:textFill>
                    </w:rPr>
                  </w:pPr>
                  <w:r>
                    <w:rPr>
                      <w:rFonts w:hint="default" w:ascii="Times New Roman" w:hAnsi="Times New Roman" w:cs="Times New Roman"/>
                      <w:b/>
                      <w:bCs/>
                      <w:i/>
                      <w:color w:val="000000" w:themeColor="text1"/>
                      <w:sz w:val="21"/>
                      <w:szCs w:val="21"/>
                      <w14:textFill>
                        <w14:solidFill>
                          <w14:schemeClr w14:val="tx1"/>
                        </w14:solidFill>
                      </w14:textFill>
                    </w:rPr>
                    <w:t>X</w:t>
                  </w:r>
                </w:p>
              </w:tc>
              <w:tc>
                <w:tcPr>
                  <w:tcW w:w="247" w:type="pct"/>
                  <w:tcBorders>
                    <w:tl2br w:val="nil"/>
                    <w:tr2bl w:val="nil"/>
                  </w:tcBorders>
                  <w:noWrap w:val="0"/>
                  <w:vAlign w:val="center"/>
                </w:tcPr>
                <w:p w14:paraId="67AC58FE">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i/>
                      <w:color w:val="000000" w:themeColor="text1"/>
                      <w:sz w:val="21"/>
                      <w:szCs w:val="21"/>
                      <w14:textFill>
                        <w14:solidFill>
                          <w14:schemeClr w14:val="tx1"/>
                        </w14:solidFill>
                      </w14:textFill>
                    </w:rPr>
                  </w:pPr>
                  <w:r>
                    <w:rPr>
                      <w:rFonts w:hint="default" w:ascii="Times New Roman" w:hAnsi="Times New Roman" w:cs="Times New Roman"/>
                      <w:b/>
                      <w:bCs/>
                      <w:i/>
                      <w:color w:val="000000" w:themeColor="text1"/>
                      <w:sz w:val="21"/>
                      <w:szCs w:val="21"/>
                      <w14:textFill>
                        <w14:solidFill>
                          <w14:schemeClr w14:val="tx1"/>
                        </w14:solidFill>
                      </w14:textFill>
                    </w:rPr>
                    <w:t>Y</w:t>
                  </w:r>
                </w:p>
              </w:tc>
              <w:tc>
                <w:tcPr>
                  <w:tcW w:w="239" w:type="pct"/>
                  <w:tcBorders>
                    <w:tl2br w:val="nil"/>
                    <w:tr2bl w:val="nil"/>
                  </w:tcBorders>
                  <w:noWrap w:val="0"/>
                  <w:vAlign w:val="center"/>
                </w:tcPr>
                <w:p w14:paraId="5E4F6FB7">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i/>
                      <w:color w:val="000000" w:themeColor="text1"/>
                      <w:sz w:val="21"/>
                      <w:szCs w:val="21"/>
                      <w14:textFill>
                        <w14:solidFill>
                          <w14:schemeClr w14:val="tx1"/>
                        </w14:solidFill>
                      </w14:textFill>
                    </w:rPr>
                  </w:pPr>
                  <w:r>
                    <w:rPr>
                      <w:rFonts w:hint="default" w:ascii="Times New Roman" w:hAnsi="Times New Roman" w:cs="Times New Roman"/>
                      <w:b/>
                      <w:bCs/>
                      <w:i/>
                      <w:color w:val="000000" w:themeColor="text1"/>
                      <w:sz w:val="21"/>
                      <w:szCs w:val="21"/>
                      <w14:textFill>
                        <w14:solidFill>
                          <w14:schemeClr w14:val="tx1"/>
                        </w14:solidFill>
                      </w14:textFill>
                    </w:rPr>
                    <w:t>Z</w:t>
                  </w:r>
                </w:p>
              </w:tc>
              <w:tc>
                <w:tcPr>
                  <w:tcW w:w="379" w:type="pct"/>
                  <w:vMerge w:val="continue"/>
                  <w:tcBorders>
                    <w:tl2br w:val="nil"/>
                    <w:tr2bl w:val="nil"/>
                  </w:tcBorders>
                  <w:noWrap w:val="0"/>
                  <w:vAlign w:val="center"/>
                </w:tcPr>
                <w:p w14:paraId="704480A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314" w:type="pct"/>
                  <w:vMerge w:val="continue"/>
                  <w:tcBorders>
                    <w:tl2br w:val="nil"/>
                    <w:tr2bl w:val="nil"/>
                  </w:tcBorders>
                  <w:noWrap w:val="0"/>
                  <w:vAlign w:val="center"/>
                </w:tcPr>
                <w:p w14:paraId="08312F8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393" w:type="pct"/>
                  <w:vMerge w:val="continue"/>
                  <w:tcBorders>
                    <w:tl2br w:val="nil"/>
                    <w:tr2bl w:val="nil"/>
                  </w:tcBorders>
                  <w:noWrap w:val="0"/>
                  <w:vAlign w:val="center"/>
                </w:tcPr>
                <w:p w14:paraId="7CE6465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363" w:type="pct"/>
                  <w:vMerge w:val="continue"/>
                  <w:tcBorders>
                    <w:tl2br w:val="nil"/>
                    <w:tr2bl w:val="nil"/>
                  </w:tcBorders>
                  <w:noWrap w:val="0"/>
                  <w:vAlign w:val="center"/>
                </w:tcPr>
                <w:p w14:paraId="605F9C6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p>
              </w:tc>
              <w:tc>
                <w:tcPr>
                  <w:tcW w:w="363" w:type="pct"/>
                  <w:tcBorders>
                    <w:tl2br w:val="nil"/>
                    <w:tr2bl w:val="nil"/>
                  </w:tcBorders>
                  <w:noWrap w:val="0"/>
                  <w:vAlign w:val="center"/>
                </w:tcPr>
                <w:p w14:paraId="16159DBF">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t>声压级</w:t>
                  </w:r>
                </w:p>
                <w:p w14:paraId="7378059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dB（A）</w:t>
                  </w:r>
                </w:p>
              </w:tc>
              <w:tc>
                <w:tcPr>
                  <w:tcW w:w="288" w:type="pct"/>
                  <w:tcBorders>
                    <w:tl2br w:val="nil"/>
                    <w:tr2bl w:val="nil"/>
                  </w:tcBorders>
                  <w:noWrap w:val="0"/>
                  <w:vAlign w:val="center"/>
                </w:tcPr>
                <w:p w14:paraId="4CA8BBF4">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t>建筑物外</w:t>
                  </w:r>
                </w:p>
                <w:p w14:paraId="18534DF2">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新宋体" w:cs="Times New Roman"/>
                      <w:b/>
                      <w:bCs/>
                      <w:color w:val="000000" w:themeColor="text1"/>
                      <w:kern w:val="0"/>
                      <w:sz w:val="21"/>
                      <w:szCs w:val="21"/>
                      <w:lang w:val="en-US" w:eastAsia="zh-CN" w:bidi="ar"/>
                      <w14:textFill>
                        <w14:solidFill>
                          <w14:schemeClr w14:val="tx1"/>
                        </w14:solidFill>
                      </w14:textFill>
                    </w:rPr>
                    <w:t>距离</w:t>
                  </w:r>
                </w:p>
              </w:tc>
              <w:tc>
                <w:tcPr>
                  <w:tcW w:w="370" w:type="pct"/>
                  <w:vMerge w:val="continue"/>
                  <w:tcBorders>
                    <w:tl2br w:val="nil"/>
                    <w:tr2bl w:val="nil"/>
                  </w:tcBorders>
                  <w:noWrap w:val="0"/>
                  <w:vAlign w:val="center"/>
                </w:tcPr>
                <w:p w14:paraId="4755F32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r>
            <w:tr w14:paraId="4004E0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164" w:type="pct"/>
                  <w:tcBorders>
                    <w:tl2br w:val="nil"/>
                    <w:tr2bl w:val="nil"/>
                  </w:tcBorders>
                  <w:noWrap w:val="0"/>
                  <w:vAlign w:val="center"/>
                </w:tcPr>
                <w:p w14:paraId="0072D6C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156" w:type="pct"/>
                  <w:vMerge w:val="restart"/>
                  <w:tcBorders>
                    <w:tl2br w:val="nil"/>
                    <w:tr2bl w:val="nil"/>
                  </w:tcBorders>
                  <w:noWrap w:val="0"/>
                  <w:vAlign w:val="center"/>
                </w:tcPr>
                <w:p w14:paraId="32A9551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生产车间</w:t>
                  </w:r>
                </w:p>
              </w:tc>
              <w:tc>
                <w:tcPr>
                  <w:tcW w:w="625" w:type="pct"/>
                  <w:tcBorders>
                    <w:tl2br w:val="nil"/>
                    <w:tr2bl w:val="nil"/>
                  </w:tcBorders>
                  <w:noWrap w:val="0"/>
                  <w:vAlign w:val="center"/>
                </w:tcPr>
                <w:p w14:paraId="48457921">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平式烧结炉1</w:t>
                  </w:r>
                </w:p>
              </w:tc>
              <w:tc>
                <w:tcPr>
                  <w:tcW w:w="363" w:type="pct"/>
                  <w:tcBorders>
                    <w:tl2br w:val="nil"/>
                    <w:tr2bl w:val="nil"/>
                  </w:tcBorders>
                  <w:noWrap w:val="0"/>
                  <w:vAlign w:val="center"/>
                </w:tcPr>
                <w:p w14:paraId="5B42591A">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80</w:t>
                  </w:r>
                </w:p>
              </w:tc>
              <w:tc>
                <w:tcPr>
                  <w:tcW w:w="452" w:type="pct"/>
                  <w:vMerge w:val="restart"/>
                  <w:tcBorders>
                    <w:tl2br w:val="nil"/>
                    <w:tr2bl w:val="nil"/>
                  </w:tcBorders>
                  <w:noWrap w:val="0"/>
                  <w:vAlign w:val="center"/>
                </w:tcPr>
                <w:p w14:paraId="65932ACE">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t>基础</w:t>
                  </w:r>
                </w:p>
                <w:p w14:paraId="745F0F61">
                  <w:pPr>
                    <w:keepNext w:val="0"/>
                    <w:keepLines w:val="0"/>
                    <w:widowControl/>
                    <w:suppressLineNumbers w:val="0"/>
                    <w:jc w:val="center"/>
                    <w:rPr>
                      <w:rFonts w:hint="default"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t>减振</w:t>
                  </w:r>
                  <w:r>
                    <w:rPr>
                      <w:rFonts w:hint="eastAsia" w:ascii="Times New Roman" w:hAnsi="Times New Roman" w:cs="Times New Roman"/>
                      <w:snapToGrid w:val="0"/>
                      <w:color w:val="000000" w:themeColor="text1"/>
                      <w:kern w:val="2"/>
                      <w:sz w:val="21"/>
                      <w:szCs w:val="21"/>
                      <w:highlight w:val="none"/>
                      <w:lang w:val="en-US" w:eastAsia="zh-CN" w:bidi="ar-SA"/>
                      <w14:textFill>
                        <w14:solidFill>
                          <w14:schemeClr w14:val="tx1"/>
                        </w14:solidFill>
                      </w14:textFill>
                    </w:rPr>
                    <w:t>、厂房隔声、距离衰减</w:t>
                  </w:r>
                </w:p>
              </w:tc>
              <w:tc>
                <w:tcPr>
                  <w:tcW w:w="278" w:type="pct"/>
                  <w:tcBorders>
                    <w:tl2br w:val="nil"/>
                    <w:tr2bl w:val="nil"/>
                  </w:tcBorders>
                  <w:noWrap w:val="0"/>
                  <w:vAlign w:val="center"/>
                </w:tcPr>
                <w:p w14:paraId="0CA0ABD4">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color w:val="000000" w:themeColor="text1"/>
                      <w:kern w:val="0"/>
                      <w:sz w:val="21"/>
                      <w:szCs w:val="21"/>
                      <w:lang w:val="en-US" w:eastAsia="zh-CN" w:bidi="ar-SA"/>
                      <w14:textFill>
                        <w14:solidFill>
                          <w14:schemeClr w14:val="tx1"/>
                        </w14:solidFill>
                      </w14:textFill>
                    </w:rPr>
                    <w:t>25</w:t>
                  </w:r>
                </w:p>
              </w:tc>
              <w:tc>
                <w:tcPr>
                  <w:tcW w:w="247" w:type="pct"/>
                  <w:tcBorders>
                    <w:tl2br w:val="nil"/>
                    <w:tr2bl w:val="nil"/>
                  </w:tcBorders>
                  <w:noWrap w:val="0"/>
                  <w:vAlign w:val="center"/>
                </w:tcPr>
                <w:p w14:paraId="669437B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46</w:t>
                  </w:r>
                </w:p>
              </w:tc>
              <w:tc>
                <w:tcPr>
                  <w:tcW w:w="239" w:type="pct"/>
                  <w:tcBorders>
                    <w:tl2br w:val="nil"/>
                    <w:tr2bl w:val="nil"/>
                  </w:tcBorders>
                  <w:noWrap w:val="0"/>
                  <w:vAlign w:val="center"/>
                </w:tcPr>
                <w:p w14:paraId="058EEED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restart"/>
                  <w:tcBorders>
                    <w:tl2br w:val="nil"/>
                    <w:tr2bl w:val="nil"/>
                  </w:tcBorders>
                  <w:noWrap w:val="0"/>
                  <w:vAlign w:val="center"/>
                </w:tcPr>
                <w:p w14:paraId="439169F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昼夜</w:t>
                  </w:r>
                </w:p>
              </w:tc>
              <w:tc>
                <w:tcPr>
                  <w:tcW w:w="314" w:type="pct"/>
                  <w:tcBorders>
                    <w:tl2br w:val="nil"/>
                    <w:tr2bl w:val="nil"/>
                  </w:tcBorders>
                  <w:noWrap w:val="0"/>
                  <w:vAlign w:val="center"/>
                </w:tcPr>
                <w:p w14:paraId="663203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393" w:type="pct"/>
                  <w:tcBorders>
                    <w:tl2br w:val="nil"/>
                    <w:tr2bl w:val="nil"/>
                  </w:tcBorders>
                  <w:noWrap w:val="0"/>
                  <w:vAlign w:val="center"/>
                </w:tcPr>
                <w:p w14:paraId="7337AA1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67</w:t>
                  </w:r>
                </w:p>
              </w:tc>
              <w:tc>
                <w:tcPr>
                  <w:tcW w:w="363" w:type="pct"/>
                  <w:tcBorders>
                    <w:tl2br w:val="nil"/>
                    <w:tr2bl w:val="nil"/>
                  </w:tcBorders>
                  <w:noWrap w:val="0"/>
                  <w:vAlign w:val="center"/>
                </w:tcPr>
                <w:p w14:paraId="6345A1E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299426E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52</w:t>
                  </w:r>
                </w:p>
              </w:tc>
              <w:tc>
                <w:tcPr>
                  <w:tcW w:w="288" w:type="pct"/>
                  <w:tcBorders>
                    <w:tl2br w:val="nil"/>
                    <w:tr2bl w:val="nil"/>
                  </w:tcBorders>
                  <w:noWrap w:val="0"/>
                  <w:vAlign w:val="center"/>
                </w:tcPr>
                <w:p w14:paraId="6843DAC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26834A6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1CBBA3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0A9D471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156" w:type="pct"/>
                  <w:vMerge w:val="continue"/>
                  <w:tcBorders>
                    <w:tl2br w:val="nil"/>
                    <w:tr2bl w:val="nil"/>
                  </w:tcBorders>
                  <w:noWrap w:val="0"/>
                  <w:vAlign w:val="center"/>
                </w:tcPr>
                <w:p w14:paraId="69C3499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noWrap w:val="0"/>
                  <w:vAlign w:val="center"/>
                </w:tcPr>
                <w:p w14:paraId="63F2AAFD">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平式烧结炉2</w:t>
                  </w:r>
                </w:p>
              </w:tc>
              <w:tc>
                <w:tcPr>
                  <w:tcW w:w="363" w:type="pct"/>
                  <w:tcBorders>
                    <w:tl2br w:val="nil"/>
                    <w:tr2bl w:val="nil"/>
                  </w:tcBorders>
                  <w:noWrap w:val="0"/>
                  <w:vAlign w:val="center"/>
                </w:tcPr>
                <w:p w14:paraId="4812C480">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80</w:t>
                  </w:r>
                </w:p>
              </w:tc>
              <w:tc>
                <w:tcPr>
                  <w:tcW w:w="452" w:type="pct"/>
                  <w:vMerge w:val="continue"/>
                  <w:tcBorders>
                    <w:tl2br w:val="nil"/>
                    <w:tr2bl w:val="nil"/>
                  </w:tcBorders>
                  <w:noWrap w:val="0"/>
                  <w:vAlign w:val="center"/>
                </w:tcPr>
                <w:p w14:paraId="4FF2C808">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both"/>
                    <w:textAlignment w:val="auto"/>
                    <w:rPr>
                      <w:rFonts w:hint="default"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2E4CBAC3">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27</w:t>
                  </w:r>
                </w:p>
              </w:tc>
              <w:tc>
                <w:tcPr>
                  <w:tcW w:w="247" w:type="pct"/>
                  <w:tcBorders>
                    <w:tl2br w:val="nil"/>
                    <w:tr2bl w:val="nil"/>
                  </w:tcBorders>
                  <w:noWrap w:val="0"/>
                  <w:vAlign w:val="center"/>
                </w:tcPr>
                <w:p w14:paraId="7B22C26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46</w:t>
                  </w:r>
                </w:p>
              </w:tc>
              <w:tc>
                <w:tcPr>
                  <w:tcW w:w="239" w:type="pct"/>
                  <w:tcBorders>
                    <w:tl2br w:val="nil"/>
                    <w:tr2bl w:val="nil"/>
                  </w:tcBorders>
                  <w:noWrap w:val="0"/>
                  <w:vAlign w:val="center"/>
                </w:tcPr>
                <w:p w14:paraId="59400B0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7B493C3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17EFA86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393" w:type="pct"/>
                  <w:tcBorders>
                    <w:tl2br w:val="nil"/>
                    <w:tr2bl w:val="nil"/>
                  </w:tcBorders>
                  <w:noWrap w:val="0"/>
                  <w:vAlign w:val="center"/>
                </w:tcPr>
                <w:p w14:paraId="3C3084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67</w:t>
                  </w:r>
                </w:p>
              </w:tc>
              <w:tc>
                <w:tcPr>
                  <w:tcW w:w="363" w:type="pct"/>
                  <w:tcBorders>
                    <w:tl2br w:val="nil"/>
                    <w:tr2bl w:val="nil"/>
                  </w:tcBorders>
                  <w:noWrap w:val="0"/>
                  <w:vAlign w:val="center"/>
                </w:tcPr>
                <w:p w14:paraId="7291BA6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349434C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52</w:t>
                  </w:r>
                </w:p>
              </w:tc>
              <w:tc>
                <w:tcPr>
                  <w:tcW w:w="288" w:type="pct"/>
                  <w:tcBorders>
                    <w:tl2br w:val="nil"/>
                    <w:tr2bl w:val="nil"/>
                  </w:tcBorders>
                  <w:noWrap w:val="0"/>
                  <w:vAlign w:val="center"/>
                </w:tcPr>
                <w:p w14:paraId="7CB7552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7D50B37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2D247E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6756E38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156" w:type="pct"/>
                  <w:vMerge w:val="continue"/>
                  <w:tcBorders>
                    <w:tl2br w:val="nil"/>
                    <w:tr2bl w:val="nil"/>
                  </w:tcBorders>
                  <w:noWrap w:val="0"/>
                  <w:vAlign w:val="center"/>
                </w:tcPr>
                <w:p w14:paraId="3A72C47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noWrap w:val="0"/>
                  <w:vAlign w:val="center"/>
                </w:tcPr>
                <w:p w14:paraId="01B489DB">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轧机1</w:t>
                  </w:r>
                </w:p>
              </w:tc>
              <w:tc>
                <w:tcPr>
                  <w:tcW w:w="363" w:type="pct"/>
                  <w:tcBorders>
                    <w:tl2br w:val="nil"/>
                    <w:tr2bl w:val="nil"/>
                  </w:tcBorders>
                  <w:noWrap w:val="0"/>
                  <w:vAlign w:val="center"/>
                </w:tcPr>
                <w:p w14:paraId="4C0F7BF3">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80</w:t>
                  </w:r>
                </w:p>
              </w:tc>
              <w:tc>
                <w:tcPr>
                  <w:tcW w:w="452" w:type="pct"/>
                  <w:vMerge w:val="continue"/>
                  <w:tcBorders>
                    <w:tl2br w:val="nil"/>
                    <w:tr2bl w:val="nil"/>
                  </w:tcBorders>
                  <w:noWrap w:val="0"/>
                  <w:vAlign w:val="center"/>
                </w:tcPr>
                <w:p w14:paraId="1648C0B2">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jc w:val="center"/>
                    <w:textAlignment w:val="auto"/>
                    <w:rPr>
                      <w:rFonts w:hint="default"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1C36E6E4">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30</w:t>
                  </w:r>
                </w:p>
              </w:tc>
              <w:tc>
                <w:tcPr>
                  <w:tcW w:w="247" w:type="pct"/>
                  <w:tcBorders>
                    <w:tl2br w:val="nil"/>
                    <w:tr2bl w:val="nil"/>
                  </w:tcBorders>
                  <w:noWrap w:val="0"/>
                  <w:vAlign w:val="center"/>
                </w:tcPr>
                <w:p w14:paraId="2E29917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46</w:t>
                  </w:r>
                </w:p>
              </w:tc>
              <w:tc>
                <w:tcPr>
                  <w:tcW w:w="239" w:type="pct"/>
                  <w:tcBorders>
                    <w:tl2br w:val="nil"/>
                    <w:tr2bl w:val="nil"/>
                  </w:tcBorders>
                  <w:noWrap w:val="0"/>
                  <w:vAlign w:val="center"/>
                </w:tcPr>
                <w:p w14:paraId="1FE39D9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3861BB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6C15EAE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393" w:type="pct"/>
                  <w:tcBorders>
                    <w:tl2br w:val="nil"/>
                    <w:tr2bl w:val="nil"/>
                  </w:tcBorders>
                  <w:noWrap w:val="0"/>
                  <w:vAlign w:val="center"/>
                </w:tcPr>
                <w:p w14:paraId="0FB42A9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67</w:t>
                  </w:r>
                </w:p>
              </w:tc>
              <w:tc>
                <w:tcPr>
                  <w:tcW w:w="363" w:type="pct"/>
                  <w:tcBorders>
                    <w:tl2br w:val="nil"/>
                    <w:tr2bl w:val="nil"/>
                  </w:tcBorders>
                  <w:noWrap w:val="0"/>
                  <w:vAlign w:val="center"/>
                </w:tcPr>
                <w:p w14:paraId="283A04F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04DF5B8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52</w:t>
                  </w:r>
                </w:p>
              </w:tc>
              <w:tc>
                <w:tcPr>
                  <w:tcW w:w="288" w:type="pct"/>
                  <w:tcBorders>
                    <w:tl2br w:val="nil"/>
                    <w:tr2bl w:val="nil"/>
                  </w:tcBorders>
                  <w:noWrap w:val="0"/>
                  <w:vAlign w:val="center"/>
                </w:tcPr>
                <w:p w14:paraId="6E1D3EE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03D5507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26E40B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24935A4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156" w:type="pct"/>
                  <w:vMerge w:val="continue"/>
                  <w:tcBorders>
                    <w:tl2br w:val="nil"/>
                    <w:tr2bl w:val="nil"/>
                  </w:tcBorders>
                  <w:noWrap w:val="0"/>
                  <w:vAlign w:val="center"/>
                </w:tcPr>
                <w:p w14:paraId="3D4069E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noWrap w:val="0"/>
                  <w:vAlign w:val="center"/>
                </w:tcPr>
                <w:p w14:paraId="0019A67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轧机2</w:t>
                  </w:r>
                </w:p>
              </w:tc>
              <w:tc>
                <w:tcPr>
                  <w:tcW w:w="363" w:type="pct"/>
                  <w:tcBorders>
                    <w:tl2br w:val="nil"/>
                    <w:tr2bl w:val="nil"/>
                  </w:tcBorders>
                  <w:noWrap w:val="0"/>
                  <w:vAlign w:val="center"/>
                </w:tcPr>
                <w:p w14:paraId="090BA4E1">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80</w:t>
                  </w:r>
                </w:p>
              </w:tc>
              <w:tc>
                <w:tcPr>
                  <w:tcW w:w="452" w:type="pct"/>
                  <w:vMerge w:val="continue"/>
                  <w:tcBorders>
                    <w:tl2br w:val="nil"/>
                    <w:tr2bl w:val="nil"/>
                  </w:tcBorders>
                  <w:noWrap w:val="0"/>
                  <w:vAlign w:val="center"/>
                </w:tcPr>
                <w:p w14:paraId="5EAC5DD7">
                  <w:pPr>
                    <w:keepNext w:val="0"/>
                    <w:keepLines w:val="0"/>
                    <w:widowControl/>
                    <w:suppressLineNumbers w:val="0"/>
                    <w:jc w:val="center"/>
                    <w:rPr>
                      <w:rFonts w:hint="default"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0E04C2E1">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33</w:t>
                  </w:r>
                </w:p>
              </w:tc>
              <w:tc>
                <w:tcPr>
                  <w:tcW w:w="247" w:type="pct"/>
                  <w:tcBorders>
                    <w:tl2br w:val="nil"/>
                    <w:tr2bl w:val="nil"/>
                  </w:tcBorders>
                  <w:noWrap w:val="0"/>
                  <w:vAlign w:val="center"/>
                </w:tcPr>
                <w:p w14:paraId="2D1C159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46</w:t>
                  </w:r>
                </w:p>
              </w:tc>
              <w:tc>
                <w:tcPr>
                  <w:tcW w:w="239" w:type="pct"/>
                  <w:tcBorders>
                    <w:tl2br w:val="nil"/>
                    <w:tr2bl w:val="nil"/>
                  </w:tcBorders>
                  <w:noWrap w:val="0"/>
                  <w:vAlign w:val="center"/>
                </w:tcPr>
                <w:p w14:paraId="7FD2AE2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032843C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2F53DE7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393" w:type="pct"/>
                  <w:tcBorders>
                    <w:tl2br w:val="nil"/>
                    <w:tr2bl w:val="nil"/>
                  </w:tcBorders>
                  <w:noWrap w:val="0"/>
                  <w:vAlign w:val="center"/>
                </w:tcPr>
                <w:p w14:paraId="585239A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67</w:t>
                  </w:r>
                </w:p>
              </w:tc>
              <w:tc>
                <w:tcPr>
                  <w:tcW w:w="363" w:type="pct"/>
                  <w:tcBorders>
                    <w:tl2br w:val="nil"/>
                    <w:tr2bl w:val="nil"/>
                  </w:tcBorders>
                  <w:noWrap w:val="0"/>
                  <w:vAlign w:val="center"/>
                </w:tcPr>
                <w:p w14:paraId="0C515CC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1582771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52</w:t>
                  </w:r>
                </w:p>
              </w:tc>
              <w:tc>
                <w:tcPr>
                  <w:tcW w:w="288" w:type="pct"/>
                  <w:tcBorders>
                    <w:tl2br w:val="nil"/>
                    <w:tr2bl w:val="nil"/>
                  </w:tcBorders>
                  <w:noWrap w:val="0"/>
                  <w:vAlign w:val="center"/>
                </w:tcPr>
                <w:p w14:paraId="09F5C8F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7AD2754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29A3BA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75AC559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156" w:type="pct"/>
                  <w:vMerge w:val="continue"/>
                  <w:tcBorders>
                    <w:tl2br w:val="nil"/>
                    <w:tr2bl w:val="nil"/>
                  </w:tcBorders>
                  <w:noWrap w:val="0"/>
                  <w:vAlign w:val="center"/>
                </w:tcPr>
                <w:p w14:paraId="5605810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noWrap w:val="0"/>
                  <w:vAlign w:val="center"/>
                </w:tcPr>
                <w:p w14:paraId="13D8C3FE">
                  <w:pPr>
                    <w:jc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激光切割机</w:t>
                  </w:r>
                </w:p>
              </w:tc>
              <w:tc>
                <w:tcPr>
                  <w:tcW w:w="363" w:type="pct"/>
                  <w:tcBorders>
                    <w:tl2br w:val="nil"/>
                    <w:tr2bl w:val="nil"/>
                  </w:tcBorders>
                  <w:noWrap w:val="0"/>
                  <w:vAlign w:val="center"/>
                </w:tcPr>
                <w:p w14:paraId="5C5A86DC">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80</w:t>
                  </w:r>
                </w:p>
              </w:tc>
              <w:tc>
                <w:tcPr>
                  <w:tcW w:w="452" w:type="pct"/>
                  <w:vMerge w:val="continue"/>
                  <w:tcBorders>
                    <w:tl2br w:val="nil"/>
                    <w:tr2bl w:val="nil"/>
                  </w:tcBorders>
                  <w:noWrap w:val="0"/>
                  <w:vAlign w:val="center"/>
                </w:tcPr>
                <w:p w14:paraId="724C16DA">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1B994353">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36</w:t>
                  </w:r>
                </w:p>
              </w:tc>
              <w:tc>
                <w:tcPr>
                  <w:tcW w:w="247" w:type="pct"/>
                  <w:tcBorders>
                    <w:tl2br w:val="nil"/>
                    <w:tr2bl w:val="nil"/>
                  </w:tcBorders>
                  <w:noWrap w:val="0"/>
                  <w:vAlign w:val="center"/>
                </w:tcPr>
                <w:p w14:paraId="6976A5B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46</w:t>
                  </w:r>
                </w:p>
              </w:tc>
              <w:tc>
                <w:tcPr>
                  <w:tcW w:w="239" w:type="pct"/>
                  <w:tcBorders>
                    <w:tl2br w:val="nil"/>
                    <w:tr2bl w:val="nil"/>
                  </w:tcBorders>
                  <w:noWrap w:val="0"/>
                  <w:vAlign w:val="center"/>
                </w:tcPr>
                <w:p w14:paraId="38B04ED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45F3071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3072BEC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393" w:type="pct"/>
                  <w:tcBorders>
                    <w:tl2br w:val="nil"/>
                    <w:tr2bl w:val="nil"/>
                  </w:tcBorders>
                  <w:noWrap w:val="0"/>
                  <w:vAlign w:val="center"/>
                </w:tcPr>
                <w:p w14:paraId="708AA21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67</w:t>
                  </w:r>
                </w:p>
              </w:tc>
              <w:tc>
                <w:tcPr>
                  <w:tcW w:w="363" w:type="pct"/>
                  <w:tcBorders>
                    <w:tl2br w:val="nil"/>
                    <w:tr2bl w:val="nil"/>
                  </w:tcBorders>
                  <w:noWrap w:val="0"/>
                  <w:vAlign w:val="center"/>
                </w:tcPr>
                <w:p w14:paraId="10603D3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63270BC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52</w:t>
                  </w:r>
                </w:p>
              </w:tc>
              <w:tc>
                <w:tcPr>
                  <w:tcW w:w="288" w:type="pct"/>
                  <w:tcBorders>
                    <w:tl2br w:val="nil"/>
                    <w:tr2bl w:val="nil"/>
                  </w:tcBorders>
                  <w:noWrap w:val="0"/>
                  <w:vAlign w:val="center"/>
                </w:tcPr>
                <w:p w14:paraId="374E92E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58FEE02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7D78E5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4115EE0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w:t>
                  </w:r>
                </w:p>
              </w:tc>
              <w:tc>
                <w:tcPr>
                  <w:tcW w:w="156" w:type="pct"/>
                  <w:vMerge w:val="continue"/>
                  <w:tcBorders>
                    <w:tl2br w:val="nil"/>
                    <w:tr2bl w:val="nil"/>
                  </w:tcBorders>
                  <w:noWrap w:val="0"/>
                  <w:vAlign w:val="center"/>
                </w:tcPr>
                <w:p w14:paraId="0A71DB9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noWrap w:val="0"/>
                  <w:vAlign w:val="center"/>
                </w:tcPr>
                <w:p w14:paraId="14E4A1E1">
                  <w:pPr>
                    <w:jc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车床</w:t>
                  </w:r>
                </w:p>
              </w:tc>
              <w:tc>
                <w:tcPr>
                  <w:tcW w:w="363" w:type="pct"/>
                  <w:tcBorders>
                    <w:tl2br w:val="nil"/>
                    <w:tr2bl w:val="nil"/>
                  </w:tcBorders>
                  <w:noWrap w:val="0"/>
                  <w:vAlign w:val="center"/>
                </w:tcPr>
                <w:p w14:paraId="197BD102">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80</w:t>
                  </w:r>
                </w:p>
              </w:tc>
              <w:tc>
                <w:tcPr>
                  <w:tcW w:w="452" w:type="pct"/>
                  <w:vMerge w:val="continue"/>
                  <w:tcBorders>
                    <w:tl2br w:val="nil"/>
                    <w:tr2bl w:val="nil"/>
                  </w:tcBorders>
                  <w:noWrap w:val="0"/>
                  <w:vAlign w:val="center"/>
                </w:tcPr>
                <w:p w14:paraId="22629652">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1D891199">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40</w:t>
                  </w:r>
                </w:p>
              </w:tc>
              <w:tc>
                <w:tcPr>
                  <w:tcW w:w="247" w:type="pct"/>
                  <w:tcBorders>
                    <w:tl2br w:val="nil"/>
                    <w:tr2bl w:val="nil"/>
                  </w:tcBorders>
                  <w:noWrap w:val="0"/>
                  <w:vAlign w:val="center"/>
                </w:tcPr>
                <w:p w14:paraId="2D9177B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46</w:t>
                  </w:r>
                </w:p>
              </w:tc>
              <w:tc>
                <w:tcPr>
                  <w:tcW w:w="239" w:type="pct"/>
                  <w:tcBorders>
                    <w:tl2br w:val="nil"/>
                    <w:tr2bl w:val="nil"/>
                  </w:tcBorders>
                  <w:noWrap w:val="0"/>
                  <w:vAlign w:val="center"/>
                </w:tcPr>
                <w:p w14:paraId="1F0B02D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35A538C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0C1A4B2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393" w:type="pct"/>
                  <w:tcBorders>
                    <w:tl2br w:val="nil"/>
                    <w:tr2bl w:val="nil"/>
                  </w:tcBorders>
                  <w:noWrap w:val="0"/>
                  <w:vAlign w:val="center"/>
                </w:tcPr>
                <w:p w14:paraId="188E31D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67</w:t>
                  </w:r>
                </w:p>
              </w:tc>
              <w:tc>
                <w:tcPr>
                  <w:tcW w:w="363" w:type="pct"/>
                  <w:tcBorders>
                    <w:tl2br w:val="nil"/>
                    <w:tr2bl w:val="nil"/>
                  </w:tcBorders>
                  <w:noWrap w:val="0"/>
                  <w:vAlign w:val="center"/>
                </w:tcPr>
                <w:p w14:paraId="09F8348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60597CA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52</w:t>
                  </w:r>
                </w:p>
              </w:tc>
              <w:tc>
                <w:tcPr>
                  <w:tcW w:w="288" w:type="pct"/>
                  <w:tcBorders>
                    <w:tl2br w:val="nil"/>
                    <w:tr2bl w:val="nil"/>
                  </w:tcBorders>
                  <w:noWrap w:val="0"/>
                  <w:vAlign w:val="center"/>
                </w:tcPr>
                <w:p w14:paraId="0CAD926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754C49D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12070C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20D2857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w:t>
                  </w:r>
                </w:p>
              </w:tc>
              <w:tc>
                <w:tcPr>
                  <w:tcW w:w="156" w:type="pct"/>
                  <w:vMerge w:val="continue"/>
                  <w:tcBorders>
                    <w:tl2br w:val="nil"/>
                    <w:tr2bl w:val="nil"/>
                  </w:tcBorders>
                  <w:noWrap w:val="0"/>
                  <w:vAlign w:val="center"/>
                </w:tcPr>
                <w:p w14:paraId="1565ED6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noWrap w:val="0"/>
                  <w:vAlign w:val="center"/>
                </w:tcPr>
                <w:p w14:paraId="7BAB8DA1">
                  <w:pPr>
                    <w:jc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剪板机</w:t>
                  </w:r>
                </w:p>
              </w:tc>
              <w:tc>
                <w:tcPr>
                  <w:tcW w:w="363" w:type="pct"/>
                  <w:tcBorders>
                    <w:tl2br w:val="nil"/>
                    <w:tr2bl w:val="nil"/>
                  </w:tcBorders>
                  <w:noWrap w:val="0"/>
                  <w:vAlign w:val="center"/>
                </w:tcPr>
                <w:p w14:paraId="237B5BA2">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85</w:t>
                  </w:r>
                </w:p>
              </w:tc>
              <w:tc>
                <w:tcPr>
                  <w:tcW w:w="452" w:type="pct"/>
                  <w:vMerge w:val="continue"/>
                  <w:tcBorders>
                    <w:tl2br w:val="nil"/>
                    <w:tr2bl w:val="nil"/>
                  </w:tcBorders>
                  <w:noWrap w:val="0"/>
                  <w:vAlign w:val="center"/>
                </w:tcPr>
                <w:p w14:paraId="6861AE87">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68C0D629">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30</w:t>
                  </w:r>
                </w:p>
              </w:tc>
              <w:tc>
                <w:tcPr>
                  <w:tcW w:w="247" w:type="pct"/>
                  <w:tcBorders>
                    <w:tl2br w:val="nil"/>
                    <w:tr2bl w:val="nil"/>
                  </w:tcBorders>
                  <w:noWrap w:val="0"/>
                  <w:vAlign w:val="center"/>
                </w:tcPr>
                <w:p w14:paraId="6341426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w:t>
                  </w:r>
                </w:p>
              </w:tc>
              <w:tc>
                <w:tcPr>
                  <w:tcW w:w="239" w:type="pct"/>
                  <w:tcBorders>
                    <w:tl2br w:val="nil"/>
                    <w:tr2bl w:val="nil"/>
                  </w:tcBorders>
                  <w:noWrap w:val="0"/>
                  <w:vAlign w:val="center"/>
                </w:tcPr>
                <w:p w14:paraId="60A4701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6C6074B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0B5A3B1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w:t>
                  </w:r>
                </w:p>
              </w:tc>
              <w:tc>
                <w:tcPr>
                  <w:tcW w:w="393" w:type="pct"/>
                  <w:tcBorders>
                    <w:tl2br w:val="nil"/>
                    <w:tr2bl w:val="nil"/>
                  </w:tcBorders>
                  <w:noWrap w:val="0"/>
                  <w:vAlign w:val="center"/>
                </w:tcPr>
                <w:p w14:paraId="42502A5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71</w:t>
                  </w:r>
                </w:p>
              </w:tc>
              <w:tc>
                <w:tcPr>
                  <w:tcW w:w="363" w:type="pct"/>
                  <w:tcBorders>
                    <w:tl2br w:val="nil"/>
                    <w:tr2bl w:val="nil"/>
                  </w:tcBorders>
                  <w:noWrap w:val="0"/>
                  <w:vAlign w:val="center"/>
                </w:tcPr>
                <w:p w14:paraId="73193A3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40175FF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56</w:t>
                  </w:r>
                </w:p>
              </w:tc>
              <w:tc>
                <w:tcPr>
                  <w:tcW w:w="288" w:type="pct"/>
                  <w:tcBorders>
                    <w:tl2br w:val="nil"/>
                    <w:tr2bl w:val="nil"/>
                  </w:tcBorders>
                  <w:noWrap w:val="0"/>
                  <w:vAlign w:val="center"/>
                </w:tcPr>
                <w:p w14:paraId="70800D1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0C9E146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4561C0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7D8673B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w:t>
                  </w:r>
                </w:p>
              </w:tc>
              <w:tc>
                <w:tcPr>
                  <w:tcW w:w="156" w:type="pct"/>
                  <w:vMerge w:val="continue"/>
                  <w:tcBorders>
                    <w:tl2br w:val="nil"/>
                    <w:tr2bl w:val="nil"/>
                  </w:tcBorders>
                  <w:noWrap w:val="0"/>
                  <w:vAlign w:val="center"/>
                </w:tcPr>
                <w:p w14:paraId="74279D9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noWrap w:val="0"/>
                  <w:vAlign w:val="center"/>
                </w:tcPr>
                <w:p w14:paraId="7DD27E10">
                  <w:pPr>
                    <w:jc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油压机</w:t>
                  </w:r>
                </w:p>
              </w:tc>
              <w:tc>
                <w:tcPr>
                  <w:tcW w:w="363" w:type="pct"/>
                  <w:tcBorders>
                    <w:tl2br w:val="nil"/>
                    <w:tr2bl w:val="nil"/>
                  </w:tcBorders>
                  <w:noWrap w:val="0"/>
                  <w:vAlign w:val="center"/>
                </w:tcPr>
                <w:p w14:paraId="012A2631">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85</w:t>
                  </w:r>
                </w:p>
              </w:tc>
              <w:tc>
                <w:tcPr>
                  <w:tcW w:w="452" w:type="pct"/>
                  <w:vMerge w:val="continue"/>
                  <w:tcBorders>
                    <w:tl2br w:val="nil"/>
                    <w:tr2bl w:val="nil"/>
                  </w:tcBorders>
                  <w:noWrap w:val="0"/>
                  <w:vAlign w:val="center"/>
                </w:tcPr>
                <w:p w14:paraId="0EB3AABB">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4715F6DC">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30</w:t>
                  </w:r>
                </w:p>
              </w:tc>
              <w:tc>
                <w:tcPr>
                  <w:tcW w:w="247" w:type="pct"/>
                  <w:tcBorders>
                    <w:tl2br w:val="nil"/>
                    <w:tr2bl w:val="nil"/>
                  </w:tcBorders>
                  <w:noWrap w:val="0"/>
                  <w:vAlign w:val="center"/>
                </w:tcPr>
                <w:p w14:paraId="7F1AF12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w:t>
                  </w:r>
                </w:p>
              </w:tc>
              <w:tc>
                <w:tcPr>
                  <w:tcW w:w="239" w:type="pct"/>
                  <w:tcBorders>
                    <w:tl2br w:val="nil"/>
                    <w:tr2bl w:val="nil"/>
                  </w:tcBorders>
                  <w:noWrap w:val="0"/>
                  <w:vAlign w:val="center"/>
                </w:tcPr>
                <w:p w14:paraId="407A5B6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380D196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3C5543A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w:t>
                  </w:r>
                </w:p>
              </w:tc>
              <w:tc>
                <w:tcPr>
                  <w:tcW w:w="393" w:type="pct"/>
                  <w:tcBorders>
                    <w:tl2br w:val="nil"/>
                    <w:tr2bl w:val="nil"/>
                  </w:tcBorders>
                  <w:noWrap w:val="0"/>
                  <w:vAlign w:val="center"/>
                </w:tcPr>
                <w:p w14:paraId="1D9FCB3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71</w:t>
                  </w:r>
                </w:p>
              </w:tc>
              <w:tc>
                <w:tcPr>
                  <w:tcW w:w="363" w:type="pct"/>
                  <w:tcBorders>
                    <w:tl2br w:val="nil"/>
                    <w:tr2bl w:val="nil"/>
                  </w:tcBorders>
                  <w:noWrap w:val="0"/>
                  <w:vAlign w:val="center"/>
                </w:tcPr>
                <w:p w14:paraId="419CC2C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022B5D8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56</w:t>
                  </w:r>
                </w:p>
              </w:tc>
              <w:tc>
                <w:tcPr>
                  <w:tcW w:w="288" w:type="pct"/>
                  <w:tcBorders>
                    <w:tl2br w:val="nil"/>
                    <w:tr2bl w:val="nil"/>
                  </w:tcBorders>
                  <w:noWrap w:val="0"/>
                  <w:vAlign w:val="center"/>
                </w:tcPr>
                <w:p w14:paraId="3FBCBAD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27F9702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3C8A93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0540EE9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p>
              </w:tc>
              <w:tc>
                <w:tcPr>
                  <w:tcW w:w="156" w:type="pct"/>
                  <w:vMerge w:val="continue"/>
                  <w:tcBorders>
                    <w:tl2br w:val="nil"/>
                    <w:tr2bl w:val="nil"/>
                  </w:tcBorders>
                  <w:noWrap w:val="0"/>
                  <w:vAlign w:val="center"/>
                </w:tcPr>
                <w:p w14:paraId="1B98AB6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noWrap w:val="0"/>
                  <w:vAlign w:val="center"/>
                </w:tcPr>
                <w:p w14:paraId="0C5FFE3F">
                  <w:pPr>
                    <w:keepNext w:val="0"/>
                    <w:keepLines w:val="0"/>
                    <w:widowControl/>
                    <w:suppressLineNumbers w:val="0"/>
                    <w:jc w:val="center"/>
                    <w:textAlignment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手持修磨机1</w:t>
                  </w:r>
                </w:p>
              </w:tc>
              <w:tc>
                <w:tcPr>
                  <w:tcW w:w="363" w:type="pct"/>
                  <w:tcBorders>
                    <w:tl2br w:val="nil"/>
                    <w:tr2bl w:val="nil"/>
                  </w:tcBorders>
                  <w:noWrap w:val="0"/>
                  <w:vAlign w:val="center"/>
                </w:tcPr>
                <w:p w14:paraId="22823E00">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85</w:t>
                  </w:r>
                </w:p>
              </w:tc>
              <w:tc>
                <w:tcPr>
                  <w:tcW w:w="452" w:type="pct"/>
                  <w:vMerge w:val="restart"/>
                  <w:tcBorders>
                    <w:tl2br w:val="nil"/>
                    <w:tr2bl w:val="nil"/>
                  </w:tcBorders>
                  <w:noWrap w:val="0"/>
                  <w:vAlign w:val="center"/>
                </w:tcPr>
                <w:p w14:paraId="081C4F7F">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t>减振沟</w:t>
                  </w:r>
                  <w:r>
                    <w:rPr>
                      <w:rFonts w:hint="eastAsia" w:cs="Times New Roman"/>
                      <w:snapToGrid w:val="0"/>
                      <w:color w:val="000000" w:themeColor="text1"/>
                      <w:kern w:val="2"/>
                      <w:sz w:val="21"/>
                      <w:szCs w:val="21"/>
                      <w:highlight w:val="none"/>
                      <w:lang w:val="en-US" w:eastAsia="zh-CN" w:bidi="ar-SA"/>
                      <w14:textFill>
                        <w14:solidFill>
                          <w14:schemeClr w14:val="tx1"/>
                        </w14:solidFill>
                      </w14:textFill>
                    </w:rPr>
                    <w:t>、独立减振</w:t>
                  </w:r>
                </w:p>
              </w:tc>
              <w:tc>
                <w:tcPr>
                  <w:tcW w:w="278" w:type="pct"/>
                  <w:tcBorders>
                    <w:tl2br w:val="nil"/>
                    <w:tr2bl w:val="nil"/>
                  </w:tcBorders>
                  <w:noWrap w:val="0"/>
                  <w:vAlign w:val="center"/>
                </w:tcPr>
                <w:p w14:paraId="391EA560">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28</w:t>
                  </w:r>
                </w:p>
              </w:tc>
              <w:tc>
                <w:tcPr>
                  <w:tcW w:w="247" w:type="pct"/>
                  <w:tcBorders>
                    <w:tl2br w:val="nil"/>
                    <w:tr2bl w:val="nil"/>
                  </w:tcBorders>
                  <w:noWrap w:val="0"/>
                  <w:vAlign w:val="center"/>
                </w:tcPr>
                <w:p w14:paraId="042816B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p>
              </w:tc>
              <w:tc>
                <w:tcPr>
                  <w:tcW w:w="239" w:type="pct"/>
                  <w:tcBorders>
                    <w:tl2br w:val="nil"/>
                    <w:tr2bl w:val="nil"/>
                  </w:tcBorders>
                  <w:noWrap w:val="0"/>
                  <w:vAlign w:val="center"/>
                </w:tcPr>
                <w:p w14:paraId="7C19A83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1BCA5B6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7ACF3E4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p>
              </w:tc>
              <w:tc>
                <w:tcPr>
                  <w:tcW w:w="393" w:type="pct"/>
                  <w:tcBorders>
                    <w:tl2br w:val="nil"/>
                    <w:tr2bl w:val="nil"/>
                  </w:tcBorders>
                  <w:noWrap w:val="0"/>
                  <w:vAlign w:val="center"/>
                </w:tcPr>
                <w:p w14:paraId="29CB674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w:t>
                  </w:r>
                </w:p>
              </w:tc>
              <w:tc>
                <w:tcPr>
                  <w:tcW w:w="363" w:type="pct"/>
                  <w:tcBorders>
                    <w:tl2br w:val="nil"/>
                    <w:tr2bl w:val="nil"/>
                  </w:tcBorders>
                  <w:noWrap w:val="0"/>
                  <w:vAlign w:val="center"/>
                </w:tcPr>
                <w:p w14:paraId="2F73574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6102B1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50</w:t>
                  </w:r>
                </w:p>
              </w:tc>
              <w:tc>
                <w:tcPr>
                  <w:tcW w:w="288" w:type="pct"/>
                  <w:tcBorders>
                    <w:tl2br w:val="nil"/>
                    <w:tr2bl w:val="nil"/>
                  </w:tcBorders>
                  <w:noWrap w:val="0"/>
                  <w:vAlign w:val="center"/>
                </w:tcPr>
                <w:p w14:paraId="6D4C67B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29C2F22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5F640D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58E8F82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w:t>
                  </w:r>
                </w:p>
              </w:tc>
              <w:tc>
                <w:tcPr>
                  <w:tcW w:w="156" w:type="pct"/>
                  <w:vMerge w:val="continue"/>
                  <w:tcBorders>
                    <w:tl2br w:val="nil"/>
                    <w:tr2bl w:val="nil"/>
                  </w:tcBorders>
                  <w:noWrap w:val="0"/>
                  <w:vAlign w:val="center"/>
                </w:tcPr>
                <w:p w14:paraId="7A790EB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shd w:val="clear" w:color="auto" w:fill="auto"/>
                  <w:noWrap w:val="0"/>
                  <w:vAlign w:val="center"/>
                </w:tcPr>
                <w:p w14:paraId="2011BE48">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手持修磨机2</w:t>
                  </w:r>
                </w:p>
              </w:tc>
              <w:tc>
                <w:tcPr>
                  <w:tcW w:w="363" w:type="pct"/>
                  <w:tcBorders>
                    <w:tl2br w:val="nil"/>
                    <w:tr2bl w:val="nil"/>
                  </w:tcBorders>
                  <w:noWrap w:val="0"/>
                  <w:vAlign w:val="center"/>
                </w:tcPr>
                <w:p w14:paraId="7B76977A">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85</w:t>
                  </w:r>
                </w:p>
              </w:tc>
              <w:tc>
                <w:tcPr>
                  <w:tcW w:w="452" w:type="pct"/>
                  <w:vMerge w:val="continue"/>
                  <w:tcBorders>
                    <w:tl2br w:val="nil"/>
                    <w:tr2bl w:val="nil"/>
                  </w:tcBorders>
                  <w:noWrap w:val="0"/>
                  <w:vAlign w:val="center"/>
                </w:tcPr>
                <w:p w14:paraId="7513953B">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48B7D5E1">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28</w:t>
                  </w:r>
                </w:p>
              </w:tc>
              <w:tc>
                <w:tcPr>
                  <w:tcW w:w="247" w:type="pct"/>
                  <w:tcBorders>
                    <w:tl2br w:val="nil"/>
                    <w:tr2bl w:val="nil"/>
                  </w:tcBorders>
                  <w:noWrap w:val="0"/>
                  <w:vAlign w:val="center"/>
                </w:tcPr>
                <w:p w14:paraId="2EB5954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w:t>
                  </w:r>
                </w:p>
              </w:tc>
              <w:tc>
                <w:tcPr>
                  <w:tcW w:w="239" w:type="pct"/>
                  <w:tcBorders>
                    <w:tl2br w:val="nil"/>
                    <w:tr2bl w:val="nil"/>
                  </w:tcBorders>
                  <w:noWrap w:val="0"/>
                  <w:vAlign w:val="center"/>
                </w:tcPr>
                <w:p w14:paraId="5713E77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3DF60BB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0101CD3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w:t>
                  </w:r>
                </w:p>
              </w:tc>
              <w:tc>
                <w:tcPr>
                  <w:tcW w:w="393" w:type="pct"/>
                  <w:tcBorders>
                    <w:tl2br w:val="nil"/>
                    <w:tr2bl w:val="nil"/>
                  </w:tcBorders>
                  <w:noWrap w:val="0"/>
                  <w:vAlign w:val="center"/>
                </w:tcPr>
                <w:p w14:paraId="27B5C83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63</w:t>
                  </w:r>
                </w:p>
              </w:tc>
              <w:tc>
                <w:tcPr>
                  <w:tcW w:w="363" w:type="pct"/>
                  <w:tcBorders>
                    <w:tl2br w:val="nil"/>
                    <w:tr2bl w:val="nil"/>
                  </w:tcBorders>
                  <w:noWrap w:val="0"/>
                  <w:vAlign w:val="center"/>
                </w:tcPr>
                <w:p w14:paraId="69AF2DA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70EDD8B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48</w:t>
                  </w:r>
                </w:p>
              </w:tc>
              <w:tc>
                <w:tcPr>
                  <w:tcW w:w="288" w:type="pct"/>
                  <w:tcBorders>
                    <w:tl2br w:val="nil"/>
                    <w:tr2bl w:val="nil"/>
                  </w:tcBorders>
                  <w:noWrap w:val="0"/>
                  <w:vAlign w:val="center"/>
                </w:tcPr>
                <w:p w14:paraId="2DDFFC8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2EB62DF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63E98D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7286123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w:t>
                  </w:r>
                </w:p>
              </w:tc>
              <w:tc>
                <w:tcPr>
                  <w:tcW w:w="156" w:type="pct"/>
                  <w:vMerge w:val="continue"/>
                  <w:tcBorders>
                    <w:tl2br w:val="nil"/>
                    <w:tr2bl w:val="nil"/>
                  </w:tcBorders>
                  <w:noWrap w:val="0"/>
                  <w:vAlign w:val="center"/>
                </w:tcPr>
                <w:p w14:paraId="1FD24DC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shd w:val="clear" w:color="auto" w:fill="auto"/>
                  <w:noWrap w:val="0"/>
                  <w:vAlign w:val="center"/>
                </w:tcPr>
                <w:p w14:paraId="344D303A">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手持修磨机3</w:t>
                  </w:r>
                </w:p>
              </w:tc>
              <w:tc>
                <w:tcPr>
                  <w:tcW w:w="363" w:type="pct"/>
                  <w:tcBorders>
                    <w:tl2br w:val="nil"/>
                    <w:tr2bl w:val="nil"/>
                  </w:tcBorders>
                  <w:noWrap w:val="0"/>
                  <w:vAlign w:val="center"/>
                </w:tcPr>
                <w:p w14:paraId="58D6B628">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85</w:t>
                  </w:r>
                </w:p>
              </w:tc>
              <w:tc>
                <w:tcPr>
                  <w:tcW w:w="452" w:type="pct"/>
                  <w:vMerge w:val="continue"/>
                  <w:tcBorders>
                    <w:tl2br w:val="nil"/>
                    <w:tr2bl w:val="nil"/>
                  </w:tcBorders>
                  <w:noWrap w:val="0"/>
                  <w:vAlign w:val="center"/>
                </w:tcPr>
                <w:p w14:paraId="7BFEC1D1">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28853631">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28</w:t>
                  </w:r>
                </w:p>
              </w:tc>
              <w:tc>
                <w:tcPr>
                  <w:tcW w:w="247" w:type="pct"/>
                  <w:tcBorders>
                    <w:tl2br w:val="nil"/>
                    <w:tr2bl w:val="nil"/>
                  </w:tcBorders>
                  <w:noWrap w:val="0"/>
                  <w:vAlign w:val="center"/>
                </w:tcPr>
                <w:p w14:paraId="2B71D64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14</w:t>
                  </w:r>
                </w:p>
              </w:tc>
              <w:tc>
                <w:tcPr>
                  <w:tcW w:w="239" w:type="pct"/>
                  <w:tcBorders>
                    <w:tl2br w:val="nil"/>
                    <w:tr2bl w:val="nil"/>
                  </w:tcBorders>
                  <w:noWrap w:val="0"/>
                  <w:vAlign w:val="center"/>
                </w:tcPr>
                <w:p w14:paraId="6A2DB38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5601DDB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74BA0B9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14</w:t>
                  </w:r>
                </w:p>
              </w:tc>
              <w:tc>
                <w:tcPr>
                  <w:tcW w:w="393" w:type="pct"/>
                  <w:tcBorders>
                    <w:tl2br w:val="nil"/>
                    <w:tr2bl w:val="nil"/>
                  </w:tcBorders>
                  <w:noWrap w:val="0"/>
                  <w:vAlign w:val="center"/>
                </w:tcPr>
                <w:p w14:paraId="66047DA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62</w:t>
                  </w:r>
                </w:p>
              </w:tc>
              <w:tc>
                <w:tcPr>
                  <w:tcW w:w="363" w:type="pct"/>
                  <w:tcBorders>
                    <w:tl2br w:val="nil"/>
                    <w:tr2bl w:val="nil"/>
                  </w:tcBorders>
                  <w:noWrap w:val="0"/>
                  <w:vAlign w:val="center"/>
                </w:tcPr>
                <w:p w14:paraId="18369A2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62D91C4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47</w:t>
                  </w:r>
                </w:p>
              </w:tc>
              <w:tc>
                <w:tcPr>
                  <w:tcW w:w="288" w:type="pct"/>
                  <w:tcBorders>
                    <w:tl2br w:val="nil"/>
                    <w:tr2bl w:val="nil"/>
                  </w:tcBorders>
                  <w:noWrap w:val="0"/>
                  <w:vAlign w:val="center"/>
                </w:tcPr>
                <w:p w14:paraId="57A6CC5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73403BD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0D89A08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17FB95D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13</w:t>
                  </w:r>
                </w:p>
              </w:tc>
              <w:tc>
                <w:tcPr>
                  <w:tcW w:w="156" w:type="pct"/>
                  <w:vMerge w:val="continue"/>
                  <w:tcBorders>
                    <w:tl2br w:val="nil"/>
                    <w:tr2bl w:val="nil"/>
                  </w:tcBorders>
                  <w:noWrap w:val="0"/>
                  <w:vAlign w:val="center"/>
                </w:tcPr>
                <w:p w14:paraId="7B376189">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shd w:val="clear" w:color="auto" w:fill="auto"/>
                  <w:noWrap w:val="0"/>
                  <w:vAlign w:val="center"/>
                </w:tcPr>
                <w:p w14:paraId="08225C20">
                  <w:pPr>
                    <w:keepNext w:val="0"/>
                    <w:keepLines w:val="0"/>
                    <w:widowControl/>
                    <w:suppressLineNumbers w:val="0"/>
                    <w:jc w:val="center"/>
                    <w:textAlignment w:val="center"/>
                    <w:rPr>
                      <w:rFonts w:hint="default" w:ascii="Times New Roman" w:hAnsi="Times New Roman" w:eastAsia="宋体"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手持修磨机4</w:t>
                  </w:r>
                </w:p>
              </w:tc>
              <w:tc>
                <w:tcPr>
                  <w:tcW w:w="363" w:type="pct"/>
                  <w:tcBorders>
                    <w:tl2br w:val="nil"/>
                    <w:tr2bl w:val="nil"/>
                  </w:tcBorders>
                  <w:noWrap w:val="0"/>
                  <w:vAlign w:val="center"/>
                </w:tcPr>
                <w:p w14:paraId="710D71F4">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85</w:t>
                  </w:r>
                </w:p>
              </w:tc>
              <w:tc>
                <w:tcPr>
                  <w:tcW w:w="452" w:type="pct"/>
                  <w:vMerge w:val="continue"/>
                  <w:tcBorders>
                    <w:tl2br w:val="nil"/>
                    <w:tr2bl w:val="nil"/>
                  </w:tcBorders>
                  <w:noWrap w:val="0"/>
                  <w:vAlign w:val="center"/>
                </w:tcPr>
                <w:p w14:paraId="52E5BAB7">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3B8328F9">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26</w:t>
                  </w:r>
                </w:p>
              </w:tc>
              <w:tc>
                <w:tcPr>
                  <w:tcW w:w="247" w:type="pct"/>
                  <w:tcBorders>
                    <w:tl2br w:val="nil"/>
                    <w:tr2bl w:val="nil"/>
                  </w:tcBorders>
                  <w:noWrap w:val="0"/>
                  <w:vAlign w:val="center"/>
                </w:tcPr>
                <w:p w14:paraId="1D9CC73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239" w:type="pct"/>
                  <w:tcBorders>
                    <w:tl2br w:val="nil"/>
                    <w:tr2bl w:val="nil"/>
                  </w:tcBorders>
                  <w:noWrap w:val="0"/>
                  <w:vAlign w:val="center"/>
                </w:tcPr>
                <w:p w14:paraId="2999E3A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6F748CE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17AB2B3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393" w:type="pct"/>
                  <w:tcBorders>
                    <w:tl2br w:val="nil"/>
                    <w:tr2bl w:val="nil"/>
                  </w:tcBorders>
                  <w:noWrap w:val="0"/>
                  <w:vAlign w:val="center"/>
                </w:tcPr>
                <w:p w14:paraId="2D80CE3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72</w:t>
                  </w:r>
                </w:p>
              </w:tc>
              <w:tc>
                <w:tcPr>
                  <w:tcW w:w="363" w:type="pct"/>
                  <w:tcBorders>
                    <w:tl2br w:val="nil"/>
                    <w:tr2bl w:val="nil"/>
                  </w:tcBorders>
                  <w:noWrap w:val="0"/>
                  <w:vAlign w:val="center"/>
                </w:tcPr>
                <w:p w14:paraId="135835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53CA6DB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57</w:t>
                  </w:r>
                </w:p>
              </w:tc>
              <w:tc>
                <w:tcPr>
                  <w:tcW w:w="288" w:type="pct"/>
                  <w:tcBorders>
                    <w:tl2br w:val="nil"/>
                    <w:tr2bl w:val="nil"/>
                  </w:tcBorders>
                  <w:noWrap w:val="0"/>
                  <w:vAlign w:val="center"/>
                </w:tcPr>
                <w:p w14:paraId="4888EB6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6CBB216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730861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02B5735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14</w:t>
                  </w:r>
                </w:p>
              </w:tc>
              <w:tc>
                <w:tcPr>
                  <w:tcW w:w="156" w:type="pct"/>
                  <w:vMerge w:val="continue"/>
                  <w:tcBorders>
                    <w:tl2br w:val="nil"/>
                    <w:tr2bl w:val="nil"/>
                  </w:tcBorders>
                  <w:noWrap w:val="0"/>
                  <w:vAlign w:val="center"/>
                </w:tcPr>
                <w:p w14:paraId="61E2D65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noWrap w:val="0"/>
                  <w:vAlign w:val="center"/>
                </w:tcPr>
                <w:p w14:paraId="1FD863FC">
                  <w:pPr>
                    <w:keepNext w:val="0"/>
                    <w:keepLines w:val="0"/>
                    <w:widowControl/>
                    <w:suppressLineNumbers w:val="0"/>
                    <w:jc w:val="center"/>
                    <w:textAlignment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b w:val="0"/>
                      <w:bCs w:val="0"/>
                      <w:i w:val="0"/>
                      <w:iCs w:val="0"/>
                      <w:color w:val="000000" w:themeColor="text1"/>
                      <w:kern w:val="0"/>
                      <w:sz w:val="21"/>
                      <w:szCs w:val="21"/>
                      <w:u w:val="none"/>
                      <w:lang w:val="en-US" w:eastAsia="zh-CN" w:bidi="ar"/>
                      <w14:textFill>
                        <w14:solidFill>
                          <w14:schemeClr w14:val="tx1"/>
                        </w14:solidFill>
                      </w14:textFill>
                    </w:rPr>
                    <w:t>台钻</w:t>
                  </w:r>
                </w:p>
              </w:tc>
              <w:tc>
                <w:tcPr>
                  <w:tcW w:w="363" w:type="pct"/>
                  <w:tcBorders>
                    <w:tl2br w:val="nil"/>
                    <w:tr2bl w:val="nil"/>
                  </w:tcBorders>
                  <w:noWrap w:val="0"/>
                  <w:vAlign w:val="center"/>
                </w:tcPr>
                <w:p w14:paraId="7B4DC853">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85</w:t>
                  </w:r>
                </w:p>
              </w:tc>
              <w:tc>
                <w:tcPr>
                  <w:tcW w:w="452" w:type="pct"/>
                  <w:vMerge w:val="continue"/>
                  <w:tcBorders>
                    <w:tl2br w:val="nil"/>
                    <w:tr2bl w:val="nil"/>
                  </w:tcBorders>
                  <w:noWrap w:val="0"/>
                  <w:vAlign w:val="center"/>
                </w:tcPr>
                <w:p w14:paraId="21EDCA89">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7F919753">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30</w:t>
                  </w:r>
                </w:p>
              </w:tc>
              <w:tc>
                <w:tcPr>
                  <w:tcW w:w="247" w:type="pct"/>
                  <w:tcBorders>
                    <w:tl2br w:val="nil"/>
                    <w:tr2bl w:val="nil"/>
                  </w:tcBorders>
                  <w:noWrap w:val="0"/>
                  <w:vAlign w:val="center"/>
                </w:tcPr>
                <w:p w14:paraId="39170E4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239" w:type="pct"/>
                  <w:tcBorders>
                    <w:tl2br w:val="nil"/>
                    <w:tr2bl w:val="nil"/>
                  </w:tcBorders>
                  <w:noWrap w:val="0"/>
                  <w:vAlign w:val="center"/>
                </w:tcPr>
                <w:p w14:paraId="1A5E8C3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661AE4B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05CCF59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393" w:type="pct"/>
                  <w:tcBorders>
                    <w:tl2br w:val="nil"/>
                    <w:tr2bl w:val="nil"/>
                  </w:tcBorders>
                  <w:noWrap w:val="0"/>
                  <w:vAlign w:val="center"/>
                </w:tcPr>
                <w:p w14:paraId="060FCA1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72</w:t>
                  </w:r>
                </w:p>
              </w:tc>
              <w:tc>
                <w:tcPr>
                  <w:tcW w:w="363" w:type="pct"/>
                  <w:tcBorders>
                    <w:tl2br w:val="nil"/>
                    <w:tr2bl w:val="nil"/>
                  </w:tcBorders>
                  <w:noWrap w:val="0"/>
                  <w:vAlign w:val="center"/>
                </w:tcPr>
                <w:p w14:paraId="298DB15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68301DB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57</w:t>
                  </w:r>
                </w:p>
              </w:tc>
              <w:tc>
                <w:tcPr>
                  <w:tcW w:w="288" w:type="pct"/>
                  <w:tcBorders>
                    <w:tl2br w:val="nil"/>
                    <w:tr2bl w:val="nil"/>
                  </w:tcBorders>
                  <w:noWrap w:val="0"/>
                  <w:vAlign w:val="center"/>
                </w:tcPr>
                <w:p w14:paraId="734ADC6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6A30043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7BD1C6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1098F3F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15</w:t>
                  </w:r>
                </w:p>
              </w:tc>
              <w:tc>
                <w:tcPr>
                  <w:tcW w:w="156" w:type="pct"/>
                  <w:vMerge w:val="continue"/>
                  <w:tcBorders>
                    <w:tl2br w:val="nil"/>
                    <w:tr2bl w:val="nil"/>
                  </w:tcBorders>
                  <w:noWrap w:val="0"/>
                  <w:vAlign w:val="center"/>
                </w:tcPr>
                <w:p w14:paraId="37BA209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noWrap w:val="0"/>
                  <w:vAlign w:val="center"/>
                </w:tcPr>
                <w:p w14:paraId="66DE34C5">
                  <w:pPr>
                    <w:jc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切割机</w:t>
                  </w:r>
                </w:p>
              </w:tc>
              <w:tc>
                <w:tcPr>
                  <w:tcW w:w="363" w:type="pct"/>
                  <w:tcBorders>
                    <w:tl2br w:val="nil"/>
                    <w:tr2bl w:val="nil"/>
                  </w:tcBorders>
                  <w:noWrap w:val="0"/>
                  <w:vAlign w:val="center"/>
                </w:tcPr>
                <w:p w14:paraId="7E79D07C">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80</w:t>
                  </w:r>
                </w:p>
              </w:tc>
              <w:tc>
                <w:tcPr>
                  <w:tcW w:w="452" w:type="pct"/>
                  <w:vMerge w:val="restart"/>
                  <w:tcBorders>
                    <w:tl2br w:val="nil"/>
                    <w:tr2bl w:val="nil"/>
                  </w:tcBorders>
                  <w:noWrap w:val="0"/>
                  <w:vAlign w:val="center"/>
                </w:tcPr>
                <w:p w14:paraId="5398577A">
                  <w:pPr>
                    <w:pStyle w:val="49"/>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t>基础</w:t>
                  </w:r>
                </w:p>
                <w:p w14:paraId="24E6490F">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t>减振</w:t>
                  </w:r>
                  <w:r>
                    <w:rPr>
                      <w:rFonts w:hint="eastAsia" w:ascii="Times New Roman" w:hAnsi="Times New Roman" w:cs="Times New Roman"/>
                      <w:snapToGrid w:val="0"/>
                      <w:color w:val="000000" w:themeColor="text1"/>
                      <w:kern w:val="2"/>
                      <w:sz w:val="21"/>
                      <w:szCs w:val="21"/>
                      <w:highlight w:val="none"/>
                      <w:lang w:val="en-US" w:eastAsia="zh-CN" w:bidi="ar-SA"/>
                      <w14:textFill>
                        <w14:solidFill>
                          <w14:schemeClr w14:val="tx1"/>
                        </w14:solidFill>
                      </w14:textFill>
                    </w:rPr>
                    <w:t>、厂房隔声、距离衰减</w:t>
                  </w:r>
                </w:p>
              </w:tc>
              <w:tc>
                <w:tcPr>
                  <w:tcW w:w="278" w:type="pct"/>
                  <w:tcBorders>
                    <w:tl2br w:val="nil"/>
                    <w:tr2bl w:val="nil"/>
                  </w:tcBorders>
                  <w:noWrap w:val="0"/>
                  <w:vAlign w:val="center"/>
                </w:tcPr>
                <w:p w14:paraId="41676738">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w:t>
                  </w:r>
                </w:p>
              </w:tc>
              <w:tc>
                <w:tcPr>
                  <w:tcW w:w="247" w:type="pct"/>
                  <w:tcBorders>
                    <w:tl2br w:val="nil"/>
                    <w:tr2bl w:val="nil"/>
                  </w:tcBorders>
                  <w:noWrap w:val="0"/>
                  <w:vAlign w:val="center"/>
                </w:tcPr>
                <w:p w14:paraId="66095F2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239" w:type="pct"/>
                  <w:tcBorders>
                    <w:tl2br w:val="nil"/>
                    <w:tr2bl w:val="nil"/>
                  </w:tcBorders>
                  <w:noWrap w:val="0"/>
                  <w:vAlign w:val="center"/>
                </w:tcPr>
                <w:p w14:paraId="3BA8D68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4B1D58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58BEEDB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w:t>
                  </w:r>
                </w:p>
              </w:tc>
              <w:tc>
                <w:tcPr>
                  <w:tcW w:w="393" w:type="pct"/>
                  <w:tcBorders>
                    <w:tl2br w:val="nil"/>
                    <w:tr2bl w:val="nil"/>
                  </w:tcBorders>
                  <w:noWrap w:val="0"/>
                  <w:vAlign w:val="center"/>
                </w:tcPr>
                <w:p w14:paraId="137659B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67</w:t>
                  </w:r>
                </w:p>
              </w:tc>
              <w:tc>
                <w:tcPr>
                  <w:tcW w:w="363" w:type="pct"/>
                  <w:tcBorders>
                    <w:tl2br w:val="nil"/>
                    <w:tr2bl w:val="nil"/>
                  </w:tcBorders>
                  <w:noWrap w:val="0"/>
                  <w:vAlign w:val="center"/>
                </w:tcPr>
                <w:p w14:paraId="0CA51E4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13529DD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52</w:t>
                  </w:r>
                </w:p>
              </w:tc>
              <w:tc>
                <w:tcPr>
                  <w:tcW w:w="288" w:type="pct"/>
                  <w:tcBorders>
                    <w:tl2br w:val="nil"/>
                    <w:tr2bl w:val="nil"/>
                  </w:tcBorders>
                  <w:noWrap w:val="0"/>
                  <w:vAlign w:val="center"/>
                </w:tcPr>
                <w:p w14:paraId="03A0A11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292488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3DE0B2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21F753D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16</w:t>
                  </w:r>
                </w:p>
              </w:tc>
              <w:tc>
                <w:tcPr>
                  <w:tcW w:w="156" w:type="pct"/>
                  <w:vMerge w:val="continue"/>
                  <w:tcBorders>
                    <w:tl2br w:val="nil"/>
                    <w:tr2bl w:val="nil"/>
                  </w:tcBorders>
                  <w:noWrap w:val="0"/>
                  <w:vAlign w:val="center"/>
                </w:tcPr>
                <w:p w14:paraId="7153EAF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noWrap w:val="0"/>
                  <w:vAlign w:val="center"/>
                </w:tcPr>
                <w:p w14:paraId="0041E684">
                  <w:pPr>
                    <w:jc w:val="center"/>
                    <w:rPr>
                      <w:rFonts w:hint="default" w:cs="Times New Roman"/>
                      <w:b w:val="0"/>
                      <w:bCs w:val="0"/>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液压机</w:t>
                  </w:r>
                </w:p>
              </w:tc>
              <w:tc>
                <w:tcPr>
                  <w:tcW w:w="363" w:type="pct"/>
                  <w:tcBorders>
                    <w:tl2br w:val="nil"/>
                    <w:tr2bl w:val="nil"/>
                  </w:tcBorders>
                  <w:noWrap w:val="0"/>
                  <w:vAlign w:val="center"/>
                </w:tcPr>
                <w:p w14:paraId="7D2F9F30">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80</w:t>
                  </w:r>
                </w:p>
              </w:tc>
              <w:tc>
                <w:tcPr>
                  <w:tcW w:w="452" w:type="pct"/>
                  <w:vMerge w:val="continue"/>
                  <w:tcBorders>
                    <w:tl2br w:val="nil"/>
                    <w:tr2bl w:val="nil"/>
                  </w:tcBorders>
                  <w:noWrap w:val="0"/>
                  <w:vAlign w:val="center"/>
                </w:tcPr>
                <w:p w14:paraId="60B7C2E7">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3F55986D">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w:t>
                  </w:r>
                </w:p>
              </w:tc>
              <w:tc>
                <w:tcPr>
                  <w:tcW w:w="247" w:type="pct"/>
                  <w:tcBorders>
                    <w:tl2br w:val="nil"/>
                    <w:tr2bl w:val="nil"/>
                  </w:tcBorders>
                  <w:noWrap w:val="0"/>
                  <w:vAlign w:val="center"/>
                </w:tcPr>
                <w:p w14:paraId="65FED80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239" w:type="pct"/>
                  <w:tcBorders>
                    <w:tl2br w:val="nil"/>
                    <w:tr2bl w:val="nil"/>
                  </w:tcBorders>
                  <w:noWrap w:val="0"/>
                  <w:vAlign w:val="center"/>
                </w:tcPr>
                <w:p w14:paraId="6294D06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6303A1B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05776A5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w:t>
                  </w:r>
                </w:p>
              </w:tc>
              <w:tc>
                <w:tcPr>
                  <w:tcW w:w="393" w:type="pct"/>
                  <w:tcBorders>
                    <w:tl2br w:val="nil"/>
                    <w:tr2bl w:val="nil"/>
                  </w:tcBorders>
                  <w:noWrap w:val="0"/>
                  <w:vAlign w:val="center"/>
                </w:tcPr>
                <w:p w14:paraId="5A0FC0F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64</w:t>
                  </w:r>
                </w:p>
              </w:tc>
              <w:tc>
                <w:tcPr>
                  <w:tcW w:w="363" w:type="pct"/>
                  <w:tcBorders>
                    <w:tl2br w:val="nil"/>
                    <w:tr2bl w:val="nil"/>
                  </w:tcBorders>
                  <w:noWrap w:val="0"/>
                  <w:vAlign w:val="center"/>
                </w:tcPr>
                <w:p w14:paraId="1D738C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1065A23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49</w:t>
                  </w:r>
                </w:p>
              </w:tc>
              <w:tc>
                <w:tcPr>
                  <w:tcW w:w="288" w:type="pct"/>
                  <w:tcBorders>
                    <w:tl2br w:val="nil"/>
                    <w:tr2bl w:val="nil"/>
                  </w:tcBorders>
                  <w:noWrap w:val="0"/>
                  <w:vAlign w:val="center"/>
                </w:tcPr>
                <w:p w14:paraId="599B4EC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1119143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5D3DDF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2E78C0F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17</w:t>
                  </w:r>
                </w:p>
              </w:tc>
              <w:tc>
                <w:tcPr>
                  <w:tcW w:w="156" w:type="pct"/>
                  <w:vMerge w:val="continue"/>
                  <w:tcBorders>
                    <w:tl2br w:val="nil"/>
                    <w:tr2bl w:val="nil"/>
                  </w:tcBorders>
                  <w:noWrap w:val="0"/>
                  <w:vAlign w:val="center"/>
                </w:tcPr>
                <w:p w14:paraId="7FB946C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shd w:val="clear" w:color="auto" w:fill="auto"/>
                  <w:noWrap w:val="0"/>
                  <w:vAlign w:val="center"/>
                </w:tcPr>
                <w:p w14:paraId="21235C27">
                  <w:pPr>
                    <w:jc w:val="cente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压片机</w:t>
                  </w:r>
                </w:p>
              </w:tc>
              <w:tc>
                <w:tcPr>
                  <w:tcW w:w="363" w:type="pct"/>
                  <w:tcBorders>
                    <w:tl2br w:val="nil"/>
                    <w:tr2bl w:val="nil"/>
                  </w:tcBorders>
                  <w:shd w:val="clear" w:color="auto" w:fill="auto"/>
                  <w:noWrap w:val="0"/>
                  <w:vAlign w:val="center"/>
                </w:tcPr>
                <w:p w14:paraId="61B06944">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85</w:t>
                  </w:r>
                </w:p>
              </w:tc>
              <w:tc>
                <w:tcPr>
                  <w:tcW w:w="452" w:type="pct"/>
                  <w:vMerge w:val="continue"/>
                  <w:tcBorders>
                    <w:tl2br w:val="nil"/>
                    <w:tr2bl w:val="nil"/>
                  </w:tcBorders>
                  <w:noWrap w:val="0"/>
                  <w:vAlign w:val="center"/>
                </w:tcPr>
                <w:p w14:paraId="57970C5B">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20E35931">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15</w:t>
                  </w:r>
                </w:p>
              </w:tc>
              <w:tc>
                <w:tcPr>
                  <w:tcW w:w="247" w:type="pct"/>
                  <w:tcBorders>
                    <w:tl2br w:val="nil"/>
                    <w:tr2bl w:val="nil"/>
                  </w:tcBorders>
                  <w:noWrap w:val="0"/>
                  <w:vAlign w:val="center"/>
                </w:tcPr>
                <w:p w14:paraId="2818FD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p>
              </w:tc>
              <w:tc>
                <w:tcPr>
                  <w:tcW w:w="239" w:type="pct"/>
                  <w:tcBorders>
                    <w:tl2br w:val="nil"/>
                    <w:tr2bl w:val="nil"/>
                  </w:tcBorders>
                  <w:noWrap w:val="0"/>
                  <w:vAlign w:val="center"/>
                </w:tcPr>
                <w:p w14:paraId="68DFEAA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5B70DDC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1141125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p>
              </w:tc>
              <w:tc>
                <w:tcPr>
                  <w:tcW w:w="393" w:type="pct"/>
                  <w:tcBorders>
                    <w:tl2br w:val="nil"/>
                    <w:tr2bl w:val="nil"/>
                  </w:tcBorders>
                  <w:noWrap w:val="0"/>
                  <w:vAlign w:val="center"/>
                </w:tcPr>
                <w:p w14:paraId="6586BE2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w:t>
                  </w:r>
                </w:p>
              </w:tc>
              <w:tc>
                <w:tcPr>
                  <w:tcW w:w="363" w:type="pct"/>
                  <w:tcBorders>
                    <w:tl2br w:val="nil"/>
                    <w:tr2bl w:val="nil"/>
                  </w:tcBorders>
                  <w:noWrap w:val="0"/>
                  <w:vAlign w:val="center"/>
                </w:tcPr>
                <w:p w14:paraId="4EDCCC7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78A1E3D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50</w:t>
                  </w:r>
                </w:p>
              </w:tc>
              <w:tc>
                <w:tcPr>
                  <w:tcW w:w="288" w:type="pct"/>
                  <w:tcBorders>
                    <w:tl2br w:val="nil"/>
                    <w:tr2bl w:val="nil"/>
                  </w:tcBorders>
                  <w:noWrap w:val="0"/>
                  <w:vAlign w:val="center"/>
                </w:tcPr>
                <w:p w14:paraId="07122E4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575585B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146CE0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0246D7B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18</w:t>
                  </w:r>
                </w:p>
              </w:tc>
              <w:tc>
                <w:tcPr>
                  <w:tcW w:w="156" w:type="pct"/>
                  <w:vMerge w:val="continue"/>
                  <w:tcBorders>
                    <w:tl2br w:val="nil"/>
                    <w:tr2bl w:val="nil"/>
                  </w:tcBorders>
                  <w:noWrap w:val="0"/>
                  <w:vAlign w:val="center"/>
                </w:tcPr>
                <w:p w14:paraId="4A89BC3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shd w:val="clear" w:color="auto" w:fill="auto"/>
                  <w:noWrap w:val="0"/>
                  <w:vAlign w:val="center"/>
                </w:tcPr>
                <w:p w14:paraId="626DF619">
                  <w:pPr>
                    <w:jc w:val="cente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氩弧焊机</w:t>
                  </w:r>
                </w:p>
              </w:tc>
              <w:tc>
                <w:tcPr>
                  <w:tcW w:w="363" w:type="pct"/>
                  <w:tcBorders>
                    <w:tl2br w:val="nil"/>
                    <w:tr2bl w:val="nil"/>
                  </w:tcBorders>
                  <w:shd w:val="clear" w:color="auto" w:fill="auto"/>
                  <w:noWrap w:val="0"/>
                  <w:vAlign w:val="center"/>
                </w:tcPr>
                <w:p w14:paraId="59E39E47">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85</w:t>
                  </w:r>
                </w:p>
              </w:tc>
              <w:tc>
                <w:tcPr>
                  <w:tcW w:w="452" w:type="pct"/>
                  <w:vMerge w:val="continue"/>
                  <w:tcBorders>
                    <w:tl2br w:val="nil"/>
                    <w:tr2bl w:val="nil"/>
                  </w:tcBorders>
                  <w:noWrap w:val="0"/>
                  <w:vAlign w:val="center"/>
                </w:tcPr>
                <w:p w14:paraId="789D6BB6">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272E0205">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15</w:t>
                  </w:r>
                </w:p>
              </w:tc>
              <w:tc>
                <w:tcPr>
                  <w:tcW w:w="247" w:type="pct"/>
                  <w:tcBorders>
                    <w:tl2br w:val="nil"/>
                    <w:tr2bl w:val="nil"/>
                  </w:tcBorders>
                  <w:noWrap w:val="0"/>
                  <w:vAlign w:val="center"/>
                </w:tcPr>
                <w:p w14:paraId="770C5BB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w:t>
                  </w:r>
                </w:p>
              </w:tc>
              <w:tc>
                <w:tcPr>
                  <w:tcW w:w="239" w:type="pct"/>
                  <w:tcBorders>
                    <w:tl2br w:val="nil"/>
                    <w:tr2bl w:val="nil"/>
                  </w:tcBorders>
                  <w:noWrap w:val="0"/>
                  <w:vAlign w:val="center"/>
                </w:tcPr>
                <w:p w14:paraId="04C57BC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486B053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5B603E86">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w:t>
                  </w:r>
                </w:p>
              </w:tc>
              <w:tc>
                <w:tcPr>
                  <w:tcW w:w="393" w:type="pct"/>
                  <w:tcBorders>
                    <w:tl2br w:val="nil"/>
                    <w:tr2bl w:val="nil"/>
                  </w:tcBorders>
                  <w:noWrap w:val="0"/>
                  <w:vAlign w:val="center"/>
                </w:tcPr>
                <w:p w14:paraId="7D7F37F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63</w:t>
                  </w:r>
                </w:p>
              </w:tc>
              <w:tc>
                <w:tcPr>
                  <w:tcW w:w="363" w:type="pct"/>
                  <w:tcBorders>
                    <w:tl2br w:val="nil"/>
                    <w:tr2bl w:val="nil"/>
                  </w:tcBorders>
                  <w:noWrap w:val="0"/>
                  <w:vAlign w:val="center"/>
                </w:tcPr>
                <w:p w14:paraId="02D88A3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5DDDEAF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48</w:t>
                  </w:r>
                </w:p>
              </w:tc>
              <w:tc>
                <w:tcPr>
                  <w:tcW w:w="288" w:type="pct"/>
                  <w:tcBorders>
                    <w:tl2br w:val="nil"/>
                    <w:tr2bl w:val="nil"/>
                  </w:tcBorders>
                  <w:noWrap w:val="0"/>
                  <w:vAlign w:val="center"/>
                </w:tcPr>
                <w:p w14:paraId="5265636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7C1644A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7A8B40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788573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19</w:t>
                  </w:r>
                </w:p>
              </w:tc>
              <w:tc>
                <w:tcPr>
                  <w:tcW w:w="156" w:type="pct"/>
                  <w:vMerge w:val="continue"/>
                  <w:tcBorders>
                    <w:tl2br w:val="nil"/>
                    <w:tr2bl w:val="nil"/>
                  </w:tcBorders>
                  <w:noWrap w:val="0"/>
                  <w:vAlign w:val="center"/>
                </w:tcPr>
                <w:p w14:paraId="4BE7E0B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shd w:val="clear" w:color="auto" w:fill="auto"/>
                  <w:noWrap w:val="0"/>
                  <w:vAlign w:val="center"/>
                </w:tcPr>
                <w:p w14:paraId="3CCD9A1B">
                  <w:pPr>
                    <w:jc w:val="cente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气泵</w:t>
                  </w:r>
                </w:p>
              </w:tc>
              <w:tc>
                <w:tcPr>
                  <w:tcW w:w="363" w:type="pct"/>
                  <w:tcBorders>
                    <w:tl2br w:val="nil"/>
                    <w:tr2bl w:val="nil"/>
                  </w:tcBorders>
                  <w:shd w:val="clear" w:color="auto" w:fill="auto"/>
                  <w:noWrap w:val="0"/>
                  <w:vAlign w:val="center"/>
                </w:tcPr>
                <w:p w14:paraId="12B4D2B4">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90</w:t>
                  </w:r>
                </w:p>
              </w:tc>
              <w:tc>
                <w:tcPr>
                  <w:tcW w:w="452" w:type="pct"/>
                  <w:vMerge w:val="continue"/>
                  <w:tcBorders>
                    <w:tl2br w:val="nil"/>
                    <w:tr2bl w:val="nil"/>
                  </w:tcBorders>
                  <w:noWrap w:val="0"/>
                  <w:vAlign w:val="center"/>
                </w:tcPr>
                <w:p w14:paraId="22500F61">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05EC317D">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18</w:t>
                  </w:r>
                </w:p>
              </w:tc>
              <w:tc>
                <w:tcPr>
                  <w:tcW w:w="247" w:type="pct"/>
                  <w:tcBorders>
                    <w:tl2br w:val="nil"/>
                    <w:tr2bl w:val="nil"/>
                  </w:tcBorders>
                  <w:noWrap w:val="0"/>
                  <w:vAlign w:val="center"/>
                </w:tcPr>
                <w:p w14:paraId="7CD84A5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15</w:t>
                  </w:r>
                </w:p>
              </w:tc>
              <w:tc>
                <w:tcPr>
                  <w:tcW w:w="239" w:type="pct"/>
                  <w:tcBorders>
                    <w:tl2br w:val="nil"/>
                    <w:tr2bl w:val="nil"/>
                  </w:tcBorders>
                  <w:noWrap w:val="0"/>
                  <w:vAlign w:val="center"/>
                </w:tcPr>
                <w:p w14:paraId="495322A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16BF282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7993748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15</w:t>
                  </w:r>
                </w:p>
              </w:tc>
              <w:tc>
                <w:tcPr>
                  <w:tcW w:w="393" w:type="pct"/>
                  <w:tcBorders>
                    <w:tl2br w:val="nil"/>
                    <w:tr2bl w:val="nil"/>
                  </w:tcBorders>
                  <w:noWrap w:val="0"/>
                  <w:vAlign w:val="center"/>
                </w:tcPr>
                <w:p w14:paraId="7AB381F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66</w:t>
                  </w:r>
                </w:p>
              </w:tc>
              <w:tc>
                <w:tcPr>
                  <w:tcW w:w="363" w:type="pct"/>
                  <w:tcBorders>
                    <w:tl2br w:val="nil"/>
                    <w:tr2bl w:val="nil"/>
                  </w:tcBorders>
                  <w:noWrap w:val="0"/>
                  <w:vAlign w:val="center"/>
                </w:tcPr>
                <w:p w14:paraId="53BE378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2BD8131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51</w:t>
                  </w:r>
                </w:p>
              </w:tc>
              <w:tc>
                <w:tcPr>
                  <w:tcW w:w="288" w:type="pct"/>
                  <w:tcBorders>
                    <w:tl2br w:val="nil"/>
                    <w:tr2bl w:val="nil"/>
                  </w:tcBorders>
                  <w:noWrap w:val="0"/>
                  <w:vAlign w:val="center"/>
                </w:tcPr>
                <w:p w14:paraId="12CF73F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20EFE67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r w14:paraId="1569EF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64" w:type="pct"/>
                  <w:tcBorders>
                    <w:tl2br w:val="nil"/>
                    <w:tr2bl w:val="nil"/>
                  </w:tcBorders>
                  <w:noWrap w:val="0"/>
                  <w:vAlign w:val="center"/>
                </w:tcPr>
                <w:p w14:paraId="0681BC8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w:t>
                  </w:r>
                </w:p>
              </w:tc>
              <w:tc>
                <w:tcPr>
                  <w:tcW w:w="156" w:type="pct"/>
                  <w:vMerge w:val="continue"/>
                  <w:tcBorders>
                    <w:tl2br w:val="nil"/>
                    <w:tr2bl w:val="nil"/>
                  </w:tcBorders>
                  <w:noWrap w:val="0"/>
                  <w:vAlign w:val="center"/>
                </w:tcPr>
                <w:p w14:paraId="625B74D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5" w:type="pct"/>
                  <w:tcBorders>
                    <w:tl2br w:val="nil"/>
                    <w:tr2bl w:val="nil"/>
                  </w:tcBorders>
                  <w:shd w:val="clear" w:color="auto" w:fill="auto"/>
                  <w:noWrap w:val="0"/>
                  <w:vAlign w:val="center"/>
                </w:tcPr>
                <w:p w14:paraId="5476B8CB">
                  <w:pPr>
                    <w:jc w:val="center"/>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cs="Times New Roman"/>
                      <w:color w:val="000000" w:themeColor="text1"/>
                      <w:kern w:val="2"/>
                      <w:sz w:val="21"/>
                      <w:szCs w:val="21"/>
                      <w:vertAlign w:val="baseline"/>
                      <w:lang w:val="en-US" w:eastAsia="zh-CN" w:bidi="ar-SA"/>
                      <w14:textFill>
                        <w14:solidFill>
                          <w14:schemeClr w14:val="tx1"/>
                        </w14:solidFill>
                      </w14:textFill>
                    </w:rPr>
                    <w:t>水泵</w:t>
                  </w:r>
                </w:p>
              </w:tc>
              <w:tc>
                <w:tcPr>
                  <w:tcW w:w="363" w:type="pct"/>
                  <w:tcBorders>
                    <w:tl2br w:val="nil"/>
                    <w:tr2bl w:val="nil"/>
                  </w:tcBorders>
                  <w:shd w:val="clear" w:color="auto" w:fill="auto"/>
                  <w:noWrap w:val="0"/>
                  <w:vAlign w:val="center"/>
                </w:tcPr>
                <w:p w14:paraId="46986E2E">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90</w:t>
                  </w:r>
                </w:p>
              </w:tc>
              <w:tc>
                <w:tcPr>
                  <w:tcW w:w="452" w:type="pct"/>
                  <w:vMerge w:val="continue"/>
                  <w:tcBorders>
                    <w:tl2br w:val="nil"/>
                    <w:tr2bl w:val="nil"/>
                  </w:tcBorders>
                  <w:noWrap w:val="0"/>
                  <w:vAlign w:val="center"/>
                </w:tcPr>
                <w:p w14:paraId="312E78E1">
                  <w:pPr>
                    <w:keepNext w:val="0"/>
                    <w:keepLines w:val="0"/>
                    <w:widowControl/>
                    <w:suppressLineNumbers w:val="0"/>
                    <w:jc w:val="center"/>
                    <w:rPr>
                      <w:rFonts w:hint="eastAsia" w:ascii="Times New Roman" w:hAnsi="Times New Roman" w:eastAsia="宋体" w:cs="Times New Roman"/>
                      <w:snapToGrid w:val="0"/>
                      <w:color w:val="000000" w:themeColor="text1"/>
                      <w:kern w:val="2"/>
                      <w:sz w:val="21"/>
                      <w:szCs w:val="21"/>
                      <w:highlight w:val="none"/>
                      <w:lang w:val="en-US" w:eastAsia="zh-CN" w:bidi="ar-SA"/>
                      <w14:textFill>
                        <w14:solidFill>
                          <w14:schemeClr w14:val="tx1"/>
                        </w14:solidFill>
                      </w14:textFill>
                    </w:rPr>
                  </w:pPr>
                </w:p>
              </w:tc>
              <w:tc>
                <w:tcPr>
                  <w:tcW w:w="278" w:type="pct"/>
                  <w:tcBorders>
                    <w:tl2br w:val="nil"/>
                    <w:tr2bl w:val="nil"/>
                  </w:tcBorders>
                  <w:noWrap w:val="0"/>
                  <w:vAlign w:val="center"/>
                </w:tcPr>
                <w:p w14:paraId="7AEBC6E5">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w:t>
                  </w:r>
                </w:p>
              </w:tc>
              <w:tc>
                <w:tcPr>
                  <w:tcW w:w="247" w:type="pct"/>
                  <w:tcBorders>
                    <w:tl2br w:val="nil"/>
                    <w:tr2bl w:val="nil"/>
                  </w:tcBorders>
                  <w:noWrap w:val="0"/>
                  <w:vAlign w:val="center"/>
                </w:tcPr>
                <w:p w14:paraId="31EA057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15</w:t>
                  </w:r>
                </w:p>
              </w:tc>
              <w:tc>
                <w:tcPr>
                  <w:tcW w:w="239" w:type="pct"/>
                  <w:tcBorders>
                    <w:tl2br w:val="nil"/>
                    <w:tr2bl w:val="nil"/>
                  </w:tcBorders>
                  <w:noWrap w:val="0"/>
                  <w:vAlign w:val="center"/>
                </w:tcPr>
                <w:p w14:paraId="4B85832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c>
                <w:tcPr>
                  <w:tcW w:w="379" w:type="pct"/>
                  <w:vMerge w:val="continue"/>
                  <w:tcBorders>
                    <w:tl2br w:val="nil"/>
                    <w:tr2bl w:val="nil"/>
                  </w:tcBorders>
                  <w:noWrap w:val="0"/>
                  <w:vAlign w:val="center"/>
                </w:tcPr>
                <w:p w14:paraId="15774DD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2"/>
                      <w:sz w:val="21"/>
                      <w:szCs w:val="21"/>
                      <w:lang w:val="en-US" w:eastAsia="zh-CN" w:bidi="ar-SA"/>
                      <w14:textFill>
                        <w14:solidFill>
                          <w14:schemeClr w14:val="tx1"/>
                        </w14:solidFill>
                      </w14:textFill>
                    </w:rPr>
                  </w:pPr>
                </w:p>
              </w:tc>
              <w:tc>
                <w:tcPr>
                  <w:tcW w:w="314" w:type="pct"/>
                  <w:tcBorders>
                    <w:tl2br w:val="nil"/>
                    <w:tr2bl w:val="nil"/>
                  </w:tcBorders>
                  <w:noWrap w:val="0"/>
                  <w:vAlign w:val="center"/>
                </w:tcPr>
                <w:p w14:paraId="02E3CA4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15</w:t>
                  </w:r>
                </w:p>
              </w:tc>
              <w:tc>
                <w:tcPr>
                  <w:tcW w:w="393" w:type="pct"/>
                  <w:tcBorders>
                    <w:tl2br w:val="nil"/>
                    <w:tr2bl w:val="nil"/>
                  </w:tcBorders>
                  <w:noWrap w:val="0"/>
                  <w:vAlign w:val="center"/>
                </w:tcPr>
                <w:p w14:paraId="4F4CE22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66</w:t>
                  </w:r>
                </w:p>
              </w:tc>
              <w:tc>
                <w:tcPr>
                  <w:tcW w:w="363" w:type="pct"/>
                  <w:tcBorders>
                    <w:tl2br w:val="nil"/>
                    <w:tr2bl w:val="nil"/>
                  </w:tcBorders>
                  <w:noWrap w:val="0"/>
                  <w:vAlign w:val="center"/>
                </w:tcPr>
                <w:p w14:paraId="5A0A3FF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363" w:type="pct"/>
                  <w:tcBorders>
                    <w:tl2br w:val="nil"/>
                    <w:tr2bl w:val="nil"/>
                  </w:tcBorders>
                  <w:noWrap w:val="0"/>
                  <w:vAlign w:val="center"/>
                </w:tcPr>
                <w:p w14:paraId="0FAB309D">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51</w:t>
                  </w:r>
                </w:p>
              </w:tc>
              <w:tc>
                <w:tcPr>
                  <w:tcW w:w="288" w:type="pct"/>
                  <w:tcBorders>
                    <w:tl2br w:val="nil"/>
                    <w:tr2bl w:val="nil"/>
                  </w:tcBorders>
                  <w:noWrap w:val="0"/>
                  <w:vAlign w:val="center"/>
                </w:tcPr>
                <w:p w14:paraId="51DC834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370" w:type="pct"/>
                  <w:tcBorders>
                    <w:tl2br w:val="nil"/>
                    <w:tr2bl w:val="nil"/>
                  </w:tcBorders>
                  <w:noWrap w:val="0"/>
                  <w:vAlign w:val="center"/>
                </w:tcPr>
                <w:p w14:paraId="61137E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连续</w:t>
                  </w:r>
                </w:p>
              </w:tc>
            </w:tr>
          </w:tbl>
          <w:p w14:paraId="3F3DBE03">
            <w:pPr>
              <w:keepNext w:val="0"/>
              <w:keepLines w:val="0"/>
              <w:widowControl/>
              <w:suppressLineNumbers w:val="0"/>
              <w:spacing w:line="360" w:lineRule="auto"/>
              <w:jc w:val="left"/>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备注：以项目所在</w:t>
            </w:r>
            <w:r>
              <w:rPr>
                <w:rFonts w:hint="eastAsia" w:cs="Times New Roman"/>
                <w:b w:val="0"/>
                <w:bCs w:val="0"/>
                <w:color w:val="000000" w:themeColor="text1"/>
                <w:kern w:val="0"/>
                <w:sz w:val="21"/>
                <w:szCs w:val="21"/>
                <w:lang w:val="en-US" w:eastAsia="zh-CN" w:bidi="ar"/>
                <w14:textFill>
                  <w14:solidFill>
                    <w14:schemeClr w14:val="tx1"/>
                  </w14:solidFill>
                </w14:textFill>
              </w:rPr>
              <w:t>车间</w:t>
            </w: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西南角点为原点（0</w:t>
            </w:r>
            <w:r>
              <w:rPr>
                <w:rFonts w:hint="eastAsia" w:cs="Times New Roman"/>
                <w:b w:val="0"/>
                <w:bCs w:val="0"/>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0）东向为X轴正方向</w:t>
            </w:r>
            <w:r>
              <w:rPr>
                <w:rFonts w:hint="eastAsia" w:cs="Times New Roman"/>
                <w:b w:val="0"/>
                <w:bCs w:val="0"/>
                <w:color w:val="000000" w:themeColor="text1"/>
                <w:kern w:val="0"/>
                <w:sz w:val="21"/>
                <w:szCs w:val="21"/>
                <w:lang w:val="en-US" w:eastAsia="zh-CN" w:bidi="ar"/>
                <w14:textFill>
                  <w14:solidFill>
                    <w14:schemeClr w14:val="tx1"/>
                  </w14:solidFill>
                </w14:textFill>
              </w:rPr>
              <w:t>，</w:t>
            </w:r>
            <w:r>
              <w:rPr>
                <w:rFonts w:hint="default" w:ascii="Times New Roman" w:hAnsi="Times New Roman" w:eastAsia="宋体" w:cs="Times New Roman"/>
                <w:b w:val="0"/>
                <w:bCs w:val="0"/>
                <w:color w:val="000000" w:themeColor="text1"/>
                <w:kern w:val="0"/>
                <w:sz w:val="21"/>
                <w:szCs w:val="21"/>
                <w:lang w:val="en-US" w:eastAsia="zh-CN" w:bidi="ar"/>
                <w14:textFill>
                  <w14:solidFill>
                    <w14:schemeClr w14:val="tx1"/>
                  </w14:solidFill>
                </w14:textFill>
              </w:rPr>
              <w:t>北向为Y轴正方向。</w:t>
            </w:r>
          </w:p>
          <w:p w14:paraId="725A9EB9">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color w:val="000000" w:themeColor="text1"/>
                <w:sz w:val="21"/>
                <w:szCs w:val="21"/>
                <w:highlight w:val="none"/>
                <w:lang w:eastAsia="zh-CN"/>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表4-</w:t>
            </w:r>
            <w:r>
              <w:rPr>
                <w:rFonts w:hint="eastAsia" w:cs="Times New Roman"/>
                <w:b/>
                <w:color w:val="000000" w:themeColor="text1"/>
                <w:sz w:val="21"/>
                <w:szCs w:val="21"/>
                <w:highlight w:val="none"/>
                <w:lang w:val="en-US" w:eastAsia="zh-CN"/>
                <w14:textFill>
                  <w14:solidFill>
                    <w14:schemeClr w14:val="tx1"/>
                  </w14:solidFill>
                </w14:textFill>
              </w:rPr>
              <w:t>8</w:t>
            </w:r>
            <w:r>
              <w:rPr>
                <w:rFonts w:hint="default" w:ascii="Times New Roman" w:hAnsi="Times New Roman" w:cs="Times New Roman"/>
                <w:b/>
                <w:color w:val="000000" w:themeColor="text1"/>
                <w:sz w:val="21"/>
                <w:szCs w:val="21"/>
                <w:highlight w:val="none"/>
                <w14:textFill>
                  <w14:solidFill>
                    <w14:schemeClr w14:val="tx1"/>
                  </w14:solidFill>
                </w14:textFill>
              </w:rPr>
              <w:t xml:space="preserve"> </w:t>
            </w:r>
            <w:r>
              <w:rPr>
                <w:rFonts w:hint="eastAsia" w:cs="Times New Roman"/>
                <w:b/>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cs="Times New Roman"/>
                <w:b/>
                <w:color w:val="000000" w:themeColor="text1"/>
                <w:sz w:val="21"/>
                <w:szCs w:val="21"/>
                <w:highlight w:val="none"/>
                <w14:textFill>
                  <w14:solidFill>
                    <w14:schemeClr w14:val="tx1"/>
                  </w14:solidFill>
                </w14:textFill>
              </w:rPr>
              <w:t xml:space="preserve"> 噪声源声级值</w:t>
            </w:r>
            <w:r>
              <w:rPr>
                <w:rFonts w:hint="default" w:ascii="Times New Roman" w:hAnsi="Times New Roman" w:cs="Times New Roman"/>
                <w:b/>
                <w:color w:val="000000" w:themeColor="text1"/>
                <w:sz w:val="21"/>
                <w:szCs w:val="21"/>
                <w:highlight w:val="none"/>
                <w:lang w:eastAsia="zh-CN"/>
                <w14:textFill>
                  <w14:solidFill>
                    <w14:schemeClr w14:val="tx1"/>
                  </w14:solidFill>
                </w14:textFill>
              </w:rPr>
              <w:t>（</w:t>
            </w:r>
            <w:r>
              <w:rPr>
                <w:rFonts w:hint="default" w:ascii="Times New Roman" w:hAnsi="Times New Roman" w:cs="Times New Roman"/>
                <w:b/>
                <w:color w:val="000000" w:themeColor="text1"/>
                <w:sz w:val="21"/>
                <w:szCs w:val="21"/>
                <w:highlight w:val="none"/>
                <w:lang w:val="en-US" w:eastAsia="zh-CN"/>
                <w14:textFill>
                  <w14:solidFill>
                    <w14:schemeClr w14:val="tx1"/>
                  </w14:solidFill>
                </w14:textFill>
              </w:rPr>
              <w:t>室外声源</w:t>
            </w:r>
            <w:r>
              <w:rPr>
                <w:rFonts w:hint="default" w:ascii="Times New Roman" w:hAnsi="Times New Roman" w:cs="Times New Roman"/>
                <w:b/>
                <w:color w:val="000000" w:themeColor="text1"/>
                <w:sz w:val="21"/>
                <w:szCs w:val="21"/>
                <w:highlight w:val="none"/>
                <w:lang w:eastAsia="zh-CN"/>
                <w14:textFill>
                  <w14:solidFill>
                    <w14:schemeClr w14:val="tx1"/>
                  </w14:solidFill>
                </w14:textFill>
              </w:rPr>
              <w:t>）</w:t>
            </w:r>
          </w:p>
          <w:tbl>
            <w:tblPr>
              <w:tblStyle w:val="24"/>
              <w:tblW w:w="499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400"/>
              <w:gridCol w:w="1121"/>
              <w:gridCol w:w="464"/>
              <w:gridCol w:w="535"/>
              <w:gridCol w:w="543"/>
              <w:gridCol w:w="774"/>
              <w:gridCol w:w="1751"/>
              <w:gridCol w:w="495"/>
              <w:gridCol w:w="648"/>
              <w:gridCol w:w="648"/>
              <w:gridCol w:w="648"/>
            </w:tblGrid>
            <w:tr w14:paraId="45C90B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49" w:type="pct"/>
                  <w:vMerge w:val="restart"/>
                  <w:noWrap w:val="0"/>
                  <w:vAlign w:val="center"/>
                </w:tcPr>
                <w:p w14:paraId="687D7568">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序号</w:t>
                  </w:r>
                </w:p>
              </w:tc>
              <w:tc>
                <w:tcPr>
                  <w:tcW w:w="698" w:type="pct"/>
                  <w:vMerge w:val="restart"/>
                  <w:noWrap w:val="0"/>
                  <w:vAlign w:val="center"/>
                </w:tcPr>
                <w:p w14:paraId="1E0BD2D3">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声</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源名</w:t>
                  </w:r>
                  <w:r>
                    <w:rPr>
                      <w:rFonts w:hint="default" w:ascii="Times New Roman" w:hAnsi="Times New Roman" w:cs="Times New Roman"/>
                      <w:b/>
                      <w:bCs/>
                      <w:color w:val="000000" w:themeColor="text1"/>
                      <w:kern w:val="0"/>
                      <w:sz w:val="21"/>
                      <w:szCs w:val="21"/>
                      <w:lang w:bidi="ar"/>
                      <w14:textFill>
                        <w14:solidFill>
                          <w14:schemeClr w14:val="tx1"/>
                        </w14:solidFill>
                      </w14:textFill>
                    </w:rPr>
                    <w:t>称</w:t>
                  </w:r>
                </w:p>
              </w:tc>
              <w:tc>
                <w:tcPr>
                  <w:tcW w:w="960" w:type="pct"/>
                  <w:gridSpan w:val="3"/>
                  <w:noWrap w:val="0"/>
                  <w:vAlign w:val="center"/>
                </w:tcPr>
                <w:p w14:paraId="4F68940A">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空间相对位置/m</w:t>
                  </w:r>
                </w:p>
              </w:tc>
              <w:tc>
                <w:tcPr>
                  <w:tcW w:w="482" w:type="pct"/>
                  <w:vMerge w:val="restart"/>
                  <w:noWrap w:val="0"/>
                  <w:vAlign w:val="center"/>
                </w:tcPr>
                <w:p w14:paraId="7EB977F4">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声级</w:t>
                  </w:r>
                </w:p>
                <w:p w14:paraId="42E33ED6">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/dB</w:t>
                  </w:r>
                  <w:r>
                    <w:rPr>
                      <w:rFonts w:hint="default" w:ascii="Times New Roman" w:hAnsi="Times New Roman" w:cs="Times New Roman"/>
                      <w:b/>
                      <w:bCs/>
                      <w:color w:val="000000" w:themeColor="text1"/>
                      <w:kern w:val="0"/>
                      <w:sz w:val="21"/>
                      <w:szCs w:val="21"/>
                      <w:lang w:eastAsia="zh-CN" w:bidi="ar"/>
                      <w14:textFill>
                        <w14:solidFill>
                          <w14:schemeClr w14:val="tx1"/>
                        </w14:solidFill>
                      </w14:textFill>
                    </w:rPr>
                    <w:t>(</w:t>
                  </w:r>
                  <w:r>
                    <w:rPr>
                      <w:rFonts w:hint="default" w:ascii="Times New Roman" w:hAnsi="Times New Roman" w:cs="Times New Roman"/>
                      <w:b/>
                      <w:bCs/>
                      <w:color w:val="000000" w:themeColor="text1"/>
                      <w:kern w:val="0"/>
                      <w:sz w:val="21"/>
                      <w:szCs w:val="21"/>
                      <w:lang w:bidi="ar"/>
                      <w14:textFill>
                        <w14:solidFill>
                          <w14:schemeClr w14:val="tx1"/>
                        </w14:solidFill>
                      </w14:textFill>
                    </w:rPr>
                    <w:t>A</w:t>
                  </w:r>
                  <w:r>
                    <w:rPr>
                      <w:rFonts w:hint="default" w:ascii="Times New Roman" w:hAnsi="Times New Roman" w:cs="Times New Roman"/>
                      <w:b/>
                      <w:bCs/>
                      <w:color w:val="000000" w:themeColor="text1"/>
                      <w:kern w:val="0"/>
                      <w:sz w:val="21"/>
                      <w:szCs w:val="21"/>
                      <w:lang w:eastAsia="zh-CN" w:bidi="ar"/>
                      <w14:textFill>
                        <w14:solidFill>
                          <w14:schemeClr w14:val="tx1"/>
                        </w14:solidFill>
                      </w14:textFill>
                    </w:rPr>
                    <w:t>)</w:t>
                  </w:r>
                </w:p>
              </w:tc>
              <w:tc>
                <w:tcPr>
                  <w:tcW w:w="1090" w:type="pct"/>
                  <w:vMerge w:val="restart"/>
                  <w:noWrap w:val="0"/>
                  <w:vAlign w:val="center"/>
                </w:tcPr>
                <w:p w14:paraId="1D0F664F">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声源控制措施</w:t>
                  </w:r>
                </w:p>
              </w:tc>
              <w:tc>
                <w:tcPr>
                  <w:tcW w:w="308" w:type="pct"/>
                  <w:vMerge w:val="restart"/>
                  <w:noWrap w:val="0"/>
                  <w:vAlign w:val="center"/>
                </w:tcPr>
                <w:p w14:paraId="2550635F">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降噪效果</w:t>
                  </w:r>
                </w:p>
              </w:tc>
              <w:tc>
                <w:tcPr>
                  <w:tcW w:w="403" w:type="pct"/>
                  <w:vMerge w:val="restart"/>
                  <w:noWrap w:val="0"/>
                  <w:vAlign w:val="center"/>
                </w:tcPr>
                <w:p w14:paraId="7224E55F">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声压级</w:t>
                  </w:r>
                </w:p>
              </w:tc>
              <w:tc>
                <w:tcPr>
                  <w:tcW w:w="403" w:type="pct"/>
                  <w:vMerge w:val="restart"/>
                  <w:noWrap w:val="0"/>
                  <w:vAlign w:val="center"/>
                </w:tcPr>
                <w:p w14:paraId="355919FB">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运行时段</w:t>
                  </w:r>
                </w:p>
              </w:tc>
              <w:tc>
                <w:tcPr>
                  <w:tcW w:w="403" w:type="pct"/>
                  <w:vMerge w:val="restart"/>
                  <w:noWrap w:val="0"/>
                  <w:vAlign w:val="center"/>
                </w:tcPr>
                <w:p w14:paraId="7E80651C">
                  <w:pPr>
                    <w:widowControl/>
                    <w:jc w:val="cente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cs="Times New Roman"/>
                      <w:b/>
                      <w:bCs/>
                      <w:color w:val="000000" w:themeColor="text1"/>
                      <w:kern w:val="0"/>
                      <w:sz w:val="21"/>
                      <w:szCs w:val="21"/>
                      <w:lang w:val="en-US" w:eastAsia="zh-CN" w:bidi="ar"/>
                      <w14:textFill>
                        <w14:solidFill>
                          <w14:schemeClr w14:val="tx1"/>
                        </w14:solidFill>
                      </w14:textFill>
                    </w:rPr>
                    <w:t>连续性</w:t>
                  </w:r>
                </w:p>
              </w:tc>
            </w:tr>
            <w:tr w14:paraId="1C4263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49" w:type="pct"/>
                  <w:vMerge w:val="continue"/>
                  <w:noWrap w:val="0"/>
                  <w:vAlign w:val="center"/>
                </w:tcPr>
                <w:p w14:paraId="00D986FD">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p>
              </w:tc>
              <w:tc>
                <w:tcPr>
                  <w:tcW w:w="698" w:type="pct"/>
                  <w:vMerge w:val="continue"/>
                  <w:noWrap w:val="0"/>
                  <w:vAlign w:val="center"/>
                </w:tcPr>
                <w:p w14:paraId="2C8EB3B5">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p>
              </w:tc>
              <w:tc>
                <w:tcPr>
                  <w:tcW w:w="289" w:type="pct"/>
                  <w:noWrap w:val="0"/>
                  <w:vAlign w:val="center"/>
                </w:tcPr>
                <w:p w14:paraId="1792BB1A">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X</w:t>
                  </w:r>
                </w:p>
              </w:tc>
              <w:tc>
                <w:tcPr>
                  <w:tcW w:w="333" w:type="pct"/>
                  <w:noWrap w:val="0"/>
                  <w:vAlign w:val="center"/>
                </w:tcPr>
                <w:p w14:paraId="38FD112B">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Y</w:t>
                  </w:r>
                </w:p>
              </w:tc>
              <w:tc>
                <w:tcPr>
                  <w:tcW w:w="338" w:type="pct"/>
                  <w:noWrap w:val="0"/>
                  <w:vAlign w:val="center"/>
                </w:tcPr>
                <w:p w14:paraId="2032B0EA">
                  <w:pPr>
                    <w:widowControl/>
                    <w:jc w:val="center"/>
                    <w:rPr>
                      <w:rFonts w:hint="default" w:ascii="Times New Roman" w:hAnsi="Times New Roman" w:cs="Times New Roman"/>
                      <w:b/>
                      <w:bCs/>
                      <w:color w:val="000000" w:themeColor="text1"/>
                      <w:kern w:val="0"/>
                      <w:sz w:val="21"/>
                      <w:szCs w:val="21"/>
                      <w:lang w:bidi="ar"/>
                      <w14:textFill>
                        <w14:solidFill>
                          <w14:schemeClr w14:val="tx1"/>
                        </w14:solidFill>
                      </w14:textFill>
                    </w:rPr>
                  </w:pPr>
                  <w:r>
                    <w:rPr>
                      <w:rFonts w:hint="default" w:ascii="Times New Roman" w:hAnsi="Times New Roman" w:cs="Times New Roman"/>
                      <w:b/>
                      <w:bCs/>
                      <w:color w:val="000000" w:themeColor="text1"/>
                      <w:kern w:val="0"/>
                      <w:sz w:val="21"/>
                      <w:szCs w:val="21"/>
                      <w:lang w:bidi="ar"/>
                      <w14:textFill>
                        <w14:solidFill>
                          <w14:schemeClr w14:val="tx1"/>
                        </w14:solidFill>
                      </w14:textFill>
                    </w:rPr>
                    <w:t>Z</w:t>
                  </w:r>
                </w:p>
              </w:tc>
              <w:tc>
                <w:tcPr>
                  <w:tcW w:w="482" w:type="pct"/>
                  <w:vMerge w:val="continue"/>
                  <w:noWrap w:val="0"/>
                  <w:vAlign w:val="center"/>
                </w:tcPr>
                <w:p w14:paraId="7997CB9A">
                  <w:pPr>
                    <w:widowControl/>
                    <w:jc w:val="center"/>
                    <w:rPr>
                      <w:rFonts w:hint="default" w:ascii="Times New Roman" w:hAnsi="Times New Roman" w:cs="Times New Roman"/>
                      <w:color w:val="000000" w:themeColor="text1"/>
                      <w:kern w:val="0"/>
                      <w:sz w:val="21"/>
                      <w:szCs w:val="21"/>
                      <w:lang w:bidi="ar"/>
                      <w14:textFill>
                        <w14:solidFill>
                          <w14:schemeClr w14:val="tx1"/>
                        </w14:solidFill>
                      </w14:textFill>
                    </w:rPr>
                  </w:pPr>
                </w:p>
              </w:tc>
              <w:tc>
                <w:tcPr>
                  <w:tcW w:w="1090" w:type="pct"/>
                  <w:vMerge w:val="continue"/>
                  <w:noWrap w:val="0"/>
                  <w:vAlign w:val="center"/>
                </w:tcPr>
                <w:p w14:paraId="5BA53336">
                  <w:pPr>
                    <w:widowControl/>
                    <w:jc w:val="center"/>
                    <w:rPr>
                      <w:rFonts w:hint="default" w:ascii="Times New Roman" w:hAnsi="Times New Roman" w:cs="Times New Roman"/>
                      <w:color w:val="000000" w:themeColor="text1"/>
                      <w:kern w:val="0"/>
                      <w:sz w:val="21"/>
                      <w:szCs w:val="21"/>
                      <w:lang w:bidi="ar"/>
                      <w14:textFill>
                        <w14:solidFill>
                          <w14:schemeClr w14:val="tx1"/>
                        </w14:solidFill>
                      </w14:textFill>
                    </w:rPr>
                  </w:pPr>
                </w:p>
              </w:tc>
              <w:tc>
                <w:tcPr>
                  <w:tcW w:w="308" w:type="pct"/>
                  <w:vMerge w:val="continue"/>
                  <w:noWrap w:val="0"/>
                  <w:vAlign w:val="center"/>
                </w:tcPr>
                <w:p w14:paraId="16564661">
                  <w:pPr>
                    <w:widowControl/>
                    <w:jc w:val="center"/>
                    <w:rPr>
                      <w:rFonts w:hint="default" w:ascii="Times New Roman" w:hAnsi="Times New Roman" w:cs="Times New Roman"/>
                      <w:color w:val="000000" w:themeColor="text1"/>
                      <w:kern w:val="0"/>
                      <w:sz w:val="21"/>
                      <w:szCs w:val="21"/>
                      <w:lang w:bidi="ar"/>
                      <w14:textFill>
                        <w14:solidFill>
                          <w14:schemeClr w14:val="tx1"/>
                        </w14:solidFill>
                      </w14:textFill>
                    </w:rPr>
                  </w:pPr>
                </w:p>
              </w:tc>
              <w:tc>
                <w:tcPr>
                  <w:tcW w:w="403" w:type="pct"/>
                  <w:vMerge w:val="continue"/>
                  <w:noWrap w:val="0"/>
                  <w:vAlign w:val="center"/>
                </w:tcPr>
                <w:p w14:paraId="539BF5C2">
                  <w:pPr>
                    <w:widowControl/>
                    <w:jc w:val="center"/>
                    <w:rPr>
                      <w:rFonts w:hint="default" w:ascii="Times New Roman" w:hAnsi="Times New Roman" w:cs="Times New Roman"/>
                      <w:color w:val="000000" w:themeColor="text1"/>
                      <w:kern w:val="0"/>
                      <w:sz w:val="21"/>
                      <w:szCs w:val="21"/>
                      <w:lang w:bidi="ar"/>
                      <w14:textFill>
                        <w14:solidFill>
                          <w14:schemeClr w14:val="tx1"/>
                        </w14:solidFill>
                      </w14:textFill>
                    </w:rPr>
                  </w:pPr>
                </w:p>
              </w:tc>
              <w:tc>
                <w:tcPr>
                  <w:tcW w:w="403" w:type="pct"/>
                  <w:vMerge w:val="continue"/>
                  <w:noWrap w:val="0"/>
                  <w:vAlign w:val="center"/>
                </w:tcPr>
                <w:p w14:paraId="2977CA0E">
                  <w:pPr>
                    <w:widowControl/>
                    <w:jc w:val="center"/>
                    <w:rPr>
                      <w:rFonts w:hint="default" w:ascii="Times New Roman" w:hAnsi="Times New Roman" w:cs="Times New Roman"/>
                      <w:color w:val="000000" w:themeColor="text1"/>
                      <w:kern w:val="0"/>
                      <w:sz w:val="21"/>
                      <w:szCs w:val="21"/>
                      <w:lang w:bidi="ar"/>
                      <w14:textFill>
                        <w14:solidFill>
                          <w14:schemeClr w14:val="tx1"/>
                        </w14:solidFill>
                      </w14:textFill>
                    </w:rPr>
                  </w:pPr>
                </w:p>
              </w:tc>
              <w:tc>
                <w:tcPr>
                  <w:tcW w:w="403" w:type="pct"/>
                  <w:vMerge w:val="continue"/>
                  <w:noWrap w:val="0"/>
                  <w:vAlign w:val="center"/>
                </w:tcPr>
                <w:p w14:paraId="39F14012">
                  <w:pPr>
                    <w:widowControl/>
                    <w:jc w:val="center"/>
                    <w:rPr>
                      <w:rFonts w:hint="default" w:ascii="Times New Roman" w:hAnsi="Times New Roman" w:cs="Times New Roman"/>
                      <w:color w:val="000000" w:themeColor="text1"/>
                      <w:kern w:val="0"/>
                      <w:sz w:val="21"/>
                      <w:szCs w:val="21"/>
                      <w:lang w:bidi="ar"/>
                      <w14:textFill>
                        <w14:solidFill>
                          <w14:schemeClr w14:val="tx1"/>
                        </w14:solidFill>
                      </w14:textFill>
                    </w:rPr>
                  </w:pPr>
                </w:p>
              </w:tc>
            </w:tr>
            <w:tr w14:paraId="276FE5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49" w:type="pct"/>
                  <w:noWrap w:val="0"/>
                  <w:vAlign w:val="center"/>
                </w:tcPr>
                <w:p w14:paraId="63F6A873">
                  <w:pPr>
                    <w:widowControl/>
                    <w:jc w:val="center"/>
                    <w:rPr>
                      <w:rFonts w:hint="default" w:ascii="Times New Roman" w:hAnsi="Times New Roman" w:eastAsia="宋体" w:cs="Times New Roman"/>
                      <w:color w:val="000000" w:themeColor="text1"/>
                      <w:kern w:val="0"/>
                      <w:sz w:val="21"/>
                      <w:szCs w:val="21"/>
                      <w:lang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w:t>
                  </w:r>
                </w:p>
              </w:tc>
              <w:tc>
                <w:tcPr>
                  <w:tcW w:w="698" w:type="pct"/>
                  <w:noWrap w:val="0"/>
                  <w:vAlign w:val="center"/>
                </w:tcPr>
                <w:p w14:paraId="349E0E43">
                  <w:pPr>
                    <w:keepNext w:val="0"/>
                    <w:keepLines w:val="0"/>
                    <w:pageBreakBefore w:val="0"/>
                    <w:kinsoku/>
                    <w:wordWrap/>
                    <w:overflowPunct/>
                    <w:topLinePunct w:val="0"/>
                    <w:autoSpaceDE/>
                    <w:autoSpaceDN/>
                    <w:bidi w:val="0"/>
                    <w:adjustRightInd w:val="0"/>
                    <w:snapToGrid w:val="0"/>
                    <w:spacing w:line="240" w:lineRule="auto"/>
                    <w:ind w:right="0" w:rightChars="0"/>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风机</w:t>
                  </w:r>
                </w:p>
              </w:tc>
              <w:tc>
                <w:tcPr>
                  <w:tcW w:w="289" w:type="pct"/>
                  <w:noWrap w:val="0"/>
                  <w:vAlign w:val="center"/>
                </w:tcPr>
                <w:p w14:paraId="1FF2089D">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30</w:t>
                  </w:r>
                </w:p>
              </w:tc>
              <w:tc>
                <w:tcPr>
                  <w:tcW w:w="333" w:type="pct"/>
                  <w:noWrap w:val="0"/>
                  <w:vAlign w:val="center"/>
                </w:tcPr>
                <w:p w14:paraId="22CA2B4A">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140</w:t>
                  </w:r>
                </w:p>
              </w:tc>
              <w:tc>
                <w:tcPr>
                  <w:tcW w:w="338" w:type="pct"/>
                  <w:noWrap w:val="0"/>
                  <w:vAlign w:val="center"/>
                </w:tcPr>
                <w:p w14:paraId="306F374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w:t>
                  </w:r>
                </w:p>
              </w:tc>
              <w:tc>
                <w:tcPr>
                  <w:tcW w:w="482" w:type="pct"/>
                  <w:noWrap w:val="0"/>
                  <w:vAlign w:val="center"/>
                </w:tcPr>
                <w:p w14:paraId="045B5129">
                  <w:pPr>
                    <w:pStyle w:val="49"/>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90</w:t>
                  </w:r>
                </w:p>
              </w:tc>
              <w:tc>
                <w:tcPr>
                  <w:tcW w:w="1090" w:type="pct"/>
                  <w:noWrap w:val="0"/>
                  <w:vAlign w:val="center"/>
                </w:tcPr>
                <w:p w14:paraId="12AA1A26">
                  <w:pPr>
                    <w:widowControl/>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厂房隔声、距离衰减</w:t>
                  </w:r>
                  <w:r>
                    <w:rPr>
                      <w:rFonts w:hint="eastAsia" w:cs="Times New Roman"/>
                      <w:color w:val="000000" w:themeColor="text1"/>
                      <w:kern w:val="0"/>
                      <w:sz w:val="21"/>
                      <w:szCs w:val="21"/>
                      <w:lang w:eastAsia="zh-CN" w:bidi="ar"/>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柔性连接</w:t>
                  </w:r>
                </w:p>
              </w:tc>
              <w:tc>
                <w:tcPr>
                  <w:tcW w:w="308" w:type="pct"/>
                  <w:noWrap w:val="0"/>
                  <w:vAlign w:val="center"/>
                </w:tcPr>
                <w:p w14:paraId="152A7D70">
                  <w:pPr>
                    <w:widowControl/>
                    <w:jc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20</w:t>
                  </w:r>
                </w:p>
              </w:tc>
              <w:tc>
                <w:tcPr>
                  <w:tcW w:w="403" w:type="pct"/>
                  <w:noWrap w:val="0"/>
                  <w:vAlign w:val="center"/>
                </w:tcPr>
                <w:p w14:paraId="70317228">
                  <w:pPr>
                    <w:widowControl/>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70</w:t>
                  </w:r>
                </w:p>
              </w:tc>
              <w:tc>
                <w:tcPr>
                  <w:tcW w:w="403" w:type="pct"/>
                  <w:noWrap w:val="0"/>
                  <w:vAlign w:val="center"/>
                </w:tcPr>
                <w:p w14:paraId="7FB9CBA9">
                  <w:pPr>
                    <w:widowControl/>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eastAsia" w:cs="Times New Roman"/>
                      <w:color w:val="000000" w:themeColor="text1"/>
                      <w:kern w:val="0"/>
                      <w:sz w:val="21"/>
                      <w:szCs w:val="21"/>
                      <w:lang w:val="en-US" w:eastAsia="zh-CN" w:bidi="ar"/>
                      <w14:textFill>
                        <w14:solidFill>
                          <w14:schemeClr w14:val="tx1"/>
                        </w14:solidFill>
                      </w14:textFill>
                    </w:rPr>
                    <w:t>昼夜</w:t>
                  </w:r>
                </w:p>
              </w:tc>
              <w:tc>
                <w:tcPr>
                  <w:tcW w:w="403" w:type="pct"/>
                  <w:noWrap w:val="0"/>
                  <w:vAlign w:val="center"/>
                </w:tcPr>
                <w:p w14:paraId="2BFC44C9">
                  <w:pPr>
                    <w:widowControl/>
                    <w:jc w:val="cente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间断</w:t>
                  </w:r>
                </w:p>
              </w:tc>
            </w:tr>
          </w:tbl>
          <w:p w14:paraId="31589A9C">
            <w:pPr>
              <w:keepNext w:val="0"/>
              <w:keepLines w:val="0"/>
              <w:pageBreakBefore w:val="0"/>
              <w:numPr>
                <w:ilvl w:val="0"/>
                <w:numId w:val="0"/>
              </w:numPr>
              <w:suppressLineNumbers w:val="0"/>
              <w:kinsoku/>
              <w:wordWrap/>
              <w:overflowPunct/>
              <w:topLinePunct w:val="0"/>
              <w:autoSpaceDE/>
              <w:autoSpaceDN/>
              <w:bidi w:val="0"/>
              <w:adjustRightInd w:val="0"/>
              <w:snapToGrid/>
              <w:spacing w:before="0" w:beforeAutospacing="0" w:after="0" w:afterAutospacing="0" w:line="360" w:lineRule="auto"/>
              <w:ind w:left="0" w:leftChars="0" w:right="0" w:rightChars="0" w:firstLine="422" w:firstLineChars="200"/>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预测模式</w:t>
            </w:r>
          </w:p>
          <w:p w14:paraId="3E72FD01">
            <w:pPr>
              <w:keepNext w:val="0"/>
              <w:keepLines w:val="0"/>
              <w:pageBreakBefore w:val="0"/>
              <w:numPr>
                <w:ilvl w:val="0"/>
                <w:numId w:val="0"/>
              </w:numPr>
              <w:suppressLineNumbers w:val="0"/>
              <w:kinsoku/>
              <w:wordWrap/>
              <w:overflowPunct/>
              <w:topLinePunct w:val="0"/>
              <w:autoSpaceDE/>
              <w:autoSpaceDN/>
              <w:bidi w:val="0"/>
              <w:adjustRightInd w:val="0"/>
              <w:snapToGrid/>
              <w:spacing w:before="0" w:beforeAutospacing="0" w:after="0" w:afterAutospacing="0" w:line="360" w:lineRule="auto"/>
              <w:ind w:left="0" w:leftChars="0" w:right="0" w:rightChars="0" w:firstLine="420" w:firstLineChars="200"/>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项目昼、夜间正常生产，因此</w:t>
            </w:r>
            <w:r>
              <w:rPr>
                <w:rFonts w:hint="default" w:ascii="Times New Roman" w:hAnsi="Times New Roman" w:cs="Times New Roman"/>
                <w:color w:val="000000" w:themeColor="text1"/>
                <w:sz w:val="21"/>
                <w:szCs w:val="21"/>
                <w:highlight w:val="none"/>
                <w14:textFill>
                  <w14:solidFill>
                    <w14:schemeClr w14:val="tx1"/>
                  </w14:solidFill>
                </w14:textFill>
              </w:rPr>
              <w:t>本次评价</w:t>
            </w:r>
            <w:r>
              <w:rPr>
                <w:rFonts w:hint="eastAsia" w:cs="Times New Roman"/>
                <w:color w:val="000000" w:themeColor="text1"/>
                <w:sz w:val="21"/>
                <w:szCs w:val="21"/>
                <w:highlight w:val="none"/>
                <w:lang w:val="en-US" w:eastAsia="zh-CN"/>
                <w14:textFill>
                  <w14:solidFill>
                    <w14:schemeClr w14:val="tx1"/>
                  </w14:solidFill>
                </w14:textFill>
              </w:rPr>
              <w:t>需</w:t>
            </w:r>
            <w:r>
              <w:rPr>
                <w:rFonts w:hint="default" w:ascii="Times New Roman" w:hAnsi="Times New Roman" w:cs="Times New Roman"/>
                <w:color w:val="000000" w:themeColor="text1"/>
                <w:sz w:val="21"/>
                <w:szCs w:val="21"/>
                <w:highlight w:val="none"/>
                <w14:textFill>
                  <w14:solidFill>
                    <w14:schemeClr w14:val="tx1"/>
                  </w14:solidFill>
                </w14:textFill>
              </w:rPr>
              <w:t>对厂界昼间</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夜间</w:t>
            </w:r>
            <w:r>
              <w:rPr>
                <w:rFonts w:hint="default" w:ascii="Times New Roman" w:hAnsi="Times New Roman" w:cs="Times New Roman"/>
                <w:color w:val="000000" w:themeColor="text1"/>
                <w:sz w:val="21"/>
                <w:szCs w:val="21"/>
                <w:highlight w:val="none"/>
                <w14:textFill>
                  <w14:solidFill>
                    <w14:schemeClr w14:val="tx1"/>
                  </w14:solidFill>
                </w14:textFill>
              </w:rPr>
              <w:t>达标性</w:t>
            </w:r>
            <w:r>
              <w:rPr>
                <w:rFonts w:hint="eastAsia" w:cs="Times New Roman"/>
                <w:color w:val="000000" w:themeColor="text1"/>
                <w:sz w:val="21"/>
                <w:szCs w:val="21"/>
                <w:highlight w:val="none"/>
                <w:lang w:val="en-US" w:eastAsia="zh-CN"/>
                <w14:textFill>
                  <w14:solidFill>
                    <w14:schemeClr w14:val="tx1"/>
                  </w14:solidFill>
                </w14:textFill>
              </w:rPr>
              <w:t>分别</w:t>
            </w:r>
            <w:r>
              <w:rPr>
                <w:rFonts w:hint="default" w:ascii="Times New Roman" w:hAnsi="Times New Roman" w:cs="Times New Roman"/>
                <w:color w:val="000000" w:themeColor="text1"/>
                <w:sz w:val="21"/>
                <w:szCs w:val="21"/>
                <w:highlight w:val="none"/>
                <w14:textFill>
                  <w14:solidFill>
                    <w14:schemeClr w14:val="tx1"/>
                  </w14:solidFill>
                </w14:textFill>
              </w:rPr>
              <w:t>进行预测分析。</w:t>
            </w:r>
          </w:p>
          <w:p w14:paraId="7B55EDE5">
            <w:pPr>
              <w:widowControl/>
              <w:spacing w:line="360" w:lineRule="auto"/>
              <w:ind w:firstLine="420" w:firstLineChars="200"/>
              <w:rPr>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bCs/>
                <w:color w:val="000000" w:themeColor="text1"/>
                <w:sz w:val="21"/>
                <w:szCs w:val="21"/>
                <w:highlight w:val="none"/>
                <w14:textFill>
                  <w14:solidFill>
                    <w14:schemeClr w14:val="tx1"/>
                  </w14:solidFill>
                </w14:textFill>
              </w:rPr>
              <w:t>预测模式</w:t>
            </w:r>
          </w:p>
          <w:p w14:paraId="2CBD015F">
            <w:pPr>
              <w:widowControl/>
              <w:spacing w:line="360" w:lineRule="auto"/>
              <w:ind w:firstLine="420" w:firstLineChars="200"/>
              <w:rPr>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①</w:t>
            </w:r>
            <w:r>
              <w:rPr>
                <w:bCs/>
                <w:color w:val="000000" w:themeColor="text1"/>
                <w:sz w:val="21"/>
                <w:szCs w:val="21"/>
                <w:highlight w:val="none"/>
                <w14:textFill>
                  <w14:solidFill>
                    <w14:schemeClr w14:val="tx1"/>
                  </w14:solidFill>
                </w14:textFill>
              </w:rPr>
              <w:t>条件概化</w:t>
            </w:r>
          </w:p>
          <w:p w14:paraId="518D77DE">
            <w:pPr>
              <w:widowControl/>
              <w:spacing w:line="360" w:lineRule="auto"/>
              <w:ind w:firstLine="420" w:firstLineChars="200"/>
              <w:rPr>
                <w:bCs/>
                <w:color w:val="000000" w:themeColor="text1"/>
                <w:sz w:val="21"/>
                <w:szCs w:val="21"/>
                <w:highlight w:val="none"/>
                <w14:textFill>
                  <w14:solidFill>
                    <w14:schemeClr w14:val="tx1"/>
                  </w14:solidFill>
                </w14:textFill>
              </w:rPr>
            </w:pPr>
            <w:r>
              <w:rPr>
                <w:bCs/>
                <w:color w:val="000000" w:themeColor="text1"/>
                <w:sz w:val="21"/>
                <w:szCs w:val="21"/>
                <w:highlight w:val="none"/>
                <w14:textFill>
                  <w14:solidFill>
                    <w14:schemeClr w14:val="tx1"/>
                  </w14:solidFill>
                </w14:textFill>
              </w:rPr>
              <w:t>a、为便于预测计算</w:t>
            </w:r>
            <w:r>
              <w:rPr>
                <w:rFonts w:hint="eastAsia"/>
                <w:bCs/>
                <w:color w:val="000000" w:themeColor="text1"/>
                <w:sz w:val="21"/>
                <w:szCs w:val="21"/>
                <w:highlight w:val="none"/>
                <w:lang w:eastAsia="zh-CN"/>
                <w14:textFill>
                  <w14:solidFill>
                    <w14:schemeClr w14:val="tx1"/>
                  </w14:solidFill>
                </w14:textFill>
              </w:rPr>
              <w:t>，</w:t>
            </w:r>
            <w:r>
              <w:rPr>
                <w:bCs/>
                <w:color w:val="000000" w:themeColor="text1"/>
                <w:sz w:val="21"/>
                <w:szCs w:val="21"/>
                <w:highlight w:val="none"/>
                <w14:textFill>
                  <w14:solidFill>
                    <w14:schemeClr w14:val="tx1"/>
                  </w14:solidFill>
                </w14:textFill>
              </w:rPr>
              <w:t>将各工段噪声源概化叠加；</w:t>
            </w:r>
          </w:p>
          <w:p w14:paraId="4AFA6977">
            <w:pPr>
              <w:widowControl/>
              <w:spacing w:line="360" w:lineRule="auto"/>
              <w:ind w:firstLine="420" w:firstLineChars="200"/>
              <w:rPr>
                <w:bCs/>
                <w:color w:val="000000" w:themeColor="text1"/>
                <w:sz w:val="21"/>
                <w:szCs w:val="21"/>
                <w:highlight w:val="none"/>
                <w14:textFill>
                  <w14:solidFill>
                    <w14:schemeClr w14:val="tx1"/>
                  </w14:solidFill>
                </w14:textFill>
              </w:rPr>
            </w:pPr>
            <w:r>
              <w:rPr>
                <w:bCs/>
                <w:color w:val="000000" w:themeColor="text1"/>
                <w:sz w:val="21"/>
                <w:szCs w:val="21"/>
                <w:highlight w:val="none"/>
                <w14:textFill>
                  <w14:solidFill>
                    <w14:schemeClr w14:val="tx1"/>
                  </w14:solidFill>
                </w14:textFill>
              </w:rPr>
              <w:t>b、考虑声源至受声点（厂界）的距离衰减；</w:t>
            </w:r>
          </w:p>
          <w:p w14:paraId="4D491FF9">
            <w:pPr>
              <w:widowControl/>
              <w:spacing w:line="360" w:lineRule="auto"/>
              <w:ind w:firstLine="420" w:firstLineChars="200"/>
              <w:rPr>
                <w:bCs/>
                <w:color w:val="000000" w:themeColor="text1"/>
                <w:sz w:val="21"/>
                <w:szCs w:val="21"/>
                <w:highlight w:val="none"/>
                <w14:textFill>
                  <w14:solidFill>
                    <w14:schemeClr w14:val="tx1"/>
                  </w14:solidFill>
                </w14:textFill>
              </w:rPr>
            </w:pPr>
            <w:r>
              <w:rPr>
                <w:bCs/>
                <w:color w:val="000000" w:themeColor="text1"/>
                <w:sz w:val="21"/>
                <w:szCs w:val="21"/>
                <w:highlight w:val="none"/>
                <w14:textFill>
                  <w14:solidFill>
                    <w14:schemeClr w14:val="tx1"/>
                  </w14:solidFill>
                </w14:textFill>
              </w:rPr>
              <w:t>c、空气吸收、雨、雪、雾和温度等影响忽略不计。</w:t>
            </w:r>
          </w:p>
          <w:p w14:paraId="0CCAE0CC">
            <w:pPr>
              <w:widowControl/>
              <w:spacing w:line="360" w:lineRule="auto"/>
              <w:ind w:firstLine="420" w:firstLineChars="200"/>
              <w:rPr>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②</w:t>
            </w:r>
            <w:r>
              <w:rPr>
                <w:bCs/>
                <w:color w:val="000000" w:themeColor="text1"/>
                <w:sz w:val="21"/>
                <w:szCs w:val="21"/>
                <w:highlight w:val="none"/>
                <w14:textFill>
                  <w14:solidFill>
                    <w14:schemeClr w14:val="tx1"/>
                  </w14:solidFill>
                </w14:textFill>
              </w:rPr>
              <w:t>预测模式</w:t>
            </w:r>
          </w:p>
          <w:p w14:paraId="2E37BDE1">
            <w:pPr>
              <w:widowControl/>
              <w:spacing w:line="360" w:lineRule="auto"/>
              <w:ind w:firstLine="420" w:firstLineChars="200"/>
              <w:rPr>
                <w:color w:val="000000" w:themeColor="text1"/>
                <w:sz w:val="21"/>
                <w:szCs w:val="21"/>
                <w:highlight w:val="none"/>
                <w14:textFill>
                  <w14:solidFill>
                    <w14:schemeClr w14:val="tx1"/>
                  </w14:solidFill>
                </w14:textFill>
              </w:rPr>
            </w:pPr>
            <w:r>
              <w:rPr>
                <w:bCs/>
                <w:color w:val="000000" w:themeColor="text1"/>
                <w:sz w:val="21"/>
                <w:szCs w:val="21"/>
                <w:highlight w:val="none"/>
                <w14:textFill>
                  <w14:solidFill>
                    <w14:schemeClr w14:val="tx1"/>
                  </w14:solidFill>
                </w14:textFill>
              </w:rPr>
              <w:t>按照《环境影响评价技术导则声环境》（HJ2.4—20</w:t>
            </w:r>
            <w:r>
              <w:rPr>
                <w:rFonts w:hint="eastAsia"/>
                <w:bCs/>
                <w:color w:val="000000" w:themeColor="text1"/>
                <w:sz w:val="21"/>
                <w:szCs w:val="21"/>
                <w:highlight w:val="none"/>
                <w:lang w:val="en-US" w:eastAsia="zh-CN"/>
                <w14:textFill>
                  <w14:solidFill>
                    <w14:schemeClr w14:val="tx1"/>
                  </w14:solidFill>
                </w14:textFill>
              </w:rPr>
              <w:t>21</w:t>
            </w:r>
            <w:r>
              <w:rPr>
                <w:bCs/>
                <w:color w:val="000000" w:themeColor="text1"/>
                <w:sz w:val="21"/>
                <w:szCs w:val="21"/>
                <w:highlight w:val="none"/>
                <w14:textFill>
                  <w14:solidFill>
                    <w14:schemeClr w14:val="tx1"/>
                  </w14:solidFill>
                </w14:textFill>
              </w:rPr>
              <w:t>）中推荐的模式进行预测计算。</w:t>
            </w:r>
          </w:p>
          <w:p w14:paraId="49A931E2">
            <w:pPr>
              <w:widowControl/>
              <w:spacing w:line="360" w:lineRule="auto"/>
              <w:ind w:firstLine="420" w:firstLineChars="20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A、</w:t>
            </w:r>
            <w:r>
              <w:rPr>
                <w:rFonts w:hint="eastAsia"/>
                <w:color w:val="000000" w:themeColor="text1"/>
                <w:kern w:val="0"/>
                <w:sz w:val="21"/>
                <w:szCs w:val="21"/>
                <w:highlight w:val="none"/>
                <w:lang w:val="en-US" w:eastAsia="zh-CN"/>
                <w14:textFill>
                  <w14:solidFill>
                    <w14:schemeClr w14:val="tx1"/>
                  </w14:solidFill>
                </w14:textFill>
              </w:rPr>
              <w:t>靠近室外围护结构处的</w:t>
            </w:r>
            <w:r>
              <w:rPr>
                <w:color w:val="000000" w:themeColor="text1"/>
                <w:kern w:val="0"/>
                <w:sz w:val="21"/>
                <w:szCs w:val="21"/>
                <w:highlight w:val="none"/>
                <w14:textFill>
                  <w14:solidFill>
                    <w14:schemeClr w14:val="tx1"/>
                  </w14:solidFill>
                </w14:textFill>
              </w:rPr>
              <w:t>噪声级的计算</w:t>
            </w:r>
          </w:p>
          <w:p w14:paraId="583091C2">
            <w:pPr>
              <w:widowControl/>
              <w:spacing w:line="360" w:lineRule="auto"/>
              <w:jc w:val="center"/>
              <w:rPr>
                <w:rFonts w:hint="eastAsia" w:eastAsia="宋体"/>
                <w:i/>
                <w:iCs/>
                <w:color w:val="000000" w:themeColor="text1"/>
                <w:kern w:val="0"/>
                <w:sz w:val="21"/>
                <w:szCs w:val="21"/>
                <w:highlight w:val="none"/>
                <w:lang w:eastAsia="zh-CN"/>
                <w14:textFill>
                  <w14:solidFill>
                    <w14:schemeClr w14:val="tx1"/>
                  </w14:solidFill>
                </w14:textFill>
              </w:rPr>
            </w:pPr>
            <w:r>
              <w:rPr>
                <w:i/>
                <w:iCs/>
                <w:color w:val="000000" w:themeColor="text1"/>
                <w:kern w:val="0"/>
                <w:sz w:val="21"/>
                <w:szCs w:val="21"/>
                <w:highlight w:val="none"/>
                <w14:textFill>
                  <w14:solidFill>
                    <w14:schemeClr w14:val="tx1"/>
                  </w14:solidFill>
                </w14:textFill>
              </w:rPr>
              <w:t>L</w:t>
            </w:r>
            <w:r>
              <w:rPr>
                <w:rFonts w:hint="eastAsia"/>
                <w:i/>
                <w:iCs/>
                <w:color w:val="000000" w:themeColor="text1"/>
                <w:kern w:val="0"/>
                <w:sz w:val="21"/>
                <w:szCs w:val="21"/>
                <w:highlight w:val="none"/>
                <w:vertAlign w:val="subscript"/>
                <w:lang w:val="en-US" w:eastAsia="zh-CN"/>
                <w14:textFill>
                  <w14:solidFill>
                    <w14:schemeClr w14:val="tx1"/>
                  </w14:solidFill>
                </w14:textFill>
              </w:rPr>
              <w:t>p2i(</w:t>
            </w:r>
            <w:r>
              <w:rPr>
                <w:i/>
                <w:iCs/>
                <w:color w:val="000000" w:themeColor="text1"/>
                <w:kern w:val="0"/>
                <w:sz w:val="21"/>
                <w:szCs w:val="21"/>
                <w:highlight w:val="none"/>
                <w14:textFill>
                  <w14:solidFill>
                    <w14:schemeClr w14:val="tx1"/>
                  </w14:solidFill>
                </w14:textFill>
              </w:rPr>
              <w:t>T</w:t>
            </w:r>
            <w:r>
              <w:rPr>
                <w:rFonts w:hint="eastAsia"/>
                <w:i/>
                <w:iCs/>
                <w:color w:val="000000" w:themeColor="text1"/>
                <w:kern w:val="0"/>
                <w:sz w:val="21"/>
                <w:szCs w:val="21"/>
                <w:highlight w:val="none"/>
                <w:lang w:eastAsia="zh-CN"/>
                <w14:textFill>
                  <w14:solidFill>
                    <w14:schemeClr w14:val="tx1"/>
                  </w14:solidFill>
                </w14:textFill>
              </w:rPr>
              <w:t>)</w:t>
            </w:r>
            <w:r>
              <w:rPr>
                <w:i/>
                <w:iCs/>
                <w:color w:val="000000" w:themeColor="text1"/>
                <w:kern w:val="0"/>
                <w:sz w:val="21"/>
                <w:szCs w:val="21"/>
                <w:highlight w:val="none"/>
                <w14:textFill>
                  <w14:solidFill>
                    <w14:schemeClr w14:val="tx1"/>
                  </w14:solidFill>
                </w14:textFill>
              </w:rPr>
              <w:t>=L</w:t>
            </w:r>
            <w:r>
              <w:rPr>
                <w:rFonts w:hint="eastAsia"/>
                <w:i/>
                <w:iCs/>
                <w:color w:val="000000" w:themeColor="text1"/>
                <w:kern w:val="0"/>
                <w:sz w:val="21"/>
                <w:szCs w:val="21"/>
                <w:highlight w:val="none"/>
                <w:vertAlign w:val="subscript"/>
                <w:lang w:val="en-US" w:eastAsia="zh-CN"/>
                <w14:textFill>
                  <w14:solidFill>
                    <w14:schemeClr w14:val="tx1"/>
                  </w14:solidFill>
                </w14:textFill>
              </w:rPr>
              <w:t>p1i(</w:t>
            </w:r>
            <w:r>
              <w:rPr>
                <w:i/>
                <w:iCs/>
                <w:color w:val="000000" w:themeColor="text1"/>
                <w:kern w:val="0"/>
                <w:sz w:val="21"/>
                <w:szCs w:val="21"/>
                <w:highlight w:val="none"/>
                <w14:textFill>
                  <w14:solidFill>
                    <w14:schemeClr w14:val="tx1"/>
                  </w14:solidFill>
                </w14:textFill>
              </w:rPr>
              <w:t>T</w:t>
            </w:r>
            <w:r>
              <w:rPr>
                <w:rFonts w:hint="eastAsia"/>
                <w:i/>
                <w:iCs/>
                <w:color w:val="000000" w:themeColor="text1"/>
                <w:kern w:val="0"/>
                <w:sz w:val="21"/>
                <w:szCs w:val="21"/>
                <w:highlight w:val="none"/>
                <w:lang w:eastAsia="zh-CN"/>
                <w14:textFill>
                  <w14:solidFill>
                    <w14:schemeClr w14:val="tx1"/>
                  </w14:solidFill>
                </w14:textFill>
              </w:rPr>
              <w:t>)</w:t>
            </w:r>
            <w:r>
              <w:rPr>
                <w:i/>
                <w:iCs/>
                <w:color w:val="000000" w:themeColor="text1"/>
                <w:kern w:val="0"/>
                <w:sz w:val="21"/>
                <w:szCs w:val="21"/>
                <w:highlight w:val="none"/>
                <w14:textFill>
                  <w14:solidFill>
                    <w14:schemeClr w14:val="tx1"/>
                  </w14:solidFill>
                </w14:textFill>
              </w:rPr>
              <w:t>—</w:t>
            </w:r>
            <w:r>
              <w:rPr>
                <w:rFonts w:hint="eastAsia"/>
                <w:i/>
                <w:iCs/>
                <w:color w:val="000000" w:themeColor="text1"/>
                <w:kern w:val="0"/>
                <w:sz w:val="21"/>
                <w:szCs w:val="21"/>
                <w:highlight w:val="none"/>
                <w:lang w:eastAsia="zh-CN"/>
                <w14:textFill>
                  <w14:solidFill>
                    <w14:schemeClr w14:val="tx1"/>
                  </w14:solidFill>
                </w14:textFill>
              </w:rPr>
              <w:t>(</w:t>
            </w:r>
            <w:r>
              <w:rPr>
                <w:i/>
                <w:iCs/>
                <w:color w:val="000000" w:themeColor="text1"/>
                <w:kern w:val="0"/>
                <w:sz w:val="21"/>
                <w:szCs w:val="21"/>
                <w:highlight w:val="none"/>
                <w14:textFill>
                  <w14:solidFill>
                    <w14:schemeClr w14:val="tx1"/>
                  </w14:solidFill>
                </w14:textFill>
              </w:rPr>
              <w:t>TL</w:t>
            </w:r>
            <w:r>
              <w:rPr>
                <w:rFonts w:hint="eastAsia"/>
                <w:i/>
                <w:iCs/>
                <w:color w:val="000000" w:themeColor="text1"/>
                <w:kern w:val="0"/>
                <w:sz w:val="21"/>
                <w:szCs w:val="21"/>
                <w:highlight w:val="none"/>
                <w:vertAlign w:val="subscript"/>
                <w:lang w:val="en-US" w:eastAsia="zh-CN"/>
                <w14:textFill>
                  <w14:solidFill>
                    <w14:schemeClr w14:val="tx1"/>
                  </w14:solidFill>
                </w14:textFill>
              </w:rPr>
              <w:t>i</w:t>
            </w:r>
            <w:r>
              <w:rPr>
                <w:i/>
                <w:iCs/>
                <w:color w:val="000000" w:themeColor="text1"/>
                <w:kern w:val="0"/>
                <w:sz w:val="21"/>
                <w:szCs w:val="21"/>
                <w:highlight w:val="none"/>
                <w14:textFill>
                  <w14:solidFill>
                    <w14:schemeClr w14:val="tx1"/>
                  </w14:solidFill>
                </w14:textFill>
              </w:rPr>
              <w:t>+6</w:t>
            </w:r>
            <w:r>
              <w:rPr>
                <w:rFonts w:hint="eastAsia"/>
                <w:i/>
                <w:iCs/>
                <w:color w:val="000000" w:themeColor="text1"/>
                <w:kern w:val="0"/>
                <w:sz w:val="21"/>
                <w:szCs w:val="21"/>
                <w:highlight w:val="none"/>
                <w:lang w:eastAsia="zh-CN"/>
                <w14:textFill>
                  <w14:solidFill>
                    <w14:schemeClr w14:val="tx1"/>
                  </w14:solidFill>
                </w14:textFill>
              </w:rPr>
              <w:t>)</w:t>
            </w:r>
          </w:p>
          <w:p w14:paraId="0DEBDA4C">
            <w:pPr>
              <w:widowControl/>
              <w:spacing w:line="360" w:lineRule="auto"/>
              <w:ind w:firstLine="840" w:firstLineChars="400"/>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式中：</w:t>
            </w:r>
          </w:p>
          <w:p w14:paraId="13C63498">
            <w:pPr>
              <w:widowControl/>
              <w:spacing w:line="360" w:lineRule="auto"/>
              <w:ind w:left="2008" w:leftChars="456" w:hanging="1050" w:hangingChars="500"/>
              <w:rPr>
                <w:color w:val="000000" w:themeColor="text1"/>
                <w:kern w:val="0"/>
                <w:sz w:val="21"/>
                <w:szCs w:val="21"/>
                <w:highlight w:val="none"/>
                <w14:textFill>
                  <w14:solidFill>
                    <w14:schemeClr w14:val="tx1"/>
                  </w14:solidFill>
                </w14:textFill>
              </w:rPr>
            </w:pPr>
            <w:r>
              <w:rPr>
                <w:i/>
                <w:iCs/>
                <w:color w:val="000000" w:themeColor="text1"/>
                <w:kern w:val="0"/>
                <w:sz w:val="21"/>
                <w:szCs w:val="21"/>
                <w:highlight w:val="none"/>
                <w14:textFill>
                  <w14:solidFill>
                    <w14:schemeClr w14:val="tx1"/>
                  </w14:solidFill>
                </w14:textFill>
              </w:rPr>
              <w:t>L</w:t>
            </w:r>
            <w:r>
              <w:rPr>
                <w:rFonts w:hint="eastAsia"/>
                <w:i/>
                <w:iCs/>
                <w:color w:val="000000" w:themeColor="text1"/>
                <w:kern w:val="0"/>
                <w:sz w:val="21"/>
                <w:szCs w:val="21"/>
                <w:highlight w:val="none"/>
                <w:vertAlign w:val="subscript"/>
                <w:lang w:val="en-US" w:eastAsia="zh-CN"/>
                <w14:textFill>
                  <w14:solidFill>
                    <w14:schemeClr w14:val="tx1"/>
                  </w14:solidFill>
                </w14:textFill>
              </w:rPr>
              <w:t>p2i</w:t>
            </w:r>
            <w:r>
              <w:rPr>
                <w:i/>
                <w:iCs/>
                <w:color w:val="000000" w:themeColor="text1"/>
                <w:kern w:val="0"/>
                <w:sz w:val="21"/>
                <w:szCs w:val="21"/>
                <w:highlight w:val="none"/>
                <w14:textFill>
                  <w14:solidFill>
                    <w14:schemeClr w14:val="tx1"/>
                  </w14:solidFill>
                </w14:textFill>
              </w:rPr>
              <w:t>（T）</w:t>
            </w:r>
            <w:r>
              <w:rPr>
                <w:bCs/>
                <w:color w:val="000000" w:themeColor="text1"/>
                <w:sz w:val="21"/>
                <w:szCs w:val="21"/>
                <w:highlight w:val="none"/>
                <w14:textFill>
                  <w14:solidFill>
                    <w14:schemeClr w14:val="tx1"/>
                  </w14:solidFill>
                </w14:textFill>
              </w:rPr>
              <w:t>—</w:t>
            </w:r>
            <w:r>
              <w:rPr>
                <w:rFonts w:hint="eastAsia"/>
                <w:color w:val="000000" w:themeColor="text1"/>
                <w:kern w:val="0"/>
                <w:sz w:val="21"/>
                <w:szCs w:val="21"/>
                <w:highlight w:val="none"/>
                <w:lang w:val="en-US" w:eastAsia="zh-CN"/>
                <w14:textFill>
                  <w14:solidFill>
                    <w14:schemeClr w14:val="tx1"/>
                  </w14:solidFill>
                </w14:textFill>
              </w:rPr>
              <w:t>靠近围护结构处室外N个声源i倍频带的叠加声压级，dB</w:t>
            </w:r>
            <w:r>
              <w:rPr>
                <w:color w:val="000000" w:themeColor="text1"/>
                <w:kern w:val="0"/>
                <w:sz w:val="21"/>
                <w:szCs w:val="21"/>
                <w:highlight w:val="none"/>
                <w14:textFill>
                  <w14:solidFill>
                    <w14:schemeClr w14:val="tx1"/>
                  </w14:solidFill>
                </w14:textFill>
              </w:rPr>
              <w:t>；</w:t>
            </w:r>
          </w:p>
          <w:p w14:paraId="330D4B33">
            <w:pPr>
              <w:widowControl/>
              <w:spacing w:line="360" w:lineRule="auto"/>
              <w:ind w:left="2218" w:leftChars="456" w:hanging="1260" w:hangingChars="600"/>
              <w:rPr>
                <w:i/>
                <w:iCs/>
                <w:color w:val="000000" w:themeColor="text1"/>
                <w:kern w:val="0"/>
                <w:sz w:val="21"/>
                <w:szCs w:val="21"/>
                <w:highlight w:val="none"/>
                <w14:textFill>
                  <w14:solidFill>
                    <w14:schemeClr w14:val="tx1"/>
                  </w14:solidFill>
                </w14:textFill>
              </w:rPr>
            </w:pPr>
            <w:r>
              <w:rPr>
                <w:i/>
                <w:iCs/>
                <w:color w:val="000000" w:themeColor="text1"/>
                <w:kern w:val="0"/>
                <w:sz w:val="21"/>
                <w:szCs w:val="21"/>
                <w:highlight w:val="none"/>
                <w14:textFill>
                  <w14:solidFill>
                    <w14:schemeClr w14:val="tx1"/>
                  </w14:solidFill>
                </w14:textFill>
              </w:rPr>
              <w:t>L</w:t>
            </w:r>
            <w:r>
              <w:rPr>
                <w:rFonts w:hint="eastAsia"/>
                <w:i/>
                <w:iCs/>
                <w:color w:val="000000" w:themeColor="text1"/>
                <w:kern w:val="0"/>
                <w:sz w:val="21"/>
                <w:szCs w:val="21"/>
                <w:highlight w:val="none"/>
                <w:vertAlign w:val="subscript"/>
                <w:lang w:val="en-US" w:eastAsia="zh-CN"/>
                <w14:textFill>
                  <w14:solidFill>
                    <w14:schemeClr w14:val="tx1"/>
                  </w14:solidFill>
                </w14:textFill>
              </w:rPr>
              <w:t>p1i</w:t>
            </w:r>
            <w:r>
              <w:rPr>
                <w:i/>
                <w:iCs/>
                <w:color w:val="000000" w:themeColor="text1"/>
                <w:kern w:val="0"/>
                <w:sz w:val="21"/>
                <w:szCs w:val="21"/>
                <w:highlight w:val="none"/>
                <w14:textFill>
                  <w14:solidFill>
                    <w14:schemeClr w14:val="tx1"/>
                  </w14:solidFill>
                </w14:textFill>
              </w:rPr>
              <w:t>（T）</w:t>
            </w:r>
            <w:r>
              <w:rPr>
                <w:bCs/>
                <w:color w:val="000000" w:themeColor="text1"/>
                <w:sz w:val="21"/>
                <w:szCs w:val="21"/>
                <w:highlight w:val="none"/>
                <w14:textFill>
                  <w14:solidFill>
                    <w14:schemeClr w14:val="tx1"/>
                  </w14:solidFill>
                </w14:textFill>
              </w:rPr>
              <w:t>—</w:t>
            </w:r>
            <w:r>
              <w:rPr>
                <w:rFonts w:hint="eastAsia"/>
                <w:color w:val="000000" w:themeColor="text1"/>
                <w:kern w:val="0"/>
                <w:sz w:val="21"/>
                <w:szCs w:val="21"/>
                <w:highlight w:val="none"/>
                <w:lang w:val="en-US" w:eastAsia="zh-CN"/>
                <w14:textFill>
                  <w14:solidFill>
                    <w14:schemeClr w14:val="tx1"/>
                  </w14:solidFill>
                </w14:textFill>
              </w:rPr>
              <w:t>靠近围护结构处室内N个声源i倍频带的叠加声压级，dB</w:t>
            </w:r>
            <w:r>
              <w:rPr>
                <w:color w:val="000000" w:themeColor="text1"/>
                <w:kern w:val="0"/>
                <w:sz w:val="21"/>
                <w:szCs w:val="21"/>
                <w:highlight w:val="none"/>
                <w14:textFill>
                  <w14:solidFill>
                    <w14:schemeClr w14:val="tx1"/>
                  </w14:solidFill>
                </w14:textFill>
              </w:rPr>
              <w:t>；</w:t>
            </w:r>
          </w:p>
          <w:p w14:paraId="09419B0F">
            <w:pPr>
              <w:widowControl/>
              <w:spacing w:line="360" w:lineRule="auto"/>
              <w:ind w:firstLine="840" w:firstLineChars="400"/>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TL</w:t>
            </w:r>
            <w:r>
              <w:rPr>
                <w:rFonts w:hint="eastAsia"/>
                <w:color w:val="000000" w:themeColor="text1"/>
                <w:kern w:val="0"/>
                <w:sz w:val="21"/>
                <w:szCs w:val="21"/>
                <w:highlight w:val="none"/>
                <w:vertAlign w:val="subscript"/>
                <w:lang w:val="en-US" w:eastAsia="zh-CN"/>
                <w14:textFill>
                  <w14:solidFill>
                    <w14:schemeClr w14:val="tx1"/>
                  </w14:solidFill>
                </w14:textFill>
              </w:rPr>
              <w:t>i</w:t>
            </w:r>
            <w:r>
              <w:rPr>
                <w:bCs/>
                <w:color w:val="000000" w:themeColor="text1"/>
                <w:sz w:val="21"/>
                <w:szCs w:val="21"/>
                <w:highlight w:val="none"/>
                <w14:textFill>
                  <w14:solidFill>
                    <w14:schemeClr w14:val="tx1"/>
                  </w14:solidFill>
                </w14:textFill>
              </w:rPr>
              <w:t>—</w:t>
            </w:r>
            <w:r>
              <w:rPr>
                <w:rFonts w:hint="eastAsia"/>
                <w:color w:val="000000" w:themeColor="text1"/>
                <w:kern w:val="0"/>
                <w:sz w:val="21"/>
                <w:szCs w:val="21"/>
                <w:highlight w:val="none"/>
                <w:lang w:val="en-US" w:eastAsia="zh-CN"/>
                <w14:textFill>
                  <w14:solidFill>
                    <w14:schemeClr w14:val="tx1"/>
                  </w14:solidFill>
                </w14:textFill>
              </w:rPr>
              <w:t>围护结构i倍频带的隔音量，dB</w:t>
            </w:r>
            <w:r>
              <w:rPr>
                <w:color w:val="000000" w:themeColor="text1"/>
                <w:kern w:val="0"/>
                <w:sz w:val="21"/>
                <w:szCs w:val="21"/>
                <w:highlight w:val="none"/>
                <w14:textFill>
                  <w14:solidFill>
                    <w14:schemeClr w14:val="tx1"/>
                  </w14:solidFill>
                </w14:textFill>
              </w:rPr>
              <w:t>；</w:t>
            </w:r>
          </w:p>
          <w:p w14:paraId="52E39A4D">
            <w:pPr>
              <w:widowControl/>
              <w:spacing w:line="360" w:lineRule="auto"/>
              <w:ind w:firstLine="420" w:firstLineChars="200"/>
              <w:rPr>
                <w:color w:val="000000" w:themeColor="text1"/>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B、室内声源等效室外声源噪声级的计算</w:t>
            </w:r>
          </w:p>
          <w:p w14:paraId="775141FB">
            <w:pPr>
              <w:widowControl/>
              <w:spacing w:line="360" w:lineRule="auto"/>
              <w:jc w:val="center"/>
              <w:rPr>
                <w:rFonts w:hint="eastAsia"/>
                <w:i/>
                <w:iCs/>
                <w:color w:val="000000" w:themeColor="text1"/>
                <w:kern w:val="0"/>
                <w:sz w:val="21"/>
                <w:szCs w:val="21"/>
                <w:highlight w:val="none"/>
                <w:lang w:eastAsia="zh-CN"/>
                <w14:textFill>
                  <w14:solidFill>
                    <w14:schemeClr w14:val="tx1"/>
                  </w14:solidFill>
                </w14:textFill>
              </w:rPr>
            </w:pPr>
            <w:r>
              <w:rPr>
                <w:i/>
                <w:iCs/>
                <w:color w:val="000000" w:themeColor="text1"/>
                <w:kern w:val="0"/>
                <w:sz w:val="21"/>
                <w:szCs w:val="21"/>
                <w:highlight w:val="none"/>
                <w14:textFill>
                  <w14:solidFill>
                    <w14:schemeClr w14:val="tx1"/>
                  </w14:solidFill>
                </w14:textFill>
              </w:rPr>
              <w:t>L</w:t>
            </w:r>
            <w:r>
              <w:rPr>
                <w:rFonts w:hint="eastAsia"/>
                <w:i/>
                <w:iCs/>
                <w:color w:val="000000" w:themeColor="text1"/>
                <w:kern w:val="0"/>
                <w:sz w:val="21"/>
                <w:szCs w:val="21"/>
                <w:highlight w:val="none"/>
                <w:vertAlign w:val="subscript"/>
                <w:lang w:val="en-US" w:eastAsia="zh-CN"/>
                <w14:textFill>
                  <w14:solidFill>
                    <w14:schemeClr w14:val="tx1"/>
                  </w14:solidFill>
                </w14:textFill>
              </w:rPr>
              <w:t>w</w:t>
            </w:r>
            <w:r>
              <w:rPr>
                <w:i/>
                <w:iCs/>
                <w:color w:val="000000" w:themeColor="text1"/>
                <w:kern w:val="0"/>
                <w:sz w:val="21"/>
                <w:szCs w:val="21"/>
                <w:highlight w:val="none"/>
                <w14:textFill>
                  <w14:solidFill>
                    <w14:schemeClr w14:val="tx1"/>
                  </w14:solidFill>
                </w14:textFill>
              </w:rPr>
              <w:t>=L</w:t>
            </w:r>
            <w:r>
              <w:rPr>
                <w:rFonts w:hint="eastAsia"/>
                <w:i/>
                <w:iCs/>
                <w:color w:val="000000" w:themeColor="text1"/>
                <w:kern w:val="0"/>
                <w:sz w:val="21"/>
                <w:szCs w:val="21"/>
                <w:highlight w:val="none"/>
                <w:vertAlign w:val="subscript"/>
                <w:lang w:val="en-US" w:eastAsia="zh-CN"/>
                <w14:textFill>
                  <w14:solidFill>
                    <w14:schemeClr w14:val="tx1"/>
                  </w14:solidFill>
                </w14:textFill>
              </w:rPr>
              <w:t>p2(</w:t>
            </w:r>
            <w:r>
              <w:rPr>
                <w:i/>
                <w:iCs/>
                <w:color w:val="000000" w:themeColor="text1"/>
                <w:kern w:val="0"/>
                <w:sz w:val="21"/>
                <w:szCs w:val="21"/>
                <w:highlight w:val="none"/>
                <w14:textFill>
                  <w14:solidFill>
                    <w14:schemeClr w14:val="tx1"/>
                  </w14:solidFill>
                </w14:textFill>
              </w:rPr>
              <w:t>T</w:t>
            </w:r>
            <w:r>
              <w:rPr>
                <w:rFonts w:hint="eastAsia"/>
                <w:i/>
                <w:iCs/>
                <w:color w:val="000000" w:themeColor="text1"/>
                <w:kern w:val="0"/>
                <w:sz w:val="21"/>
                <w:szCs w:val="21"/>
                <w:highlight w:val="none"/>
                <w:lang w:eastAsia="zh-CN"/>
                <w14:textFill>
                  <w14:solidFill>
                    <w14:schemeClr w14:val="tx1"/>
                  </w14:solidFill>
                </w14:textFill>
              </w:rPr>
              <w:t>)</w:t>
            </w:r>
            <w:r>
              <w:rPr>
                <w:rFonts w:hint="eastAsia"/>
                <w:i/>
                <w:iCs/>
                <w:color w:val="000000" w:themeColor="text1"/>
                <w:kern w:val="0"/>
                <w:sz w:val="21"/>
                <w:szCs w:val="21"/>
                <w:highlight w:val="none"/>
                <w:lang w:val="en-US" w:eastAsia="zh-CN"/>
                <w14:textFill>
                  <w14:solidFill>
                    <w14:schemeClr w14:val="tx1"/>
                  </w14:solidFill>
                </w14:textFill>
              </w:rPr>
              <w:t>+10lgS</w:t>
            </w:r>
          </w:p>
          <w:p w14:paraId="71F57F3B">
            <w:pPr>
              <w:pStyle w:val="1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1620" w:hanging="1050" w:hangingChars="500"/>
              <w:textAlignment w:val="auto"/>
              <w:rPr>
                <w:rFonts w:hint="eastAsia"/>
                <w:bCs/>
                <w:color w:val="000000" w:themeColor="text1"/>
                <w:sz w:val="21"/>
                <w:szCs w:val="21"/>
                <w:highlight w:val="none"/>
                <w:lang w:val="en-US" w:eastAsia="zh-CN"/>
                <w14:textFill>
                  <w14:solidFill>
                    <w14:schemeClr w14:val="tx1"/>
                  </w14:solidFill>
                </w14:textFill>
              </w:rPr>
            </w:pPr>
            <w:r>
              <w:rPr>
                <w:rFonts w:hint="eastAsia"/>
                <w:i/>
                <w:iCs/>
                <w:color w:val="000000" w:themeColor="text1"/>
                <w:kern w:val="0"/>
                <w:sz w:val="21"/>
                <w:szCs w:val="21"/>
                <w:highlight w:val="none"/>
                <w:lang w:val="en-US" w:eastAsia="zh-CN"/>
                <w14:textFill>
                  <w14:solidFill>
                    <w14:schemeClr w14:val="tx1"/>
                  </w14:solidFill>
                </w14:textFill>
              </w:rPr>
              <w:t>式中：</w:t>
            </w:r>
            <w:r>
              <w:rPr>
                <w:i/>
                <w:iCs/>
                <w:color w:val="000000" w:themeColor="text1"/>
                <w:kern w:val="0"/>
                <w:sz w:val="21"/>
                <w:szCs w:val="21"/>
                <w:highlight w:val="none"/>
                <w14:textFill>
                  <w14:solidFill>
                    <w14:schemeClr w14:val="tx1"/>
                  </w14:solidFill>
                </w14:textFill>
              </w:rPr>
              <w:t>L</w:t>
            </w:r>
            <w:r>
              <w:rPr>
                <w:rFonts w:hint="eastAsia"/>
                <w:i/>
                <w:iCs/>
                <w:color w:val="000000" w:themeColor="text1"/>
                <w:kern w:val="0"/>
                <w:sz w:val="21"/>
                <w:szCs w:val="21"/>
                <w:highlight w:val="none"/>
                <w:vertAlign w:val="subscript"/>
                <w:lang w:val="en-US" w:eastAsia="zh-CN"/>
                <w14:textFill>
                  <w14:solidFill>
                    <w14:schemeClr w14:val="tx1"/>
                  </w14:solidFill>
                </w14:textFill>
              </w:rPr>
              <w:t>w</w:t>
            </w:r>
            <w:r>
              <w:rPr>
                <w:bCs/>
                <w:color w:val="000000" w:themeColor="text1"/>
                <w:sz w:val="21"/>
                <w:szCs w:val="21"/>
                <w:highlight w:val="none"/>
                <w14:textFill>
                  <w14:solidFill>
                    <w14:schemeClr w14:val="tx1"/>
                  </w14:solidFill>
                </w14:textFill>
              </w:rPr>
              <w:t>—</w:t>
            </w:r>
            <w:r>
              <w:rPr>
                <w:rFonts w:hint="eastAsia"/>
                <w:bCs/>
                <w:color w:val="000000" w:themeColor="text1"/>
                <w:sz w:val="21"/>
                <w:szCs w:val="21"/>
                <w:highlight w:val="none"/>
                <w:lang w:val="en-US" w:eastAsia="zh-CN"/>
                <w14:textFill>
                  <w14:solidFill>
                    <w14:schemeClr w14:val="tx1"/>
                  </w14:solidFill>
                </w14:textFill>
              </w:rPr>
              <w:t>中心位置位于透声面积（S）处的等效声源的倍频带声功率级，dB；</w:t>
            </w:r>
          </w:p>
          <w:p w14:paraId="2C0B2858">
            <w:pPr>
              <w:pStyle w:val="18"/>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ind w:left="899" w:leftChars="428" w:firstLine="210" w:firstLineChars="100"/>
              <w:textAlignment w:val="auto"/>
              <w:rPr>
                <w:color w:val="000000" w:themeColor="text1"/>
                <w:kern w:val="0"/>
                <w:sz w:val="21"/>
                <w:szCs w:val="21"/>
                <w:highlight w:val="none"/>
                <w14:textFill>
                  <w14:solidFill>
                    <w14:schemeClr w14:val="tx1"/>
                  </w14:solidFill>
                </w14:textFill>
              </w:rPr>
            </w:pPr>
            <w:r>
              <w:rPr>
                <w:i/>
                <w:iCs/>
                <w:color w:val="000000" w:themeColor="text1"/>
                <w:kern w:val="0"/>
                <w:sz w:val="21"/>
                <w:szCs w:val="21"/>
                <w:highlight w:val="none"/>
                <w14:textFill>
                  <w14:solidFill>
                    <w14:schemeClr w14:val="tx1"/>
                  </w14:solidFill>
                </w14:textFill>
              </w:rPr>
              <w:t>L</w:t>
            </w:r>
            <w:r>
              <w:rPr>
                <w:rFonts w:hint="eastAsia"/>
                <w:i/>
                <w:iCs/>
                <w:color w:val="000000" w:themeColor="text1"/>
                <w:kern w:val="0"/>
                <w:sz w:val="21"/>
                <w:szCs w:val="21"/>
                <w:highlight w:val="none"/>
                <w:vertAlign w:val="subscript"/>
                <w:lang w:val="en-US" w:eastAsia="zh-CN"/>
                <w14:textFill>
                  <w14:solidFill>
                    <w14:schemeClr w14:val="tx1"/>
                  </w14:solidFill>
                </w14:textFill>
              </w:rPr>
              <w:t>p2</w:t>
            </w:r>
            <w:r>
              <w:rPr>
                <w:i/>
                <w:iCs/>
                <w:color w:val="000000" w:themeColor="text1"/>
                <w:kern w:val="0"/>
                <w:sz w:val="21"/>
                <w:szCs w:val="21"/>
                <w:highlight w:val="none"/>
                <w14:textFill>
                  <w14:solidFill>
                    <w14:schemeClr w14:val="tx1"/>
                  </w14:solidFill>
                </w14:textFill>
              </w:rPr>
              <w:t>（T）</w:t>
            </w:r>
            <w:r>
              <w:rPr>
                <w:bCs/>
                <w:color w:val="000000" w:themeColor="text1"/>
                <w:sz w:val="21"/>
                <w:szCs w:val="21"/>
                <w:highlight w:val="none"/>
                <w14:textFill>
                  <w14:solidFill>
                    <w14:schemeClr w14:val="tx1"/>
                  </w14:solidFill>
                </w14:textFill>
              </w:rPr>
              <w:t>—</w:t>
            </w:r>
            <w:r>
              <w:rPr>
                <w:rFonts w:hint="eastAsia"/>
                <w:color w:val="000000" w:themeColor="text1"/>
                <w:kern w:val="0"/>
                <w:sz w:val="21"/>
                <w:szCs w:val="21"/>
                <w:highlight w:val="none"/>
                <w:lang w:val="en-US" w:eastAsia="zh-CN"/>
                <w14:textFill>
                  <w14:solidFill>
                    <w14:schemeClr w14:val="tx1"/>
                  </w14:solidFill>
                </w14:textFill>
              </w:rPr>
              <w:t>靠近围护结构处室外声源的声压级，dB</w:t>
            </w:r>
            <w:r>
              <w:rPr>
                <w:color w:val="000000" w:themeColor="text1"/>
                <w:kern w:val="0"/>
                <w:sz w:val="21"/>
                <w:szCs w:val="21"/>
                <w:highlight w:val="none"/>
                <w14:textFill>
                  <w14:solidFill>
                    <w14:schemeClr w14:val="tx1"/>
                  </w14:solidFill>
                </w14:textFill>
              </w:rPr>
              <w:t>；</w:t>
            </w:r>
          </w:p>
          <w:p w14:paraId="140CE13B">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840" w:firstLineChars="400"/>
              <w:textAlignment w:val="auto"/>
              <w:rPr>
                <w:rFonts w:hint="default"/>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S-透声面积</w:t>
            </w:r>
            <w:r>
              <w:rPr>
                <w:rFonts w:hint="eastAsia" w:cs="Times New Roman"/>
                <w:color w:val="000000" w:themeColor="text1"/>
                <w:kern w:val="0"/>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m</w:t>
            </w:r>
            <w:r>
              <w:rPr>
                <w:rFonts w:hint="eastAsia" w:ascii="Times New Roman" w:hAnsi="Times New Roman" w:eastAsia="宋体" w:cs="Times New Roman"/>
                <w:color w:val="000000" w:themeColor="text1"/>
                <w:kern w:val="0"/>
                <w:sz w:val="21"/>
                <w:szCs w:val="21"/>
                <w:highlight w:val="none"/>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p>
          <w:p w14:paraId="18F970C6">
            <w:pPr>
              <w:widowControl/>
              <w:spacing w:line="360" w:lineRule="auto"/>
              <w:ind w:firstLine="420" w:firstLineChars="200"/>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C、室外点声源在预测点产生的噪声级</w:t>
            </w:r>
          </w:p>
          <w:p w14:paraId="0AB50247">
            <w:pPr>
              <w:widowControl/>
              <w:spacing w:line="360" w:lineRule="auto"/>
              <w:ind w:firstLine="840" w:firstLineChars="400"/>
              <w:rPr>
                <w:rFonts w:hint="eastAsia" w:eastAsia="宋体"/>
                <w:color w:val="000000" w:themeColor="text1"/>
                <w:kern w:val="0"/>
                <w:sz w:val="21"/>
                <w:szCs w:val="21"/>
                <w:highlight w:val="none"/>
                <w:lang w:eastAsia="zh-CN"/>
                <w14:textFill>
                  <w14:solidFill>
                    <w14:schemeClr w14:val="tx1"/>
                  </w14:solidFill>
                </w14:textFill>
              </w:rPr>
            </w:pPr>
            <w:r>
              <w:rPr>
                <w:rFonts w:hint="eastAsia" w:eastAsia="宋体"/>
                <w:color w:val="000000" w:themeColor="text1"/>
                <w:kern w:val="0"/>
                <w:sz w:val="21"/>
                <w:szCs w:val="21"/>
                <w:highlight w:val="none"/>
                <w:lang w:eastAsia="zh-CN"/>
                <w14:textFill>
                  <w14:solidFill>
                    <w14:schemeClr w14:val="tx1"/>
                  </w14:solidFill>
                </w14:textFill>
              </w:rPr>
              <w:drawing>
                <wp:inline distT="0" distB="0" distL="114300" distR="114300">
                  <wp:extent cx="2870200" cy="192405"/>
                  <wp:effectExtent l="0" t="0" r="6350" b="17145"/>
                  <wp:docPr id="3" name="图片 4" descr="微信图片_2022080916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微信图片_20220809162056"/>
                          <pic:cNvPicPr>
                            <a:picLocks noChangeAspect="1"/>
                          </pic:cNvPicPr>
                        </pic:nvPicPr>
                        <pic:blipFill>
                          <a:blip r:embed="rId19"/>
                          <a:stretch>
                            <a:fillRect/>
                          </a:stretch>
                        </pic:blipFill>
                        <pic:spPr>
                          <a:xfrm>
                            <a:off x="0" y="0"/>
                            <a:ext cx="2870200" cy="192405"/>
                          </a:xfrm>
                          <a:prstGeom prst="rect">
                            <a:avLst/>
                          </a:prstGeom>
                          <a:noFill/>
                          <a:ln>
                            <a:noFill/>
                          </a:ln>
                        </pic:spPr>
                      </pic:pic>
                    </a:graphicData>
                  </a:graphic>
                </wp:inline>
              </w:drawing>
            </w:r>
          </w:p>
          <w:p w14:paraId="0856DC1D">
            <w:pPr>
              <w:widowControl/>
              <w:spacing w:line="360" w:lineRule="auto"/>
              <w:ind w:firstLine="840" w:firstLineChars="400"/>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式中：</w:t>
            </w:r>
          </w:p>
          <w:p w14:paraId="0BA336A7">
            <w:pPr>
              <w:widowControl/>
              <w:spacing w:line="360" w:lineRule="auto"/>
              <w:ind w:firstLine="840" w:firstLineChars="400"/>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L</w:t>
            </w:r>
            <w:r>
              <w:rPr>
                <w:rFonts w:hint="eastAsia"/>
                <w:color w:val="000000" w:themeColor="text1"/>
                <w:kern w:val="0"/>
                <w:sz w:val="21"/>
                <w:szCs w:val="21"/>
                <w:highlight w:val="none"/>
                <w:vertAlign w:val="subscript"/>
                <w:lang w:val="en-US" w:eastAsia="zh-CN"/>
                <w14:textFill>
                  <w14:solidFill>
                    <w14:schemeClr w14:val="tx1"/>
                  </w14:solidFill>
                </w14:textFill>
              </w:rPr>
              <w:t>p</w:t>
            </w:r>
            <w:r>
              <w:rPr>
                <w:color w:val="000000" w:themeColor="text1"/>
                <w:kern w:val="0"/>
                <w:sz w:val="21"/>
                <w:szCs w:val="21"/>
                <w:highlight w:val="none"/>
                <w14:textFill>
                  <w14:solidFill>
                    <w14:schemeClr w14:val="tx1"/>
                  </w14:solidFill>
                </w14:textFill>
              </w:rPr>
              <w:t>（r）—</w:t>
            </w:r>
            <w:r>
              <w:rPr>
                <w:rFonts w:hint="eastAsia"/>
                <w:color w:val="000000" w:themeColor="text1"/>
                <w:kern w:val="0"/>
                <w:sz w:val="21"/>
                <w:szCs w:val="21"/>
                <w:highlight w:val="none"/>
                <w:lang w:val="en-US" w:eastAsia="zh-CN"/>
                <w14:textFill>
                  <w14:solidFill>
                    <w14:schemeClr w14:val="tx1"/>
                  </w14:solidFill>
                </w14:textFill>
              </w:rPr>
              <w:t>预测点处声压级</w:t>
            </w:r>
            <w:r>
              <w:rPr>
                <w:rFonts w:hint="eastAsia"/>
                <w:color w:val="000000" w:themeColor="text1"/>
                <w:kern w:val="0"/>
                <w:sz w:val="21"/>
                <w:szCs w:val="21"/>
                <w:highlight w:val="none"/>
                <w:lang w:eastAsia="zh-CN"/>
                <w14:textFill>
                  <w14:solidFill>
                    <w14:schemeClr w14:val="tx1"/>
                  </w14:solidFill>
                </w14:textFill>
              </w:rPr>
              <w:t>，</w:t>
            </w:r>
            <w:r>
              <w:rPr>
                <w:color w:val="000000" w:themeColor="text1"/>
                <w:kern w:val="0"/>
                <w:sz w:val="21"/>
                <w:szCs w:val="21"/>
                <w:highlight w:val="none"/>
                <w14:textFill>
                  <w14:solidFill>
                    <w14:schemeClr w14:val="tx1"/>
                  </w14:solidFill>
                </w14:textFill>
              </w:rPr>
              <w:t>dB；</w:t>
            </w:r>
          </w:p>
          <w:p w14:paraId="424F2EDF">
            <w:pPr>
              <w:keepNext w:val="0"/>
              <w:keepLines w:val="0"/>
              <w:pageBreakBefore w:val="0"/>
              <w:widowControl/>
              <w:kinsoku/>
              <w:wordWrap/>
              <w:overflowPunct/>
              <w:topLinePunct w:val="0"/>
              <w:autoSpaceDE/>
              <w:autoSpaceDN/>
              <w:bidi w:val="0"/>
              <w:adjustRightInd/>
              <w:snapToGrid/>
              <w:spacing w:line="360" w:lineRule="auto"/>
              <w:ind w:firstLine="840" w:firstLineChars="400"/>
              <w:textAlignment w:val="auto"/>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L</w:t>
            </w:r>
            <w:r>
              <w:rPr>
                <w:rFonts w:hint="eastAsia"/>
                <w:color w:val="000000" w:themeColor="text1"/>
                <w:kern w:val="0"/>
                <w:sz w:val="21"/>
                <w:szCs w:val="21"/>
                <w:highlight w:val="none"/>
                <w:vertAlign w:val="subscript"/>
                <w:lang w:val="en-US" w:eastAsia="zh-CN"/>
                <w14:textFill>
                  <w14:solidFill>
                    <w14:schemeClr w14:val="tx1"/>
                  </w14:solidFill>
                </w14:textFill>
              </w:rPr>
              <w:t>w</w:t>
            </w:r>
            <w:r>
              <w:rPr>
                <w:color w:val="000000" w:themeColor="text1"/>
                <w:kern w:val="0"/>
                <w:sz w:val="21"/>
                <w:szCs w:val="21"/>
                <w:highlight w:val="none"/>
                <w14:textFill>
                  <w14:solidFill>
                    <w14:schemeClr w14:val="tx1"/>
                  </w14:solidFill>
                </w14:textFill>
              </w:rPr>
              <w:t>—</w:t>
            </w:r>
            <w:r>
              <w:rPr>
                <w:rFonts w:hint="eastAsia"/>
                <w:color w:val="000000" w:themeColor="text1"/>
                <w:kern w:val="0"/>
                <w:sz w:val="21"/>
                <w:szCs w:val="21"/>
                <w:highlight w:val="none"/>
                <w:lang w:val="en-US" w:eastAsia="zh-CN"/>
                <w14:textFill>
                  <w14:solidFill>
                    <w14:schemeClr w14:val="tx1"/>
                  </w14:solidFill>
                </w14:textFill>
              </w:rPr>
              <w:t>由点声源产生的声功率级（A计权或倍频带）</w:t>
            </w:r>
            <w:r>
              <w:rPr>
                <w:rFonts w:hint="eastAsia"/>
                <w:color w:val="000000" w:themeColor="text1"/>
                <w:kern w:val="0"/>
                <w:sz w:val="21"/>
                <w:szCs w:val="21"/>
                <w:highlight w:val="none"/>
                <w:lang w:eastAsia="zh-CN"/>
                <w14:textFill>
                  <w14:solidFill>
                    <w14:schemeClr w14:val="tx1"/>
                  </w14:solidFill>
                </w14:textFill>
              </w:rPr>
              <w:t>，</w:t>
            </w:r>
            <w:r>
              <w:rPr>
                <w:color w:val="000000" w:themeColor="text1"/>
                <w:kern w:val="0"/>
                <w:sz w:val="21"/>
                <w:szCs w:val="21"/>
                <w:highlight w:val="none"/>
                <w14:textFill>
                  <w14:solidFill>
                    <w14:schemeClr w14:val="tx1"/>
                  </w14:solidFill>
                </w14:textFill>
              </w:rPr>
              <w:t>dB；</w:t>
            </w:r>
          </w:p>
          <w:p w14:paraId="31B1B971">
            <w:pPr>
              <w:pStyle w:val="18"/>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1588" w:leftChars="456" w:hanging="630" w:hangingChars="300"/>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Dc</w:t>
            </w:r>
            <w:r>
              <w:rPr>
                <w:rFonts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指向性校正</w:t>
            </w:r>
            <w:r>
              <w:rPr>
                <w:rFonts w:hint="eastAsia" w:cs="Times New Roman"/>
                <w:color w:val="000000" w:themeColor="text1"/>
                <w:kern w:val="0"/>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它描述点声源的等效连续声压级与产生声功率级</w:t>
            </w:r>
            <w:r>
              <w:rPr>
                <w:color w:val="000000" w:themeColor="text1"/>
                <w:kern w:val="0"/>
                <w:sz w:val="21"/>
                <w:szCs w:val="21"/>
                <w:highlight w:val="none"/>
                <w14:textFill>
                  <w14:solidFill>
                    <w14:schemeClr w14:val="tx1"/>
                  </w14:solidFill>
                </w14:textFill>
              </w:rPr>
              <w:t>L</w:t>
            </w:r>
            <w:r>
              <w:rPr>
                <w:rFonts w:hint="eastAsia"/>
                <w:color w:val="000000" w:themeColor="text1"/>
                <w:kern w:val="0"/>
                <w:sz w:val="21"/>
                <w:szCs w:val="21"/>
                <w:highlight w:val="none"/>
                <w:vertAlign w:val="subscript"/>
                <w:lang w:val="en-US" w:eastAsia="zh-CN"/>
                <w14:textFill>
                  <w14:solidFill>
                    <w14:schemeClr w14:val="tx1"/>
                  </w14:solidFill>
                </w14:textFill>
              </w:rPr>
              <w:t>w</w:t>
            </w:r>
            <w:r>
              <w:rPr>
                <w:rFonts w:hint="eastAsia"/>
                <w:color w:val="000000" w:themeColor="text1"/>
                <w:kern w:val="0"/>
                <w:sz w:val="21"/>
                <w:szCs w:val="21"/>
                <w:highlight w:val="none"/>
                <w:vertAlign w:val="baseline"/>
                <w:lang w:val="en-US" w:eastAsia="zh-CN"/>
                <w14:textFill>
                  <w14:solidFill>
                    <w14:schemeClr w14:val="tx1"/>
                  </w14:solidFill>
                </w14:textFill>
              </w:rPr>
              <w:t>的全向点声源在规定方向的声级的偏差程度</w:t>
            </w:r>
            <w:r>
              <w:rPr>
                <w:rFonts w:hint="eastAsia"/>
                <w:color w:val="000000" w:themeColor="text1"/>
                <w:kern w:val="0"/>
                <w:sz w:val="21"/>
                <w:szCs w:val="21"/>
                <w:highlight w:val="none"/>
                <w:lang w:eastAsia="zh-CN"/>
                <w14:textFill>
                  <w14:solidFill>
                    <w14:schemeClr w14:val="tx1"/>
                  </w14:solidFill>
                </w14:textFill>
              </w:rPr>
              <w:t>，</w:t>
            </w:r>
            <w:r>
              <w:rPr>
                <w:color w:val="000000" w:themeColor="text1"/>
                <w:kern w:val="0"/>
                <w:sz w:val="21"/>
                <w:szCs w:val="21"/>
                <w:highlight w:val="none"/>
                <w14:textFill>
                  <w14:solidFill>
                    <w14:schemeClr w14:val="tx1"/>
                  </w14:solidFill>
                </w14:textFill>
              </w:rPr>
              <w:t>dB；</w:t>
            </w:r>
          </w:p>
          <w:p w14:paraId="18B6213E">
            <w:pPr>
              <w:keepNext w:val="0"/>
              <w:keepLines w:val="0"/>
              <w:pageBreakBefore w:val="0"/>
              <w:widowControl/>
              <w:kinsoku/>
              <w:wordWrap/>
              <w:overflowPunct/>
              <w:topLinePunct w:val="0"/>
              <w:autoSpaceDE/>
              <w:autoSpaceDN/>
              <w:bidi w:val="0"/>
              <w:adjustRightInd w:val="0"/>
              <w:snapToGrid w:val="0"/>
              <w:spacing w:line="360" w:lineRule="auto"/>
              <w:ind w:firstLine="840" w:firstLineChars="400"/>
              <w:textAlignment w:val="auto"/>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A</w:t>
            </w:r>
            <w:r>
              <w:rPr>
                <w:color w:val="000000" w:themeColor="text1"/>
                <w:kern w:val="0"/>
                <w:sz w:val="21"/>
                <w:szCs w:val="21"/>
                <w:highlight w:val="none"/>
                <w:vertAlign w:val="subscript"/>
                <w14:textFill>
                  <w14:solidFill>
                    <w14:schemeClr w14:val="tx1"/>
                  </w14:solidFill>
                </w14:textFill>
              </w:rPr>
              <w:t>div</w:t>
            </w:r>
            <w:r>
              <w:rPr>
                <w:color w:val="000000" w:themeColor="text1"/>
                <w:kern w:val="0"/>
                <w:sz w:val="21"/>
                <w:szCs w:val="21"/>
                <w:highlight w:val="none"/>
                <w14:textFill>
                  <w14:solidFill>
                    <w14:schemeClr w14:val="tx1"/>
                  </w14:solidFill>
                </w14:textFill>
              </w:rPr>
              <w:t>—几何发散引起的衰减</w:t>
            </w:r>
            <w:r>
              <w:rPr>
                <w:rFonts w:hint="eastAsia"/>
                <w:color w:val="000000" w:themeColor="text1"/>
                <w:kern w:val="0"/>
                <w:sz w:val="21"/>
                <w:szCs w:val="21"/>
                <w:highlight w:val="none"/>
                <w:lang w:eastAsia="zh-CN"/>
                <w14:textFill>
                  <w14:solidFill>
                    <w14:schemeClr w14:val="tx1"/>
                  </w14:solidFill>
                </w14:textFill>
              </w:rPr>
              <w:t>，</w:t>
            </w:r>
            <w:r>
              <w:rPr>
                <w:color w:val="000000" w:themeColor="text1"/>
                <w:kern w:val="0"/>
                <w:sz w:val="21"/>
                <w:szCs w:val="21"/>
                <w:highlight w:val="none"/>
                <w14:textFill>
                  <w14:solidFill>
                    <w14:schemeClr w14:val="tx1"/>
                  </w14:solidFill>
                </w14:textFill>
              </w:rPr>
              <w:t>dB；</w:t>
            </w:r>
          </w:p>
          <w:p w14:paraId="3CD84A05">
            <w:pPr>
              <w:keepNext w:val="0"/>
              <w:keepLines w:val="0"/>
              <w:pageBreakBefore w:val="0"/>
              <w:widowControl/>
              <w:kinsoku/>
              <w:wordWrap/>
              <w:overflowPunct/>
              <w:topLinePunct w:val="0"/>
              <w:autoSpaceDE/>
              <w:autoSpaceDN/>
              <w:bidi w:val="0"/>
              <w:adjustRightInd w:val="0"/>
              <w:snapToGrid w:val="0"/>
              <w:spacing w:line="360" w:lineRule="auto"/>
              <w:ind w:firstLine="840" w:firstLineChars="400"/>
              <w:textAlignment w:val="auto"/>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A</w:t>
            </w:r>
            <w:r>
              <w:rPr>
                <w:color w:val="000000" w:themeColor="text1"/>
                <w:kern w:val="0"/>
                <w:sz w:val="21"/>
                <w:szCs w:val="21"/>
                <w:highlight w:val="none"/>
                <w:vertAlign w:val="subscript"/>
                <w14:textFill>
                  <w14:solidFill>
                    <w14:schemeClr w14:val="tx1"/>
                  </w14:solidFill>
                </w14:textFill>
              </w:rPr>
              <w:t>atm</w:t>
            </w:r>
            <w:r>
              <w:rPr>
                <w:color w:val="000000" w:themeColor="text1"/>
                <w:kern w:val="0"/>
                <w:sz w:val="21"/>
                <w:szCs w:val="21"/>
                <w:highlight w:val="none"/>
                <w14:textFill>
                  <w14:solidFill>
                    <w14:schemeClr w14:val="tx1"/>
                  </w14:solidFill>
                </w14:textFill>
              </w:rPr>
              <w:t>—</w:t>
            </w:r>
            <w:r>
              <w:rPr>
                <w:rFonts w:hint="eastAsia"/>
                <w:color w:val="000000" w:themeColor="text1"/>
                <w:kern w:val="0"/>
                <w:sz w:val="21"/>
                <w:szCs w:val="21"/>
                <w:highlight w:val="none"/>
                <w:lang w:val="en-US" w:eastAsia="zh-CN"/>
                <w14:textFill>
                  <w14:solidFill>
                    <w14:schemeClr w14:val="tx1"/>
                  </w14:solidFill>
                </w14:textFill>
              </w:rPr>
              <w:t>大气</w:t>
            </w:r>
            <w:r>
              <w:rPr>
                <w:color w:val="000000" w:themeColor="text1"/>
                <w:kern w:val="0"/>
                <w:sz w:val="21"/>
                <w:szCs w:val="21"/>
                <w:highlight w:val="none"/>
                <w14:textFill>
                  <w14:solidFill>
                    <w14:schemeClr w14:val="tx1"/>
                  </w14:solidFill>
                </w14:textFill>
              </w:rPr>
              <w:t>吸收引起的衰减</w:t>
            </w:r>
            <w:r>
              <w:rPr>
                <w:rFonts w:hint="eastAsia"/>
                <w:color w:val="000000" w:themeColor="text1"/>
                <w:kern w:val="0"/>
                <w:sz w:val="21"/>
                <w:szCs w:val="21"/>
                <w:highlight w:val="none"/>
                <w:lang w:eastAsia="zh-CN"/>
                <w14:textFill>
                  <w14:solidFill>
                    <w14:schemeClr w14:val="tx1"/>
                  </w14:solidFill>
                </w14:textFill>
              </w:rPr>
              <w:t>，</w:t>
            </w:r>
            <w:r>
              <w:rPr>
                <w:color w:val="000000" w:themeColor="text1"/>
                <w:kern w:val="0"/>
                <w:sz w:val="21"/>
                <w:szCs w:val="21"/>
                <w:highlight w:val="none"/>
                <w14:textFill>
                  <w14:solidFill>
                    <w14:schemeClr w14:val="tx1"/>
                  </w14:solidFill>
                </w14:textFill>
              </w:rPr>
              <w:t>dB；</w:t>
            </w:r>
          </w:p>
          <w:p w14:paraId="3506F4B3">
            <w:pPr>
              <w:keepNext w:val="0"/>
              <w:keepLines w:val="0"/>
              <w:pageBreakBefore w:val="0"/>
              <w:widowControl/>
              <w:kinsoku/>
              <w:wordWrap/>
              <w:overflowPunct/>
              <w:topLinePunct w:val="0"/>
              <w:autoSpaceDE/>
              <w:autoSpaceDN/>
              <w:bidi w:val="0"/>
              <w:adjustRightInd w:val="0"/>
              <w:snapToGrid w:val="0"/>
              <w:spacing w:line="360" w:lineRule="auto"/>
              <w:ind w:firstLine="840" w:firstLineChars="400"/>
              <w:textAlignment w:val="auto"/>
              <w:rPr>
                <w:rFonts w:hint="default" w:eastAsia="宋体"/>
                <w:color w:val="000000" w:themeColor="text1"/>
                <w:kern w:val="0"/>
                <w:sz w:val="21"/>
                <w:szCs w:val="21"/>
                <w:highlight w:val="none"/>
                <w:lang w:val="en-US" w:eastAsia="zh-CN"/>
                <w14:textFill>
                  <w14:solidFill>
                    <w14:schemeClr w14:val="tx1"/>
                  </w14:solidFill>
                </w14:textFill>
              </w:rPr>
            </w:pPr>
            <w:r>
              <w:rPr>
                <w:color w:val="000000" w:themeColor="text1"/>
                <w:kern w:val="0"/>
                <w:sz w:val="21"/>
                <w:szCs w:val="21"/>
                <w:highlight w:val="none"/>
                <w14:textFill>
                  <w14:solidFill>
                    <w14:schemeClr w14:val="tx1"/>
                  </w14:solidFill>
                </w14:textFill>
              </w:rPr>
              <w:t>A</w:t>
            </w:r>
            <w:r>
              <w:rPr>
                <w:rFonts w:hint="eastAsia"/>
                <w:color w:val="000000" w:themeColor="text1"/>
                <w:kern w:val="0"/>
                <w:sz w:val="21"/>
                <w:szCs w:val="21"/>
                <w:highlight w:val="none"/>
                <w:vertAlign w:val="subscript"/>
                <w:lang w:val="en-US" w:eastAsia="zh-CN"/>
                <w14:textFill>
                  <w14:solidFill>
                    <w14:schemeClr w14:val="tx1"/>
                  </w14:solidFill>
                </w14:textFill>
              </w:rPr>
              <w:t>gr</w:t>
            </w:r>
            <w:r>
              <w:rPr>
                <w:color w:val="000000" w:themeColor="text1"/>
                <w:kern w:val="0"/>
                <w:sz w:val="21"/>
                <w:szCs w:val="21"/>
                <w:highlight w:val="none"/>
                <w14:textFill>
                  <w14:solidFill>
                    <w14:schemeClr w14:val="tx1"/>
                  </w14:solidFill>
                </w14:textFill>
              </w:rPr>
              <w:t>—</w:t>
            </w:r>
            <w:r>
              <w:rPr>
                <w:rFonts w:hint="eastAsia"/>
                <w:color w:val="000000" w:themeColor="text1"/>
                <w:kern w:val="0"/>
                <w:sz w:val="21"/>
                <w:szCs w:val="21"/>
                <w:highlight w:val="none"/>
                <w:lang w:val="en-US" w:eastAsia="zh-CN"/>
                <w14:textFill>
                  <w14:solidFill>
                    <w14:schemeClr w14:val="tx1"/>
                  </w14:solidFill>
                </w14:textFill>
              </w:rPr>
              <w:t>地面效应引起的衰减</w:t>
            </w:r>
            <w:r>
              <w:rPr>
                <w:rFonts w:hint="eastAsia"/>
                <w:color w:val="000000" w:themeColor="text1"/>
                <w:kern w:val="0"/>
                <w:sz w:val="21"/>
                <w:szCs w:val="21"/>
                <w:highlight w:val="none"/>
                <w:lang w:eastAsia="zh-CN"/>
                <w14:textFill>
                  <w14:solidFill>
                    <w14:schemeClr w14:val="tx1"/>
                  </w14:solidFill>
                </w14:textFill>
              </w:rPr>
              <w:t>，</w:t>
            </w:r>
            <w:r>
              <w:rPr>
                <w:color w:val="000000" w:themeColor="text1"/>
                <w:kern w:val="0"/>
                <w:sz w:val="21"/>
                <w:szCs w:val="21"/>
                <w:highlight w:val="none"/>
                <w14:textFill>
                  <w14:solidFill>
                    <w14:schemeClr w14:val="tx1"/>
                  </w14:solidFill>
                </w14:textFill>
              </w:rPr>
              <w:t>dB；</w:t>
            </w:r>
          </w:p>
          <w:p w14:paraId="1379B3D6">
            <w:pPr>
              <w:keepNext w:val="0"/>
              <w:keepLines w:val="0"/>
              <w:pageBreakBefore w:val="0"/>
              <w:widowControl/>
              <w:kinsoku/>
              <w:wordWrap/>
              <w:overflowPunct/>
              <w:topLinePunct w:val="0"/>
              <w:autoSpaceDE/>
              <w:autoSpaceDN/>
              <w:bidi w:val="0"/>
              <w:adjustRightInd w:val="0"/>
              <w:snapToGrid w:val="0"/>
              <w:spacing w:line="360" w:lineRule="auto"/>
              <w:ind w:firstLine="840" w:firstLineChars="400"/>
              <w:textAlignment w:val="auto"/>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A</w:t>
            </w:r>
            <w:r>
              <w:rPr>
                <w:color w:val="000000" w:themeColor="text1"/>
                <w:kern w:val="0"/>
                <w:sz w:val="21"/>
                <w:szCs w:val="21"/>
                <w:highlight w:val="none"/>
                <w:vertAlign w:val="subscript"/>
                <w14:textFill>
                  <w14:solidFill>
                    <w14:schemeClr w14:val="tx1"/>
                  </w14:solidFill>
                </w14:textFill>
              </w:rPr>
              <w:t>bar</w:t>
            </w:r>
            <w:r>
              <w:rPr>
                <w:color w:val="000000" w:themeColor="text1"/>
                <w:kern w:val="0"/>
                <w:sz w:val="21"/>
                <w:szCs w:val="21"/>
                <w:highlight w:val="none"/>
                <w14:textFill>
                  <w14:solidFill>
                    <w14:schemeClr w14:val="tx1"/>
                  </w14:solidFill>
                </w14:textFill>
              </w:rPr>
              <w:t>—</w:t>
            </w:r>
            <w:r>
              <w:rPr>
                <w:rFonts w:hint="eastAsia"/>
                <w:color w:val="000000" w:themeColor="text1"/>
                <w:kern w:val="0"/>
                <w:sz w:val="21"/>
                <w:szCs w:val="21"/>
                <w:highlight w:val="none"/>
                <w:lang w:val="en-US" w:eastAsia="zh-CN"/>
                <w14:textFill>
                  <w14:solidFill>
                    <w14:schemeClr w14:val="tx1"/>
                  </w14:solidFill>
                </w14:textFill>
              </w:rPr>
              <w:t>障碍物屏蔽引起的衰减</w:t>
            </w:r>
            <w:r>
              <w:rPr>
                <w:rFonts w:hint="eastAsia"/>
                <w:color w:val="000000" w:themeColor="text1"/>
                <w:kern w:val="0"/>
                <w:sz w:val="21"/>
                <w:szCs w:val="21"/>
                <w:highlight w:val="none"/>
                <w:lang w:eastAsia="zh-CN"/>
                <w14:textFill>
                  <w14:solidFill>
                    <w14:schemeClr w14:val="tx1"/>
                  </w14:solidFill>
                </w14:textFill>
              </w:rPr>
              <w:t>，</w:t>
            </w:r>
            <w:r>
              <w:rPr>
                <w:color w:val="000000" w:themeColor="text1"/>
                <w:kern w:val="0"/>
                <w:sz w:val="21"/>
                <w:szCs w:val="21"/>
                <w:highlight w:val="none"/>
                <w14:textFill>
                  <w14:solidFill>
                    <w14:schemeClr w14:val="tx1"/>
                  </w14:solidFill>
                </w14:textFill>
              </w:rPr>
              <w:t>dB；</w:t>
            </w:r>
          </w:p>
          <w:p w14:paraId="1D02FBC7">
            <w:pPr>
              <w:keepNext w:val="0"/>
              <w:keepLines w:val="0"/>
              <w:pageBreakBefore w:val="0"/>
              <w:widowControl/>
              <w:kinsoku/>
              <w:wordWrap/>
              <w:overflowPunct/>
              <w:topLinePunct w:val="0"/>
              <w:autoSpaceDE/>
              <w:autoSpaceDN/>
              <w:bidi w:val="0"/>
              <w:adjustRightInd w:val="0"/>
              <w:snapToGrid w:val="0"/>
              <w:spacing w:line="360" w:lineRule="auto"/>
              <w:ind w:firstLine="840" w:firstLineChars="400"/>
              <w:textAlignment w:val="auto"/>
              <w:rPr>
                <w:color w:val="000000" w:themeColor="text1"/>
                <w:kern w:val="0"/>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A</w:t>
            </w:r>
            <w:r>
              <w:rPr>
                <w:rFonts w:hint="eastAsia"/>
                <w:color w:val="000000" w:themeColor="text1"/>
                <w:kern w:val="0"/>
                <w:sz w:val="21"/>
                <w:szCs w:val="21"/>
                <w:highlight w:val="none"/>
                <w:vertAlign w:val="subscript"/>
                <w:lang w:val="en-US" w:eastAsia="zh-CN"/>
                <w14:textFill>
                  <w14:solidFill>
                    <w14:schemeClr w14:val="tx1"/>
                  </w14:solidFill>
                </w14:textFill>
              </w:rPr>
              <w:t>misc</w:t>
            </w:r>
            <w:r>
              <w:rPr>
                <w:color w:val="000000" w:themeColor="text1"/>
                <w:kern w:val="0"/>
                <w:sz w:val="21"/>
                <w:szCs w:val="21"/>
                <w:highlight w:val="none"/>
                <w14:textFill>
                  <w14:solidFill>
                    <w14:schemeClr w14:val="tx1"/>
                  </w14:solidFill>
                </w14:textFill>
              </w:rPr>
              <w:t>—</w:t>
            </w:r>
            <w:r>
              <w:rPr>
                <w:rFonts w:hint="eastAsia"/>
                <w:color w:val="000000" w:themeColor="text1"/>
                <w:kern w:val="0"/>
                <w:sz w:val="21"/>
                <w:szCs w:val="21"/>
                <w:highlight w:val="none"/>
                <w:lang w:val="en-US" w:eastAsia="zh-CN"/>
                <w14:textFill>
                  <w14:solidFill>
                    <w14:schemeClr w14:val="tx1"/>
                  </w14:solidFill>
                </w14:textFill>
              </w:rPr>
              <w:t>其他多方面效应引起的衰减</w:t>
            </w:r>
            <w:r>
              <w:rPr>
                <w:rFonts w:hint="eastAsia"/>
                <w:color w:val="000000" w:themeColor="text1"/>
                <w:kern w:val="0"/>
                <w:sz w:val="21"/>
                <w:szCs w:val="21"/>
                <w:highlight w:val="none"/>
                <w:lang w:eastAsia="zh-CN"/>
                <w14:textFill>
                  <w14:solidFill>
                    <w14:schemeClr w14:val="tx1"/>
                  </w14:solidFill>
                </w14:textFill>
              </w:rPr>
              <w:t>，</w:t>
            </w:r>
            <w:r>
              <w:rPr>
                <w:color w:val="000000" w:themeColor="text1"/>
                <w:kern w:val="0"/>
                <w:sz w:val="21"/>
                <w:szCs w:val="21"/>
                <w:highlight w:val="none"/>
                <w14:textFill>
                  <w14:solidFill>
                    <w14:schemeClr w14:val="tx1"/>
                  </w14:solidFill>
                </w14:textFill>
              </w:rPr>
              <w:t>dB；</w:t>
            </w:r>
          </w:p>
          <w:p w14:paraId="52B6F782">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为避免计算中增大衰减量而造成预测值偏小</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14:textFill>
                  <w14:solidFill>
                    <w14:schemeClr w14:val="tx1"/>
                  </w14:solidFill>
                </w14:textFill>
              </w:rPr>
              <w:t>计算</w:t>
            </w:r>
            <w:r>
              <w:rPr>
                <w:rFonts w:hint="eastAsia"/>
                <w:color w:val="000000" w:themeColor="text1"/>
                <w:sz w:val="21"/>
                <w:szCs w:val="21"/>
                <w:highlight w:val="none"/>
                <w:lang w:eastAsia="zh-CN"/>
                <w14:textFill>
                  <w14:solidFill>
                    <w14:schemeClr w14:val="tx1"/>
                  </w14:solidFill>
                </w14:textFill>
              </w:rPr>
              <w:t>时</w:t>
            </w:r>
            <w:r>
              <w:rPr>
                <w:color w:val="000000" w:themeColor="text1"/>
                <w:sz w:val="21"/>
                <w:szCs w:val="21"/>
                <w:highlight w:val="none"/>
                <w14:textFill>
                  <w14:solidFill>
                    <w14:schemeClr w14:val="tx1"/>
                  </w14:solidFill>
                </w14:textFill>
              </w:rPr>
              <w:t>忽略</w:t>
            </w:r>
            <w:r>
              <w:rPr>
                <w:color w:val="000000" w:themeColor="text1"/>
                <w:kern w:val="0"/>
                <w:sz w:val="21"/>
                <w:szCs w:val="21"/>
                <w:highlight w:val="none"/>
                <w14:textFill>
                  <w14:solidFill>
                    <w14:schemeClr w14:val="tx1"/>
                  </w14:solidFill>
                </w14:textFill>
              </w:rPr>
              <w:t>A</w:t>
            </w:r>
            <w:r>
              <w:rPr>
                <w:color w:val="000000" w:themeColor="text1"/>
                <w:kern w:val="0"/>
                <w:sz w:val="21"/>
                <w:szCs w:val="21"/>
                <w:highlight w:val="none"/>
                <w:vertAlign w:val="subscript"/>
                <w14:textFill>
                  <w14:solidFill>
                    <w14:schemeClr w14:val="tx1"/>
                  </w14:solidFill>
                </w14:textFill>
              </w:rPr>
              <w:t>atm</w:t>
            </w:r>
            <w:r>
              <w:rPr>
                <w:color w:val="000000" w:themeColor="text1"/>
                <w:sz w:val="21"/>
                <w:szCs w:val="21"/>
                <w:highlight w:val="none"/>
                <w14:textFill>
                  <w14:solidFill>
                    <w14:schemeClr w14:val="tx1"/>
                  </w14:solidFill>
                </w14:textFill>
              </w:rPr>
              <w:t>和</w:t>
            </w:r>
            <w:r>
              <w:rPr>
                <w:color w:val="000000" w:themeColor="text1"/>
                <w:kern w:val="0"/>
                <w:sz w:val="21"/>
                <w:szCs w:val="21"/>
                <w:highlight w:val="none"/>
                <w14:textFill>
                  <w14:solidFill>
                    <w14:schemeClr w14:val="tx1"/>
                  </w14:solidFill>
                </w14:textFill>
              </w:rPr>
              <w:t>A</w:t>
            </w:r>
            <w:r>
              <w:rPr>
                <w:rFonts w:hint="eastAsia"/>
                <w:color w:val="000000" w:themeColor="text1"/>
                <w:kern w:val="0"/>
                <w:sz w:val="21"/>
                <w:szCs w:val="21"/>
                <w:highlight w:val="none"/>
                <w:vertAlign w:val="subscript"/>
                <w:lang w:val="en-US" w:eastAsia="zh-CN"/>
                <w14:textFill>
                  <w14:solidFill>
                    <w14:schemeClr w14:val="tx1"/>
                  </w14:solidFill>
                </w14:textFill>
              </w:rPr>
              <w:t>misc</w:t>
            </w:r>
            <w:r>
              <w:rPr>
                <w:color w:val="000000" w:themeColor="text1"/>
                <w:kern w:val="0"/>
                <w:sz w:val="21"/>
                <w:szCs w:val="21"/>
                <w:highlight w:val="none"/>
                <w14:textFill>
                  <w14:solidFill>
                    <w14:schemeClr w14:val="tx1"/>
                  </w14:solidFill>
                </w14:textFill>
              </w:rPr>
              <w:t>。</w:t>
            </w:r>
          </w:p>
          <w:p w14:paraId="0AD557BB">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表4-</w:t>
            </w:r>
            <w:r>
              <w:rPr>
                <w:rFonts w:hint="eastAsia"/>
                <w:b/>
                <w:color w:val="000000" w:themeColor="text1"/>
                <w:sz w:val="21"/>
                <w:szCs w:val="21"/>
                <w:highlight w:val="none"/>
                <w:lang w:val="en-US" w:eastAsia="zh-CN"/>
                <w14:textFill>
                  <w14:solidFill>
                    <w14:schemeClr w14:val="tx1"/>
                  </w14:solidFill>
                </w14:textFill>
              </w:rPr>
              <w:t xml:space="preserve">9    </w:t>
            </w:r>
            <w:r>
              <w:rPr>
                <w:b/>
                <w:color w:val="000000" w:themeColor="text1"/>
                <w:sz w:val="21"/>
                <w:szCs w:val="21"/>
                <w:highlight w:val="none"/>
                <w14:textFill>
                  <w14:solidFill>
                    <w14:schemeClr w14:val="tx1"/>
                  </w14:solidFill>
                </w14:textFill>
              </w:rPr>
              <w:t>隔墙等遮挡物引起的A声级衰减一览表</w:t>
            </w:r>
          </w:p>
          <w:tbl>
            <w:tblPr>
              <w:tblStyle w:val="24"/>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014"/>
              <w:gridCol w:w="4017"/>
            </w:tblGrid>
            <w:tr w14:paraId="6C60E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99" w:type="pct"/>
                  <w:noWrap w:val="0"/>
                  <w:vAlign w:val="center"/>
                </w:tcPr>
                <w:p w14:paraId="74D3AFF6">
                  <w:pPr>
                    <w:adjustRightInd w:val="0"/>
                    <w:snapToGrid w:val="0"/>
                    <w:jc w:val="center"/>
                    <w:rPr>
                      <w:b/>
                      <w:bCs/>
                      <w:color w:val="000000" w:themeColor="text1"/>
                      <w:sz w:val="21"/>
                      <w:szCs w:val="21"/>
                      <w:highlight w:val="none"/>
                      <w14:textFill>
                        <w14:solidFill>
                          <w14:schemeClr w14:val="tx1"/>
                        </w14:solidFill>
                      </w14:textFill>
                    </w:rPr>
                  </w:pPr>
                  <w:r>
                    <w:rPr>
                      <w:b/>
                      <w:bCs/>
                      <w:color w:val="000000" w:themeColor="text1"/>
                      <w:sz w:val="21"/>
                      <w:szCs w:val="21"/>
                      <w:highlight w:val="none"/>
                      <w14:textFill>
                        <w14:solidFill>
                          <w14:schemeClr w14:val="tx1"/>
                        </w14:solidFill>
                      </w14:textFill>
                    </w:rPr>
                    <w:t>条件</w:t>
                  </w:r>
                </w:p>
              </w:tc>
              <w:tc>
                <w:tcPr>
                  <w:tcW w:w="2500" w:type="pct"/>
                  <w:noWrap w:val="0"/>
                  <w:vAlign w:val="center"/>
                </w:tcPr>
                <w:p w14:paraId="1E095231">
                  <w:pPr>
                    <w:adjustRightInd w:val="0"/>
                    <w:snapToGrid w:val="0"/>
                    <w:jc w:val="center"/>
                    <w:rPr>
                      <w:b/>
                      <w:bCs/>
                      <w:color w:val="000000" w:themeColor="text1"/>
                      <w:sz w:val="21"/>
                      <w:szCs w:val="21"/>
                      <w:highlight w:val="none"/>
                      <w14:textFill>
                        <w14:solidFill>
                          <w14:schemeClr w14:val="tx1"/>
                        </w14:solidFill>
                      </w14:textFill>
                    </w:rPr>
                  </w:pPr>
                  <w:r>
                    <w:rPr>
                      <w:b/>
                      <w:bCs/>
                      <w:color w:val="000000" w:themeColor="text1"/>
                      <w:kern w:val="0"/>
                      <w:sz w:val="21"/>
                      <w:szCs w:val="21"/>
                      <w:highlight w:val="none"/>
                      <w14:textFill>
                        <w14:solidFill>
                          <w14:schemeClr w14:val="tx1"/>
                        </w14:solidFill>
                      </w14:textFill>
                    </w:rPr>
                    <w:t>A</w:t>
                  </w:r>
                  <w:r>
                    <w:rPr>
                      <w:b/>
                      <w:bCs/>
                      <w:color w:val="000000" w:themeColor="text1"/>
                      <w:kern w:val="0"/>
                      <w:sz w:val="21"/>
                      <w:szCs w:val="21"/>
                      <w:highlight w:val="none"/>
                      <w:vertAlign w:val="subscript"/>
                      <w14:textFill>
                        <w14:solidFill>
                          <w14:schemeClr w14:val="tx1"/>
                        </w14:solidFill>
                      </w14:textFill>
                    </w:rPr>
                    <w:t>bar</w:t>
                  </w:r>
                  <w:r>
                    <w:rPr>
                      <w:b/>
                      <w:bCs/>
                      <w:color w:val="000000" w:themeColor="text1"/>
                      <w:kern w:val="0"/>
                      <w:sz w:val="21"/>
                      <w:szCs w:val="21"/>
                      <w:highlight w:val="none"/>
                      <w14:textFill>
                        <w14:solidFill>
                          <w14:schemeClr w14:val="tx1"/>
                        </w14:solidFill>
                      </w14:textFill>
                    </w:rPr>
                    <w:t>dB</w:t>
                  </w:r>
                  <w:r>
                    <w:rPr>
                      <w:rFonts w:hint="eastAsia"/>
                      <w:b/>
                      <w:bCs/>
                      <w:color w:val="000000" w:themeColor="text1"/>
                      <w:kern w:val="0"/>
                      <w:sz w:val="21"/>
                      <w:szCs w:val="21"/>
                      <w:highlight w:val="none"/>
                      <w:lang w:eastAsia="zh-CN"/>
                      <w14:textFill>
                        <w14:solidFill>
                          <w14:schemeClr w14:val="tx1"/>
                        </w14:solidFill>
                      </w14:textFill>
                    </w:rPr>
                    <w:t>(</w:t>
                  </w:r>
                  <w:r>
                    <w:rPr>
                      <w:b/>
                      <w:bCs/>
                      <w:color w:val="000000" w:themeColor="text1"/>
                      <w:kern w:val="0"/>
                      <w:sz w:val="21"/>
                      <w:szCs w:val="21"/>
                      <w:highlight w:val="none"/>
                      <w14:textFill>
                        <w14:solidFill>
                          <w14:schemeClr w14:val="tx1"/>
                        </w14:solidFill>
                      </w14:textFill>
                    </w:rPr>
                    <w:t>A</w:t>
                  </w:r>
                  <w:r>
                    <w:rPr>
                      <w:rFonts w:hint="eastAsia"/>
                      <w:b/>
                      <w:bCs/>
                      <w:color w:val="000000" w:themeColor="text1"/>
                      <w:kern w:val="0"/>
                      <w:sz w:val="21"/>
                      <w:szCs w:val="21"/>
                      <w:highlight w:val="none"/>
                      <w:lang w:eastAsia="zh-CN"/>
                      <w14:textFill>
                        <w14:solidFill>
                          <w14:schemeClr w14:val="tx1"/>
                        </w14:solidFill>
                      </w14:textFill>
                    </w:rPr>
                    <w:t>)</w:t>
                  </w:r>
                </w:p>
              </w:tc>
            </w:tr>
            <w:tr w14:paraId="0FD295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99" w:type="pct"/>
                  <w:noWrap w:val="0"/>
                  <w:vAlign w:val="center"/>
                </w:tcPr>
                <w:p w14:paraId="231D21DD">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开小窗</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14:textFill>
                        <w14:solidFill>
                          <w14:schemeClr w14:val="tx1"/>
                        </w14:solidFill>
                      </w14:textFill>
                    </w:rPr>
                    <w:t>密闭</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14:textFill>
                        <w14:solidFill>
                          <w14:schemeClr w14:val="tx1"/>
                        </w14:solidFill>
                      </w14:textFill>
                    </w:rPr>
                    <w:t>门经隔声处理</w:t>
                  </w:r>
                </w:p>
              </w:tc>
              <w:tc>
                <w:tcPr>
                  <w:tcW w:w="2500" w:type="pct"/>
                  <w:noWrap w:val="0"/>
                  <w:vAlign w:val="center"/>
                </w:tcPr>
                <w:p w14:paraId="62B7C202">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25</w:t>
                  </w:r>
                </w:p>
              </w:tc>
            </w:tr>
            <w:tr w14:paraId="66FF27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99" w:type="pct"/>
                  <w:noWrap w:val="0"/>
                  <w:vAlign w:val="center"/>
                </w:tcPr>
                <w:p w14:paraId="26C90BEC">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开大窗且不密闭</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14:textFill>
                        <w14:solidFill>
                          <w14:schemeClr w14:val="tx1"/>
                        </w14:solidFill>
                      </w14:textFill>
                    </w:rPr>
                    <w:t>门较密闭</w:t>
                  </w:r>
                </w:p>
              </w:tc>
              <w:tc>
                <w:tcPr>
                  <w:tcW w:w="2500" w:type="pct"/>
                  <w:noWrap w:val="0"/>
                  <w:vAlign w:val="center"/>
                </w:tcPr>
                <w:p w14:paraId="41933295">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20</w:t>
                  </w:r>
                </w:p>
              </w:tc>
            </w:tr>
            <w:tr w14:paraId="3EE9D4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99" w:type="pct"/>
                  <w:noWrap w:val="0"/>
                  <w:vAlign w:val="center"/>
                </w:tcPr>
                <w:p w14:paraId="69271671">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开大窗且不密闭</w:t>
                  </w:r>
                  <w:r>
                    <w:rPr>
                      <w:rFonts w:hint="eastAsia"/>
                      <w:color w:val="000000" w:themeColor="text1"/>
                      <w:sz w:val="21"/>
                      <w:szCs w:val="21"/>
                      <w:highlight w:val="none"/>
                      <w:lang w:eastAsia="zh-CN"/>
                      <w14:textFill>
                        <w14:solidFill>
                          <w14:schemeClr w14:val="tx1"/>
                        </w14:solidFill>
                      </w14:textFill>
                    </w:rPr>
                    <w:t>，</w:t>
                  </w:r>
                  <w:r>
                    <w:rPr>
                      <w:color w:val="000000" w:themeColor="text1"/>
                      <w:sz w:val="21"/>
                      <w:szCs w:val="21"/>
                      <w:highlight w:val="none"/>
                      <w14:textFill>
                        <w14:solidFill>
                          <w14:schemeClr w14:val="tx1"/>
                        </w14:solidFill>
                      </w14:textFill>
                    </w:rPr>
                    <w:t>门不密闭</w:t>
                  </w:r>
                </w:p>
              </w:tc>
              <w:tc>
                <w:tcPr>
                  <w:tcW w:w="2500" w:type="pct"/>
                  <w:noWrap w:val="0"/>
                  <w:vAlign w:val="center"/>
                </w:tcPr>
                <w:p w14:paraId="0370DA93">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13</w:t>
                  </w:r>
                </w:p>
              </w:tc>
            </w:tr>
            <w:tr w14:paraId="3D1682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99" w:type="pct"/>
                  <w:noWrap w:val="0"/>
                  <w:vAlign w:val="center"/>
                </w:tcPr>
                <w:p w14:paraId="17D55944">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门与窗全部敞开</w:t>
                  </w:r>
                </w:p>
              </w:tc>
              <w:tc>
                <w:tcPr>
                  <w:tcW w:w="2500" w:type="pct"/>
                  <w:noWrap w:val="0"/>
                  <w:vAlign w:val="center"/>
                </w:tcPr>
                <w:p w14:paraId="28911433">
                  <w:pPr>
                    <w:adjustRightInd w:val="0"/>
                    <w:snapToGrid w:val="0"/>
                    <w:jc w:val="center"/>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8</w:t>
                  </w:r>
                </w:p>
              </w:tc>
            </w:tr>
          </w:tbl>
          <w:p w14:paraId="5FE1B51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textAlignment w:val="auto"/>
              <w:rPr>
                <w:rFonts w:hint="eastAsia"/>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（2）</w:t>
            </w:r>
            <w:r>
              <w:rPr>
                <w:rFonts w:hint="eastAsia"/>
                <w:color w:val="000000" w:themeColor="text1"/>
                <w:kern w:val="0"/>
                <w:sz w:val="21"/>
                <w:szCs w:val="21"/>
                <w:highlight w:val="none"/>
                <w:lang w:val="en-US" w:eastAsia="zh-CN"/>
                <w14:textFill>
                  <w14:solidFill>
                    <w14:schemeClr w14:val="tx1"/>
                  </w14:solidFill>
                </w14:textFill>
              </w:rPr>
              <w:t>噪声防治措施</w:t>
            </w:r>
          </w:p>
          <w:p w14:paraId="70C2C74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Chars="200" w:right="0" w:rightChars="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color w:val="000000" w:themeColor="text1"/>
                <w:kern w:val="0"/>
                <w:sz w:val="21"/>
                <w:szCs w:val="21"/>
                <w:highlight w:val="none"/>
                <w14:textFill>
                  <w14:solidFill>
                    <w14:schemeClr w14:val="tx1"/>
                  </w14:solidFill>
                </w14:textFill>
              </w:rPr>
              <w:t>为确保项目运营期厂界噪声达标</w:t>
            </w:r>
            <w:r>
              <w:rPr>
                <w:rFonts w:hint="eastAsia"/>
                <w:color w:val="000000" w:themeColor="text1"/>
                <w:kern w:val="0"/>
                <w:sz w:val="21"/>
                <w:szCs w:val="21"/>
                <w:highlight w:val="none"/>
                <w:lang w:eastAsia="zh-CN"/>
                <w14:textFill>
                  <w14:solidFill>
                    <w14:schemeClr w14:val="tx1"/>
                  </w14:solidFill>
                </w14:textFill>
              </w:rPr>
              <w:t>，</w:t>
            </w:r>
            <w:r>
              <w:rPr>
                <w:color w:val="000000" w:themeColor="text1"/>
                <w:kern w:val="0"/>
                <w:sz w:val="21"/>
                <w:szCs w:val="21"/>
                <w:highlight w:val="none"/>
                <w14:textFill>
                  <w14:solidFill>
                    <w14:schemeClr w14:val="tx1"/>
                  </w14:solidFill>
                </w14:textFill>
              </w:rPr>
              <w:t>项目采用的噪声治理措施如下</w:t>
            </w:r>
            <w:r>
              <w:rPr>
                <w:rFonts w:hint="eastAsia"/>
                <w:color w:val="000000" w:themeColor="text1"/>
                <w:kern w:val="0"/>
                <w:sz w:val="21"/>
                <w:szCs w:val="21"/>
                <w:highlight w:val="none"/>
                <w:lang w:eastAsia="zh-CN"/>
                <w14:textFill>
                  <w14:solidFill>
                    <w14:schemeClr w14:val="tx1"/>
                  </w14:solidFill>
                </w14:textFill>
              </w:rPr>
              <w:t>，</w:t>
            </w:r>
          </w:p>
          <w:p w14:paraId="5B0109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fldChar w:fldCharType="begin"/>
            </w:r>
            <w:r>
              <w:rPr>
                <w:rFonts w:hint="default" w:ascii="Times New Roman" w:hAnsi="Times New Roman" w:cs="Times New Roman"/>
                <w:color w:val="000000" w:themeColor="text1"/>
                <w:sz w:val="21"/>
                <w:szCs w:val="21"/>
                <w14:textFill>
                  <w14:solidFill>
                    <w14:schemeClr w14:val="tx1"/>
                  </w14:solidFill>
                </w14:textFill>
              </w:rPr>
              <w:instrText xml:space="preserve"> = 1 \* GB3 </w:instrText>
            </w:r>
            <w:r>
              <w:rPr>
                <w:rFonts w:hint="default" w:ascii="Times New Roman" w:hAnsi="Times New Roman" w:cs="Times New Roman"/>
                <w:color w:val="000000" w:themeColor="text1"/>
                <w:sz w:val="21"/>
                <w:szCs w:val="21"/>
                <w14:textFill>
                  <w14:solidFill>
                    <w14:schemeClr w14:val="tx1"/>
                  </w14:solidFill>
                </w14:textFill>
              </w:rPr>
              <w:fldChar w:fldCharType="separate"/>
            </w:r>
            <w:r>
              <w:rPr>
                <w:rFonts w:hint="default" w:ascii="Times New Roman" w:hAnsi="Times New Roman" w:cs="Times New Roman"/>
                <w:color w:val="000000" w:themeColor="text1"/>
                <w:sz w:val="21"/>
                <w:szCs w:val="21"/>
                <w14:textFill>
                  <w14:solidFill>
                    <w14:schemeClr w14:val="tx1"/>
                  </w14:solidFill>
                </w14:textFill>
              </w:rPr>
              <w:t>①</w:t>
            </w:r>
            <w:r>
              <w:rPr>
                <w:rFonts w:hint="default" w:ascii="Times New Roman" w:hAnsi="Times New Roman" w:cs="Times New Roman"/>
                <w:color w:val="000000" w:themeColor="text1"/>
                <w:sz w:val="21"/>
                <w:szCs w:val="21"/>
                <w14:textFill>
                  <w14:solidFill>
                    <w14:schemeClr w14:val="tx1"/>
                  </w14:solidFill>
                </w14:textFill>
              </w:rPr>
              <w:fldChar w:fldCharType="end"/>
            </w:r>
            <w:r>
              <w:rPr>
                <w:rFonts w:hint="default" w:ascii="Times New Roman" w:hAnsi="Times New Roman" w:cs="Times New Roman"/>
                <w:color w:val="000000" w:themeColor="text1"/>
                <w:sz w:val="21"/>
                <w:szCs w:val="21"/>
                <w:lang w:eastAsia="zh-CN"/>
                <w14:textFill>
                  <w14:solidFill>
                    <w14:schemeClr w14:val="tx1"/>
                  </w14:solidFill>
                </w14:textFill>
              </w:rPr>
              <w:t>厂房隔声</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对高噪声设备安装减振基座</w:t>
            </w:r>
            <w:r>
              <w:rPr>
                <w:rFonts w:hint="eastAsia" w:cs="Times New Roman"/>
                <w:color w:val="000000" w:themeColor="text1"/>
                <w:sz w:val="21"/>
                <w:szCs w:val="21"/>
                <w:lang w:val="en-US" w:eastAsia="zh-CN"/>
                <w14:textFill>
                  <w14:solidFill>
                    <w14:schemeClr w14:val="tx1"/>
                  </w14:solidFill>
                </w14:textFill>
              </w:rPr>
              <w:t>；</w:t>
            </w:r>
          </w:p>
          <w:p w14:paraId="59D3C7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fldChar w:fldCharType="begin"/>
            </w:r>
            <w:r>
              <w:rPr>
                <w:rFonts w:hint="default" w:ascii="Times New Roman" w:hAnsi="Times New Roman" w:cs="Times New Roman"/>
                <w:color w:val="000000" w:themeColor="text1"/>
                <w:sz w:val="21"/>
                <w:szCs w:val="21"/>
                <w14:textFill>
                  <w14:solidFill>
                    <w14:schemeClr w14:val="tx1"/>
                  </w14:solidFill>
                </w14:textFill>
              </w:rPr>
              <w:instrText xml:space="preserve"> = 2 \* GB3 </w:instrText>
            </w:r>
            <w:r>
              <w:rPr>
                <w:rFonts w:hint="default" w:ascii="Times New Roman" w:hAnsi="Times New Roman" w:cs="Times New Roman"/>
                <w:color w:val="000000" w:themeColor="text1"/>
                <w:sz w:val="21"/>
                <w:szCs w:val="21"/>
                <w14:textFill>
                  <w14:solidFill>
                    <w14:schemeClr w14:val="tx1"/>
                  </w14:solidFill>
                </w14:textFill>
              </w:rPr>
              <w:fldChar w:fldCharType="separate"/>
            </w:r>
            <w:r>
              <w:rPr>
                <w:rFonts w:hint="default" w:ascii="Times New Roman" w:hAnsi="Times New Roman" w:cs="Times New Roman"/>
                <w:color w:val="000000" w:themeColor="text1"/>
                <w:sz w:val="21"/>
                <w:szCs w:val="21"/>
                <w14:textFill>
                  <w14:solidFill>
                    <w14:schemeClr w14:val="tx1"/>
                  </w14:solidFill>
                </w14:textFill>
              </w:rPr>
              <w:t>②</w:t>
            </w:r>
            <w:r>
              <w:rPr>
                <w:rFonts w:hint="default" w:ascii="Times New Roman" w:hAnsi="Times New Roman" w:cs="Times New Roman"/>
                <w:color w:val="000000" w:themeColor="text1"/>
                <w:sz w:val="21"/>
                <w:szCs w:val="21"/>
                <w14:textFill>
                  <w14:solidFill>
                    <w14:schemeClr w14:val="tx1"/>
                  </w14:solidFill>
                </w14:textFill>
              </w:rPr>
              <w:fldChar w:fldCharType="end"/>
            </w:r>
            <w:r>
              <w:rPr>
                <w:rFonts w:hint="eastAsia" w:cs="Times New Roman"/>
                <w:color w:val="000000" w:themeColor="text1"/>
                <w:sz w:val="21"/>
                <w:szCs w:val="21"/>
                <w:lang w:val="en-US" w:eastAsia="zh-CN"/>
                <w14:textFill>
                  <w14:solidFill>
                    <w14:schemeClr w14:val="tx1"/>
                  </w14:solidFill>
                </w14:textFill>
              </w:rPr>
              <w:t>液压机、轧机区设置减振沟，</w:t>
            </w:r>
            <w:r>
              <w:rPr>
                <w:rFonts w:hint="default" w:ascii="Times New Roman" w:hAnsi="Times New Roman" w:cs="Times New Roman"/>
                <w:color w:val="000000" w:themeColor="text1"/>
                <w:sz w:val="21"/>
                <w:szCs w:val="21"/>
                <w14:textFill>
                  <w14:solidFill>
                    <w14:schemeClr w14:val="tx1"/>
                  </w14:solidFill>
                </w14:textFill>
              </w:rPr>
              <w:t>以达到</w:t>
            </w:r>
            <w:r>
              <w:rPr>
                <w:rFonts w:hint="default" w:ascii="Times New Roman" w:hAnsi="Times New Roman" w:cs="Times New Roman"/>
                <w:color w:val="000000" w:themeColor="text1"/>
                <w:sz w:val="21"/>
                <w:szCs w:val="21"/>
                <w:lang w:eastAsia="zh-CN"/>
                <w14:textFill>
                  <w14:solidFill>
                    <w14:schemeClr w14:val="tx1"/>
                  </w14:solidFill>
                </w14:textFill>
              </w:rPr>
              <w:t>减振</w:t>
            </w:r>
            <w:r>
              <w:rPr>
                <w:rFonts w:hint="default" w:ascii="Times New Roman" w:hAnsi="Times New Roman" w:cs="Times New Roman"/>
                <w:color w:val="000000" w:themeColor="text1"/>
                <w:sz w:val="21"/>
                <w:szCs w:val="21"/>
                <w14:textFill>
                  <w14:solidFill>
                    <w14:schemeClr w14:val="tx1"/>
                  </w14:solidFill>
                </w14:textFill>
              </w:rPr>
              <w:t>降噪的效果；</w:t>
            </w:r>
          </w:p>
          <w:p w14:paraId="77F6B6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fldChar w:fldCharType="begin"/>
            </w:r>
            <w:r>
              <w:rPr>
                <w:rFonts w:hint="default" w:ascii="Times New Roman" w:hAnsi="Times New Roman" w:cs="Times New Roman"/>
                <w:color w:val="000000" w:themeColor="text1"/>
                <w:sz w:val="21"/>
                <w:szCs w:val="21"/>
                <w14:textFill>
                  <w14:solidFill>
                    <w14:schemeClr w14:val="tx1"/>
                  </w14:solidFill>
                </w14:textFill>
              </w:rPr>
              <w:instrText xml:space="preserve"> = 2 \* GB3 </w:instrText>
            </w:r>
            <w:r>
              <w:rPr>
                <w:rFonts w:hint="default" w:ascii="Times New Roman" w:hAnsi="Times New Roman" w:cs="Times New Roman"/>
                <w:color w:val="000000" w:themeColor="text1"/>
                <w:sz w:val="21"/>
                <w:szCs w:val="21"/>
                <w14:textFill>
                  <w14:solidFill>
                    <w14:schemeClr w14:val="tx1"/>
                  </w14:solidFill>
                </w14:textFill>
              </w:rPr>
              <w:fldChar w:fldCharType="separate"/>
            </w:r>
            <w:r>
              <w:rPr>
                <w:rFonts w:hint="default" w:ascii="Times New Roman" w:hAnsi="Times New Roman" w:cs="Times New Roman"/>
                <w:color w:val="000000" w:themeColor="text1"/>
                <w:sz w:val="21"/>
                <w:szCs w:val="21"/>
                <w14:textFill>
                  <w14:solidFill>
                    <w14:schemeClr w14:val="tx1"/>
                  </w14:solidFill>
                </w14:textFill>
              </w:rPr>
              <w:t>②</w:t>
            </w:r>
            <w:r>
              <w:rPr>
                <w:rFonts w:hint="default" w:ascii="Times New Roman" w:hAnsi="Times New Roman" w:cs="Times New Roman"/>
                <w:color w:val="000000" w:themeColor="text1"/>
                <w:sz w:val="21"/>
                <w:szCs w:val="21"/>
                <w14:textFill>
                  <w14:solidFill>
                    <w14:schemeClr w14:val="tx1"/>
                  </w14:solidFill>
                </w14:textFill>
              </w:rPr>
              <w:fldChar w:fldCharType="end"/>
            </w:r>
            <w:r>
              <w:rPr>
                <w:rFonts w:hint="default" w:ascii="Times New Roman" w:hAnsi="Times New Roman" w:cs="Times New Roman"/>
                <w:color w:val="000000" w:themeColor="text1"/>
                <w:sz w:val="21"/>
                <w:szCs w:val="21"/>
                <w:lang w:eastAsia="zh-CN"/>
                <w14:textFill>
                  <w14:solidFill>
                    <w14:schemeClr w14:val="tx1"/>
                  </w14:solidFill>
                </w14:textFill>
              </w:rPr>
              <w:t>在日常运营过程中</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建设单位应加强设备维修保养</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确保设备处于良好的运转状态</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杜绝因设备不正常运转产生的高噪声情况发生</w:t>
            </w:r>
            <w:r>
              <w:rPr>
                <w:rFonts w:hint="default" w:ascii="Times New Roman" w:hAnsi="Times New Roman" w:cs="Times New Roman"/>
                <w:color w:val="000000" w:themeColor="text1"/>
                <w:sz w:val="21"/>
                <w:szCs w:val="21"/>
                <w14:textFill>
                  <w14:solidFill>
                    <w14:schemeClr w14:val="tx1"/>
                  </w14:solidFill>
                </w14:textFill>
              </w:rPr>
              <w:t>；</w:t>
            </w:r>
          </w:p>
          <w:p w14:paraId="46FB3C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fldChar w:fldCharType="begin"/>
            </w:r>
            <w:r>
              <w:rPr>
                <w:rFonts w:hint="default" w:ascii="Times New Roman" w:hAnsi="Times New Roman" w:cs="Times New Roman"/>
                <w:color w:val="000000" w:themeColor="text1"/>
                <w:sz w:val="21"/>
                <w:szCs w:val="21"/>
                <w14:textFill>
                  <w14:solidFill>
                    <w14:schemeClr w14:val="tx1"/>
                  </w14:solidFill>
                </w14:textFill>
              </w:rPr>
              <w:instrText xml:space="preserve"> = 3 \* GB3 </w:instrText>
            </w:r>
            <w:r>
              <w:rPr>
                <w:rFonts w:hint="default" w:ascii="Times New Roman" w:hAnsi="Times New Roman" w:cs="Times New Roman"/>
                <w:color w:val="000000" w:themeColor="text1"/>
                <w:sz w:val="21"/>
                <w:szCs w:val="21"/>
                <w14:textFill>
                  <w14:solidFill>
                    <w14:schemeClr w14:val="tx1"/>
                  </w14:solidFill>
                </w14:textFill>
              </w:rPr>
              <w:fldChar w:fldCharType="separate"/>
            </w:r>
            <w:r>
              <w:rPr>
                <w:rFonts w:hint="default" w:ascii="Times New Roman" w:hAnsi="Times New Roman" w:cs="Times New Roman"/>
                <w:color w:val="000000" w:themeColor="text1"/>
                <w:sz w:val="21"/>
                <w:szCs w:val="21"/>
                <w14:textFill>
                  <w14:solidFill>
                    <w14:schemeClr w14:val="tx1"/>
                  </w14:solidFill>
                </w14:textFill>
              </w:rPr>
              <w:t>③</w:t>
            </w:r>
            <w:r>
              <w:rPr>
                <w:rFonts w:hint="default" w:ascii="Times New Roman" w:hAnsi="Times New Roman" w:cs="Times New Roman"/>
                <w:color w:val="000000" w:themeColor="text1"/>
                <w:sz w:val="21"/>
                <w:szCs w:val="21"/>
                <w14:textFill>
                  <w14:solidFill>
                    <w14:schemeClr w14:val="tx1"/>
                  </w14:solidFill>
                </w14:textFill>
              </w:rPr>
              <w:fldChar w:fldCharType="end"/>
            </w:r>
            <w:r>
              <w:rPr>
                <w:rFonts w:hint="default" w:ascii="Times New Roman" w:hAnsi="Times New Roman" w:cs="Times New Roman"/>
                <w:color w:val="000000" w:themeColor="text1"/>
                <w:sz w:val="21"/>
                <w:szCs w:val="21"/>
                <w14:textFill>
                  <w14:solidFill>
                    <w14:schemeClr w14:val="tx1"/>
                  </w14:solidFill>
                </w14:textFill>
              </w:rPr>
              <w:t>严格控制设备的运行时间</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将其运行时间压缩到最优化</w:t>
            </w:r>
            <w:r>
              <w:rPr>
                <w:rFonts w:hint="default" w:ascii="Times New Roman" w:hAnsi="Times New Roman" w:cs="Times New Roman"/>
                <w:color w:val="000000" w:themeColor="text1"/>
                <w:sz w:val="21"/>
                <w:szCs w:val="21"/>
                <w:lang w:eastAsia="zh-CN"/>
                <w14:textFill>
                  <w14:solidFill>
                    <w14:schemeClr w14:val="tx1"/>
                  </w14:solidFill>
                </w14:textFill>
              </w:rPr>
              <w:t>；</w:t>
            </w:r>
          </w:p>
          <w:p w14:paraId="4E7004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fldChar w:fldCharType="begin"/>
            </w:r>
            <w:r>
              <w:rPr>
                <w:rFonts w:hint="default" w:ascii="Times New Roman" w:hAnsi="Times New Roman" w:cs="Times New Roman"/>
                <w:color w:val="000000" w:themeColor="text1"/>
                <w:sz w:val="21"/>
                <w:szCs w:val="21"/>
                <w14:textFill>
                  <w14:solidFill>
                    <w14:schemeClr w14:val="tx1"/>
                  </w14:solidFill>
                </w14:textFill>
              </w:rPr>
              <w:instrText xml:space="preserve"> = 4 \* GB3 </w:instrText>
            </w:r>
            <w:r>
              <w:rPr>
                <w:rFonts w:hint="default" w:ascii="Times New Roman" w:hAnsi="Times New Roman" w:cs="Times New Roman"/>
                <w:color w:val="000000" w:themeColor="text1"/>
                <w:sz w:val="21"/>
                <w:szCs w:val="21"/>
                <w14:textFill>
                  <w14:solidFill>
                    <w14:schemeClr w14:val="tx1"/>
                  </w14:solidFill>
                </w14:textFill>
              </w:rPr>
              <w:fldChar w:fldCharType="separate"/>
            </w:r>
            <w:r>
              <w:rPr>
                <w:rFonts w:hint="default" w:ascii="Times New Roman" w:hAnsi="Times New Roman" w:cs="Times New Roman"/>
                <w:color w:val="000000" w:themeColor="text1"/>
                <w:sz w:val="21"/>
                <w:szCs w:val="21"/>
                <w14:textFill>
                  <w14:solidFill>
                    <w14:schemeClr w14:val="tx1"/>
                  </w14:solidFill>
                </w14:textFill>
              </w:rPr>
              <w:t>④</w:t>
            </w:r>
            <w:r>
              <w:rPr>
                <w:rFonts w:hint="default" w:ascii="Times New Roman" w:hAnsi="Times New Roman" w:cs="Times New Roman"/>
                <w:color w:val="000000" w:themeColor="text1"/>
                <w:sz w:val="21"/>
                <w:szCs w:val="21"/>
                <w14:textFill>
                  <w14:solidFill>
                    <w14:schemeClr w14:val="tx1"/>
                  </w14:solidFill>
                </w14:textFill>
              </w:rPr>
              <w:fldChar w:fldCharType="end"/>
            </w:r>
            <w:r>
              <w:rPr>
                <w:rFonts w:hint="default" w:ascii="Times New Roman" w:hAnsi="Times New Roman" w:cs="Times New Roman"/>
                <w:color w:val="000000" w:themeColor="text1"/>
                <w:sz w:val="21"/>
                <w:szCs w:val="21"/>
                <w:lang w:eastAsia="zh-CN"/>
                <w14:textFill>
                  <w14:solidFill>
                    <w14:schemeClr w14:val="tx1"/>
                  </w14:solidFill>
                </w14:textFill>
              </w:rPr>
              <w:t>根据生产工艺流程</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合理启动生产设备</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尽可能避免同时启动多台设备</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尤其是避免多台高噪声设备同时运转</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以</w:t>
            </w:r>
            <w:r>
              <w:rPr>
                <w:rFonts w:hint="eastAsia" w:cs="Times New Roman"/>
                <w:color w:val="000000" w:themeColor="text1"/>
                <w:sz w:val="21"/>
                <w:szCs w:val="21"/>
                <w:lang w:eastAsia="zh-CN"/>
                <w14:textFill>
                  <w14:solidFill>
                    <w14:schemeClr w14:val="tx1"/>
                  </w14:solidFill>
                </w14:textFill>
              </w:rPr>
              <w:t>减少</w:t>
            </w:r>
            <w:r>
              <w:rPr>
                <w:rFonts w:hint="default" w:ascii="Times New Roman" w:hAnsi="Times New Roman" w:cs="Times New Roman"/>
                <w:color w:val="000000" w:themeColor="text1"/>
                <w:sz w:val="21"/>
                <w:szCs w:val="21"/>
                <w:lang w:eastAsia="zh-CN"/>
                <w14:textFill>
                  <w14:solidFill>
                    <w14:schemeClr w14:val="tx1"/>
                  </w14:solidFill>
                </w14:textFill>
              </w:rPr>
              <w:t>高噪声设备产生噪声叠加。设备作业结</w:t>
            </w:r>
            <w:r>
              <w:rPr>
                <w:rFonts w:hint="eastAsia" w:cs="Times New Roman"/>
                <w:color w:val="000000" w:themeColor="text1"/>
                <w:sz w:val="21"/>
                <w:szCs w:val="21"/>
                <w:lang w:eastAsia="zh-CN"/>
                <w14:textFill>
                  <w14:solidFill>
                    <w14:schemeClr w14:val="tx1"/>
                  </w14:solidFill>
                </w14:textFill>
              </w:rPr>
              <w:t>束后，</w:t>
            </w:r>
            <w:r>
              <w:rPr>
                <w:rFonts w:hint="default" w:ascii="Times New Roman" w:hAnsi="Times New Roman" w:cs="Times New Roman"/>
                <w:color w:val="000000" w:themeColor="text1"/>
                <w:sz w:val="21"/>
                <w:szCs w:val="21"/>
                <w:lang w:eastAsia="zh-CN"/>
                <w14:textFill>
                  <w14:solidFill>
                    <w14:schemeClr w14:val="tx1"/>
                  </w14:solidFill>
                </w14:textFill>
              </w:rPr>
              <w:t>及时关闭设备</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减少不必要</w:t>
            </w:r>
            <w:r>
              <w:rPr>
                <w:rFonts w:hint="eastAsia" w:cs="Times New Roman"/>
                <w:color w:val="000000" w:themeColor="text1"/>
                <w:sz w:val="21"/>
                <w:szCs w:val="21"/>
                <w:lang w:val="en-US" w:eastAsia="zh-CN"/>
                <w14:textFill>
                  <w14:solidFill>
                    <w14:schemeClr w14:val="tx1"/>
                  </w14:solidFill>
                </w14:textFill>
              </w:rPr>
              <w:t>的</w:t>
            </w:r>
            <w:r>
              <w:rPr>
                <w:rFonts w:hint="default" w:ascii="Times New Roman" w:hAnsi="Times New Roman" w:cs="Times New Roman"/>
                <w:color w:val="000000" w:themeColor="text1"/>
                <w:sz w:val="21"/>
                <w:szCs w:val="21"/>
                <w:lang w:eastAsia="zh-CN"/>
                <w14:textFill>
                  <w14:solidFill>
                    <w14:schemeClr w14:val="tx1"/>
                  </w14:solidFill>
                </w14:textFill>
              </w:rPr>
              <w:t>噪声产生</w:t>
            </w:r>
            <w:r>
              <w:rPr>
                <w:rFonts w:hint="eastAsia" w:cs="Times New Roman"/>
                <w:color w:val="000000" w:themeColor="text1"/>
                <w:sz w:val="21"/>
                <w:szCs w:val="21"/>
                <w:lang w:eastAsia="zh-CN"/>
                <w14:textFill>
                  <w14:solidFill>
                    <w14:schemeClr w14:val="tx1"/>
                  </w14:solidFill>
                </w14:textFill>
              </w:rPr>
              <w:t>。</w:t>
            </w:r>
          </w:p>
          <w:p w14:paraId="60D0B1D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cs="Times New Roman"/>
                <w:color w:val="000000" w:themeColor="text1"/>
                <w:kern w:val="0"/>
                <w:sz w:val="21"/>
                <w:szCs w:val="21"/>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w:t>
            </w:r>
            <w:r>
              <w:rPr>
                <w:rFonts w:hint="eastAsia" w:cs="Times New Roman"/>
                <w:color w:val="000000" w:themeColor="text1"/>
                <w:kern w:val="0"/>
                <w:sz w:val="21"/>
                <w:szCs w:val="21"/>
                <w:lang w:val="en-US" w:eastAsia="zh-CN" w:bidi="ar"/>
                <w14:textFill>
                  <w14:solidFill>
                    <w14:schemeClr w14:val="tx1"/>
                  </w14:solidFill>
                </w14:textFill>
              </w:rPr>
              <w:t>3</w:t>
            </w:r>
            <w:r>
              <w:rPr>
                <w:rFonts w:hint="eastAsia" w:ascii="Times New Roman" w:hAnsi="Times New Roman" w:eastAsia="宋体" w:cs="Times New Roman"/>
                <w:color w:val="000000" w:themeColor="text1"/>
                <w:kern w:val="0"/>
                <w:sz w:val="21"/>
                <w:szCs w:val="21"/>
                <w:lang w:val="en-US" w:eastAsia="zh-CN" w:bidi="ar"/>
                <w14:textFill>
                  <w14:solidFill>
                    <w14:schemeClr w14:val="tx1"/>
                  </w14:solidFill>
                </w14:textFill>
              </w:rPr>
              <w:t>）</w:t>
            </w:r>
            <w:r>
              <w:rPr>
                <w:rFonts w:hint="eastAsia" w:cs="Times New Roman"/>
                <w:color w:val="000000" w:themeColor="text1"/>
                <w:kern w:val="0"/>
                <w:sz w:val="21"/>
                <w:szCs w:val="21"/>
                <w:highlight w:val="none"/>
                <w:lang w:val="en-US" w:eastAsia="zh-CN" w:bidi="ar"/>
                <w14:textFill>
                  <w14:solidFill>
                    <w14:schemeClr w14:val="tx1"/>
                  </w14:solidFill>
                </w14:textFill>
              </w:rPr>
              <w:t>噪声预测结果</w:t>
            </w:r>
          </w:p>
          <w:p w14:paraId="2031AC3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Chars="20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kern w:val="0"/>
                <w:sz w:val="21"/>
                <w:szCs w:val="21"/>
                <w:highlight w:val="none"/>
                <w:lang w:bidi="ar"/>
                <w14:textFill>
                  <w14:solidFill>
                    <w14:schemeClr w14:val="tx1"/>
                  </w14:solidFill>
                </w14:textFill>
              </w:rPr>
              <w:t>预测结果</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详</w:t>
            </w:r>
            <w:r>
              <w:rPr>
                <w:rFonts w:hint="default" w:ascii="Times New Roman" w:hAnsi="Times New Roman" w:cs="Times New Roman"/>
                <w:color w:val="000000" w:themeColor="text1"/>
                <w:kern w:val="0"/>
                <w:sz w:val="21"/>
                <w:szCs w:val="21"/>
                <w:highlight w:val="none"/>
                <w:lang w:bidi="ar"/>
                <w14:textFill>
                  <w14:solidFill>
                    <w14:schemeClr w14:val="tx1"/>
                  </w14:solidFill>
                </w14:textFill>
              </w:rPr>
              <w:t>见</w:t>
            </w:r>
            <w:r>
              <w:rPr>
                <w:rFonts w:hint="default" w:ascii="Times New Roman" w:hAnsi="Times New Roman" w:cs="Times New Roman"/>
                <w:color w:val="000000" w:themeColor="text1"/>
                <w:kern w:val="0"/>
                <w:sz w:val="21"/>
                <w:szCs w:val="21"/>
                <w:highlight w:val="none"/>
                <w:lang w:val="en-US" w:eastAsia="zh-CN" w:bidi="ar"/>
                <w14:textFill>
                  <w14:solidFill>
                    <w14:schemeClr w14:val="tx1"/>
                  </w14:solidFill>
                </w14:textFill>
              </w:rPr>
              <w:t>下</w:t>
            </w:r>
            <w:r>
              <w:rPr>
                <w:rFonts w:hint="default" w:ascii="Times New Roman" w:hAnsi="Times New Roman" w:cs="Times New Roman"/>
                <w:color w:val="000000" w:themeColor="text1"/>
                <w:sz w:val="21"/>
                <w:szCs w:val="21"/>
                <w:highlight w:val="none"/>
                <w14:textFill>
                  <w14:solidFill>
                    <w14:schemeClr w14:val="tx1"/>
                  </w14:solidFill>
                </w14:textFill>
              </w:rPr>
              <w:t>表。</w:t>
            </w:r>
          </w:p>
          <w:p w14:paraId="524FE81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color w:val="000000" w:themeColor="text1"/>
                <w:sz w:val="21"/>
                <w:szCs w:val="21"/>
                <w:highlight w:val="none"/>
                <w14:textFill>
                  <w14:solidFill>
                    <w14:schemeClr w14:val="tx1"/>
                  </w14:solidFill>
                </w14:textFill>
              </w:rPr>
            </w:pPr>
            <w:r>
              <w:rPr>
                <w:rFonts w:hint="default" w:ascii="Times New Roman" w:hAnsi="Times New Roman" w:cs="Times New Roman"/>
                <w:b/>
                <w:color w:val="000000" w:themeColor="text1"/>
                <w:sz w:val="21"/>
                <w:szCs w:val="21"/>
                <w:highlight w:val="none"/>
                <w14:textFill>
                  <w14:solidFill>
                    <w14:schemeClr w14:val="tx1"/>
                  </w14:solidFill>
                </w14:textFill>
              </w:rPr>
              <w:t>表4</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w:t>
            </w:r>
            <w:r>
              <w:rPr>
                <w:rFonts w:hint="eastAsia" w:cs="Times New Roman"/>
                <w:b/>
                <w:color w:val="000000" w:themeColor="text1"/>
                <w:sz w:val="21"/>
                <w:szCs w:val="21"/>
                <w:highlight w:val="none"/>
                <w:lang w:val="en-US" w:eastAsia="zh-CN"/>
                <w14:textFill>
                  <w14:solidFill>
                    <w14:schemeClr w14:val="tx1"/>
                  </w14:solidFill>
                </w14:textFill>
              </w:rPr>
              <w:t xml:space="preserve">10    </w:t>
            </w:r>
            <w:r>
              <w:rPr>
                <w:rFonts w:hint="default" w:ascii="Times New Roman" w:hAnsi="Times New Roman" w:cs="Times New Roman"/>
                <w:b/>
                <w:color w:val="000000" w:themeColor="text1"/>
                <w:sz w:val="21"/>
                <w:szCs w:val="21"/>
                <w:highlight w:val="none"/>
                <w14:textFill>
                  <w14:solidFill>
                    <w14:schemeClr w14:val="tx1"/>
                  </w14:solidFill>
                </w14:textFill>
              </w:rPr>
              <w:t>噪声预测结果单位：dB（A）</w:t>
            </w:r>
          </w:p>
          <w:tbl>
            <w:tblPr>
              <w:tblStyle w:val="24"/>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20"/>
              <w:gridCol w:w="801"/>
              <w:gridCol w:w="919"/>
              <w:gridCol w:w="830"/>
              <w:gridCol w:w="885"/>
              <w:gridCol w:w="771"/>
              <w:gridCol w:w="842"/>
              <w:gridCol w:w="829"/>
              <w:gridCol w:w="831"/>
            </w:tblGrid>
            <w:tr w14:paraId="5AE15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2" w:type="pct"/>
                  <w:tcBorders>
                    <w:tl2br w:val="nil"/>
                    <w:tr2bl w:val="nil"/>
                  </w:tcBorders>
                  <w:noWrap w:val="0"/>
                  <w:vAlign w:val="center"/>
                </w:tcPr>
                <w:p w14:paraId="0333AEC0">
                  <w:pPr>
                    <w:pStyle w:val="51"/>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位置</w:t>
                  </w:r>
                </w:p>
              </w:tc>
              <w:tc>
                <w:tcPr>
                  <w:tcW w:w="1071" w:type="pct"/>
                  <w:gridSpan w:val="2"/>
                  <w:tcBorders>
                    <w:tl2br w:val="nil"/>
                    <w:tr2bl w:val="nil"/>
                  </w:tcBorders>
                  <w:noWrap w:val="0"/>
                  <w:vAlign w:val="center"/>
                </w:tcPr>
                <w:p w14:paraId="29669465">
                  <w:pPr>
                    <w:pStyle w:val="51"/>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东厂界</w:t>
                  </w:r>
                </w:p>
              </w:tc>
              <w:tc>
                <w:tcPr>
                  <w:tcW w:w="1068" w:type="pct"/>
                  <w:gridSpan w:val="2"/>
                  <w:tcBorders>
                    <w:tl2br w:val="nil"/>
                    <w:tr2bl w:val="nil"/>
                  </w:tcBorders>
                  <w:noWrap w:val="0"/>
                  <w:vAlign w:val="center"/>
                </w:tcPr>
                <w:p w14:paraId="540CDDC6">
                  <w:pPr>
                    <w:pStyle w:val="51"/>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南厂界</w:t>
                  </w:r>
                </w:p>
              </w:tc>
              <w:tc>
                <w:tcPr>
                  <w:tcW w:w="1004" w:type="pct"/>
                  <w:gridSpan w:val="2"/>
                  <w:tcBorders>
                    <w:tl2br w:val="nil"/>
                    <w:tr2bl w:val="nil"/>
                  </w:tcBorders>
                  <w:noWrap w:val="0"/>
                  <w:vAlign w:val="center"/>
                </w:tcPr>
                <w:p w14:paraId="10086188">
                  <w:pPr>
                    <w:pStyle w:val="51"/>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西厂界</w:t>
                  </w:r>
                </w:p>
              </w:tc>
              <w:tc>
                <w:tcPr>
                  <w:tcW w:w="1033" w:type="pct"/>
                  <w:gridSpan w:val="2"/>
                  <w:tcBorders>
                    <w:tl2br w:val="nil"/>
                    <w:tr2bl w:val="nil"/>
                  </w:tcBorders>
                  <w:noWrap w:val="0"/>
                  <w:vAlign w:val="center"/>
                </w:tcPr>
                <w:p w14:paraId="6C7AA7C5">
                  <w:pPr>
                    <w:pStyle w:val="51"/>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北厂界</w:t>
                  </w:r>
                </w:p>
              </w:tc>
            </w:tr>
            <w:tr w14:paraId="129DBF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2" w:type="pct"/>
                  <w:vMerge w:val="restart"/>
                  <w:tcBorders>
                    <w:tl2br w:val="nil"/>
                    <w:tr2bl w:val="nil"/>
                  </w:tcBorders>
                  <w:noWrap w:val="0"/>
                  <w:vAlign w:val="center"/>
                </w:tcPr>
                <w:p w14:paraId="61EAD4D5">
                  <w:pPr>
                    <w:pStyle w:val="51"/>
                    <w:rPr>
                      <w:rFonts w:hint="default" w:ascii="Times New Roman" w:hAnsi="Times New Roman"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贡献</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值</w:t>
                  </w:r>
                </w:p>
              </w:tc>
              <w:tc>
                <w:tcPr>
                  <w:tcW w:w="499" w:type="pct"/>
                  <w:tcBorders>
                    <w:tl2br w:val="nil"/>
                    <w:tr2bl w:val="nil"/>
                  </w:tcBorders>
                  <w:noWrap w:val="0"/>
                  <w:vAlign w:val="center"/>
                </w:tcPr>
                <w:p w14:paraId="5473283E">
                  <w:pPr>
                    <w:pStyle w:val="51"/>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kern w:val="2"/>
                      <w:sz w:val="21"/>
                      <w:szCs w:val="21"/>
                      <w:highlight w:val="none"/>
                      <w:lang w:val="en-US" w:eastAsia="zh-CN" w:bidi="ar-SA"/>
                      <w14:textFill>
                        <w14:solidFill>
                          <w14:schemeClr w14:val="tx1"/>
                        </w14:solidFill>
                      </w14:textFill>
                    </w:rPr>
                    <w:t>昼</w:t>
                  </w:r>
                </w:p>
              </w:tc>
              <w:tc>
                <w:tcPr>
                  <w:tcW w:w="572" w:type="pct"/>
                  <w:tcBorders>
                    <w:tl2br w:val="nil"/>
                    <w:tr2bl w:val="nil"/>
                  </w:tcBorders>
                  <w:noWrap w:val="0"/>
                  <w:vAlign w:val="center"/>
                </w:tcPr>
                <w:p w14:paraId="66C3E001">
                  <w:pPr>
                    <w:pStyle w:val="51"/>
                    <w:rPr>
                      <w:rFonts w:hint="default"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kern w:val="2"/>
                      <w:sz w:val="21"/>
                      <w:szCs w:val="21"/>
                      <w:highlight w:val="none"/>
                      <w:lang w:val="en-US" w:eastAsia="zh-CN" w:bidi="ar-SA"/>
                      <w14:textFill>
                        <w14:solidFill>
                          <w14:schemeClr w14:val="tx1"/>
                        </w14:solidFill>
                      </w14:textFill>
                    </w:rPr>
                    <w:t>夜</w:t>
                  </w:r>
                </w:p>
              </w:tc>
              <w:tc>
                <w:tcPr>
                  <w:tcW w:w="517" w:type="pct"/>
                  <w:tcBorders>
                    <w:tl2br w:val="nil"/>
                    <w:tr2bl w:val="nil"/>
                  </w:tcBorders>
                  <w:noWrap w:val="0"/>
                  <w:vAlign w:val="center"/>
                </w:tcPr>
                <w:p w14:paraId="01E08B9F">
                  <w:pPr>
                    <w:pStyle w:val="51"/>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kern w:val="2"/>
                      <w:sz w:val="21"/>
                      <w:szCs w:val="21"/>
                      <w:highlight w:val="none"/>
                      <w:lang w:val="en-US" w:eastAsia="zh-CN" w:bidi="ar-SA"/>
                      <w14:textFill>
                        <w14:solidFill>
                          <w14:schemeClr w14:val="tx1"/>
                        </w14:solidFill>
                      </w14:textFill>
                    </w:rPr>
                    <w:t>昼</w:t>
                  </w:r>
                </w:p>
              </w:tc>
              <w:tc>
                <w:tcPr>
                  <w:tcW w:w="550" w:type="pct"/>
                  <w:tcBorders>
                    <w:tl2br w:val="nil"/>
                    <w:tr2bl w:val="nil"/>
                  </w:tcBorders>
                  <w:noWrap w:val="0"/>
                  <w:vAlign w:val="center"/>
                </w:tcPr>
                <w:p w14:paraId="75E6E51A">
                  <w:pPr>
                    <w:pStyle w:val="51"/>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kern w:val="2"/>
                      <w:sz w:val="21"/>
                      <w:szCs w:val="21"/>
                      <w:highlight w:val="none"/>
                      <w:lang w:val="en-US" w:eastAsia="zh-CN" w:bidi="ar-SA"/>
                      <w14:textFill>
                        <w14:solidFill>
                          <w14:schemeClr w14:val="tx1"/>
                        </w14:solidFill>
                      </w14:textFill>
                    </w:rPr>
                    <w:t>夜</w:t>
                  </w:r>
                </w:p>
              </w:tc>
              <w:tc>
                <w:tcPr>
                  <w:tcW w:w="480" w:type="pct"/>
                  <w:tcBorders>
                    <w:tl2br w:val="nil"/>
                    <w:tr2bl w:val="nil"/>
                  </w:tcBorders>
                  <w:shd w:val="clear" w:color="auto" w:fill="auto"/>
                  <w:noWrap w:val="0"/>
                  <w:vAlign w:val="center"/>
                </w:tcPr>
                <w:p w14:paraId="61DA1259">
                  <w:pPr>
                    <w:pStyle w:val="51"/>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kern w:val="2"/>
                      <w:sz w:val="21"/>
                      <w:szCs w:val="21"/>
                      <w:highlight w:val="none"/>
                      <w:lang w:val="en-US" w:eastAsia="zh-CN" w:bidi="ar-SA"/>
                      <w14:textFill>
                        <w14:solidFill>
                          <w14:schemeClr w14:val="tx1"/>
                        </w14:solidFill>
                      </w14:textFill>
                    </w:rPr>
                    <w:t>昼</w:t>
                  </w:r>
                </w:p>
              </w:tc>
              <w:tc>
                <w:tcPr>
                  <w:tcW w:w="524" w:type="pct"/>
                  <w:tcBorders>
                    <w:tl2br w:val="nil"/>
                    <w:tr2bl w:val="nil"/>
                  </w:tcBorders>
                  <w:noWrap w:val="0"/>
                  <w:vAlign w:val="center"/>
                </w:tcPr>
                <w:p w14:paraId="79DE870A">
                  <w:pPr>
                    <w:pStyle w:val="51"/>
                    <w:rPr>
                      <w:rFonts w:hint="eastAsia"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kern w:val="2"/>
                      <w:sz w:val="21"/>
                      <w:szCs w:val="21"/>
                      <w:highlight w:val="none"/>
                      <w:lang w:val="en-US" w:eastAsia="zh-CN" w:bidi="ar-SA"/>
                      <w14:textFill>
                        <w14:solidFill>
                          <w14:schemeClr w14:val="tx1"/>
                        </w14:solidFill>
                      </w14:textFill>
                    </w:rPr>
                    <w:t>夜</w:t>
                  </w:r>
                </w:p>
              </w:tc>
              <w:tc>
                <w:tcPr>
                  <w:tcW w:w="516" w:type="pct"/>
                  <w:tcBorders>
                    <w:tl2br w:val="nil"/>
                    <w:tr2bl w:val="nil"/>
                  </w:tcBorders>
                  <w:shd w:val="clear" w:color="auto" w:fill="auto"/>
                  <w:noWrap w:val="0"/>
                  <w:vAlign w:val="center"/>
                </w:tcPr>
                <w:p w14:paraId="3C59660A">
                  <w:pPr>
                    <w:pStyle w:val="51"/>
                    <w:rPr>
                      <w:rFonts w:hint="eastAsia"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kern w:val="2"/>
                      <w:sz w:val="21"/>
                      <w:szCs w:val="21"/>
                      <w:highlight w:val="none"/>
                      <w:lang w:val="en-US" w:eastAsia="zh-CN" w:bidi="ar-SA"/>
                      <w14:textFill>
                        <w14:solidFill>
                          <w14:schemeClr w14:val="tx1"/>
                        </w14:solidFill>
                      </w14:textFill>
                    </w:rPr>
                    <w:t>昼</w:t>
                  </w:r>
                </w:p>
              </w:tc>
              <w:tc>
                <w:tcPr>
                  <w:tcW w:w="517" w:type="pct"/>
                  <w:tcBorders>
                    <w:tl2br w:val="nil"/>
                    <w:tr2bl w:val="nil"/>
                  </w:tcBorders>
                  <w:noWrap w:val="0"/>
                  <w:vAlign w:val="center"/>
                </w:tcPr>
                <w:p w14:paraId="2110C1B8">
                  <w:pPr>
                    <w:pStyle w:val="51"/>
                    <w:rPr>
                      <w:rFonts w:hint="eastAsia" w:cs="Times New Roman"/>
                      <w:b/>
                      <w:bCs/>
                      <w:color w:val="000000" w:themeColor="text1"/>
                      <w:kern w:val="2"/>
                      <w:sz w:val="21"/>
                      <w:szCs w:val="21"/>
                      <w:highlight w:val="none"/>
                      <w:lang w:val="en-US" w:eastAsia="zh-CN" w:bidi="ar-SA"/>
                      <w14:textFill>
                        <w14:solidFill>
                          <w14:schemeClr w14:val="tx1"/>
                        </w14:solidFill>
                      </w14:textFill>
                    </w:rPr>
                  </w:pPr>
                  <w:r>
                    <w:rPr>
                      <w:rFonts w:hint="eastAsia" w:cs="Times New Roman"/>
                      <w:b/>
                      <w:bCs/>
                      <w:color w:val="000000" w:themeColor="text1"/>
                      <w:kern w:val="2"/>
                      <w:sz w:val="21"/>
                      <w:szCs w:val="21"/>
                      <w:highlight w:val="none"/>
                      <w:lang w:val="en-US" w:eastAsia="zh-CN" w:bidi="ar-SA"/>
                      <w14:textFill>
                        <w14:solidFill>
                          <w14:schemeClr w14:val="tx1"/>
                        </w14:solidFill>
                      </w14:textFill>
                    </w:rPr>
                    <w:t>夜</w:t>
                  </w:r>
                </w:p>
              </w:tc>
            </w:tr>
            <w:tr w14:paraId="237CB1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2" w:type="pct"/>
                  <w:vMerge w:val="continue"/>
                  <w:tcBorders>
                    <w:tl2br w:val="nil"/>
                    <w:tr2bl w:val="nil"/>
                  </w:tcBorders>
                  <w:noWrap w:val="0"/>
                  <w:vAlign w:val="center"/>
                </w:tcPr>
                <w:p w14:paraId="28668101">
                  <w:pPr>
                    <w:pStyle w:val="51"/>
                    <w:rPr>
                      <w:rFonts w:hint="eastAsia" w:cs="Times New Roman"/>
                      <w:color w:val="000000" w:themeColor="text1"/>
                      <w:sz w:val="21"/>
                      <w:szCs w:val="21"/>
                      <w:highlight w:val="none"/>
                      <w:lang w:val="en-US" w:eastAsia="zh-CN"/>
                      <w14:textFill>
                        <w14:solidFill>
                          <w14:schemeClr w14:val="tx1"/>
                        </w14:solidFill>
                      </w14:textFill>
                    </w:rPr>
                  </w:pPr>
                </w:p>
              </w:tc>
              <w:tc>
                <w:tcPr>
                  <w:tcW w:w="499" w:type="pct"/>
                  <w:tcBorders>
                    <w:tl2br w:val="nil"/>
                    <w:tr2bl w:val="nil"/>
                  </w:tcBorders>
                  <w:noWrap w:val="0"/>
                  <w:vAlign w:val="center"/>
                </w:tcPr>
                <w:p w14:paraId="6504622B">
                  <w:pPr>
                    <w:pStyle w:val="51"/>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48</w:t>
                  </w:r>
                </w:p>
              </w:tc>
              <w:tc>
                <w:tcPr>
                  <w:tcW w:w="572" w:type="pct"/>
                  <w:tcBorders>
                    <w:tl2br w:val="nil"/>
                    <w:tr2bl w:val="nil"/>
                  </w:tcBorders>
                  <w:shd w:val="clear" w:color="auto" w:fill="auto"/>
                  <w:noWrap w:val="0"/>
                  <w:vAlign w:val="center"/>
                </w:tcPr>
                <w:p w14:paraId="0A149D26">
                  <w:pPr>
                    <w:pStyle w:val="51"/>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47</w:t>
                  </w:r>
                </w:p>
              </w:tc>
              <w:tc>
                <w:tcPr>
                  <w:tcW w:w="517" w:type="pct"/>
                  <w:tcBorders>
                    <w:tl2br w:val="nil"/>
                    <w:tr2bl w:val="nil"/>
                  </w:tcBorders>
                  <w:noWrap w:val="0"/>
                  <w:vAlign w:val="center"/>
                </w:tcPr>
                <w:p w14:paraId="668E6992">
                  <w:pPr>
                    <w:pStyle w:val="51"/>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53</w:t>
                  </w:r>
                </w:p>
              </w:tc>
              <w:tc>
                <w:tcPr>
                  <w:tcW w:w="550" w:type="pct"/>
                  <w:tcBorders>
                    <w:tl2br w:val="nil"/>
                    <w:tr2bl w:val="nil"/>
                  </w:tcBorders>
                  <w:noWrap w:val="0"/>
                  <w:vAlign w:val="center"/>
                </w:tcPr>
                <w:p w14:paraId="3EF5B83B">
                  <w:pPr>
                    <w:pStyle w:val="51"/>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52</w:t>
                  </w:r>
                </w:p>
              </w:tc>
              <w:tc>
                <w:tcPr>
                  <w:tcW w:w="480" w:type="pct"/>
                  <w:tcBorders>
                    <w:tl2br w:val="nil"/>
                    <w:tr2bl w:val="nil"/>
                  </w:tcBorders>
                  <w:shd w:val="clear" w:color="auto" w:fill="auto"/>
                  <w:noWrap w:val="0"/>
                  <w:vAlign w:val="center"/>
                </w:tcPr>
                <w:p w14:paraId="3283D4A3">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53</w:t>
                  </w:r>
                </w:p>
              </w:tc>
              <w:tc>
                <w:tcPr>
                  <w:tcW w:w="524" w:type="pct"/>
                  <w:tcBorders>
                    <w:tl2br w:val="nil"/>
                    <w:tr2bl w:val="nil"/>
                  </w:tcBorders>
                  <w:noWrap w:val="0"/>
                  <w:vAlign w:val="center"/>
                </w:tcPr>
                <w:p w14:paraId="05A43AAA">
                  <w:pPr>
                    <w:jc w:val="center"/>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52</w:t>
                  </w:r>
                </w:p>
              </w:tc>
              <w:tc>
                <w:tcPr>
                  <w:tcW w:w="516" w:type="pct"/>
                  <w:tcBorders>
                    <w:tl2br w:val="nil"/>
                    <w:tr2bl w:val="nil"/>
                  </w:tcBorders>
                  <w:shd w:val="clear" w:color="auto" w:fill="auto"/>
                  <w:noWrap w:val="0"/>
                  <w:vAlign w:val="center"/>
                </w:tcPr>
                <w:p w14:paraId="66CA54B8">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50</w:t>
                  </w:r>
                </w:p>
              </w:tc>
              <w:tc>
                <w:tcPr>
                  <w:tcW w:w="517" w:type="pct"/>
                  <w:tcBorders>
                    <w:tl2br w:val="nil"/>
                    <w:tr2bl w:val="nil"/>
                  </w:tcBorders>
                  <w:noWrap w:val="0"/>
                  <w:vAlign w:val="center"/>
                </w:tcPr>
                <w:p w14:paraId="6894C142">
                  <w:pPr>
                    <w:jc w:val="center"/>
                    <w:rPr>
                      <w:rFonts w:hint="default"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49</w:t>
                  </w:r>
                </w:p>
              </w:tc>
            </w:tr>
            <w:tr w14:paraId="728B6A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2" w:type="pct"/>
                  <w:tcBorders>
                    <w:tl2br w:val="nil"/>
                    <w:tr2bl w:val="nil"/>
                  </w:tcBorders>
                  <w:noWrap w:val="0"/>
                  <w:vAlign w:val="center"/>
                </w:tcPr>
                <w:p w14:paraId="426E1745">
                  <w:pPr>
                    <w:pStyle w:val="51"/>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背景值</w:t>
                  </w:r>
                </w:p>
              </w:tc>
              <w:tc>
                <w:tcPr>
                  <w:tcW w:w="499" w:type="pct"/>
                  <w:tcBorders>
                    <w:tl2br w:val="nil"/>
                    <w:tr2bl w:val="nil"/>
                  </w:tcBorders>
                  <w:noWrap w:val="0"/>
                  <w:vAlign w:val="center"/>
                </w:tcPr>
                <w:p w14:paraId="7BDB20D3">
                  <w:pPr>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572" w:type="pct"/>
                  <w:tcBorders>
                    <w:tl2br w:val="nil"/>
                    <w:tr2bl w:val="nil"/>
                  </w:tcBorders>
                  <w:noWrap w:val="0"/>
                  <w:vAlign w:val="center"/>
                </w:tcPr>
                <w:p w14:paraId="56F500D5">
                  <w:pPr>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517" w:type="pct"/>
                  <w:tcBorders>
                    <w:tl2br w:val="nil"/>
                    <w:tr2bl w:val="nil"/>
                  </w:tcBorders>
                  <w:noWrap w:val="0"/>
                  <w:vAlign w:val="center"/>
                </w:tcPr>
                <w:p w14:paraId="6135CE4C">
                  <w:pPr>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550" w:type="pct"/>
                  <w:tcBorders>
                    <w:tl2br w:val="nil"/>
                    <w:tr2bl w:val="nil"/>
                  </w:tcBorders>
                  <w:noWrap w:val="0"/>
                  <w:vAlign w:val="center"/>
                </w:tcPr>
                <w:p w14:paraId="0A87C3F3">
                  <w:pPr>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480" w:type="pct"/>
                  <w:tcBorders>
                    <w:tl2br w:val="nil"/>
                    <w:tr2bl w:val="nil"/>
                  </w:tcBorders>
                  <w:shd w:val="clear" w:color="auto" w:fill="auto"/>
                  <w:noWrap w:val="0"/>
                  <w:vAlign w:val="center"/>
                </w:tcPr>
                <w:p w14:paraId="2FE8EF11">
                  <w:pPr>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524" w:type="pct"/>
                  <w:tcBorders>
                    <w:tl2br w:val="nil"/>
                    <w:tr2bl w:val="nil"/>
                  </w:tcBorders>
                  <w:noWrap w:val="0"/>
                  <w:vAlign w:val="center"/>
                </w:tcPr>
                <w:p w14:paraId="0DE1187A">
                  <w:pPr>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516" w:type="pct"/>
                  <w:tcBorders>
                    <w:tl2br w:val="nil"/>
                    <w:tr2bl w:val="nil"/>
                  </w:tcBorders>
                  <w:shd w:val="clear" w:color="auto" w:fill="auto"/>
                  <w:noWrap w:val="0"/>
                  <w:vAlign w:val="center"/>
                </w:tcPr>
                <w:p w14:paraId="712F7813">
                  <w:pPr>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517" w:type="pct"/>
                  <w:tcBorders>
                    <w:tl2br w:val="nil"/>
                    <w:tr2bl w:val="nil"/>
                  </w:tcBorders>
                  <w:noWrap w:val="0"/>
                  <w:vAlign w:val="center"/>
                </w:tcPr>
                <w:p w14:paraId="219D36A9">
                  <w:pPr>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r>
            <w:tr w14:paraId="13F4A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2" w:type="pct"/>
                  <w:tcBorders>
                    <w:tl2br w:val="nil"/>
                    <w:tr2bl w:val="nil"/>
                  </w:tcBorders>
                  <w:noWrap w:val="0"/>
                  <w:vAlign w:val="center"/>
                </w:tcPr>
                <w:p w14:paraId="6EC4AB52">
                  <w:pPr>
                    <w:pStyle w:val="51"/>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预测值</w:t>
                  </w:r>
                </w:p>
              </w:tc>
              <w:tc>
                <w:tcPr>
                  <w:tcW w:w="499" w:type="pct"/>
                  <w:tcBorders>
                    <w:tl2br w:val="nil"/>
                    <w:tr2bl w:val="nil"/>
                  </w:tcBorders>
                  <w:shd w:val="clear" w:color="auto" w:fill="auto"/>
                  <w:noWrap w:val="0"/>
                  <w:vAlign w:val="center"/>
                </w:tcPr>
                <w:p w14:paraId="77C889FF">
                  <w:pPr>
                    <w:pStyle w:val="51"/>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48</w:t>
                  </w:r>
                </w:p>
              </w:tc>
              <w:tc>
                <w:tcPr>
                  <w:tcW w:w="572" w:type="pct"/>
                  <w:tcBorders>
                    <w:tl2br w:val="nil"/>
                    <w:tr2bl w:val="nil"/>
                  </w:tcBorders>
                  <w:shd w:val="clear" w:color="auto" w:fill="auto"/>
                  <w:noWrap w:val="0"/>
                  <w:vAlign w:val="center"/>
                </w:tcPr>
                <w:p w14:paraId="7E116F93">
                  <w:pPr>
                    <w:pStyle w:val="51"/>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47</w:t>
                  </w:r>
                </w:p>
              </w:tc>
              <w:tc>
                <w:tcPr>
                  <w:tcW w:w="517" w:type="pct"/>
                  <w:tcBorders>
                    <w:tl2br w:val="nil"/>
                    <w:tr2bl w:val="nil"/>
                  </w:tcBorders>
                  <w:shd w:val="clear" w:color="auto" w:fill="auto"/>
                  <w:noWrap w:val="0"/>
                  <w:vAlign w:val="center"/>
                </w:tcPr>
                <w:p w14:paraId="4067DF89">
                  <w:pPr>
                    <w:pStyle w:val="51"/>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53</w:t>
                  </w:r>
                </w:p>
              </w:tc>
              <w:tc>
                <w:tcPr>
                  <w:tcW w:w="550" w:type="pct"/>
                  <w:tcBorders>
                    <w:tl2br w:val="nil"/>
                    <w:tr2bl w:val="nil"/>
                  </w:tcBorders>
                  <w:shd w:val="clear" w:color="auto" w:fill="auto"/>
                  <w:noWrap w:val="0"/>
                  <w:vAlign w:val="center"/>
                </w:tcPr>
                <w:p w14:paraId="11CECAB7">
                  <w:pPr>
                    <w:pStyle w:val="51"/>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52</w:t>
                  </w:r>
                </w:p>
              </w:tc>
              <w:tc>
                <w:tcPr>
                  <w:tcW w:w="480" w:type="pct"/>
                  <w:tcBorders>
                    <w:tl2br w:val="nil"/>
                    <w:tr2bl w:val="nil"/>
                  </w:tcBorders>
                  <w:shd w:val="clear" w:color="auto" w:fill="auto"/>
                  <w:noWrap w:val="0"/>
                  <w:vAlign w:val="center"/>
                </w:tcPr>
                <w:p w14:paraId="44DD8DF0">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53</w:t>
                  </w:r>
                </w:p>
              </w:tc>
              <w:tc>
                <w:tcPr>
                  <w:tcW w:w="524" w:type="pct"/>
                  <w:tcBorders>
                    <w:tl2br w:val="nil"/>
                    <w:tr2bl w:val="nil"/>
                  </w:tcBorders>
                  <w:shd w:val="clear" w:color="auto" w:fill="auto"/>
                  <w:noWrap w:val="0"/>
                  <w:vAlign w:val="center"/>
                </w:tcPr>
                <w:p w14:paraId="6D28C4CE">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52</w:t>
                  </w:r>
                </w:p>
              </w:tc>
              <w:tc>
                <w:tcPr>
                  <w:tcW w:w="516" w:type="pct"/>
                  <w:tcBorders>
                    <w:tl2br w:val="nil"/>
                    <w:tr2bl w:val="nil"/>
                  </w:tcBorders>
                  <w:shd w:val="clear" w:color="auto" w:fill="auto"/>
                  <w:noWrap w:val="0"/>
                  <w:vAlign w:val="center"/>
                </w:tcPr>
                <w:p w14:paraId="4692CA3A">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50</w:t>
                  </w:r>
                </w:p>
              </w:tc>
              <w:tc>
                <w:tcPr>
                  <w:tcW w:w="517" w:type="pct"/>
                  <w:tcBorders>
                    <w:tl2br w:val="nil"/>
                    <w:tr2bl w:val="nil"/>
                  </w:tcBorders>
                  <w:shd w:val="clear" w:color="auto" w:fill="auto"/>
                  <w:noWrap w:val="0"/>
                  <w:vAlign w:val="center"/>
                </w:tcPr>
                <w:p w14:paraId="72717563">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49</w:t>
                  </w:r>
                </w:p>
              </w:tc>
            </w:tr>
            <w:tr w14:paraId="17D51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2" w:type="pct"/>
                  <w:tcBorders>
                    <w:tl2br w:val="nil"/>
                    <w:tr2bl w:val="nil"/>
                  </w:tcBorders>
                  <w:noWrap w:val="0"/>
                  <w:vAlign w:val="center"/>
                </w:tcPr>
                <w:p w14:paraId="512E676F">
                  <w:pPr>
                    <w:pStyle w:val="51"/>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标准值</w:t>
                  </w:r>
                </w:p>
              </w:tc>
              <w:tc>
                <w:tcPr>
                  <w:tcW w:w="499" w:type="pct"/>
                  <w:tcBorders>
                    <w:tl2br w:val="nil"/>
                    <w:tr2bl w:val="nil"/>
                  </w:tcBorders>
                  <w:noWrap w:val="0"/>
                  <w:vAlign w:val="center"/>
                </w:tcPr>
                <w:p w14:paraId="0B73F95E">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60</w:t>
                  </w:r>
                </w:p>
              </w:tc>
              <w:tc>
                <w:tcPr>
                  <w:tcW w:w="572" w:type="pct"/>
                  <w:tcBorders>
                    <w:tl2br w:val="nil"/>
                    <w:tr2bl w:val="nil"/>
                  </w:tcBorders>
                  <w:noWrap w:val="0"/>
                  <w:vAlign w:val="center"/>
                </w:tcPr>
                <w:p w14:paraId="4B86A917">
                  <w:pPr>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50</w:t>
                  </w:r>
                </w:p>
              </w:tc>
              <w:tc>
                <w:tcPr>
                  <w:tcW w:w="830" w:type="dxa"/>
                  <w:tcBorders>
                    <w:tl2br w:val="nil"/>
                    <w:tr2bl w:val="nil"/>
                  </w:tcBorders>
                  <w:noWrap w:val="0"/>
                  <w:vAlign w:val="center"/>
                </w:tcPr>
                <w:p w14:paraId="274AF820">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60</w:t>
                  </w:r>
                </w:p>
              </w:tc>
              <w:tc>
                <w:tcPr>
                  <w:tcW w:w="885" w:type="dxa"/>
                  <w:tcBorders>
                    <w:tl2br w:val="nil"/>
                    <w:tr2bl w:val="nil"/>
                  </w:tcBorders>
                  <w:noWrap w:val="0"/>
                  <w:vAlign w:val="center"/>
                </w:tcPr>
                <w:p w14:paraId="6691280E">
                  <w:pPr>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50</w:t>
                  </w:r>
                </w:p>
              </w:tc>
              <w:tc>
                <w:tcPr>
                  <w:tcW w:w="771" w:type="dxa"/>
                  <w:tcBorders>
                    <w:tl2br w:val="nil"/>
                    <w:tr2bl w:val="nil"/>
                  </w:tcBorders>
                  <w:shd w:val="clear" w:color="auto" w:fill="auto"/>
                  <w:noWrap w:val="0"/>
                  <w:vAlign w:val="center"/>
                </w:tcPr>
                <w:p w14:paraId="283DDE23">
                  <w:pPr>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60</w:t>
                  </w:r>
                </w:p>
              </w:tc>
              <w:tc>
                <w:tcPr>
                  <w:tcW w:w="842" w:type="dxa"/>
                  <w:tcBorders>
                    <w:tl2br w:val="nil"/>
                    <w:tr2bl w:val="nil"/>
                  </w:tcBorders>
                  <w:noWrap w:val="0"/>
                  <w:vAlign w:val="center"/>
                </w:tcPr>
                <w:p w14:paraId="562D945D">
                  <w:pPr>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50</w:t>
                  </w:r>
                </w:p>
              </w:tc>
              <w:tc>
                <w:tcPr>
                  <w:tcW w:w="829" w:type="dxa"/>
                  <w:tcBorders>
                    <w:tl2br w:val="nil"/>
                    <w:tr2bl w:val="nil"/>
                  </w:tcBorders>
                  <w:shd w:val="clear" w:color="auto" w:fill="auto"/>
                  <w:noWrap w:val="0"/>
                  <w:vAlign w:val="center"/>
                </w:tcPr>
                <w:p w14:paraId="00B708DF">
                  <w:pPr>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60</w:t>
                  </w:r>
                </w:p>
              </w:tc>
              <w:tc>
                <w:tcPr>
                  <w:tcW w:w="831" w:type="dxa"/>
                  <w:tcBorders>
                    <w:tl2br w:val="nil"/>
                    <w:tr2bl w:val="nil"/>
                  </w:tcBorders>
                  <w:noWrap w:val="0"/>
                  <w:vAlign w:val="center"/>
                </w:tcPr>
                <w:p w14:paraId="3E4D0F11">
                  <w:pPr>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50</w:t>
                  </w:r>
                </w:p>
              </w:tc>
            </w:tr>
            <w:tr w14:paraId="4BC87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2" w:type="pct"/>
                  <w:tcBorders>
                    <w:tl2br w:val="nil"/>
                    <w:tr2bl w:val="nil"/>
                  </w:tcBorders>
                  <w:noWrap w:val="0"/>
                  <w:vAlign w:val="center"/>
                </w:tcPr>
                <w:p w14:paraId="351F8D51">
                  <w:pPr>
                    <w:pStyle w:val="51"/>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是否达标</w:t>
                  </w:r>
                </w:p>
              </w:tc>
              <w:tc>
                <w:tcPr>
                  <w:tcW w:w="499" w:type="pct"/>
                  <w:tcBorders>
                    <w:tl2br w:val="nil"/>
                    <w:tr2bl w:val="nil"/>
                  </w:tcBorders>
                  <w:noWrap w:val="0"/>
                  <w:vAlign w:val="center"/>
                </w:tcPr>
                <w:p w14:paraId="709774A7">
                  <w:pPr>
                    <w:pStyle w:val="51"/>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w:t>
                  </w:r>
                </w:p>
              </w:tc>
              <w:tc>
                <w:tcPr>
                  <w:tcW w:w="572" w:type="pct"/>
                  <w:tcBorders>
                    <w:tl2br w:val="nil"/>
                    <w:tr2bl w:val="nil"/>
                  </w:tcBorders>
                  <w:noWrap w:val="0"/>
                  <w:vAlign w:val="center"/>
                </w:tcPr>
                <w:p w14:paraId="75475D56">
                  <w:pPr>
                    <w:pStyle w:val="51"/>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达标</w:t>
                  </w:r>
                </w:p>
              </w:tc>
              <w:tc>
                <w:tcPr>
                  <w:tcW w:w="517" w:type="pct"/>
                  <w:tcBorders>
                    <w:tl2br w:val="nil"/>
                    <w:tr2bl w:val="nil"/>
                  </w:tcBorders>
                  <w:noWrap w:val="0"/>
                  <w:vAlign w:val="center"/>
                </w:tcPr>
                <w:p w14:paraId="691F1AC4">
                  <w:pPr>
                    <w:pStyle w:val="51"/>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w:t>
                  </w:r>
                </w:p>
              </w:tc>
              <w:tc>
                <w:tcPr>
                  <w:tcW w:w="550" w:type="pct"/>
                  <w:tcBorders>
                    <w:tl2br w:val="nil"/>
                    <w:tr2bl w:val="nil"/>
                  </w:tcBorders>
                  <w:noWrap w:val="0"/>
                  <w:vAlign w:val="center"/>
                </w:tcPr>
                <w:p w14:paraId="2171DEEA">
                  <w:pPr>
                    <w:pStyle w:val="51"/>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达标</w:t>
                  </w:r>
                </w:p>
              </w:tc>
              <w:tc>
                <w:tcPr>
                  <w:tcW w:w="480" w:type="pct"/>
                  <w:tcBorders>
                    <w:tl2br w:val="nil"/>
                    <w:tr2bl w:val="nil"/>
                  </w:tcBorders>
                  <w:shd w:val="clear" w:color="auto" w:fill="auto"/>
                  <w:noWrap w:val="0"/>
                  <w:vAlign w:val="center"/>
                </w:tcPr>
                <w:p w14:paraId="4E1AB417">
                  <w:pPr>
                    <w:pStyle w:val="51"/>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达标</w:t>
                  </w:r>
                </w:p>
              </w:tc>
              <w:tc>
                <w:tcPr>
                  <w:tcW w:w="524" w:type="pct"/>
                  <w:tcBorders>
                    <w:tl2br w:val="nil"/>
                    <w:tr2bl w:val="nil"/>
                  </w:tcBorders>
                  <w:noWrap w:val="0"/>
                  <w:vAlign w:val="center"/>
                </w:tcPr>
                <w:p w14:paraId="0EAED0C8">
                  <w:pPr>
                    <w:pStyle w:val="51"/>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达标</w:t>
                  </w:r>
                </w:p>
              </w:tc>
              <w:tc>
                <w:tcPr>
                  <w:tcW w:w="516" w:type="pct"/>
                  <w:tcBorders>
                    <w:tl2br w:val="nil"/>
                    <w:tr2bl w:val="nil"/>
                  </w:tcBorders>
                  <w:shd w:val="clear" w:color="auto" w:fill="auto"/>
                  <w:noWrap w:val="0"/>
                  <w:vAlign w:val="center"/>
                </w:tcPr>
                <w:p w14:paraId="25562132">
                  <w:pPr>
                    <w:pStyle w:val="51"/>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达标</w:t>
                  </w:r>
                </w:p>
              </w:tc>
              <w:tc>
                <w:tcPr>
                  <w:tcW w:w="517" w:type="pct"/>
                  <w:tcBorders>
                    <w:tl2br w:val="nil"/>
                    <w:tr2bl w:val="nil"/>
                  </w:tcBorders>
                  <w:noWrap w:val="0"/>
                  <w:vAlign w:val="center"/>
                </w:tcPr>
                <w:p w14:paraId="323841E8">
                  <w:pPr>
                    <w:pStyle w:val="51"/>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达标</w:t>
                  </w:r>
                </w:p>
              </w:tc>
            </w:tr>
          </w:tbl>
          <w:p w14:paraId="4C7B818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jc w:val="left"/>
              <w:textAlignment w:val="auto"/>
              <w:rPr>
                <w:rFonts w:hint="default" w:ascii="Times New Roman" w:hAnsi="Times New Roman" w:eastAsia="宋体" w:cs="Times New Roman"/>
                <w:bCs/>
                <w:color w:val="000000" w:themeColor="text1"/>
                <w:kern w:val="0"/>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14:textFill>
                  <w14:solidFill>
                    <w14:schemeClr w14:val="tx1"/>
                  </w14:solidFill>
                </w14:textFill>
              </w:rPr>
              <w:t>从上表可知</w:t>
            </w:r>
            <w:r>
              <w:rPr>
                <w:rFonts w:hint="eastAsia" w:cs="Times New Roman"/>
                <w:color w:val="000000" w:themeColor="text1"/>
                <w:kern w:val="0"/>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0"/>
                <w:sz w:val="21"/>
                <w:szCs w:val="21"/>
                <w:highlight w:val="none"/>
                <w14:textFill>
                  <w14:solidFill>
                    <w14:schemeClr w14:val="tx1"/>
                  </w14:solidFill>
                </w14:textFill>
              </w:rPr>
              <w:t>建设单位对主要噪声设备采取了</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厂房</w:t>
            </w:r>
            <w:r>
              <w:rPr>
                <w:rFonts w:hint="default" w:ascii="Times New Roman" w:hAnsi="Times New Roman" w:cs="Times New Roman"/>
                <w:color w:val="000000" w:themeColor="text1"/>
                <w:kern w:val="0"/>
                <w:sz w:val="21"/>
                <w:szCs w:val="21"/>
                <w:highlight w:val="none"/>
                <w14:textFill>
                  <w14:solidFill>
                    <w14:schemeClr w14:val="tx1"/>
                  </w14:solidFill>
                </w14:textFill>
              </w:rPr>
              <w:t>隔声、加强设备润滑、距离衰减</w:t>
            </w:r>
            <w:r>
              <w:rPr>
                <w:rFonts w:hint="default" w:ascii="Times New Roman" w:hAnsi="Times New Roman" w:cs="Times New Roman"/>
                <w:color w:val="000000" w:themeColor="text1"/>
                <w:kern w:val="0"/>
                <w:sz w:val="21"/>
                <w:szCs w:val="21"/>
                <w:highlight w:val="none"/>
                <w:lang w:eastAsia="zh-CN"/>
                <w14:textFill>
                  <w14:solidFill>
                    <w14:schemeClr w14:val="tx1"/>
                  </w14:solidFill>
                </w14:textFill>
              </w:rPr>
              <w:t>、</w:t>
            </w:r>
            <w:r>
              <w:rPr>
                <w:rFonts w:hint="eastAsia" w:cs="Times New Roman"/>
                <w:color w:val="000000" w:themeColor="text1"/>
                <w:kern w:val="0"/>
                <w:sz w:val="21"/>
                <w:szCs w:val="21"/>
                <w:highlight w:val="none"/>
                <w:lang w:val="en-US" w:eastAsia="zh-CN"/>
                <w14:textFill>
                  <w14:solidFill>
                    <w14:schemeClr w14:val="tx1"/>
                  </w14:solidFill>
                </w14:textFill>
              </w:rPr>
              <w:t>液压区</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设置</w:t>
            </w:r>
            <w:r>
              <w:rPr>
                <w:rFonts w:hint="eastAsia" w:cs="Times New Roman"/>
                <w:color w:val="000000" w:themeColor="text1"/>
                <w:kern w:val="0"/>
                <w:sz w:val="21"/>
                <w:szCs w:val="21"/>
                <w:highlight w:val="none"/>
                <w:lang w:val="en-US" w:eastAsia="zh-CN"/>
                <w14:textFill>
                  <w14:solidFill>
                    <w14:schemeClr w14:val="tx1"/>
                  </w14:solidFill>
                </w14:textFill>
              </w:rPr>
              <w:t>减振沟</w:t>
            </w:r>
            <w:r>
              <w:rPr>
                <w:rFonts w:hint="default" w:ascii="Times New Roman" w:hAnsi="Times New Roman" w:cs="Times New Roman"/>
                <w:color w:val="000000" w:themeColor="text1"/>
                <w:kern w:val="0"/>
                <w:sz w:val="21"/>
                <w:szCs w:val="21"/>
                <w:highlight w:val="none"/>
                <w14:textFill>
                  <w14:solidFill>
                    <w14:schemeClr w14:val="tx1"/>
                  </w14:solidFill>
                </w14:textFill>
              </w:rPr>
              <w:t>等措施后</w:t>
            </w:r>
            <w:r>
              <w:rPr>
                <w:rFonts w:hint="eastAsia" w:cs="Times New Roman"/>
                <w:color w:val="000000" w:themeColor="text1"/>
                <w:kern w:val="0"/>
                <w:sz w:val="21"/>
                <w:szCs w:val="21"/>
                <w:highlight w:val="none"/>
                <w:lang w:eastAsia="zh-CN"/>
                <w14:textFill>
                  <w14:solidFill>
                    <w14:schemeClr w14:val="tx1"/>
                  </w14:solidFill>
                </w14:textFill>
              </w:rPr>
              <w:t>，</w:t>
            </w:r>
            <w:r>
              <w:rPr>
                <w:rFonts w:hint="eastAsia" w:cs="Times New Roman"/>
                <w:color w:val="000000" w:themeColor="text1"/>
                <w:kern w:val="0"/>
                <w:sz w:val="21"/>
                <w:szCs w:val="21"/>
                <w:highlight w:val="none"/>
                <w:lang w:val="en-US" w:eastAsia="zh-CN"/>
                <w14:textFill>
                  <w14:solidFill>
                    <w14:schemeClr w14:val="tx1"/>
                  </w14:solidFill>
                </w14:textFill>
              </w:rPr>
              <w:t>可</w:t>
            </w:r>
            <w:r>
              <w:rPr>
                <w:rFonts w:hint="default" w:ascii="Times New Roman" w:hAnsi="Times New Roman" w:cs="Times New Roman"/>
                <w:color w:val="000000" w:themeColor="text1"/>
                <w:kern w:val="0"/>
                <w:sz w:val="21"/>
                <w:szCs w:val="21"/>
                <w:highlight w:val="none"/>
                <w14:textFill>
                  <w14:solidFill>
                    <w14:schemeClr w14:val="tx1"/>
                  </w14:solidFill>
                </w14:textFill>
              </w:rPr>
              <w:t>使噪声源的噪声影响大大降低。项目</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各厂界</w:t>
            </w:r>
            <w:r>
              <w:rPr>
                <w:rFonts w:hint="default" w:ascii="Times New Roman" w:hAnsi="Times New Roman" w:cs="Times New Roman"/>
                <w:color w:val="000000" w:themeColor="text1"/>
                <w:kern w:val="0"/>
                <w:sz w:val="21"/>
                <w:szCs w:val="21"/>
                <w:highlight w:val="none"/>
                <w14:textFill>
                  <w14:solidFill>
                    <w14:schemeClr w14:val="tx1"/>
                  </w14:solidFill>
                </w14:textFill>
              </w:rPr>
              <w:t>噪声</w:t>
            </w:r>
            <w:r>
              <w:rPr>
                <w:rFonts w:hint="eastAsia" w:cs="Times New Roman"/>
                <w:color w:val="000000" w:themeColor="text1"/>
                <w:kern w:val="0"/>
                <w:sz w:val="21"/>
                <w:szCs w:val="21"/>
                <w:highlight w:val="none"/>
                <w:lang w:val="en-US" w:eastAsia="zh-CN"/>
                <w14:textFill>
                  <w14:solidFill>
                    <w14:schemeClr w14:val="tx1"/>
                  </w14:solidFill>
                </w14:textFill>
              </w:rPr>
              <w:t>预测值</w:t>
            </w:r>
            <w:r>
              <w:rPr>
                <w:rFonts w:hint="default" w:ascii="Times New Roman" w:hAnsi="Times New Roman" w:cs="Times New Roman"/>
                <w:color w:val="000000" w:themeColor="text1"/>
                <w:kern w:val="0"/>
                <w:sz w:val="21"/>
                <w:szCs w:val="21"/>
                <w:highlight w:val="none"/>
                <w14:textFill>
                  <w14:solidFill>
                    <w14:schemeClr w14:val="tx1"/>
                  </w14:solidFill>
                </w14:textFill>
              </w:rPr>
              <w:t>可以满足《工业企业厂界环境噪声排放标准》（GB12348</w:t>
            </w:r>
            <w:r>
              <w:rPr>
                <w:rFonts w:hint="eastAsia" w:cs="Times New Roman"/>
                <w:color w:val="000000" w:themeColor="text1"/>
                <w:kern w:val="0"/>
                <w:sz w:val="21"/>
                <w:szCs w:val="21"/>
                <w:highlight w:val="none"/>
                <w:lang w:eastAsia="zh-CN"/>
                <w14:textFill>
                  <w14:solidFill>
                    <w14:schemeClr w14:val="tx1"/>
                  </w14:solidFill>
                </w14:textFill>
              </w:rPr>
              <w:t>—</w:t>
            </w:r>
            <w:r>
              <w:rPr>
                <w:rFonts w:hint="default" w:ascii="Times New Roman" w:hAnsi="Times New Roman" w:cs="Times New Roman"/>
                <w:color w:val="000000" w:themeColor="text1"/>
                <w:kern w:val="0"/>
                <w:sz w:val="21"/>
                <w:szCs w:val="21"/>
                <w:highlight w:val="none"/>
                <w14:textFill>
                  <w14:solidFill>
                    <w14:schemeClr w14:val="tx1"/>
                  </w14:solidFill>
                </w14:textFill>
              </w:rPr>
              <w:t>2008）</w:t>
            </w:r>
            <w:r>
              <w:rPr>
                <w:rFonts w:hint="eastAsia" w:cs="Times New Roman"/>
                <w:color w:val="000000" w:themeColor="text1"/>
                <w:kern w:val="0"/>
                <w:sz w:val="21"/>
                <w:szCs w:val="21"/>
                <w:highlight w:val="none"/>
                <w:lang w:val="en-US" w:eastAsia="zh-CN"/>
                <w14:textFill>
                  <w14:solidFill>
                    <w14:schemeClr w14:val="tx1"/>
                  </w14:solidFill>
                </w14:textFill>
              </w:rPr>
              <w:t>2</w:t>
            </w:r>
            <w:r>
              <w:rPr>
                <w:rFonts w:hint="default" w:ascii="Times New Roman" w:hAnsi="Times New Roman" w:cs="Times New Roman"/>
                <w:color w:val="000000" w:themeColor="text1"/>
                <w:kern w:val="0"/>
                <w:sz w:val="21"/>
                <w:szCs w:val="21"/>
                <w:highlight w:val="none"/>
                <w14:textFill>
                  <w14:solidFill>
                    <w14:schemeClr w14:val="tx1"/>
                  </w14:solidFill>
                </w14:textFill>
              </w:rPr>
              <w:t>类标准要求</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w:t>
            </w:r>
          </w:p>
          <w:p w14:paraId="3F352F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bCs/>
                <w:color w:val="000000" w:themeColor="text1"/>
                <w:kern w:val="0"/>
                <w:sz w:val="21"/>
                <w:szCs w:val="21"/>
                <w:lang w:bidi="ar"/>
                <w14:textFill>
                  <w14:solidFill>
                    <w14:schemeClr w14:val="tx1"/>
                  </w14:solidFill>
                </w14:textFill>
              </w:rPr>
              <w:t>因此</w:t>
            </w:r>
            <w:r>
              <w:rPr>
                <w:rFonts w:hint="eastAsia" w:cs="Times New Roman"/>
                <w:bCs/>
                <w:color w:val="000000" w:themeColor="text1"/>
                <w:kern w:val="0"/>
                <w:sz w:val="21"/>
                <w:szCs w:val="21"/>
                <w:lang w:eastAsia="zh-CN" w:bidi="ar"/>
                <w14:textFill>
                  <w14:solidFill>
                    <w14:schemeClr w14:val="tx1"/>
                  </w14:solidFill>
                </w14:textFill>
              </w:rPr>
              <w:t>，</w:t>
            </w:r>
            <w:r>
              <w:rPr>
                <w:rFonts w:hint="default" w:ascii="Times New Roman" w:hAnsi="Times New Roman" w:cs="Times New Roman"/>
                <w:bCs/>
                <w:color w:val="000000" w:themeColor="text1"/>
                <w:kern w:val="0"/>
                <w:sz w:val="21"/>
                <w:szCs w:val="21"/>
                <w:lang w:bidi="ar"/>
                <w14:textFill>
                  <w14:solidFill>
                    <w14:schemeClr w14:val="tx1"/>
                  </w14:solidFill>
                </w14:textFill>
              </w:rPr>
              <w:t>项目噪声排放对周围声环境影响较小。</w:t>
            </w:r>
          </w:p>
          <w:p w14:paraId="7A7C0F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2" w:firstLineChars="200"/>
              <w:textAlignment w:val="auto"/>
              <w:rPr>
                <w:rFonts w:hint="default" w:ascii="Times New Roman" w:hAnsi="Times New Roman" w:eastAsia="宋体" w:cs="Times New Roman"/>
                <w:b/>
                <w:bCs/>
                <w:color w:val="000000" w:themeColor="text1"/>
                <w:kern w:val="0"/>
                <w:sz w:val="21"/>
                <w:szCs w:val="21"/>
                <w:lang w:eastAsia="zh-CN"/>
                <w14:textFill>
                  <w14:solidFill>
                    <w14:schemeClr w14:val="tx1"/>
                  </w14:solidFill>
                </w14:textFill>
              </w:rPr>
            </w:pPr>
            <w:r>
              <w:rPr>
                <w:rFonts w:hint="eastAsia" w:cs="Times New Roman"/>
                <w:b/>
                <w:bCs/>
                <w:color w:val="000000" w:themeColor="text1"/>
                <w:kern w:val="0"/>
                <w:sz w:val="21"/>
                <w:szCs w:val="21"/>
                <w:lang w:val="en-US" w:eastAsia="zh-CN"/>
                <w14:textFill>
                  <w14:solidFill>
                    <w14:schemeClr w14:val="tx1"/>
                  </w14:solidFill>
                </w14:textFill>
              </w:rPr>
              <w:t>4、</w:t>
            </w:r>
            <w:r>
              <w:rPr>
                <w:rFonts w:hint="default" w:ascii="Times New Roman" w:hAnsi="Times New Roman" w:eastAsia="宋体" w:cs="Times New Roman"/>
                <w:b/>
                <w:bCs/>
                <w:color w:val="000000" w:themeColor="text1"/>
                <w:kern w:val="0"/>
                <w:sz w:val="21"/>
                <w:szCs w:val="21"/>
                <w:lang w:eastAsia="zh-CN"/>
                <w14:textFill>
                  <w14:solidFill>
                    <w14:schemeClr w14:val="tx1"/>
                  </w14:solidFill>
                </w14:textFill>
              </w:rPr>
              <w:t>自行监测</w:t>
            </w:r>
          </w:p>
          <w:p w14:paraId="3A9EDA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参照《排污单位自行监测技术指南总则》（HJ819-2017）</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eastAsia="zh-CN"/>
                <w14:textFill>
                  <w14:solidFill>
                    <w14:schemeClr w14:val="tx1"/>
                  </w14:solidFill>
                </w14:textFill>
              </w:rPr>
              <w:t>《排污许可证申请与核发技术规范</w:t>
            </w:r>
            <w:r>
              <w:rPr>
                <w:rFonts w:hint="eastAsia" w:cs="Times New Roman"/>
                <w:color w:val="000000" w:themeColor="text1"/>
                <w:sz w:val="21"/>
                <w:szCs w:val="21"/>
                <w:lang w:val="en-US" w:eastAsia="zh-CN"/>
                <w14:textFill>
                  <w14:solidFill>
                    <w14:schemeClr w14:val="tx1"/>
                  </w14:solidFill>
                </w14:textFill>
              </w:rPr>
              <w:t>工业噪声</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HJ1301</w:t>
            </w:r>
            <w:r>
              <w:rPr>
                <w:rFonts w:hint="default" w:ascii="Times New Roman" w:hAnsi="Times New Roman" w:eastAsia="宋体" w:cs="Times New Roman"/>
                <w:color w:val="000000" w:themeColor="text1"/>
                <w:sz w:val="21"/>
                <w:szCs w:val="21"/>
                <w:lang w:eastAsia="zh-CN"/>
                <w14:textFill>
                  <w14:solidFill>
                    <w14:schemeClr w14:val="tx1"/>
                  </w14:solidFill>
                </w14:textFill>
              </w:rPr>
              <w:t>-202</w:t>
            </w:r>
            <w:r>
              <w:rPr>
                <w:rFonts w:hint="eastAsia" w:cs="Times New Roman"/>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等规范内相关要求</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本项目噪声自行监测</w:t>
            </w:r>
            <w:r>
              <w:rPr>
                <w:rFonts w:hint="default" w:ascii="Times New Roman" w:hAnsi="Times New Roman" w:eastAsia="宋体" w:cs="Times New Roman"/>
                <w:color w:val="000000" w:themeColor="text1"/>
                <w:sz w:val="21"/>
                <w:szCs w:val="21"/>
                <w:lang w:eastAsia="zh-CN"/>
                <w14:textFill>
                  <w14:solidFill>
                    <w14:schemeClr w14:val="tx1"/>
                  </w14:solidFill>
                </w14:textFill>
              </w:rPr>
              <w:t>内容</w:t>
            </w:r>
            <w:r>
              <w:rPr>
                <w:rFonts w:hint="eastAsia" w:cs="Times New Roman"/>
                <w:color w:val="000000" w:themeColor="text1"/>
                <w:sz w:val="21"/>
                <w:szCs w:val="21"/>
                <w:lang w:val="en-US" w:eastAsia="zh-CN"/>
                <w14:textFill>
                  <w14:solidFill>
                    <w14:schemeClr w14:val="tx1"/>
                  </w14:solidFill>
                </w14:textFill>
              </w:rPr>
              <w:t>详见下表</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p w14:paraId="07850123">
            <w:pPr>
              <w:keepNext w:val="0"/>
              <w:keepLines w:val="0"/>
              <w:suppressLineNumbers w:val="0"/>
              <w:spacing w:before="0" w:beforeAutospacing="0" w:after="0" w:afterAutospacing="0"/>
              <w:ind w:left="0" w:right="0" w:firstLine="422" w:firstLineChars="2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w:t>
            </w:r>
            <w:r>
              <w:rPr>
                <w:rFonts w:hint="default" w:ascii="Times New Roman" w:hAnsi="Times New Roman" w:cs="Times New Roman"/>
                <w:b/>
                <w:bCs/>
                <w:color w:val="000000" w:themeColor="text1"/>
                <w:sz w:val="21"/>
                <w:szCs w:val="21"/>
                <w:lang w:val="en-US" w:eastAsia="zh-CN"/>
                <w14:textFill>
                  <w14:solidFill>
                    <w14:schemeClr w14:val="tx1"/>
                  </w14:solidFill>
                </w14:textFill>
              </w:rPr>
              <w:t>4</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w:t>
            </w:r>
            <w:r>
              <w:rPr>
                <w:rFonts w:hint="eastAsia" w:cs="Times New Roman"/>
                <w:b/>
                <w:bCs/>
                <w:color w:val="000000" w:themeColor="text1"/>
                <w:sz w:val="21"/>
                <w:szCs w:val="21"/>
                <w:lang w:val="en-US" w:eastAsia="zh-CN"/>
                <w14:textFill>
                  <w14:solidFill>
                    <w14:schemeClr w14:val="tx1"/>
                  </w14:solidFill>
                </w14:textFill>
              </w:rPr>
              <w:t xml:space="preserve">11    </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项目污染源监测计划表</w:t>
            </w:r>
          </w:p>
          <w:tbl>
            <w:tblPr>
              <w:tblStyle w:val="24"/>
              <w:tblW w:w="4998"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139"/>
              <w:gridCol w:w="1208"/>
              <w:gridCol w:w="1178"/>
              <w:gridCol w:w="1088"/>
              <w:gridCol w:w="2608"/>
            </w:tblGrid>
            <w:tr w14:paraId="5C2F11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4" w:type="pct"/>
                  <w:tcBorders>
                    <w:tl2br w:val="nil"/>
                    <w:tr2bl w:val="nil"/>
                  </w:tcBorders>
                  <w:noWrap w:val="0"/>
                  <w:vAlign w:val="center"/>
                </w:tcPr>
                <w:p w14:paraId="064D6FCE">
                  <w:pPr>
                    <w:keepNext w:val="0"/>
                    <w:keepLines w:val="0"/>
                    <w:suppressLineNumbers w:val="0"/>
                    <w:autoSpaceDE w:val="0"/>
                    <w:autoSpaceDN w:val="0"/>
                    <w:adjustRightInd w:val="0"/>
                    <w:spacing w:before="0" w:beforeAutospacing="0" w:after="0" w:afterAutospacing="0" w:line="280" w:lineRule="exact"/>
                    <w:ind w:left="0" w:right="0"/>
                    <w:jc w:val="center"/>
                    <w:rPr>
                      <w:rFonts w:hint="default" w:ascii="Times New Roman" w:hAnsi="Times New Roman" w:eastAsia="宋体" w:cs="Times New Roman"/>
                      <w:b/>
                      <w:bCs w:val="0"/>
                      <w:color w:val="000000" w:themeColor="text1"/>
                      <w:sz w:val="21"/>
                      <w:szCs w:val="21"/>
                      <w:lang w:val="zh-CN"/>
                      <w14:textFill>
                        <w14:solidFill>
                          <w14:schemeClr w14:val="tx1"/>
                        </w14:solidFill>
                      </w14:textFill>
                    </w:rPr>
                  </w:pPr>
                  <w:r>
                    <w:rPr>
                      <w:rFonts w:hint="default" w:ascii="Times New Roman" w:hAnsi="Times New Roman" w:eastAsia="宋体" w:cs="Times New Roman"/>
                      <w:b/>
                      <w:bCs w:val="0"/>
                      <w:color w:val="000000" w:themeColor="text1"/>
                      <w:sz w:val="21"/>
                      <w:szCs w:val="21"/>
                      <w:lang w:val="zh-CN"/>
                      <w14:textFill>
                        <w14:solidFill>
                          <w14:schemeClr w14:val="tx1"/>
                        </w14:solidFill>
                      </w14:textFill>
                    </w:rPr>
                    <w:t>类型</w:t>
                  </w:r>
                </w:p>
              </w:tc>
              <w:tc>
                <w:tcPr>
                  <w:tcW w:w="709" w:type="pct"/>
                  <w:tcBorders>
                    <w:tl2br w:val="nil"/>
                    <w:tr2bl w:val="nil"/>
                  </w:tcBorders>
                  <w:noWrap w:val="0"/>
                  <w:vAlign w:val="center"/>
                </w:tcPr>
                <w:p w14:paraId="098B08A1">
                  <w:pPr>
                    <w:keepNext w:val="0"/>
                    <w:keepLines w:val="0"/>
                    <w:suppressLineNumbers w:val="0"/>
                    <w:autoSpaceDE w:val="0"/>
                    <w:autoSpaceDN w:val="0"/>
                    <w:adjustRightInd w:val="0"/>
                    <w:spacing w:before="0" w:beforeAutospacing="0" w:after="0" w:afterAutospacing="0" w:line="280" w:lineRule="exact"/>
                    <w:ind w:left="0" w:right="0"/>
                    <w:jc w:val="center"/>
                    <w:rPr>
                      <w:rFonts w:hint="default" w:ascii="Times New Roman" w:hAnsi="Times New Roman" w:eastAsia="宋体" w:cs="Times New Roman"/>
                      <w:b/>
                      <w:bCs w:val="0"/>
                      <w:color w:val="000000" w:themeColor="text1"/>
                      <w:sz w:val="21"/>
                      <w:szCs w:val="21"/>
                      <w:lang w:val="zh-CN"/>
                      <w14:textFill>
                        <w14:solidFill>
                          <w14:schemeClr w14:val="tx1"/>
                        </w14:solidFill>
                      </w14:textFill>
                    </w:rPr>
                  </w:pPr>
                  <w:r>
                    <w:rPr>
                      <w:rFonts w:hint="default" w:ascii="Times New Roman" w:hAnsi="Times New Roman" w:eastAsia="宋体" w:cs="Times New Roman"/>
                      <w:b/>
                      <w:bCs w:val="0"/>
                      <w:color w:val="000000" w:themeColor="text1"/>
                      <w:sz w:val="21"/>
                      <w:szCs w:val="21"/>
                      <w:lang w:val="zh-CN"/>
                      <w14:textFill>
                        <w14:solidFill>
                          <w14:schemeClr w14:val="tx1"/>
                        </w14:solidFill>
                      </w14:textFill>
                    </w:rPr>
                    <w:t>污染源</w:t>
                  </w:r>
                </w:p>
              </w:tc>
              <w:tc>
                <w:tcPr>
                  <w:tcW w:w="752" w:type="pct"/>
                  <w:tcBorders>
                    <w:tl2br w:val="nil"/>
                    <w:tr2bl w:val="nil"/>
                  </w:tcBorders>
                  <w:noWrap w:val="0"/>
                  <w:vAlign w:val="center"/>
                </w:tcPr>
                <w:p w14:paraId="106C1512">
                  <w:pPr>
                    <w:keepNext w:val="0"/>
                    <w:keepLines w:val="0"/>
                    <w:suppressLineNumbers w:val="0"/>
                    <w:autoSpaceDE w:val="0"/>
                    <w:autoSpaceDN w:val="0"/>
                    <w:adjustRightInd w:val="0"/>
                    <w:spacing w:before="0" w:beforeAutospacing="0" w:after="0" w:afterAutospacing="0" w:line="280" w:lineRule="exact"/>
                    <w:ind w:left="0" w:right="0"/>
                    <w:jc w:val="center"/>
                    <w:rPr>
                      <w:rFonts w:hint="default" w:ascii="Times New Roman" w:hAnsi="Times New Roman" w:eastAsia="宋体" w:cs="Times New Roman"/>
                      <w:b/>
                      <w:bCs w:val="0"/>
                      <w:color w:val="000000" w:themeColor="text1"/>
                      <w:sz w:val="21"/>
                      <w:szCs w:val="21"/>
                      <w:lang w:val="zh-CN"/>
                      <w14:textFill>
                        <w14:solidFill>
                          <w14:schemeClr w14:val="tx1"/>
                        </w14:solidFill>
                      </w14:textFill>
                    </w:rPr>
                  </w:pPr>
                  <w:r>
                    <w:rPr>
                      <w:rFonts w:hint="default" w:ascii="Times New Roman" w:hAnsi="Times New Roman" w:eastAsia="宋体" w:cs="Times New Roman"/>
                      <w:b/>
                      <w:bCs w:val="0"/>
                      <w:color w:val="000000" w:themeColor="text1"/>
                      <w:sz w:val="21"/>
                      <w:szCs w:val="21"/>
                      <w:lang w:val="zh-CN"/>
                      <w14:textFill>
                        <w14:solidFill>
                          <w14:schemeClr w14:val="tx1"/>
                        </w14:solidFill>
                      </w14:textFill>
                    </w:rPr>
                    <w:t>监测因子</w:t>
                  </w:r>
                </w:p>
              </w:tc>
              <w:tc>
                <w:tcPr>
                  <w:tcW w:w="733" w:type="pct"/>
                  <w:tcBorders>
                    <w:tl2br w:val="nil"/>
                    <w:tr2bl w:val="nil"/>
                  </w:tcBorders>
                  <w:noWrap w:val="0"/>
                  <w:vAlign w:val="center"/>
                </w:tcPr>
                <w:p w14:paraId="2D7D2B01">
                  <w:pPr>
                    <w:keepNext w:val="0"/>
                    <w:keepLines w:val="0"/>
                    <w:suppressLineNumbers w:val="0"/>
                    <w:autoSpaceDE w:val="0"/>
                    <w:autoSpaceDN w:val="0"/>
                    <w:adjustRightInd w:val="0"/>
                    <w:spacing w:before="0" w:beforeAutospacing="0" w:after="0" w:afterAutospacing="0" w:line="280" w:lineRule="exact"/>
                    <w:ind w:left="0" w:right="0"/>
                    <w:jc w:val="center"/>
                    <w:rPr>
                      <w:rFonts w:hint="default" w:ascii="Times New Roman" w:hAnsi="Times New Roman" w:eastAsia="宋体" w:cs="Times New Roman"/>
                      <w:b/>
                      <w:bCs w:val="0"/>
                      <w:color w:val="000000" w:themeColor="text1"/>
                      <w:sz w:val="21"/>
                      <w:szCs w:val="21"/>
                      <w:lang w:val="zh-CN"/>
                      <w14:textFill>
                        <w14:solidFill>
                          <w14:schemeClr w14:val="tx1"/>
                        </w14:solidFill>
                      </w14:textFill>
                    </w:rPr>
                  </w:pPr>
                  <w:r>
                    <w:rPr>
                      <w:rFonts w:hint="default" w:ascii="Times New Roman" w:hAnsi="Times New Roman" w:eastAsia="宋体" w:cs="Times New Roman"/>
                      <w:b/>
                      <w:bCs w:val="0"/>
                      <w:color w:val="000000" w:themeColor="text1"/>
                      <w:sz w:val="21"/>
                      <w:szCs w:val="21"/>
                      <w:lang w:val="zh-CN"/>
                      <w14:textFill>
                        <w14:solidFill>
                          <w14:schemeClr w14:val="tx1"/>
                        </w14:solidFill>
                      </w14:textFill>
                    </w:rPr>
                    <w:t>监测点位</w:t>
                  </w:r>
                </w:p>
              </w:tc>
              <w:tc>
                <w:tcPr>
                  <w:tcW w:w="677" w:type="pct"/>
                  <w:tcBorders>
                    <w:tl2br w:val="nil"/>
                    <w:tr2bl w:val="nil"/>
                  </w:tcBorders>
                  <w:noWrap w:val="0"/>
                  <w:vAlign w:val="center"/>
                </w:tcPr>
                <w:p w14:paraId="64EC3FE6">
                  <w:pPr>
                    <w:keepNext w:val="0"/>
                    <w:keepLines w:val="0"/>
                    <w:suppressLineNumbers w:val="0"/>
                    <w:autoSpaceDE w:val="0"/>
                    <w:autoSpaceDN w:val="0"/>
                    <w:adjustRightInd w:val="0"/>
                    <w:spacing w:before="0" w:beforeAutospacing="0" w:after="0" w:afterAutospacing="0" w:line="280" w:lineRule="exact"/>
                    <w:ind w:left="0" w:right="0"/>
                    <w:jc w:val="center"/>
                    <w:rPr>
                      <w:rFonts w:hint="default" w:ascii="Times New Roman" w:hAnsi="Times New Roman" w:eastAsia="宋体" w:cs="Times New Roman"/>
                      <w:b/>
                      <w:bCs w:val="0"/>
                      <w:color w:val="000000" w:themeColor="text1"/>
                      <w:sz w:val="21"/>
                      <w:szCs w:val="21"/>
                      <w:lang w:val="zh-CN"/>
                      <w14:textFill>
                        <w14:solidFill>
                          <w14:schemeClr w14:val="tx1"/>
                        </w14:solidFill>
                      </w14:textFill>
                    </w:rPr>
                  </w:pPr>
                  <w:r>
                    <w:rPr>
                      <w:rFonts w:hint="default" w:ascii="Times New Roman" w:hAnsi="Times New Roman" w:eastAsia="宋体" w:cs="Times New Roman"/>
                      <w:b/>
                      <w:bCs w:val="0"/>
                      <w:color w:val="000000" w:themeColor="text1"/>
                      <w:sz w:val="21"/>
                      <w:szCs w:val="21"/>
                      <w:lang w:val="zh-CN"/>
                      <w14:textFill>
                        <w14:solidFill>
                          <w14:schemeClr w14:val="tx1"/>
                        </w14:solidFill>
                      </w14:textFill>
                    </w:rPr>
                    <w:t>监测频次</w:t>
                  </w:r>
                </w:p>
              </w:tc>
              <w:tc>
                <w:tcPr>
                  <w:tcW w:w="1623" w:type="pct"/>
                  <w:tcBorders>
                    <w:tl2br w:val="nil"/>
                    <w:tr2bl w:val="nil"/>
                  </w:tcBorders>
                  <w:noWrap w:val="0"/>
                  <w:vAlign w:val="center"/>
                </w:tcPr>
                <w:p w14:paraId="212B8D56">
                  <w:pPr>
                    <w:keepNext w:val="0"/>
                    <w:keepLines w:val="0"/>
                    <w:suppressLineNumbers w:val="0"/>
                    <w:autoSpaceDE w:val="0"/>
                    <w:autoSpaceDN w:val="0"/>
                    <w:adjustRightInd w:val="0"/>
                    <w:spacing w:before="0" w:beforeAutospacing="0" w:after="0" w:afterAutospacing="0" w:line="280" w:lineRule="exact"/>
                    <w:ind w:left="0" w:right="0"/>
                    <w:jc w:val="center"/>
                    <w:rPr>
                      <w:rFonts w:hint="default" w:ascii="Times New Roman" w:hAnsi="Times New Roman" w:eastAsia="宋体" w:cs="Times New Roman"/>
                      <w:b/>
                      <w:bCs w:val="0"/>
                      <w:color w:val="000000" w:themeColor="text1"/>
                      <w:sz w:val="21"/>
                      <w:szCs w:val="21"/>
                      <w:lang w:val="zh-CN"/>
                      <w14:textFill>
                        <w14:solidFill>
                          <w14:schemeClr w14:val="tx1"/>
                        </w14:solidFill>
                      </w14:textFill>
                    </w:rPr>
                  </w:pPr>
                  <w:r>
                    <w:rPr>
                      <w:rFonts w:hint="default" w:ascii="Times New Roman" w:hAnsi="Times New Roman" w:eastAsia="宋体" w:cs="Times New Roman"/>
                      <w:b/>
                      <w:bCs w:val="0"/>
                      <w:color w:val="000000" w:themeColor="text1"/>
                      <w:sz w:val="21"/>
                      <w:szCs w:val="21"/>
                      <w:lang w:val="zh-CN"/>
                      <w14:textFill>
                        <w14:solidFill>
                          <w14:schemeClr w14:val="tx1"/>
                        </w14:solidFill>
                      </w14:textFill>
                    </w:rPr>
                    <w:t>执行标准</w:t>
                  </w:r>
                </w:p>
              </w:tc>
            </w:tr>
            <w:tr w14:paraId="74C64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4" w:type="pct"/>
                  <w:tcBorders>
                    <w:tl2br w:val="nil"/>
                    <w:tr2bl w:val="nil"/>
                  </w:tcBorders>
                  <w:noWrap w:val="0"/>
                  <w:vAlign w:val="center"/>
                </w:tcPr>
                <w:p w14:paraId="7E5BF245">
                  <w:pPr>
                    <w:keepNext w:val="0"/>
                    <w:keepLines w:val="0"/>
                    <w:suppressLineNumbers w:val="0"/>
                    <w:autoSpaceDE w:val="0"/>
                    <w:autoSpaceDN w:val="0"/>
                    <w:adjustRightInd w:val="0"/>
                    <w:spacing w:before="0" w:beforeAutospacing="0" w:after="0" w:afterAutospacing="0" w:line="280" w:lineRule="exact"/>
                    <w:ind w:left="0" w:right="0"/>
                    <w:jc w:val="center"/>
                    <w:rPr>
                      <w:rFonts w:hint="default" w:ascii="Times New Roman" w:hAnsi="Times New Roman" w:eastAsia="宋体" w:cs="Times New Roman"/>
                      <w:b w:val="0"/>
                      <w:bCs/>
                      <w:color w:val="000000" w:themeColor="text1"/>
                      <w:sz w:val="21"/>
                      <w:szCs w:val="21"/>
                      <w:lang w:val="zh-CN"/>
                      <w14:textFill>
                        <w14:solidFill>
                          <w14:schemeClr w14:val="tx1"/>
                        </w14:solidFill>
                      </w14:textFill>
                    </w:rPr>
                  </w:pPr>
                  <w:r>
                    <w:rPr>
                      <w:rFonts w:hint="default" w:ascii="Times New Roman" w:hAnsi="Times New Roman" w:cs="Times New Roman"/>
                      <w:b w:val="0"/>
                      <w:bCs/>
                      <w:color w:val="000000" w:themeColor="text1"/>
                      <w:sz w:val="21"/>
                      <w:szCs w:val="21"/>
                      <w:lang w:val="zh-CN"/>
                      <w14:textFill>
                        <w14:solidFill>
                          <w14:schemeClr w14:val="tx1"/>
                        </w14:solidFill>
                      </w14:textFill>
                    </w:rPr>
                    <w:t>厂界噪声</w:t>
                  </w:r>
                </w:p>
              </w:tc>
              <w:tc>
                <w:tcPr>
                  <w:tcW w:w="709" w:type="pct"/>
                  <w:tcBorders>
                    <w:tl2br w:val="nil"/>
                    <w:tr2bl w:val="nil"/>
                  </w:tcBorders>
                  <w:noWrap w:val="0"/>
                  <w:vAlign w:val="center"/>
                </w:tcPr>
                <w:p w14:paraId="3C73826C">
                  <w:pPr>
                    <w:keepNext w:val="0"/>
                    <w:keepLines w:val="0"/>
                    <w:suppressLineNumbers w:val="0"/>
                    <w:autoSpaceDE w:val="0"/>
                    <w:autoSpaceDN w:val="0"/>
                    <w:adjustRightInd w:val="0"/>
                    <w:spacing w:before="0" w:beforeAutospacing="0" w:after="0" w:afterAutospacing="0" w:line="280" w:lineRule="exact"/>
                    <w:ind w:left="0" w:right="0"/>
                    <w:jc w:val="center"/>
                    <w:rPr>
                      <w:rFonts w:hint="default" w:ascii="Times New Roman" w:hAnsi="Times New Roman" w:eastAsia="宋体" w:cs="Times New Roman"/>
                      <w:b w:val="0"/>
                      <w:bCs/>
                      <w:color w:val="000000" w:themeColor="text1"/>
                      <w:sz w:val="21"/>
                      <w:szCs w:val="21"/>
                      <w:lang w:val="zh-CN"/>
                      <w14:textFill>
                        <w14:solidFill>
                          <w14:schemeClr w14:val="tx1"/>
                        </w14:solidFill>
                      </w14:textFill>
                    </w:rPr>
                  </w:pPr>
                  <w:r>
                    <w:rPr>
                      <w:rFonts w:hint="default" w:ascii="Times New Roman" w:hAnsi="Times New Roman" w:eastAsia="宋体" w:cs="Times New Roman"/>
                      <w:b w:val="0"/>
                      <w:bCs/>
                      <w:color w:val="000000" w:themeColor="text1"/>
                      <w:sz w:val="21"/>
                      <w:szCs w:val="21"/>
                      <w:lang w:val="zh-CN"/>
                      <w14:textFill>
                        <w14:solidFill>
                          <w14:schemeClr w14:val="tx1"/>
                        </w14:solidFill>
                      </w14:textFill>
                    </w:rPr>
                    <w:t>车间各生产设备</w:t>
                  </w:r>
                </w:p>
              </w:tc>
              <w:tc>
                <w:tcPr>
                  <w:tcW w:w="752" w:type="pct"/>
                  <w:tcBorders>
                    <w:tl2br w:val="nil"/>
                    <w:tr2bl w:val="nil"/>
                  </w:tcBorders>
                  <w:noWrap w:val="0"/>
                  <w:vAlign w:val="center"/>
                </w:tcPr>
                <w:p w14:paraId="18360339">
                  <w:pPr>
                    <w:keepNext w:val="0"/>
                    <w:keepLines w:val="0"/>
                    <w:suppressLineNumbers w:val="0"/>
                    <w:autoSpaceDE w:val="0"/>
                    <w:autoSpaceDN w:val="0"/>
                    <w:adjustRightInd w:val="0"/>
                    <w:spacing w:before="0" w:beforeAutospacing="0" w:after="0" w:afterAutospacing="0" w:line="280" w:lineRule="exact"/>
                    <w:ind w:left="0" w:right="0"/>
                    <w:jc w:val="center"/>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zh-CN"/>
                      <w14:textFill>
                        <w14:solidFill>
                          <w14:schemeClr w14:val="tx1"/>
                        </w14:solidFill>
                      </w14:textFill>
                    </w:rPr>
                    <w:t>等效连续A声级</w:t>
                  </w:r>
                </w:p>
              </w:tc>
              <w:tc>
                <w:tcPr>
                  <w:tcW w:w="733" w:type="pct"/>
                  <w:tcBorders>
                    <w:tl2br w:val="nil"/>
                    <w:tr2bl w:val="nil"/>
                  </w:tcBorders>
                  <w:noWrap w:val="0"/>
                  <w:vAlign w:val="center"/>
                </w:tcPr>
                <w:p w14:paraId="714AB268">
                  <w:pPr>
                    <w:keepNext w:val="0"/>
                    <w:keepLines w:val="0"/>
                    <w:suppressLineNumbers w:val="0"/>
                    <w:autoSpaceDE w:val="0"/>
                    <w:autoSpaceDN w:val="0"/>
                    <w:adjustRightInd w:val="0"/>
                    <w:spacing w:before="0" w:beforeAutospacing="0" w:after="0" w:afterAutospacing="0" w:line="280" w:lineRule="exact"/>
                    <w:ind w:left="0" w:right="0"/>
                    <w:jc w:val="center"/>
                    <w:rPr>
                      <w:rFonts w:hint="default" w:ascii="Times New Roman" w:hAnsi="Times New Roman" w:eastAsia="宋体" w:cs="Times New Roman"/>
                      <w:b w:val="0"/>
                      <w:bCs/>
                      <w:color w:val="000000" w:themeColor="text1"/>
                      <w:sz w:val="21"/>
                      <w:szCs w:val="21"/>
                      <w:lang w:val="zh-CN"/>
                      <w14:textFill>
                        <w14:solidFill>
                          <w14:schemeClr w14:val="tx1"/>
                        </w14:solidFill>
                      </w14:textFill>
                    </w:rPr>
                  </w:pPr>
                  <w:r>
                    <w:rPr>
                      <w:rFonts w:hint="default" w:ascii="Times New Roman" w:hAnsi="Times New Roman" w:eastAsia="宋体" w:cs="Times New Roman"/>
                      <w:b w:val="0"/>
                      <w:bCs/>
                      <w:color w:val="000000" w:themeColor="text1"/>
                      <w:sz w:val="21"/>
                      <w:szCs w:val="21"/>
                      <w:lang w:val="zh-CN"/>
                      <w14:textFill>
                        <w14:solidFill>
                          <w14:schemeClr w14:val="tx1"/>
                        </w14:solidFill>
                      </w14:textFill>
                    </w:rPr>
                    <w:t>厂界四周</w:t>
                  </w:r>
                </w:p>
              </w:tc>
              <w:tc>
                <w:tcPr>
                  <w:tcW w:w="677" w:type="pct"/>
                  <w:tcBorders>
                    <w:tl2br w:val="nil"/>
                    <w:tr2bl w:val="nil"/>
                  </w:tcBorders>
                  <w:noWrap w:val="0"/>
                  <w:vAlign w:val="center"/>
                </w:tcPr>
                <w:p w14:paraId="160BBA1D">
                  <w:pPr>
                    <w:keepNext w:val="0"/>
                    <w:keepLines w:val="0"/>
                    <w:suppressLineNumbers w:val="0"/>
                    <w:autoSpaceDE w:val="0"/>
                    <w:autoSpaceDN w:val="0"/>
                    <w:adjustRightInd w:val="0"/>
                    <w:spacing w:before="0" w:beforeAutospacing="0" w:after="0" w:afterAutospacing="0" w:line="280" w:lineRule="exact"/>
                    <w:ind w:left="0" w:right="0"/>
                    <w:jc w:val="cente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b w:val="0"/>
                      <w:bCs/>
                      <w:color w:val="000000" w:themeColor="text1"/>
                      <w:sz w:val="21"/>
                      <w:szCs w:val="21"/>
                      <w14:textFill>
                        <w14:solidFill>
                          <w14:schemeClr w14:val="tx1"/>
                        </w14:solidFill>
                      </w14:textFill>
                    </w:rPr>
                    <w:t>次</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14:textFill>
                        <w14:solidFill>
                          <w14:schemeClr w14:val="tx1"/>
                        </w14:solidFill>
                      </w14:textFill>
                    </w:rPr>
                    <w:t>季度</w:t>
                  </w:r>
                </w:p>
              </w:tc>
              <w:tc>
                <w:tcPr>
                  <w:tcW w:w="1623" w:type="pct"/>
                  <w:tcBorders>
                    <w:tl2br w:val="nil"/>
                    <w:tr2bl w:val="nil"/>
                  </w:tcBorders>
                  <w:noWrap w:val="0"/>
                  <w:vAlign w:val="center"/>
                </w:tcPr>
                <w:p w14:paraId="01F91A4E">
                  <w:pPr>
                    <w:keepNext w:val="0"/>
                    <w:keepLines w:val="0"/>
                    <w:suppressLineNumbers w:val="0"/>
                    <w:autoSpaceDE w:val="0"/>
                    <w:autoSpaceDN w:val="0"/>
                    <w:adjustRightInd w:val="0"/>
                    <w:spacing w:before="0" w:beforeAutospacing="0" w:after="0" w:afterAutospacing="0" w:line="280" w:lineRule="exact"/>
                    <w:ind w:left="0" w:right="0"/>
                    <w:jc w:val="center"/>
                    <w:rPr>
                      <w:rFonts w:hint="default" w:ascii="Times New Roman" w:hAnsi="Times New Roman" w:eastAsia="宋体" w:cs="Times New Roman"/>
                      <w:b w:val="0"/>
                      <w:bCs/>
                      <w:color w:val="000000" w:themeColor="text1"/>
                      <w:sz w:val="21"/>
                      <w:szCs w:val="21"/>
                      <w:lang w:val="zh-CN"/>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《工业企业厂界环境噪声排放标准》GB12348-2008中的</w:t>
                  </w:r>
                  <w:r>
                    <w:rPr>
                      <w:rFonts w:hint="eastAsia" w:cs="Times New Roman"/>
                      <w:b w:val="0"/>
                      <w:bCs/>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b w:val="0"/>
                      <w:bCs/>
                      <w:color w:val="000000" w:themeColor="text1"/>
                      <w:sz w:val="21"/>
                      <w:szCs w:val="21"/>
                      <w14:textFill>
                        <w14:solidFill>
                          <w14:schemeClr w14:val="tx1"/>
                        </w14:solidFill>
                      </w14:textFill>
                    </w:rPr>
                    <w:t>类标准</w:t>
                  </w:r>
                </w:p>
              </w:tc>
            </w:tr>
          </w:tbl>
          <w:p w14:paraId="3C079C14">
            <w:pPr>
              <w:keepNext/>
              <w:keepLines/>
              <w:widowControl/>
              <w:adjustRightInd w:val="0"/>
              <w:snapToGrid w:val="0"/>
              <w:spacing w:line="360" w:lineRule="auto"/>
              <w:ind w:firstLine="422" w:firstLineChars="200"/>
              <w:jc w:val="left"/>
              <w:outlineLvl w:val="1"/>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cs="Times New Roman"/>
                <w:b/>
                <w:color w:val="000000" w:themeColor="text1"/>
                <w:sz w:val="21"/>
                <w:szCs w:val="21"/>
                <w:lang w:val="en-US" w:eastAsia="zh-CN"/>
                <w14:textFill>
                  <w14:solidFill>
                    <w14:schemeClr w14:val="tx1"/>
                  </w14:solidFill>
                </w14:textFill>
              </w:rPr>
              <w:t>五</w:t>
            </w: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固体废物</w:t>
            </w: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环境影响分析</w:t>
            </w:r>
          </w:p>
          <w:p w14:paraId="2116228F">
            <w:pPr>
              <w:keepNext/>
              <w:keepLines/>
              <w:pageBreakBefore w:val="0"/>
              <w:widowControl/>
              <w:kinsoku/>
              <w:wordWrap/>
              <w:overflowPunct/>
              <w:topLinePunct w:val="0"/>
              <w:autoSpaceDE/>
              <w:autoSpaceDN/>
              <w:bidi w:val="0"/>
              <w:adjustRightInd w:val="0"/>
              <w:snapToGrid w:val="0"/>
              <w:spacing w:line="360" w:lineRule="auto"/>
              <w:ind w:firstLine="422" w:firstLineChars="200"/>
              <w:jc w:val="left"/>
              <w:textAlignment w:val="auto"/>
              <w:outlineLvl w:val="1"/>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eastAsia" w:cs="Times New Roman"/>
                <w:b/>
                <w:bCs w:val="0"/>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b/>
                <w:bCs w:val="0"/>
                <w:color w:val="000000" w:themeColor="text1"/>
                <w:sz w:val="21"/>
                <w:szCs w:val="21"/>
                <w14:textFill>
                  <w14:solidFill>
                    <w14:schemeClr w14:val="tx1"/>
                  </w14:solidFill>
                </w14:textFill>
              </w:rPr>
              <w:t>固体废物</w:t>
            </w:r>
            <w:r>
              <w:rPr>
                <w:rFonts w:hint="eastAsia" w:cs="Times New Roman"/>
                <w:b/>
                <w:bCs w:val="0"/>
                <w:color w:val="000000" w:themeColor="text1"/>
                <w:sz w:val="21"/>
                <w:szCs w:val="21"/>
                <w:lang w:val="en-US" w:eastAsia="zh-CN"/>
                <w14:textFill>
                  <w14:solidFill>
                    <w14:schemeClr w14:val="tx1"/>
                  </w14:solidFill>
                </w14:textFill>
              </w:rPr>
              <w:t>源强核算</w:t>
            </w:r>
          </w:p>
          <w:p w14:paraId="639AC4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本</w:t>
            </w:r>
            <w:r>
              <w:rPr>
                <w:rFonts w:hint="default" w:ascii="Times New Roman" w:hAnsi="Times New Roman" w:cs="Times New Roman"/>
                <w:color w:val="000000" w:themeColor="text1"/>
                <w:sz w:val="21"/>
                <w:szCs w:val="21"/>
                <w14:textFill>
                  <w14:solidFill>
                    <w14:schemeClr w14:val="tx1"/>
                  </w14:solidFill>
                </w14:textFill>
              </w:rPr>
              <w:t>项目固体废</w:t>
            </w:r>
            <w:r>
              <w:rPr>
                <w:rFonts w:hint="default" w:ascii="Times New Roman" w:hAnsi="Times New Roman" w:eastAsia="宋体" w:cs="Times New Roman"/>
                <w:color w:val="000000" w:themeColor="text1"/>
                <w:sz w:val="21"/>
                <w:szCs w:val="21"/>
                <w14:textFill>
                  <w14:solidFill>
                    <w14:schemeClr w14:val="tx1"/>
                  </w14:solidFill>
                </w14:textFill>
              </w:rPr>
              <w:t>物主要为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生活垃圾、一般</w:t>
            </w:r>
            <w:r>
              <w:rPr>
                <w:rFonts w:hint="eastAsia" w:cs="Times New Roman"/>
                <w:color w:val="000000" w:themeColor="text1"/>
                <w:sz w:val="21"/>
                <w:szCs w:val="21"/>
                <w:lang w:val="en-US" w:eastAsia="zh-CN"/>
                <w14:textFill>
                  <w14:solidFill>
                    <w14:schemeClr w14:val="tx1"/>
                  </w14:solidFill>
                </w14:textFill>
              </w:rPr>
              <w:t>工业</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固废、危险废物。</w:t>
            </w:r>
          </w:p>
          <w:p w14:paraId="42A2378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1）</w:t>
            </w:r>
            <w:r>
              <w:rPr>
                <w:rFonts w:hint="default" w:ascii="Times New Roman" w:hAnsi="Times New Roman" w:cs="Times New Roman"/>
                <w:color w:val="000000" w:themeColor="text1"/>
                <w:sz w:val="21"/>
                <w:szCs w:val="21"/>
                <w:lang w:eastAsia="zh-CN"/>
                <w14:textFill>
                  <w14:solidFill>
                    <w14:schemeClr w14:val="tx1"/>
                  </w14:solidFill>
                </w14:textFill>
              </w:rPr>
              <w:t>生活垃圾</w:t>
            </w:r>
          </w:p>
          <w:p w14:paraId="0F1A7967">
            <w:pPr>
              <w:pageBreakBefore w:val="0"/>
              <w:widowControl/>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本项目劳动定员</w:t>
            </w:r>
            <w:r>
              <w:rPr>
                <w:rFonts w:hint="eastAsia" w:cs="Times New Roman"/>
                <w:color w:val="000000" w:themeColor="text1"/>
                <w:sz w:val="21"/>
                <w:szCs w:val="21"/>
                <w:lang w:val="en-US" w:eastAsia="zh-CN"/>
                <w14:textFill>
                  <w14:solidFill>
                    <w14:schemeClr w14:val="tx1"/>
                  </w14:solidFill>
                </w14:textFill>
              </w:rPr>
              <w:t>10</w:t>
            </w:r>
            <w:r>
              <w:rPr>
                <w:rFonts w:hint="default" w:ascii="Times New Roman" w:hAnsi="Times New Roman" w:cs="Times New Roman"/>
                <w:color w:val="000000" w:themeColor="text1"/>
                <w:sz w:val="21"/>
                <w:szCs w:val="21"/>
                <w14:textFill>
                  <w14:solidFill>
                    <w14:schemeClr w14:val="tx1"/>
                  </w14:solidFill>
                </w14:textFill>
              </w:rPr>
              <w:t>人</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参考</w:t>
            </w:r>
            <w:r>
              <w:rPr>
                <w:rFonts w:hint="default" w:ascii="Times New Roman" w:hAnsi="Times New Roman" w:cs="Times New Roman"/>
                <w:color w:val="000000" w:themeColor="text1"/>
                <w:sz w:val="21"/>
                <w:szCs w:val="21"/>
                <w14:textFill>
                  <w14:solidFill>
                    <w14:schemeClr w14:val="tx1"/>
                  </w14:solidFill>
                </w14:textFill>
              </w:rPr>
              <w:t>《第一次全国污染源普查城镇生活源产排污系数手册》第一分册城镇居民生活源污染物产生排放系数手册</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宝鸡市属于五区三类城市</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项目生活垃圾产生量按0.44kg/人·d计</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年工作日为300天</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则生活垃圾产生量为</w:t>
            </w:r>
            <w:r>
              <w:rPr>
                <w:rFonts w:hint="eastAsia" w:cs="Times New Roman"/>
                <w:color w:val="000000" w:themeColor="text1"/>
                <w:sz w:val="21"/>
                <w:szCs w:val="21"/>
                <w:lang w:val="en-US" w:eastAsia="zh-CN"/>
                <w14:textFill>
                  <w14:solidFill>
                    <w14:schemeClr w14:val="tx1"/>
                  </w14:solidFill>
                </w14:textFill>
              </w:rPr>
              <w:t>4.4</w:t>
            </w:r>
            <w:r>
              <w:rPr>
                <w:rFonts w:hint="default" w:ascii="Times New Roman" w:hAnsi="Times New Roman" w:cs="Times New Roman"/>
                <w:color w:val="000000" w:themeColor="text1"/>
                <w:sz w:val="21"/>
                <w:szCs w:val="21"/>
                <w14:textFill>
                  <w14:solidFill>
                    <w14:schemeClr w14:val="tx1"/>
                  </w14:solidFill>
                </w14:textFill>
              </w:rPr>
              <w:t>kg/d</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1.32</w:t>
            </w:r>
            <w:r>
              <w:rPr>
                <w:rFonts w:hint="default" w:ascii="Times New Roman" w:hAnsi="Times New Roman" w:cs="Times New Roman"/>
                <w:color w:val="000000" w:themeColor="text1"/>
                <w:sz w:val="21"/>
                <w:szCs w:val="21"/>
                <w14:textFill>
                  <w14:solidFill>
                    <w14:schemeClr w14:val="tx1"/>
                  </w14:solidFill>
                </w14:textFill>
              </w:rPr>
              <w:t>t/a。生活垃圾集中收集定点堆放</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由环卫部门定期清运。</w:t>
            </w:r>
          </w:p>
          <w:p w14:paraId="2A82639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（2）一般工业固废</w:t>
            </w:r>
          </w:p>
          <w:p w14:paraId="2E17C4E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highlight w:val="none"/>
                <w:lang w:val="en-US"/>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①除尘灰</w:t>
            </w:r>
          </w:p>
          <w:p w14:paraId="65C42CC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项目</w:t>
            </w:r>
            <w:r>
              <w:rPr>
                <w:rFonts w:hint="eastAsia" w:cs="Times New Roman"/>
                <w:color w:val="000000" w:themeColor="text1"/>
                <w:sz w:val="21"/>
                <w:szCs w:val="21"/>
                <w:highlight w:val="none"/>
                <w:lang w:val="en-US" w:eastAsia="zh-CN"/>
                <w14:textFill>
                  <w14:solidFill>
                    <w14:schemeClr w14:val="tx1"/>
                  </w14:solidFill>
                </w14:textFill>
              </w:rPr>
              <w:t>激光切割、焊接、修磨工序共用1套脉冲布袋除尘器收集处理工作期间产生的粉尘，处理过程中收集到少量粉尘，根据计算</w:t>
            </w:r>
            <w:r>
              <w:rPr>
                <w:rFonts w:hint="eastAsia" w:cs="Times New Roman"/>
                <w:color w:val="000000" w:themeColor="text1"/>
                <w:sz w:val="21"/>
                <w:szCs w:val="21"/>
                <w:highlight w:val="none"/>
                <w:lang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除尘灰</w:t>
            </w:r>
            <w:r>
              <w:rPr>
                <w:rFonts w:hint="default" w:ascii="Times New Roman" w:hAnsi="Times New Roman" w:cs="Times New Roman"/>
                <w:color w:val="000000" w:themeColor="text1"/>
                <w:sz w:val="21"/>
                <w:szCs w:val="21"/>
                <w:highlight w:val="none"/>
                <w14:textFill>
                  <w14:solidFill>
                    <w14:schemeClr w14:val="tx1"/>
                  </w14:solidFill>
                </w14:textFill>
              </w:rPr>
              <w:t>约</w:t>
            </w:r>
            <w:r>
              <w:rPr>
                <w:rFonts w:hint="eastAsia" w:cs="Times New Roman"/>
                <w:color w:val="000000" w:themeColor="text1"/>
                <w:sz w:val="21"/>
                <w:szCs w:val="21"/>
                <w:highlight w:val="none"/>
                <w:lang w:val="en-US" w:eastAsia="zh-CN"/>
                <w14:textFill>
                  <w14:solidFill>
                    <w14:schemeClr w14:val="tx1"/>
                  </w14:solidFill>
                </w14:textFill>
              </w:rPr>
              <w:t>0.063</w:t>
            </w:r>
            <w:r>
              <w:rPr>
                <w:rFonts w:hint="default" w:ascii="Times New Roman" w:hAnsi="Times New Roman" w:cs="Times New Roman"/>
                <w:color w:val="000000" w:themeColor="text1"/>
                <w:sz w:val="21"/>
                <w:szCs w:val="21"/>
                <w:highlight w:val="none"/>
                <w14:textFill>
                  <w14:solidFill>
                    <w14:schemeClr w14:val="tx1"/>
                  </w14:solidFill>
                </w14:textFill>
              </w:rPr>
              <w:t>t/a</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属于一般固废</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暂存于</w:t>
            </w:r>
            <w:r>
              <w:rPr>
                <w:rFonts w:hint="eastAsia" w:cs="Times New Roman"/>
                <w:color w:val="000000" w:themeColor="text1"/>
                <w:sz w:val="21"/>
                <w:szCs w:val="21"/>
                <w:highlight w:val="none"/>
                <w:lang w:val="en-US" w:eastAsia="zh-CN"/>
                <w14:textFill>
                  <w14:solidFill>
                    <w14:schemeClr w14:val="tx1"/>
                  </w14:solidFill>
                </w14:textFill>
              </w:rPr>
              <w:t>车间</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内</w:t>
            </w:r>
            <w:r>
              <w:rPr>
                <w:rFonts w:hint="eastAsia" w:cs="Times New Roman"/>
                <w:color w:val="000000" w:themeColor="text1"/>
                <w:sz w:val="21"/>
                <w:szCs w:val="21"/>
                <w:highlight w:val="none"/>
                <w:lang w:val="en-US" w:eastAsia="zh-CN"/>
                <w14:textFill>
                  <w14:solidFill>
                    <w14:schemeClr w14:val="tx1"/>
                  </w14:solidFill>
                </w14:textFill>
              </w:rPr>
              <w:t>一般固废暂存间，</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定期外售</w:t>
            </w:r>
            <w:r>
              <w:rPr>
                <w:rFonts w:hint="default" w:ascii="Times New Roman" w:hAnsi="Times New Roman" w:cs="Times New Roman"/>
                <w:color w:val="000000" w:themeColor="text1"/>
                <w:sz w:val="21"/>
                <w:szCs w:val="21"/>
                <w:highlight w:val="none"/>
                <w14:textFill>
                  <w14:solidFill>
                    <w14:schemeClr w14:val="tx1"/>
                  </w14:solidFill>
                </w14:textFill>
              </w:rPr>
              <w:t>。</w:t>
            </w:r>
          </w:p>
          <w:p w14:paraId="5E2479A2">
            <w:pPr>
              <w:widowControl/>
              <w:numPr>
                <w:ilvl w:val="0"/>
                <w:numId w:val="0"/>
              </w:numPr>
              <w:adjustRightInd w:val="0"/>
              <w:snapToGrid w:val="0"/>
              <w:spacing w:line="360" w:lineRule="auto"/>
              <w:ind w:firstLine="420" w:firstLineChars="20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②金属边角料</w:t>
            </w:r>
          </w:p>
          <w:p w14:paraId="15F19313">
            <w:pPr>
              <w:widowControl/>
              <w:numPr>
                <w:ilvl w:val="0"/>
                <w:numId w:val="0"/>
              </w:numPr>
              <w:adjustRightInd w:val="0"/>
              <w:snapToGrid w:val="0"/>
              <w:spacing w:line="360" w:lineRule="auto"/>
              <w:ind w:firstLine="420" w:firstLineChars="20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本项目</w:t>
            </w:r>
            <w:r>
              <w:rPr>
                <w:rFonts w:hint="eastAsia" w:cs="Times New Roman"/>
                <w:color w:val="000000" w:themeColor="text1"/>
                <w:sz w:val="21"/>
                <w:szCs w:val="21"/>
                <w:highlight w:val="none"/>
                <w:lang w:val="en-US" w:eastAsia="zh-CN"/>
                <w14:textFill>
                  <w14:solidFill>
                    <w14:schemeClr w14:val="tx1"/>
                  </w14:solidFill>
                </w14:textFill>
              </w:rPr>
              <w:t>机加工</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过程中会产生</w:t>
            </w:r>
            <w:r>
              <w:rPr>
                <w:rFonts w:hint="eastAsia" w:cs="Times New Roman"/>
                <w:color w:val="000000" w:themeColor="text1"/>
                <w:sz w:val="21"/>
                <w:szCs w:val="21"/>
                <w:highlight w:val="none"/>
                <w:lang w:val="en-US" w:eastAsia="zh-CN"/>
                <w14:textFill>
                  <w14:solidFill>
                    <w14:schemeClr w14:val="tx1"/>
                  </w14:solidFill>
                </w14:textFill>
              </w:rPr>
              <w:t>一定的边角料，根据物料平衡分析，</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本次取最大值</w:t>
            </w:r>
            <w:r>
              <w:rPr>
                <w:rFonts w:hint="eastAsia" w:cs="Times New Roman"/>
                <w:color w:val="000000" w:themeColor="text1"/>
                <w:sz w:val="21"/>
                <w:szCs w:val="21"/>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%计算</w:t>
            </w:r>
            <w:r>
              <w:rPr>
                <w:rFonts w:hint="eastAsia" w:cs="Times New Roman"/>
                <w:color w:val="000000" w:themeColor="text1"/>
                <w:sz w:val="21"/>
                <w:szCs w:val="21"/>
                <w:highlight w:val="none"/>
                <w:lang w:val="en-US" w:eastAsia="zh-CN"/>
                <w14:textFill>
                  <w14:solidFill>
                    <w14:schemeClr w14:val="tx1"/>
                  </w14:solidFill>
                </w14:textFill>
              </w:rPr>
              <w:t>，金属边角料</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的产生量为</w:t>
            </w:r>
            <w:r>
              <w:rPr>
                <w:rFonts w:hint="eastAsia" w:cs="Times New Roman"/>
                <w:color w:val="000000" w:themeColor="text1"/>
                <w:sz w:val="21"/>
                <w:szCs w:val="21"/>
                <w:highlight w:val="none"/>
                <w:lang w:val="en-US" w:eastAsia="zh-CN"/>
                <w14:textFill>
                  <w14:solidFill>
                    <w14:schemeClr w14:val="tx1"/>
                  </w14:solidFill>
                </w14:textFill>
              </w:rPr>
              <w:t>0.5</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t/a</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属于一般工业固废</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cs="Times New Roman"/>
                <w:b w:val="0"/>
                <w:bCs w:val="0"/>
                <w:color w:val="000000" w:themeColor="text1"/>
                <w:sz w:val="21"/>
                <w:szCs w:val="21"/>
                <w:highlight w:val="none"/>
                <w:lang w:val="en-US" w:eastAsia="zh-CN"/>
                <w14:textFill>
                  <w14:solidFill>
                    <w14:schemeClr w14:val="tx1"/>
                  </w14:solidFill>
                </w14:textFill>
              </w:rPr>
              <w:t>集中</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暂存于</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车间内一般固废暂存</w:t>
            </w:r>
            <w:r>
              <w:rPr>
                <w:rFonts w:hint="eastAsia" w:cs="Times New Roman"/>
                <w:b w:val="0"/>
                <w:bCs w:val="0"/>
                <w:color w:val="000000" w:themeColor="text1"/>
                <w:sz w:val="21"/>
                <w:szCs w:val="21"/>
                <w:highlight w:val="none"/>
                <w:lang w:val="en-US" w:eastAsia="zh-CN"/>
                <w14:textFill>
                  <w14:solidFill>
                    <w14:schemeClr w14:val="tx1"/>
                  </w14:solidFill>
                </w14:textFill>
              </w:rPr>
              <w:t>间</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外售综合利用。</w:t>
            </w:r>
          </w:p>
          <w:p w14:paraId="3F1CD43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③废包装桶</w:t>
            </w:r>
          </w:p>
          <w:p w14:paraId="3A4CF6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项目运营期随着粉末原料消耗，会产生一定的废包装桶，废包装桶重量约1.0kg/个，年产生废包装桶1120个，则废包装桶产生量约1.12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t/a</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cs="Times New Roman"/>
                <w:b w:val="0"/>
                <w:bCs w:val="0"/>
                <w:color w:val="000000" w:themeColor="text1"/>
                <w:sz w:val="21"/>
                <w:szCs w:val="21"/>
                <w:highlight w:val="none"/>
                <w:lang w:val="en-US" w:eastAsia="zh-CN"/>
                <w14:textFill>
                  <w14:solidFill>
                    <w14:schemeClr w14:val="tx1"/>
                  </w14:solidFill>
                </w14:textFill>
              </w:rPr>
              <w:t>集中</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暂存于</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车间内一般固废暂存</w:t>
            </w:r>
            <w:r>
              <w:rPr>
                <w:rFonts w:hint="eastAsia" w:cs="Times New Roman"/>
                <w:b w:val="0"/>
                <w:bCs w:val="0"/>
                <w:color w:val="000000" w:themeColor="text1"/>
                <w:sz w:val="21"/>
                <w:szCs w:val="21"/>
                <w:highlight w:val="none"/>
                <w:lang w:val="en-US" w:eastAsia="zh-CN"/>
                <w14:textFill>
                  <w14:solidFill>
                    <w14:schemeClr w14:val="tx1"/>
                  </w14:solidFill>
                </w14:textFill>
              </w:rPr>
              <w:t>间</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外售综合利用。</w:t>
            </w:r>
          </w:p>
          <w:p w14:paraId="24C9419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④</w:t>
            </w:r>
            <w:r>
              <w:rPr>
                <w:rFonts w:hint="eastAsia" w:cs="Times New Roman"/>
                <w:b w:val="0"/>
                <w:bCs w:val="0"/>
                <w:color w:val="000000" w:themeColor="text1"/>
                <w:sz w:val="21"/>
                <w:szCs w:val="21"/>
                <w:highlight w:val="none"/>
                <w:lang w:val="en-US" w:eastAsia="zh-CN"/>
                <w14:textFill>
                  <w14:solidFill>
                    <w14:schemeClr w14:val="tx1"/>
                  </w14:solidFill>
                </w14:textFill>
              </w:rPr>
              <w:t>废石英砂</w:t>
            </w:r>
          </w:p>
          <w:p w14:paraId="1B38EFC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运营期加压烧结工序会产生一定的废石英砂，废石英砂产生量约0.2t/a，</w:t>
            </w:r>
            <w:r>
              <w:rPr>
                <w:rFonts w:hint="eastAsia" w:cs="Times New Roman"/>
                <w:b w:val="0"/>
                <w:bCs w:val="0"/>
                <w:color w:val="000000" w:themeColor="text1"/>
                <w:sz w:val="21"/>
                <w:szCs w:val="21"/>
                <w:highlight w:val="none"/>
                <w:lang w:val="en-US" w:eastAsia="zh-CN"/>
                <w14:textFill>
                  <w14:solidFill>
                    <w14:schemeClr w14:val="tx1"/>
                  </w14:solidFill>
                </w14:textFill>
              </w:rPr>
              <w:t>集中</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暂存于</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车间内一般固废暂存</w:t>
            </w:r>
            <w:r>
              <w:rPr>
                <w:rFonts w:hint="eastAsia" w:cs="Times New Roman"/>
                <w:b w:val="0"/>
                <w:bCs w:val="0"/>
                <w:color w:val="000000" w:themeColor="text1"/>
                <w:sz w:val="21"/>
                <w:szCs w:val="21"/>
                <w:highlight w:val="none"/>
                <w:lang w:val="en-US" w:eastAsia="zh-CN"/>
                <w14:textFill>
                  <w14:solidFill>
                    <w14:schemeClr w14:val="tx1"/>
                  </w14:solidFill>
                </w14:textFill>
              </w:rPr>
              <w:t>间</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外售综合利用。</w:t>
            </w:r>
          </w:p>
          <w:p w14:paraId="1EF73A1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⑤不合格品</w:t>
            </w:r>
          </w:p>
          <w:p w14:paraId="1968812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项目生产期间会产生一定的不合格品，根据建设单位提供的经验资料，不合格品产生量约占原料的2%—2.5%，本次取平均值1%，则项目运营期产生的不合格品产生量约0.25</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t/a</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属于一般工业固废</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cs="Times New Roman"/>
                <w:b w:val="0"/>
                <w:bCs w:val="0"/>
                <w:color w:val="000000" w:themeColor="text1"/>
                <w:sz w:val="21"/>
                <w:szCs w:val="21"/>
                <w:highlight w:val="none"/>
                <w:lang w:val="en-US" w:eastAsia="zh-CN"/>
                <w14:textFill>
                  <w14:solidFill>
                    <w14:schemeClr w14:val="tx1"/>
                  </w14:solidFill>
                </w14:textFill>
              </w:rPr>
              <w:t>集中</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暂存于</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车间内一般固废暂存</w:t>
            </w:r>
            <w:r>
              <w:rPr>
                <w:rFonts w:hint="eastAsia" w:cs="Times New Roman"/>
                <w:b w:val="0"/>
                <w:bCs w:val="0"/>
                <w:color w:val="000000" w:themeColor="text1"/>
                <w:sz w:val="21"/>
                <w:szCs w:val="21"/>
                <w:highlight w:val="none"/>
                <w:lang w:val="en-US" w:eastAsia="zh-CN"/>
                <w14:textFill>
                  <w14:solidFill>
                    <w14:schemeClr w14:val="tx1"/>
                  </w14:solidFill>
                </w14:textFill>
              </w:rPr>
              <w:t>间</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外售综合利用。</w:t>
            </w:r>
          </w:p>
          <w:p w14:paraId="11D1323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（3）危险废物</w:t>
            </w:r>
          </w:p>
          <w:p w14:paraId="2F02D54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废切削液</w:t>
            </w:r>
          </w:p>
          <w:p w14:paraId="79A57352">
            <w:pPr>
              <w:widowControl/>
              <w:numPr>
                <w:ilvl w:val="0"/>
                <w:numId w:val="0"/>
              </w:numPr>
              <w:adjustRightInd w:val="0"/>
              <w:snapToGrid w:val="0"/>
              <w:spacing w:line="360" w:lineRule="auto"/>
              <w:ind w:firstLine="420" w:firstLineChars="200"/>
              <w:rPr>
                <w:rFonts w:hint="default"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运</w:t>
            </w:r>
            <w:r>
              <w:rPr>
                <w:rFonts w:hint="default" w:cs="Times New Roman"/>
                <w:b w:val="0"/>
                <w:bCs w:val="0"/>
                <w:color w:val="000000" w:themeColor="text1"/>
                <w:sz w:val="21"/>
                <w:szCs w:val="21"/>
                <w:highlight w:val="none"/>
                <w:lang w:val="en-US" w:eastAsia="zh-CN"/>
                <w14:textFill>
                  <w14:solidFill>
                    <w14:schemeClr w14:val="tx1"/>
                  </w14:solidFill>
                </w14:textFill>
              </w:rPr>
              <w:t>营期机加过程会使用到切削液</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cs="Times New Roman"/>
                <w:b w:val="0"/>
                <w:bCs w:val="0"/>
                <w:color w:val="000000" w:themeColor="text1"/>
                <w:sz w:val="21"/>
                <w:szCs w:val="21"/>
                <w:highlight w:val="none"/>
                <w:lang w:val="en-US" w:eastAsia="zh-CN"/>
                <w14:textFill>
                  <w14:solidFill>
                    <w14:schemeClr w14:val="tx1"/>
                  </w14:solidFill>
                </w14:textFill>
              </w:rPr>
              <w:t>切削液循环使用</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cs="Times New Roman"/>
                <w:b w:val="0"/>
                <w:bCs w:val="0"/>
                <w:color w:val="000000" w:themeColor="text1"/>
                <w:sz w:val="21"/>
                <w:szCs w:val="21"/>
                <w:highlight w:val="none"/>
                <w:lang w:val="en-US" w:eastAsia="zh-CN"/>
                <w14:textFill>
                  <w14:solidFill>
                    <w14:schemeClr w14:val="tx1"/>
                  </w14:solidFill>
                </w14:textFill>
              </w:rPr>
              <w:t>需定期补充损耗</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cs="Times New Roman"/>
                <w:b w:val="0"/>
                <w:bCs w:val="0"/>
                <w:color w:val="000000" w:themeColor="text1"/>
                <w:sz w:val="21"/>
                <w:szCs w:val="21"/>
                <w:highlight w:val="none"/>
                <w:lang w:val="en-US" w:eastAsia="zh-CN"/>
                <w14:textFill>
                  <w14:solidFill>
                    <w14:schemeClr w14:val="tx1"/>
                  </w14:solidFill>
                </w14:textFill>
              </w:rPr>
              <w:t>每3个月更换1次</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cs="Times New Roman"/>
                <w:b w:val="0"/>
                <w:bCs w:val="0"/>
                <w:color w:val="000000" w:themeColor="text1"/>
                <w:sz w:val="21"/>
                <w:szCs w:val="21"/>
                <w:highlight w:val="none"/>
                <w:lang w:val="en-US" w:eastAsia="zh-CN"/>
                <w14:textFill>
                  <w14:solidFill>
                    <w14:schemeClr w14:val="tx1"/>
                  </w14:solidFill>
                </w14:textFill>
              </w:rPr>
              <w:t>废</w:t>
            </w:r>
            <w:r>
              <w:rPr>
                <w:rFonts w:hint="eastAsia" w:cs="Times New Roman"/>
                <w:b w:val="0"/>
                <w:bCs w:val="0"/>
                <w:color w:val="000000" w:themeColor="text1"/>
                <w:sz w:val="21"/>
                <w:szCs w:val="21"/>
                <w:highlight w:val="none"/>
                <w:lang w:val="en-US" w:eastAsia="zh-CN"/>
                <w14:textFill>
                  <w14:solidFill>
                    <w14:schemeClr w14:val="tx1"/>
                  </w14:solidFill>
                </w14:textFill>
              </w:rPr>
              <w:t>切削液</w:t>
            </w:r>
            <w:r>
              <w:rPr>
                <w:rFonts w:hint="default" w:cs="Times New Roman"/>
                <w:b w:val="0"/>
                <w:bCs w:val="0"/>
                <w:color w:val="000000" w:themeColor="text1"/>
                <w:sz w:val="21"/>
                <w:szCs w:val="21"/>
                <w:highlight w:val="none"/>
                <w:lang w:val="en-US" w:eastAsia="zh-CN"/>
                <w14:textFill>
                  <w14:solidFill>
                    <w14:schemeClr w14:val="tx1"/>
                  </w14:solidFill>
                </w14:textFill>
              </w:rPr>
              <w:t>产生量约为0.</w:t>
            </w:r>
            <w:r>
              <w:rPr>
                <w:rFonts w:hint="eastAsia" w:cs="Times New Roman"/>
                <w:b w:val="0"/>
                <w:bCs w:val="0"/>
                <w:color w:val="000000" w:themeColor="text1"/>
                <w:sz w:val="21"/>
                <w:szCs w:val="21"/>
                <w:highlight w:val="none"/>
                <w:lang w:val="en-US" w:eastAsia="zh-CN"/>
                <w14:textFill>
                  <w14:solidFill>
                    <w14:schemeClr w14:val="tx1"/>
                  </w14:solidFill>
                </w14:textFill>
              </w:rPr>
              <w:t>08</w:t>
            </w:r>
            <w:r>
              <w:rPr>
                <w:rFonts w:hint="default" w:cs="Times New Roman"/>
                <w:b w:val="0"/>
                <w:bCs w:val="0"/>
                <w:color w:val="000000" w:themeColor="text1"/>
                <w:sz w:val="21"/>
                <w:szCs w:val="21"/>
                <w:highlight w:val="none"/>
                <w:lang w:val="en-US" w:eastAsia="zh-CN"/>
                <w14:textFill>
                  <w14:solidFill>
                    <w14:schemeClr w14:val="tx1"/>
                  </w14:solidFill>
                </w14:textFill>
              </w:rPr>
              <w:t>t/a。根据《国家危险废物名录（202</w:t>
            </w:r>
            <w:r>
              <w:rPr>
                <w:rFonts w:hint="eastAsia" w:cs="Times New Roman"/>
                <w:b w:val="0"/>
                <w:bCs w:val="0"/>
                <w:color w:val="000000" w:themeColor="text1"/>
                <w:sz w:val="21"/>
                <w:szCs w:val="21"/>
                <w:highlight w:val="none"/>
                <w:lang w:val="en-US" w:eastAsia="zh-CN"/>
                <w14:textFill>
                  <w14:solidFill>
                    <w14:schemeClr w14:val="tx1"/>
                  </w14:solidFill>
                </w14:textFill>
              </w:rPr>
              <w:t>5</w:t>
            </w:r>
            <w:r>
              <w:rPr>
                <w:rFonts w:hint="default" w:cs="Times New Roman"/>
                <w:b w:val="0"/>
                <w:bCs w:val="0"/>
                <w:color w:val="000000" w:themeColor="text1"/>
                <w:sz w:val="21"/>
                <w:szCs w:val="21"/>
                <w:highlight w:val="none"/>
                <w:lang w:val="en-US" w:eastAsia="zh-CN"/>
                <w14:textFill>
                  <w14:solidFill>
                    <w14:schemeClr w14:val="tx1"/>
                  </w14:solidFill>
                </w14:textFill>
              </w:rPr>
              <w:t>年版）》</w:t>
            </w:r>
            <w:r>
              <w:rPr>
                <w:rFonts w:hint="eastAsia" w:cs="Times New Roman"/>
                <w:b w:val="0"/>
                <w:bCs w:val="0"/>
                <w:color w:val="000000" w:themeColor="text1"/>
                <w:sz w:val="21"/>
                <w:szCs w:val="21"/>
                <w:highlight w:val="none"/>
                <w:lang w:val="en-US" w:eastAsia="zh-CN"/>
                <w14:textFill>
                  <w14:solidFill>
                    <w14:schemeClr w14:val="tx1"/>
                  </w14:solidFill>
                </w14:textFill>
              </w:rPr>
              <w:t>，废切削液</w:t>
            </w:r>
            <w:r>
              <w:rPr>
                <w:rFonts w:hint="default" w:cs="Times New Roman"/>
                <w:b w:val="0"/>
                <w:bCs w:val="0"/>
                <w:color w:val="000000" w:themeColor="text1"/>
                <w:sz w:val="21"/>
                <w:szCs w:val="21"/>
                <w:highlight w:val="none"/>
                <w:lang w:val="en-US" w:eastAsia="zh-CN"/>
                <w14:textFill>
                  <w14:solidFill>
                    <w14:schemeClr w14:val="tx1"/>
                  </w14:solidFill>
                </w14:textFill>
              </w:rPr>
              <w:t>属HW09</w:t>
            </w:r>
            <w:r>
              <w:rPr>
                <w:rFonts w:hint="eastAsia" w:cs="Times New Roman"/>
                <w:b w:val="0"/>
                <w:bCs w:val="0"/>
                <w:color w:val="000000" w:themeColor="text1"/>
                <w:sz w:val="21"/>
                <w:szCs w:val="21"/>
                <w:highlight w:val="none"/>
                <w:lang w:val="en-US" w:eastAsia="zh-CN"/>
                <w14:textFill>
                  <w14:solidFill>
                    <w14:schemeClr w14:val="tx1"/>
                  </w14:solidFill>
                </w14:textFill>
              </w:rPr>
              <w:t>（使用切削油或者切削液进行机械加工过程中产生的油/水、烃/水混合物或者乳化液），</w:t>
            </w:r>
            <w:r>
              <w:rPr>
                <w:rFonts w:hint="default" w:cs="Times New Roman"/>
                <w:b w:val="0"/>
                <w:bCs w:val="0"/>
                <w:color w:val="000000" w:themeColor="text1"/>
                <w:sz w:val="21"/>
                <w:szCs w:val="21"/>
                <w:highlight w:val="none"/>
                <w:lang w:val="en-US" w:eastAsia="zh-CN"/>
                <w14:textFill>
                  <w14:solidFill>
                    <w14:schemeClr w14:val="tx1"/>
                  </w14:solidFill>
                </w14:textFill>
              </w:rPr>
              <w:t>危废代码：900</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cs="Times New Roman"/>
                <w:b w:val="0"/>
                <w:bCs w:val="0"/>
                <w:color w:val="000000" w:themeColor="text1"/>
                <w:sz w:val="21"/>
                <w:szCs w:val="21"/>
                <w:highlight w:val="none"/>
                <w:lang w:val="en-US" w:eastAsia="zh-CN"/>
                <w14:textFill>
                  <w14:solidFill>
                    <w14:schemeClr w14:val="tx1"/>
                  </w14:solidFill>
                </w14:textFill>
              </w:rPr>
              <w:t>006</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cs="Times New Roman"/>
                <w:b w:val="0"/>
                <w:bCs w:val="0"/>
                <w:color w:val="000000" w:themeColor="text1"/>
                <w:sz w:val="21"/>
                <w:szCs w:val="21"/>
                <w:highlight w:val="none"/>
                <w:lang w:val="en-US" w:eastAsia="zh-CN"/>
                <w14:textFill>
                  <w14:solidFill>
                    <w14:schemeClr w14:val="tx1"/>
                  </w14:solidFill>
                </w14:textFill>
              </w:rPr>
              <w:t>09</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cs="Times New Roman"/>
                <w:b w:val="0"/>
                <w:bCs w:val="0"/>
                <w:color w:val="000000" w:themeColor="text1"/>
                <w:sz w:val="21"/>
                <w:szCs w:val="21"/>
                <w:highlight w:val="none"/>
                <w:lang w:val="en-US" w:eastAsia="zh-CN"/>
                <w14:textFill>
                  <w14:solidFill>
                    <w14:schemeClr w14:val="tx1"/>
                  </w14:solidFill>
                </w14:textFill>
              </w:rPr>
              <w:t>废切削液分类分区暂存于危险废物贮存库内</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cs="Times New Roman"/>
                <w:b w:val="0"/>
                <w:bCs w:val="0"/>
                <w:color w:val="000000" w:themeColor="text1"/>
                <w:sz w:val="21"/>
                <w:szCs w:val="21"/>
                <w:highlight w:val="none"/>
                <w:lang w:val="en-US" w:eastAsia="zh-CN"/>
                <w14:textFill>
                  <w14:solidFill>
                    <w14:schemeClr w14:val="tx1"/>
                  </w14:solidFill>
                </w14:textFill>
              </w:rPr>
              <w:t>定期交由</w:t>
            </w:r>
            <w:r>
              <w:rPr>
                <w:rFonts w:hint="eastAsia" w:cs="Times New Roman"/>
                <w:color w:val="000000" w:themeColor="text1"/>
                <w:sz w:val="21"/>
                <w:szCs w:val="21"/>
                <w:highlight w:val="none"/>
                <w:lang w:val="en-US" w:eastAsia="zh-CN"/>
                <w14:textFill>
                  <w14:solidFill>
                    <w14:schemeClr w14:val="tx1"/>
                  </w14:solidFill>
                </w14:textFill>
              </w:rPr>
              <w:t>有资质单位</w:t>
            </w:r>
            <w:r>
              <w:rPr>
                <w:rFonts w:hint="default" w:cs="Times New Roman"/>
                <w:b w:val="0"/>
                <w:bCs w:val="0"/>
                <w:color w:val="000000" w:themeColor="text1"/>
                <w:sz w:val="21"/>
                <w:szCs w:val="21"/>
                <w:highlight w:val="none"/>
                <w:lang w:val="en-US" w:eastAsia="zh-CN"/>
                <w14:textFill>
                  <w14:solidFill>
                    <w14:schemeClr w14:val="tx1"/>
                  </w14:solidFill>
                </w14:textFill>
              </w:rPr>
              <w:t>进行处置。</w:t>
            </w:r>
          </w:p>
          <w:p w14:paraId="258B891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②</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废</w:t>
            </w:r>
            <w:r>
              <w:rPr>
                <w:rFonts w:hint="eastAsia" w:cs="Times New Roman"/>
                <w:color w:val="000000" w:themeColor="text1"/>
                <w:sz w:val="21"/>
                <w:szCs w:val="21"/>
                <w:lang w:val="en-US" w:eastAsia="zh-CN"/>
                <w14:textFill>
                  <w14:solidFill>
                    <w14:schemeClr w14:val="tx1"/>
                  </w14:solidFill>
                </w14:textFill>
              </w:rPr>
              <w:t>润滑</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油</w:t>
            </w:r>
          </w:p>
          <w:p w14:paraId="127682D1">
            <w:pPr>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根据企业提供资料</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本项目</w:t>
            </w:r>
            <w:r>
              <w:rPr>
                <w:rFonts w:hint="eastAsia" w:cs="Times New Roman"/>
                <w:color w:val="000000" w:themeColor="text1"/>
                <w:sz w:val="21"/>
                <w:szCs w:val="21"/>
                <w:lang w:val="en-US" w:eastAsia="zh-CN"/>
                <w14:textFill>
                  <w14:solidFill>
                    <w14:schemeClr w14:val="tx1"/>
                  </w14:solidFill>
                </w14:textFill>
              </w:rPr>
              <w:t>维护保养设备会产生少量的废润滑油，</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废</w:t>
            </w:r>
            <w:r>
              <w:rPr>
                <w:rFonts w:hint="eastAsia" w:cs="Times New Roman"/>
                <w:color w:val="000000" w:themeColor="text1"/>
                <w:sz w:val="21"/>
                <w:szCs w:val="21"/>
                <w:lang w:val="en-US" w:eastAsia="zh-CN"/>
                <w14:textFill>
                  <w14:solidFill>
                    <w14:schemeClr w14:val="tx1"/>
                  </w14:solidFill>
                </w14:textFill>
              </w:rPr>
              <w:t>润滑</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油</w:t>
            </w:r>
            <w:r>
              <w:rPr>
                <w:rFonts w:hint="default" w:ascii="Times New Roman" w:hAnsi="Times New Roman" w:cs="Times New Roman"/>
                <w:color w:val="000000" w:themeColor="text1"/>
                <w:sz w:val="21"/>
                <w:szCs w:val="21"/>
                <w14:textFill>
                  <w14:solidFill>
                    <w14:schemeClr w14:val="tx1"/>
                  </w14:solidFill>
                </w14:textFill>
              </w:rPr>
              <w:t>产生量约为0.</w:t>
            </w: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14:textFill>
                  <w14:solidFill>
                    <w14:schemeClr w14:val="tx1"/>
                  </w14:solidFill>
                </w14:textFill>
              </w:rPr>
              <w:t>t/a。按照《国家危险废物名录》（202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年版）</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废</w:t>
            </w:r>
            <w:r>
              <w:rPr>
                <w:rFonts w:hint="eastAsia" w:cs="Times New Roman"/>
                <w:color w:val="000000" w:themeColor="text1"/>
                <w:sz w:val="21"/>
                <w:szCs w:val="21"/>
                <w:lang w:val="en-US" w:eastAsia="zh-CN"/>
                <w14:textFill>
                  <w14:solidFill>
                    <w14:schemeClr w14:val="tx1"/>
                  </w14:solidFill>
                </w14:textFill>
              </w:rPr>
              <w:t>润滑</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油</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属于</w:t>
            </w:r>
            <w:r>
              <w:rPr>
                <w:rFonts w:hint="default" w:ascii="Times New Roman" w:hAnsi="Times New Roman" w:cs="Times New Roman"/>
                <w:color w:val="000000" w:themeColor="text1"/>
                <w:sz w:val="21"/>
                <w:szCs w:val="21"/>
                <w14:textFill>
                  <w14:solidFill>
                    <w14:schemeClr w14:val="tx1"/>
                  </w14:solidFill>
                </w14:textFill>
              </w:rPr>
              <w:t>HW08</w:t>
            </w:r>
            <w:r>
              <w:rPr>
                <w:rFonts w:hint="eastAsia" w:ascii="Times New Roman" w:hAnsi="Times New Roman" w:cs="Times New Roman"/>
                <w:color w:val="000000" w:themeColor="text1"/>
                <w:sz w:val="21"/>
                <w:szCs w:val="21"/>
                <w:lang w:val="en-US" w:eastAsia="zh-CN"/>
                <w14:textFill>
                  <w14:solidFill>
                    <w14:schemeClr w14:val="tx1"/>
                  </w14:solidFill>
                </w14:textFill>
              </w:rPr>
              <w:t>矿物油预含矿物油废物</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车辆、轮船及其它机械维修过程中产生的废发动机油、制动器油、自动变速器油、齿轮油等废润滑油</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eastAsia="zh-CN"/>
                <w14:textFill>
                  <w14:solidFill>
                    <w14:schemeClr w14:val="tx1"/>
                  </w14:solidFill>
                </w14:textFill>
              </w:rPr>
              <w:t>，</w:t>
            </w:r>
            <w:r>
              <w:rPr>
                <w:rFonts w:hint="default" w:cs="Times New Roman"/>
                <w:b w:val="0"/>
                <w:bCs w:val="0"/>
                <w:color w:val="000000" w:themeColor="text1"/>
                <w:sz w:val="21"/>
                <w:szCs w:val="21"/>
                <w:highlight w:val="none"/>
                <w:lang w:val="en-US" w:eastAsia="zh-CN"/>
                <w14:textFill>
                  <w14:solidFill>
                    <w14:schemeClr w14:val="tx1"/>
                  </w14:solidFill>
                </w14:textFill>
              </w:rPr>
              <w:t>危废代码：</w:t>
            </w:r>
            <w:r>
              <w:rPr>
                <w:rFonts w:hint="default" w:ascii="Times New Roman" w:hAnsi="Times New Roman" w:cs="Times New Roman"/>
                <w:color w:val="000000" w:themeColor="text1"/>
                <w:sz w:val="21"/>
                <w:szCs w:val="21"/>
                <w14:textFill>
                  <w14:solidFill>
                    <w14:schemeClr w14:val="tx1"/>
                  </w14:solidFill>
                </w14:textFill>
              </w:rPr>
              <w:t>900</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214</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08</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废</w:t>
            </w:r>
            <w:r>
              <w:rPr>
                <w:rFonts w:hint="eastAsia" w:cs="Times New Roman"/>
                <w:color w:val="000000" w:themeColor="text1"/>
                <w:sz w:val="21"/>
                <w:szCs w:val="21"/>
                <w:lang w:val="en-US" w:eastAsia="zh-CN"/>
                <w14:textFill>
                  <w14:solidFill>
                    <w14:schemeClr w14:val="tx1"/>
                  </w14:solidFill>
                </w14:textFill>
              </w:rPr>
              <w:t>润滑</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油</w:t>
            </w:r>
            <w:r>
              <w:rPr>
                <w:rFonts w:hint="default" w:cs="Times New Roman"/>
                <w:b w:val="0"/>
                <w:bCs w:val="0"/>
                <w:color w:val="000000" w:themeColor="text1"/>
                <w:sz w:val="21"/>
                <w:szCs w:val="21"/>
                <w:highlight w:val="none"/>
                <w:lang w:val="en-US" w:eastAsia="zh-CN"/>
                <w14:textFill>
                  <w14:solidFill>
                    <w14:schemeClr w14:val="tx1"/>
                  </w14:solidFill>
                </w14:textFill>
              </w:rPr>
              <w:t>分类分区暂存于危险废物贮存库内</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cs="Times New Roman"/>
                <w:b w:val="0"/>
                <w:bCs w:val="0"/>
                <w:color w:val="000000" w:themeColor="text1"/>
                <w:sz w:val="21"/>
                <w:szCs w:val="21"/>
                <w:highlight w:val="none"/>
                <w:lang w:val="en-US" w:eastAsia="zh-CN"/>
                <w14:textFill>
                  <w14:solidFill>
                    <w14:schemeClr w14:val="tx1"/>
                  </w14:solidFill>
                </w14:textFill>
              </w:rPr>
              <w:t>定期交由</w:t>
            </w:r>
            <w:r>
              <w:rPr>
                <w:rFonts w:hint="eastAsia" w:cs="Times New Roman"/>
                <w:color w:val="000000" w:themeColor="text1"/>
                <w:sz w:val="21"/>
                <w:szCs w:val="21"/>
                <w:highlight w:val="none"/>
                <w:lang w:val="en-US" w:eastAsia="zh-CN"/>
                <w14:textFill>
                  <w14:solidFill>
                    <w14:schemeClr w14:val="tx1"/>
                  </w14:solidFill>
                </w14:textFill>
              </w:rPr>
              <w:t>有资质单位</w:t>
            </w:r>
            <w:r>
              <w:rPr>
                <w:rFonts w:hint="default" w:cs="Times New Roman"/>
                <w:b w:val="0"/>
                <w:bCs w:val="0"/>
                <w:color w:val="000000" w:themeColor="text1"/>
                <w:sz w:val="21"/>
                <w:szCs w:val="21"/>
                <w:highlight w:val="none"/>
                <w:lang w:val="en-US" w:eastAsia="zh-CN"/>
                <w14:textFill>
                  <w14:solidFill>
                    <w14:schemeClr w14:val="tx1"/>
                  </w14:solidFill>
                </w14:textFill>
              </w:rPr>
              <w:t>进行处置</w:t>
            </w:r>
            <w:r>
              <w:rPr>
                <w:rFonts w:hint="eastAsia" w:ascii="Times New Roman" w:hAnsi="Times New Roman" w:cs="Times New Roman"/>
                <w:color w:val="000000" w:themeColor="text1"/>
                <w:sz w:val="21"/>
                <w:szCs w:val="21"/>
                <w:lang w:eastAsia="zh-CN"/>
                <w14:textFill>
                  <w14:solidFill>
                    <w14:schemeClr w14:val="tx1"/>
                  </w14:solidFill>
                </w14:textFill>
              </w:rPr>
              <w:t>。</w:t>
            </w:r>
          </w:p>
          <w:p w14:paraId="7BC8C92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③废</w:t>
            </w:r>
            <w:r>
              <w:rPr>
                <w:rFonts w:hint="eastAsia" w:cs="Times New Roman"/>
                <w:color w:val="000000" w:themeColor="text1"/>
                <w:sz w:val="21"/>
                <w:szCs w:val="21"/>
                <w:lang w:val="en-US" w:eastAsia="zh-CN"/>
                <w14:textFill>
                  <w14:solidFill>
                    <w14:schemeClr w14:val="tx1"/>
                  </w14:solidFill>
                </w14:textFill>
              </w:rPr>
              <w:t>包装</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桶</w:t>
            </w:r>
          </w:p>
          <w:p w14:paraId="4DB7E574">
            <w:pPr>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根据企业提供资料</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本项目</w:t>
            </w:r>
            <w:r>
              <w:rPr>
                <w:rFonts w:hint="eastAsia" w:cs="Times New Roman"/>
                <w:color w:val="000000" w:themeColor="text1"/>
                <w:sz w:val="21"/>
                <w:szCs w:val="21"/>
                <w:lang w:val="en-US" w:eastAsia="zh-CN"/>
                <w14:textFill>
                  <w14:solidFill>
                    <w14:schemeClr w14:val="tx1"/>
                  </w14:solidFill>
                </w14:textFill>
              </w:rPr>
              <w:t>维护保养设备、机加过程会产生少量的废包装桶，</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废</w:t>
            </w:r>
            <w:r>
              <w:rPr>
                <w:rFonts w:hint="eastAsia" w:cs="Times New Roman"/>
                <w:color w:val="000000" w:themeColor="text1"/>
                <w:sz w:val="21"/>
                <w:szCs w:val="21"/>
                <w:lang w:val="en-US" w:eastAsia="zh-CN"/>
                <w14:textFill>
                  <w14:solidFill>
                    <w14:schemeClr w14:val="tx1"/>
                  </w14:solidFill>
                </w14:textFill>
              </w:rPr>
              <w:t>包装桶</w:t>
            </w:r>
            <w:r>
              <w:rPr>
                <w:rFonts w:hint="default" w:ascii="Times New Roman" w:hAnsi="Times New Roman" w:cs="Times New Roman"/>
                <w:color w:val="000000" w:themeColor="text1"/>
                <w:sz w:val="21"/>
                <w:szCs w:val="21"/>
                <w14:textFill>
                  <w14:solidFill>
                    <w14:schemeClr w14:val="tx1"/>
                  </w14:solidFill>
                </w14:textFill>
              </w:rPr>
              <w:t>产生量约为0.</w:t>
            </w:r>
            <w:r>
              <w:rPr>
                <w:rFonts w:hint="eastAsia" w:cs="Times New Roman"/>
                <w:color w:val="000000" w:themeColor="text1"/>
                <w:sz w:val="21"/>
                <w:szCs w:val="21"/>
                <w:lang w:val="en-US" w:eastAsia="zh-CN"/>
                <w14:textFill>
                  <w14:solidFill>
                    <w14:schemeClr w14:val="tx1"/>
                  </w14:solidFill>
                </w14:textFill>
              </w:rPr>
              <w:t>02</w:t>
            </w:r>
            <w:r>
              <w:rPr>
                <w:rFonts w:hint="default" w:ascii="Times New Roman" w:hAnsi="Times New Roman" w:cs="Times New Roman"/>
                <w:color w:val="000000" w:themeColor="text1"/>
                <w:sz w:val="21"/>
                <w:szCs w:val="21"/>
                <w14:textFill>
                  <w14:solidFill>
                    <w14:schemeClr w14:val="tx1"/>
                  </w14:solidFill>
                </w14:textFill>
              </w:rPr>
              <w:t>t/a。按照《国家危险废物名录》（202</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年版）</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废</w:t>
            </w:r>
            <w:r>
              <w:rPr>
                <w:rFonts w:hint="eastAsia" w:ascii="Times New Roman" w:hAnsi="Times New Roman" w:cs="Times New Roman"/>
                <w:color w:val="000000" w:themeColor="text1"/>
                <w:sz w:val="21"/>
                <w:szCs w:val="21"/>
                <w:lang w:val="en-US" w:eastAsia="zh-CN"/>
                <w14:textFill>
                  <w14:solidFill>
                    <w14:schemeClr w14:val="tx1"/>
                  </w14:solidFill>
                </w14:textFill>
              </w:rPr>
              <w:t>包装</w:t>
            </w:r>
            <w:r>
              <w:rPr>
                <w:rFonts w:hint="default" w:ascii="Times New Roman" w:hAnsi="Times New Roman" w:cs="Times New Roman"/>
                <w:color w:val="000000" w:themeColor="text1"/>
                <w:sz w:val="21"/>
                <w:szCs w:val="21"/>
                <w14:textFill>
                  <w14:solidFill>
                    <w14:schemeClr w14:val="tx1"/>
                  </w14:solidFill>
                </w14:textFill>
              </w:rPr>
              <w:t>桶属于HW49其他废物</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含有或者沾染毒性、感染:性危险废物的废弃的包装物、容器、过滤吸附介质</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废物代码为900</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041</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49。</w:t>
            </w:r>
            <w:r>
              <w:rPr>
                <w:rFonts w:hint="default" w:cs="Times New Roman"/>
                <w:b w:val="0"/>
                <w:bCs w:val="0"/>
                <w:color w:val="000000" w:themeColor="text1"/>
                <w:sz w:val="21"/>
                <w:szCs w:val="21"/>
                <w:highlight w:val="none"/>
                <w:lang w:val="en-US" w:eastAsia="zh-CN"/>
                <w14:textFill>
                  <w14:solidFill>
                    <w14:schemeClr w14:val="tx1"/>
                  </w14:solidFill>
                </w14:textFill>
              </w:rPr>
              <w:t>废</w:t>
            </w:r>
            <w:r>
              <w:rPr>
                <w:rFonts w:hint="eastAsia" w:cs="Times New Roman"/>
                <w:b w:val="0"/>
                <w:bCs w:val="0"/>
                <w:color w:val="000000" w:themeColor="text1"/>
                <w:sz w:val="21"/>
                <w:szCs w:val="21"/>
                <w:highlight w:val="none"/>
                <w:lang w:val="en-US" w:eastAsia="zh-CN"/>
                <w14:textFill>
                  <w14:solidFill>
                    <w14:schemeClr w14:val="tx1"/>
                  </w14:solidFill>
                </w14:textFill>
              </w:rPr>
              <w:t>包装桶</w:t>
            </w:r>
            <w:r>
              <w:rPr>
                <w:rFonts w:hint="default" w:cs="Times New Roman"/>
                <w:b w:val="0"/>
                <w:bCs w:val="0"/>
                <w:color w:val="000000" w:themeColor="text1"/>
                <w:sz w:val="21"/>
                <w:szCs w:val="21"/>
                <w:highlight w:val="none"/>
                <w:lang w:val="en-US" w:eastAsia="zh-CN"/>
                <w14:textFill>
                  <w14:solidFill>
                    <w14:schemeClr w14:val="tx1"/>
                  </w14:solidFill>
                </w14:textFill>
              </w:rPr>
              <w:t>分类分区暂存于危险废物贮存库内</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cs="Times New Roman"/>
                <w:b w:val="0"/>
                <w:bCs w:val="0"/>
                <w:color w:val="000000" w:themeColor="text1"/>
                <w:sz w:val="21"/>
                <w:szCs w:val="21"/>
                <w:highlight w:val="none"/>
                <w:lang w:val="en-US" w:eastAsia="zh-CN"/>
                <w14:textFill>
                  <w14:solidFill>
                    <w14:schemeClr w14:val="tx1"/>
                  </w14:solidFill>
                </w14:textFill>
              </w:rPr>
              <w:t>定期交由</w:t>
            </w:r>
            <w:r>
              <w:rPr>
                <w:rFonts w:hint="eastAsia" w:cs="Times New Roman"/>
                <w:color w:val="000000" w:themeColor="text1"/>
                <w:sz w:val="21"/>
                <w:szCs w:val="21"/>
                <w:highlight w:val="none"/>
                <w:lang w:val="en-US" w:eastAsia="zh-CN"/>
                <w14:textFill>
                  <w14:solidFill>
                    <w14:schemeClr w14:val="tx1"/>
                  </w14:solidFill>
                </w14:textFill>
              </w:rPr>
              <w:t>有资质单位</w:t>
            </w:r>
            <w:r>
              <w:rPr>
                <w:rFonts w:hint="default" w:cs="Times New Roman"/>
                <w:b w:val="0"/>
                <w:bCs w:val="0"/>
                <w:color w:val="000000" w:themeColor="text1"/>
                <w:sz w:val="21"/>
                <w:szCs w:val="21"/>
                <w:highlight w:val="none"/>
                <w:lang w:val="en-US" w:eastAsia="zh-CN"/>
                <w14:textFill>
                  <w14:solidFill>
                    <w14:schemeClr w14:val="tx1"/>
                  </w14:solidFill>
                </w14:textFill>
              </w:rPr>
              <w:t>进行处置。</w:t>
            </w:r>
          </w:p>
          <w:p w14:paraId="6A03448F">
            <w:pPr>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④废液压油</w:t>
            </w:r>
          </w:p>
          <w:p w14:paraId="74C0958A">
            <w:pPr>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根据企业提供资料</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本项目</w:t>
            </w:r>
            <w:r>
              <w:rPr>
                <w:rFonts w:hint="eastAsia" w:ascii="Times New Roman" w:hAnsi="Times New Roman" w:cs="Times New Roman"/>
                <w:color w:val="000000" w:themeColor="text1"/>
                <w:sz w:val="21"/>
                <w:szCs w:val="21"/>
                <w:lang w:val="en-US" w:eastAsia="zh-CN"/>
                <w14:textFill>
                  <w14:solidFill>
                    <w14:schemeClr w14:val="tx1"/>
                  </w14:solidFill>
                </w14:textFill>
              </w:rPr>
              <w:t>液压设备使用期间会定期产生少量的废液压油。</w:t>
            </w:r>
            <w:r>
              <w:rPr>
                <w:rFonts w:hint="default" w:ascii="Times New Roman" w:hAnsi="Times New Roman" w:cs="Times New Roman"/>
                <w:color w:val="000000" w:themeColor="text1"/>
                <w:sz w:val="21"/>
                <w:szCs w:val="21"/>
                <w14:textFill>
                  <w14:solidFill>
                    <w14:schemeClr w14:val="tx1"/>
                  </w14:solidFill>
                </w14:textFill>
              </w:rPr>
              <w:t>废</w:t>
            </w:r>
            <w:r>
              <w:rPr>
                <w:rFonts w:hint="eastAsia" w:ascii="Times New Roman" w:hAnsi="Times New Roman" w:cs="Times New Roman"/>
                <w:color w:val="000000" w:themeColor="text1"/>
                <w:sz w:val="21"/>
                <w:szCs w:val="21"/>
                <w:lang w:val="en-US" w:eastAsia="zh-CN"/>
                <w14:textFill>
                  <w14:solidFill>
                    <w14:schemeClr w14:val="tx1"/>
                  </w14:solidFill>
                </w14:textFill>
              </w:rPr>
              <w:t>液压油的</w:t>
            </w:r>
            <w:r>
              <w:rPr>
                <w:rFonts w:hint="default" w:ascii="Times New Roman" w:hAnsi="Times New Roman" w:cs="Times New Roman"/>
                <w:color w:val="000000" w:themeColor="text1"/>
                <w:sz w:val="21"/>
                <w:szCs w:val="21"/>
                <w14:textFill>
                  <w14:solidFill>
                    <w14:schemeClr w14:val="tx1"/>
                  </w14:solidFill>
                </w14:textFill>
              </w:rPr>
              <w:t>产生量约为0.0</w:t>
            </w:r>
            <w:r>
              <w:rPr>
                <w:rFonts w:hint="eastAsia" w:ascii="Times New Roman" w:hAnsi="Times New Roman" w:cs="Times New Roman"/>
                <w:color w:val="000000" w:themeColor="text1"/>
                <w:sz w:val="21"/>
                <w:szCs w:val="21"/>
                <w:lang w:val="en-US" w:eastAsia="zh-CN"/>
                <w14:textFill>
                  <w14:solidFill>
                    <w14:schemeClr w14:val="tx1"/>
                  </w14:solidFill>
                </w14:textFill>
              </w:rPr>
              <w:t>05</w:t>
            </w:r>
            <w:r>
              <w:rPr>
                <w:rFonts w:hint="default" w:ascii="Times New Roman" w:hAnsi="Times New Roman" w:cs="Times New Roman"/>
                <w:color w:val="000000" w:themeColor="text1"/>
                <w:sz w:val="21"/>
                <w:szCs w:val="21"/>
                <w14:textFill>
                  <w14:solidFill>
                    <w14:schemeClr w14:val="tx1"/>
                  </w14:solidFill>
                </w14:textFill>
              </w:rPr>
              <w:t>t/a。依据《国家危险废物名录》</w:t>
            </w: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（202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年版）</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废</w:t>
            </w:r>
            <w:r>
              <w:rPr>
                <w:rFonts w:hint="eastAsia" w:ascii="Times New Roman" w:hAnsi="Times New Roman" w:cs="Times New Roman"/>
                <w:color w:val="000000" w:themeColor="text1"/>
                <w:sz w:val="21"/>
                <w:szCs w:val="21"/>
                <w:lang w:val="en-US" w:eastAsia="zh-CN"/>
                <w14:textFill>
                  <w14:solidFill>
                    <w14:schemeClr w14:val="tx1"/>
                  </w14:solidFill>
                </w14:textFill>
              </w:rPr>
              <w:t>液压油</w:t>
            </w:r>
            <w:r>
              <w:rPr>
                <w:rFonts w:hint="default" w:ascii="Times New Roman" w:hAnsi="Times New Roman" w:cs="Times New Roman"/>
                <w:color w:val="000000" w:themeColor="text1"/>
                <w:sz w:val="21"/>
                <w:szCs w:val="21"/>
                <w14:textFill>
                  <w14:solidFill>
                    <w14:schemeClr w14:val="tx1"/>
                  </w14:solidFill>
                </w14:textFill>
              </w:rPr>
              <w:t>属于HW08</w:t>
            </w:r>
            <w:r>
              <w:rPr>
                <w:rFonts w:hint="eastAsia" w:ascii="Times New Roman" w:hAnsi="Times New Roman" w:cs="Times New Roman"/>
                <w:color w:val="000000" w:themeColor="text1"/>
                <w:sz w:val="21"/>
                <w:szCs w:val="21"/>
                <w:lang w:val="en-US" w:eastAsia="zh-CN"/>
                <w14:textFill>
                  <w14:solidFill>
                    <w14:schemeClr w14:val="tx1"/>
                  </w14:solidFill>
                </w14:textFill>
              </w:rPr>
              <w:t>矿物油预含矿物油废物（液压设备维护、更换和拆解过程中产生的废液压油）</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废物代码900</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218</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08</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废液压油</w:t>
            </w:r>
            <w:r>
              <w:rPr>
                <w:rFonts w:hint="default" w:cs="Times New Roman"/>
                <w:b w:val="0"/>
                <w:bCs w:val="0"/>
                <w:color w:val="000000" w:themeColor="text1"/>
                <w:sz w:val="21"/>
                <w:szCs w:val="21"/>
                <w:highlight w:val="none"/>
                <w:lang w:val="en-US" w:eastAsia="zh-CN"/>
                <w14:textFill>
                  <w14:solidFill>
                    <w14:schemeClr w14:val="tx1"/>
                  </w14:solidFill>
                </w14:textFill>
              </w:rPr>
              <w:t>分类分区暂存于危险废物贮存库内</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cs="Times New Roman"/>
                <w:b w:val="0"/>
                <w:bCs w:val="0"/>
                <w:color w:val="000000" w:themeColor="text1"/>
                <w:sz w:val="21"/>
                <w:szCs w:val="21"/>
                <w:highlight w:val="none"/>
                <w:lang w:val="en-US" w:eastAsia="zh-CN"/>
                <w14:textFill>
                  <w14:solidFill>
                    <w14:schemeClr w14:val="tx1"/>
                  </w14:solidFill>
                </w14:textFill>
              </w:rPr>
              <w:t>定期交由</w:t>
            </w:r>
            <w:r>
              <w:rPr>
                <w:rFonts w:hint="eastAsia" w:cs="Times New Roman"/>
                <w:color w:val="000000" w:themeColor="text1"/>
                <w:sz w:val="21"/>
                <w:szCs w:val="21"/>
                <w:highlight w:val="none"/>
                <w:lang w:val="en-US" w:eastAsia="zh-CN"/>
                <w14:textFill>
                  <w14:solidFill>
                    <w14:schemeClr w14:val="tx1"/>
                  </w14:solidFill>
                </w14:textFill>
              </w:rPr>
              <w:t>有资质单位</w:t>
            </w:r>
            <w:r>
              <w:rPr>
                <w:rFonts w:hint="default" w:cs="Times New Roman"/>
                <w:b w:val="0"/>
                <w:bCs w:val="0"/>
                <w:color w:val="000000" w:themeColor="text1"/>
                <w:sz w:val="21"/>
                <w:szCs w:val="21"/>
                <w:highlight w:val="none"/>
                <w:lang w:val="en-US" w:eastAsia="zh-CN"/>
                <w14:textFill>
                  <w14:solidFill>
                    <w14:schemeClr w14:val="tx1"/>
                  </w14:solidFill>
                </w14:textFill>
              </w:rPr>
              <w:t>进行处置。</w:t>
            </w:r>
          </w:p>
          <w:p w14:paraId="007146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⑤废真空泵油</w:t>
            </w:r>
          </w:p>
          <w:p w14:paraId="21A895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据企业提供资料</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本项目</w:t>
            </w:r>
            <w:r>
              <w:rPr>
                <w:rFonts w:hint="eastAsia" w:ascii="Times New Roman" w:hAnsi="Times New Roman" w:cs="Times New Roman"/>
                <w:color w:val="000000" w:themeColor="text1"/>
                <w:sz w:val="21"/>
                <w:szCs w:val="21"/>
                <w:lang w:val="en-US" w:eastAsia="zh-CN"/>
                <w14:textFill>
                  <w14:solidFill>
                    <w14:schemeClr w14:val="tx1"/>
                  </w14:solidFill>
                </w14:textFill>
              </w:rPr>
              <w:t>真空设备使用期间会定期产生少量的废真空泵油。废真空泵油的</w:t>
            </w:r>
            <w:r>
              <w:rPr>
                <w:rFonts w:hint="default" w:ascii="Times New Roman" w:hAnsi="Times New Roman" w:cs="Times New Roman"/>
                <w:color w:val="000000" w:themeColor="text1"/>
                <w:sz w:val="21"/>
                <w:szCs w:val="21"/>
                <w14:textFill>
                  <w14:solidFill>
                    <w14:schemeClr w14:val="tx1"/>
                  </w14:solidFill>
                </w14:textFill>
              </w:rPr>
              <w:t>产生量约为0.0</w:t>
            </w:r>
            <w:r>
              <w:rPr>
                <w:rFonts w:hint="eastAsia" w:ascii="Times New Roman" w:hAnsi="Times New Roman" w:cs="Times New Roman"/>
                <w:color w:val="000000" w:themeColor="text1"/>
                <w:sz w:val="21"/>
                <w:szCs w:val="21"/>
                <w:lang w:val="en-US" w:eastAsia="zh-CN"/>
                <w14:textFill>
                  <w14:solidFill>
                    <w14:schemeClr w14:val="tx1"/>
                  </w14:solidFill>
                </w14:textFill>
              </w:rPr>
              <w:t>01</w:t>
            </w:r>
            <w:r>
              <w:rPr>
                <w:rFonts w:hint="default" w:ascii="Times New Roman" w:hAnsi="Times New Roman" w:cs="Times New Roman"/>
                <w:color w:val="000000" w:themeColor="text1"/>
                <w:sz w:val="21"/>
                <w:szCs w:val="21"/>
                <w14:textFill>
                  <w14:solidFill>
                    <w14:schemeClr w14:val="tx1"/>
                  </w14:solidFill>
                </w14:textFill>
              </w:rPr>
              <w:t>t/a。依据《国家危险废物名录》</w:t>
            </w: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（202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年版）</w:t>
            </w:r>
            <w:r>
              <w:rPr>
                <w:rFonts w:hint="eastAsia"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废真空泵油</w:t>
            </w:r>
            <w:r>
              <w:rPr>
                <w:rFonts w:hint="default" w:ascii="Times New Roman" w:hAnsi="Times New Roman" w:cs="Times New Roman"/>
                <w:color w:val="000000" w:themeColor="text1"/>
                <w:sz w:val="21"/>
                <w:szCs w:val="21"/>
                <w14:textFill>
                  <w14:solidFill>
                    <w14:schemeClr w14:val="tx1"/>
                  </w14:solidFill>
                </w14:textFill>
              </w:rPr>
              <w:t>属于HW08</w:t>
            </w:r>
            <w:r>
              <w:rPr>
                <w:rFonts w:hint="eastAsia" w:ascii="Times New Roman" w:hAnsi="Times New Roman" w:cs="Times New Roman"/>
                <w:color w:val="000000" w:themeColor="text1"/>
                <w:sz w:val="21"/>
                <w:szCs w:val="21"/>
                <w:lang w:val="en-US" w:eastAsia="zh-CN"/>
                <w14:textFill>
                  <w14:solidFill>
                    <w14:schemeClr w14:val="tx1"/>
                  </w14:solidFill>
                </w14:textFill>
              </w:rPr>
              <w:t>矿物油预含矿物油废物（其他生产、销售、使用过程中产生的废矿物油及沾染矿物油的废弃包装物）</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废物代码900</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249</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08</w:t>
            </w:r>
            <w:r>
              <w:rPr>
                <w:rFonts w:hint="default" w:ascii="Times New Roman" w:hAnsi="Times New Roman"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废真空泵油</w:t>
            </w:r>
            <w:r>
              <w:rPr>
                <w:rFonts w:hint="default" w:cs="Times New Roman"/>
                <w:b w:val="0"/>
                <w:bCs w:val="0"/>
                <w:color w:val="000000" w:themeColor="text1"/>
                <w:sz w:val="21"/>
                <w:szCs w:val="21"/>
                <w:highlight w:val="none"/>
                <w:lang w:val="en-US" w:eastAsia="zh-CN"/>
                <w14:textFill>
                  <w14:solidFill>
                    <w14:schemeClr w14:val="tx1"/>
                  </w14:solidFill>
                </w14:textFill>
              </w:rPr>
              <w:t>分类分区暂存于危险废物贮存库内</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default" w:cs="Times New Roman"/>
                <w:b w:val="0"/>
                <w:bCs w:val="0"/>
                <w:color w:val="000000" w:themeColor="text1"/>
                <w:sz w:val="21"/>
                <w:szCs w:val="21"/>
                <w:highlight w:val="none"/>
                <w:lang w:val="en-US" w:eastAsia="zh-CN"/>
                <w14:textFill>
                  <w14:solidFill>
                    <w14:schemeClr w14:val="tx1"/>
                  </w14:solidFill>
                </w14:textFill>
              </w:rPr>
              <w:t>定期交由</w:t>
            </w:r>
            <w:r>
              <w:rPr>
                <w:rFonts w:hint="eastAsia" w:cs="Times New Roman"/>
                <w:color w:val="000000" w:themeColor="text1"/>
                <w:sz w:val="21"/>
                <w:szCs w:val="21"/>
                <w:highlight w:val="none"/>
                <w:lang w:val="en-US" w:eastAsia="zh-CN"/>
                <w14:textFill>
                  <w14:solidFill>
                    <w14:schemeClr w14:val="tx1"/>
                  </w14:solidFill>
                </w14:textFill>
              </w:rPr>
              <w:t>有资质单位</w:t>
            </w:r>
            <w:r>
              <w:rPr>
                <w:rFonts w:hint="default" w:cs="Times New Roman"/>
                <w:b w:val="0"/>
                <w:bCs w:val="0"/>
                <w:color w:val="000000" w:themeColor="text1"/>
                <w:sz w:val="21"/>
                <w:szCs w:val="21"/>
                <w:highlight w:val="none"/>
                <w:lang w:val="en-US" w:eastAsia="zh-CN"/>
                <w14:textFill>
                  <w14:solidFill>
                    <w14:schemeClr w14:val="tx1"/>
                  </w14:solidFill>
                </w14:textFill>
              </w:rPr>
              <w:t>进行处置。</w:t>
            </w:r>
          </w:p>
          <w:p w14:paraId="53641B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⑥沾有切削液的金属屑</w:t>
            </w:r>
          </w:p>
          <w:p w14:paraId="03D9E3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firstLine="420" w:firstLineChars="200"/>
              <w:jc w:val="both"/>
              <w:textAlignment w:val="auto"/>
              <w:rPr>
                <w:rFonts w:hint="default" w:cs="Times New Roman"/>
                <w:color w:val="000000" w:themeColor="text1"/>
                <w:sz w:val="21"/>
                <w:szCs w:val="21"/>
                <w:lang w:val="en-US" w:eastAsia="zh-CN"/>
                <w14:textFill>
                  <w14:solidFill>
                    <w14:schemeClr w14:val="tx1"/>
                  </w14:solidFill>
                </w14:textFill>
              </w:rPr>
            </w:pPr>
            <w:r>
              <w:rPr>
                <w:color w:val="000000" w:themeColor="text1"/>
                <w:szCs w:val="21"/>
                <w14:textFill>
                  <w14:solidFill>
                    <w14:schemeClr w14:val="tx1"/>
                  </w14:solidFill>
                </w14:textFill>
              </w:rPr>
              <w:t>项目运营期</w:t>
            </w:r>
            <w:r>
              <w:rPr>
                <w:rFonts w:hint="eastAsia"/>
                <w:color w:val="000000" w:themeColor="text1"/>
                <w:szCs w:val="21"/>
                <w:lang w:val="en-US" w:eastAsia="zh-CN"/>
                <w14:textFill>
                  <w14:solidFill>
                    <w14:schemeClr w14:val="tx1"/>
                  </w14:solidFill>
                </w14:textFill>
              </w:rPr>
              <w:t>机加车过程会产生一定的金属屑</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本项目机加期间利用切削液进行湿法作业</w:t>
            </w:r>
            <w:r>
              <w:rPr>
                <w:rFonts w:hint="eastAsia" w:cs="Times New Roman"/>
                <w:color w:val="000000" w:themeColor="text1"/>
                <w:szCs w:val="21"/>
                <w:lang w:val="en-US" w:eastAsia="zh-CN"/>
                <w14:textFill>
                  <w14:solidFill>
                    <w14:schemeClr w14:val="tx1"/>
                  </w14:solidFill>
                </w14:textFill>
              </w:rPr>
              <w:t>，</w:t>
            </w:r>
            <w:r>
              <w:rPr>
                <w:rFonts w:hint="eastAsia" w:ascii="Times New Roman" w:hAnsi="Times New Roman" w:eastAsia="宋体" w:cs="Times New Roman"/>
                <w:color w:val="000000" w:themeColor="text1"/>
                <w:szCs w:val="21"/>
                <w:lang w:val="en-US" w:eastAsia="zh-CN"/>
                <w14:textFill>
                  <w14:solidFill>
                    <w14:schemeClr w14:val="tx1"/>
                  </w14:solidFill>
                </w14:textFill>
              </w:rPr>
              <w:t>项目运营期产生的沾有切削液的钛屑在厂区内暂存期间应按照危险废物的要求进行贮存。金属屑产生量</w:t>
            </w:r>
            <w:r>
              <w:rPr>
                <w:rFonts w:hint="eastAsia" w:cs="Times New Roman"/>
                <w:color w:val="000000" w:themeColor="text1"/>
                <w:sz w:val="21"/>
                <w:szCs w:val="21"/>
                <w:lang w:val="en-US" w:eastAsia="zh-CN"/>
                <w14:textFill>
                  <w14:solidFill>
                    <w14:schemeClr w14:val="tx1"/>
                  </w14:solidFill>
                </w14:textFill>
              </w:rPr>
              <w:t>约占产品的1</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，则</w:t>
            </w:r>
            <w:r>
              <w:rPr>
                <w:rFonts w:hint="eastAsia" w:ascii="Times New Roman" w:hAnsi="Times New Roman" w:eastAsia="宋体" w:cs="Times New Roman"/>
                <w:color w:val="000000" w:themeColor="text1"/>
                <w:szCs w:val="21"/>
                <w:lang w:val="en-US" w:eastAsia="zh-CN"/>
                <w14:textFill>
                  <w14:solidFill>
                    <w14:schemeClr w14:val="tx1"/>
                  </w14:solidFill>
                </w14:textFill>
              </w:rPr>
              <w:t>金属屑</w:t>
            </w:r>
            <w:r>
              <w:rPr>
                <w:rFonts w:hint="eastAsia" w:cs="Times New Roman"/>
                <w:color w:val="000000" w:themeColor="text1"/>
                <w:szCs w:val="21"/>
                <w:lang w:val="en-US" w:eastAsia="zh-CN"/>
                <w14:textFill>
                  <w14:solidFill>
                    <w14:schemeClr w14:val="tx1"/>
                  </w14:solidFill>
                </w14:textFill>
              </w:rPr>
              <w:t>产生量约</w:t>
            </w:r>
            <w:r>
              <w:rPr>
                <w:rFonts w:hint="eastAsia" w:ascii="Times New Roman" w:hAnsi="Times New Roman" w:eastAsia="宋体" w:cs="Times New Roman"/>
                <w:color w:val="000000" w:themeColor="text1"/>
                <w:szCs w:val="21"/>
                <w:lang w:val="en-US" w:eastAsia="zh-CN"/>
                <w14:textFill>
                  <w14:solidFill>
                    <w14:schemeClr w14:val="tx1"/>
                  </w14:solidFill>
                </w14:textFill>
              </w:rPr>
              <w:t>0.</w:t>
            </w:r>
            <w:r>
              <w:rPr>
                <w:rFonts w:hint="eastAsia" w:cs="Times New Roman"/>
                <w:color w:val="000000" w:themeColor="text1"/>
                <w:szCs w:val="21"/>
                <w:lang w:val="en-US" w:eastAsia="zh-CN"/>
                <w14:textFill>
                  <w14:solidFill>
                    <w14:schemeClr w14:val="tx1"/>
                  </w14:solidFill>
                </w14:textFill>
              </w:rPr>
              <w:t>25t/</w:t>
            </w:r>
            <w:r>
              <w:rPr>
                <w:rFonts w:hint="eastAsia" w:ascii="Times New Roman" w:hAnsi="Times New Roman" w:eastAsia="宋体" w:cs="Times New Roman"/>
                <w:color w:val="000000" w:themeColor="text1"/>
                <w:szCs w:val="21"/>
                <w:lang w:val="en-US" w:eastAsia="zh-CN"/>
                <w14:textFill>
                  <w14:solidFill>
                    <w14:schemeClr w14:val="tx1"/>
                  </w14:solidFill>
                </w14:textFill>
              </w:rPr>
              <w:t>a。对照《国家危险废物名录》（2025年版）</w:t>
            </w:r>
            <w:r>
              <w:rPr>
                <w:rFonts w:hint="eastAsia" w:cs="Times New Roman"/>
                <w:color w:val="000000" w:themeColor="text1"/>
                <w:szCs w:val="21"/>
                <w:lang w:val="en-US" w:eastAsia="zh-CN"/>
                <w14:textFill>
                  <w14:solidFill>
                    <w14:schemeClr w14:val="tx1"/>
                  </w14:solidFill>
                </w14:textFill>
              </w:rPr>
              <w:t>，</w:t>
            </w:r>
            <w:r>
              <w:rPr>
                <w:rFonts w:hint="eastAsia" w:ascii="Times New Roman" w:hAnsi="Times New Roman" w:eastAsia="宋体" w:cs="Times New Roman"/>
                <w:color w:val="000000" w:themeColor="text1"/>
                <w:szCs w:val="21"/>
                <w:lang w:val="en-US" w:eastAsia="zh-CN"/>
                <w14:textFill>
                  <w14:solidFill>
                    <w14:schemeClr w14:val="tx1"/>
                  </w14:solidFill>
                </w14:textFill>
              </w:rPr>
              <w:t>应属于HW49类：900-041-49</w:t>
            </w:r>
            <w:r>
              <w:rPr>
                <w:rFonts w:hint="eastAsia" w:cs="Times New Roman"/>
                <w:color w:val="000000" w:themeColor="text1"/>
                <w:szCs w:val="21"/>
                <w:lang w:val="en-US" w:eastAsia="zh-CN"/>
                <w14:textFill>
                  <w14:solidFill>
                    <w14:schemeClr w14:val="tx1"/>
                  </w14:solidFill>
                </w14:textFill>
              </w:rPr>
              <w:t>，</w:t>
            </w:r>
            <w:r>
              <w:rPr>
                <w:rFonts w:hint="eastAsia" w:ascii="Times New Roman" w:hAnsi="Times New Roman" w:eastAsia="宋体" w:cs="Times New Roman"/>
                <w:color w:val="000000" w:themeColor="text1"/>
                <w:szCs w:val="21"/>
                <w:lang w:val="en-US" w:eastAsia="zh-CN"/>
                <w14:textFill>
                  <w14:solidFill>
                    <w14:schemeClr w14:val="tx1"/>
                  </w14:solidFill>
                </w14:textFill>
              </w:rPr>
              <w:t>应属于危险废物。</w:t>
            </w:r>
          </w:p>
          <w:p w14:paraId="7A9AC1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本项目固体废物产生量见</w:t>
            </w:r>
            <w:r>
              <w:rPr>
                <w:rFonts w:hint="default" w:ascii="Times New Roman" w:hAnsi="Times New Roman" w:eastAsia="宋体" w:cs="Times New Roman"/>
                <w:color w:val="000000" w:themeColor="text1"/>
                <w:sz w:val="21"/>
                <w:szCs w:val="21"/>
                <w:lang w:eastAsia="zh-CN"/>
                <w14:textFill>
                  <w14:solidFill>
                    <w14:schemeClr w14:val="tx1"/>
                  </w14:solidFill>
                </w14:textFill>
              </w:rPr>
              <w:t>下表</w:t>
            </w:r>
            <w:r>
              <w:rPr>
                <w:rFonts w:hint="default" w:ascii="Times New Roman" w:hAnsi="Times New Roman" w:eastAsia="宋体" w:cs="Times New Roman"/>
                <w:color w:val="000000" w:themeColor="text1"/>
                <w:sz w:val="21"/>
                <w:szCs w:val="21"/>
                <w14:textFill>
                  <w14:solidFill>
                    <w14:schemeClr w14:val="tx1"/>
                  </w14:solidFill>
                </w14:textFill>
              </w:rPr>
              <w:t>。</w:t>
            </w:r>
          </w:p>
          <w:p w14:paraId="5D03BE67">
            <w:pPr>
              <w:keepNext w:val="0"/>
              <w:keepLines w:val="0"/>
              <w:suppressLineNumbers w:val="0"/>
              <w:adjustRightInd w:val="0"/>
              <w:snapToGrid w:val="0"/>
              <w:spacing w:before="0" w:beforeAutospacing="0" w:after="0" w:afterAutospacing="0" w:line="240" w:lineRule="auto"/>
              <w:ind w:left="0" w:right="0" w:firstLine="422" w:firstLineChars="20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表</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4-</w:t>
            </w:r>
            <w:r>
              <w:rPr>
                <w:rFonts w:hint="eastAsia" w:cs="Times New Roman"/>
                <w:b/>
                <w:bCs/>
                <w:color w:val="000000" w:themeColor="text1"/>
                <w:sz w:val="21"/>
                <w:szCs w:val="21"/>
                <w:lang w:val="en-US" w:eastAsia="zh-CN"/>
                <w14:textFill>
                  <w14:solidFill>
                    <w14:schemeClr w14:val="tx1"/>
                  </w14:solidFill>
                </w14:textFill>
              </w:rPr>
              <w:t xml:space="preserve">12    </w:t>
            </w:r>
            <w:r>
              <w:rPr>
                <w:rFonts w:hint="default" w:ascii="Times New Roman" w:hAnsi="Times New Roman" w:eastAsia="宋体" w:cs="Times New Roman"/>
                <w:b/>
                <w:bCs/>
                <w:color w:val="000000" w:themeColor="text1"/>
                <w:sz w:val="21"/>
                <w:szCs w:val="21"/>
                <w14:textFill>
                  <w14:solidFill>
                    <w14:schemeClr w14:val="tx1"/>
                  </w14:solidFill>
                </w14:textFill>
              </w:rPr>
              <w:t>项目固体废物产生情况</w:t>
            </w:r>
            <w:r>
              <w:rPr>
                <w:rFonts w:hint="default" w:ascii="Times New Roman" w:hAnsi="Times New Roman" w:cs="Times New Roman"/>
                <w:b/>
                <w:bCs/>
                <w:color w:val="000000" w:themeColor="text1"/>
                <w:sz w:val="21"/>
                <w:szCs w:val="21"/>
                <w:lang w:val="en-US" w:eastAsia="zh-CN"/>
                <w14:textFill>
                  <w14:solidFill>
                    <w14:schemeClr w14:val="tx1"/>
                  </w14:solidFill>
                </w14:textFill>
              </w:rPr>
              <w:t>及处理措施</w:t>
            </w:r>
            <w:r>
              <w:rPr>
                <w:rFonts w:hint="default" w:ascii="Times New Roman" w:hAnsi="Times New Roman" w:eastAsia="宋体" w:cs="Times New Roman"/>
                <w:b/>
                <w:bCs/>
                <w:color w:val="000000" w:themeColor="text1"/>
                <w:sz w:val="21"/>
                <w:szCs w:val="21"/>
                <w14:textFill>
                  <w14:solidFill>
                    <w14:schemeClr w14:val="tx1"/>
                  </w14:solidFill>
                </w14:textFill>
              </w:rPr>
              <w:t>一览表</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636"/>
              <w:gridCol w:w="1027"/>
              <w:gridCol w:w="883"/>
              <w:gridCol w:w="692"/>
              <w:gridCol w:w="1756"/>
              <w:gridCol w:w="1357"/>
              <w:gridCol w:w="857"/>
            </w:tblGrid>
            <w:tr w14:paraId="746971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pct"/>
                  <w:tcBorders>
                    <w:tl2br w:val="nil"/>
                    <w:tr2bl w:val="nil"/>
                  </w:tcBorders>
                  <w:noWrap w:val="0"/>
                  <w:vAlign w:val="center"/>
                </w:tcPr>
                <w:p w14:paraId="7F4AD9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序号</w:t>
                  </w:r>
                </w:p>
              </w:tc>
              <w:tc>
                <w:tcPr>
                  <w:tcW w:w="398" w:type="pct"/>
                  <w:tcBorders>
                    <w:tl2br w:val="nil"/>
                    <w:tr2bl w:val="nil"/>
                  </w:tcBorders>
                  <w:noWrap w:val="0"/>
                  <w:vAlign w:val="center"/>
                </w:tcPr>
                <w:p w14:paraId="01F112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产生环节</w:t>
                  </w:r>
                </w:p>
              </w:tc>
              <w:tc>
                <w:tcPr>
                  <w:tcW w:w="644" w:type="pct"/>
                  <w:tcBorders>
                    <w:tl2br w:val="nil"/>
                    <w:tr2bl w:val="nil"/>
                  </w:tcBorders>
                  <w:noWrap w:val="0"/>
                  <w:vAlign w:val="center"/>
                </w:tcPr>
                <w:p w14:paraId="4B8AEF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名称</w:t>
                  </w:r>
                </w:p>
              </w:tc>
              <w:tc>
                <w:tcPr>
                  <w:tcW w:w="553" w:type="pct"/>
                  <w:tcBorders>
                    <w:tl2br w:val="nil"/>
                    <w:tr2bl w:val="nil"/>
                  </w:tcBorders>
                  <w:noWrap w:val="0"/>
                  <w:vAlign w:val="center"/>
                </w:tcPr>
                <w:p w14:paraId="5C51B1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产生量t/a</w:t>
                  </w:r>
                </w:p>
              </w:tc>
              <w:tc>
                <w:tcPr>
                  <w:tcW w:w="434" w:type="pct"/>
                  <w:tcBorders>
                    <w:tl2br w:val="nil"/>
                    <w:tr2bl w:val="nil"/>
                  </w:tcBorders>
                  <w:noWrap w:val="0"/>
                  <w:vAlign w:val="center"/>
                </w:tcPr>
                <w:p w14:paraId="1083DA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固废</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属性</w:t>
                  </w:r>
                </w:p>
              </w:tc>
              <w:tc>
                <w:tcPr>
                  <w:tcW w:w="1066" w:type="pct"/>
                  <w:tcBorders>
                    <w:tl2br w:val="nil"/>
                    <w:tr2bl w:val="nil"/>
                  </w:tcBorders>
                  <w:noWrap w:val="0"/>
                  <w:vAlign w:val="center"/>
                </w:tcPr>
                <w:p w14:paraId="185D66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代码</w:t>
                  </w:r>
                </w:p>
              </w:tc>
              <w:tc>
                <w:tcPr>
                  <w:tcW w:w="848" w:type="pct"/>
                  <w:tcBorders>
                    <w:tl2br w:val="nil"/>
                    <w:tr2bl w:val="nil"/>
                  </w:tcBorders>
                  <w:noWrap w:val="0"/>
                  <w:vAlign w:val="center"/>
                </w:tcPr>
                <w:p w14:paraId="1176DB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利用处置方式和去向</w:t>
                  </w:r>
                </w:p>
              </w:tc>
              <w:tc>
                <w:tcPr>
                  <w:tcW w:w="537" w:type="pct"/>
                  <w:tcBorders>
                    <w:tl2br w:val="nil"/>
                    <w:tr2bl w:val="nil"/>
                  </w:tcBorders>
                  <w:noWrap w:val="0"/>
                  <w:vAlign w:val="center"/>
                </w:tcPr>
                <w:p w14:paraId="791B57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利用或处置量</w:t>
                  </w:r>
                </w:p>
              </w:tc>
            </w:tr>
            <w:tr w14:paraId="7A3BF7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pct"/>
                  <w:tcBorders>
                    <w:tl2br w:val="nil"/>
                    <w:tr2bl w:val="nil"/>
                  </w:tcBorders>
                  <w:noWrap w:val="0"/>
                  <w:vAlign w:val="center"/>
                </w:tcPr>
                <w:p w14:paraId="39BCCF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w:t>
                  </w:r>
                </w:p>
              </w:tc>
              <w:tc>
                <w:tcPr>
                  <w:tcW w:w="398" w:type="pct"/>
                  <w:tcBorders>
                    <w:tl2br w:val="nil"/>
                    <w:tr2bl w:val="nil"/>
                  </w:tcBorders>
                  <w:noWrap w:val="0"/>
                  <w:vAlign w:val="center"/>
                </w:tcPr>
                <w:p w14:paraId="783191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员工生活</w:t>
                  </w:r>
                </w:p>
              </w:tc>
              <w:tc>
                <w:tcPr>
                  <w:tcW w:w="644" w:type="pct"/>
                  <w:tcBorders>
                    <w:tl2br w:val="nil"/>
                    <w:tr2bl w:val="nil"/>
                  </w:tcBorders>
                  <w:noWrap w:val="0"/>
                  <w:vAlign w:val="center"/>
                </w:tcPr>
                <w:p w14:paraId="56C74D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生活垃圾</w:t>
                  </w:r>
                </w:p>
              </w:tc>
              <w:tc>
                <w:tcPr>
                  <w:tcW w:w="889" w:type="dxa"/>
                  <w:tcBorders>
                    <w:tl2br w:val="nil"/>
                    <w:tr2bl w:val="nil"/>
                  </w:tcBorders>
                  <w:noWrap w:val="0"/>
                  <w:vAlign w:val="center"/>
                </w:tcPr>
                <w:p w14:paraId="6F57CF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1.32</w:t>
                  </w:r>
                </w:p>
              </w:tc>
              <w:tc>
                <w:tcPr>
                  <w:tcW w:w="434" w:type="pct"/>
                  <w:tcBorders>
                    <w:tl2br w:val="nil"/>
                    <w:tr2bl w:val="nil"/>
                  </w:tcBorders>
                  <w:noWrap w:val="0"/>
                  <w:vAlign w:val="center"/>
                </w:tcPr>
                <w:p w14:paraId="6E13A1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生活垃圾</w:t>
                  </w:r>
                </w:p>
              </w:tc>
              <w:tc>
                <w:tcPr>
                  <w:tcW w:w="1066" w:type="pct"/>
                  <w:tcBorders>
                    <w:tl2br w:val="nil"/>
                    <w:tr2bl w:val="nil"/>
                  </w:tcBorders>
                  <w:noWrap w:val="0"/>
                  <w:vAlign w:val="center"/>
                </w:tcPr>
                <w:p w14:paraId="2071D5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w:t>
                  </w:r>
                </w:p>
              </w:tc>
              <w:tc>
                <w:tcPr>
                  <w:tcW w:w="848" w:type="pct"/>
                  <w:tcBorders>
                    <w:tl2br w:val="nil"/>
                    <w:tr2bl w:val="nil"/>
                  </w:tcBorders>
                  <w:noWrap w:val="0"/>
                  <w:vAlign w:val="center"/>
                </w:tcPr>
                <w:p w14:paraId="09B3AC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环卫部门</w:t>
                  </w:r>
                </w:p>
              </w:tc>
              <w:tc>
                <w:tcPr>
                  <w:tcW w:w="863" w:type="dxa"/>
                  <w:tcBorders>
                    <w:tl2br w:val="nil"/>
                    <w:tr2bl w:val="nil"/>
                  </w:tcBorders>
                  <w:noWrap w:val="0"/>
                  <w:vAlign w:val="center"/>
                </w:tcPr>
                <w:p w14:paraId="211684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1.32</w:t>
                  </w:r>
                </w:p>
              </w:tc>
            </w:tr>
            <w:tr w14:paraId="0F6FBE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pct"/>
                  <w:tcBorders>
                    <w:tl2br w:val="nil"/>
                    <w:tr2bl w:val="nil"/>
                  </w:tcBorders>
                  <w:noWrap w:val="0"/>
                  <w:vAlign w:val="center"/>
                </w:tcPr>
                <w:p w14:paraId="376447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w:t>
                  </w:r>
                </w:p>
              </w:tc>
              <w:tc>
                <w:tcPr>
                  <w:tcW w:w="398" w:type="pct"/>
                  <w:tcBorders>
                    <w:tl2br w:val="nil"/>
                    <w:tr2bl w:val="nil"/>
                  </w:tcBorders>
                  <w:noWrap w:val="0"/>
                  <w:vAlign w:val="center"/>
                </w:tcPr>
                <w:p w14:paraId="0BA3FA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切割、焊接</w:t>
                  </w:r>
                </w:p>
              </w:tc>
              <w:tc>
                <w:tcPr>
                  <w:tcW w:w="644" w:type="pct"/>
                  <w:tcBorders>
                    <w:tl2br w:val="nil"/>
                    <w:tr2bl w:val="nil"/>
                  </w:tcBorders>
                  <w:noWrap w:val="0"/>
                  <w:vAlign w:val="center"/>
                </w:tcPr>
                <w:p w14:paraId="57FA70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除尘灰</w:t>
                  </w:r>
                </w:p>
              </w:tc>
              <w:tc>
                <w:tcPr>
                  <w:tcW w:w="889" w:type="dxa"/>
                  <w:tcBorders>
                    <w:tl2br w:val="nil"/>
                    <w:tr2bl w:val="nil"/>
                  </w:tcBorders>
                  <w:noWrap w:val="0"/>
                  <w:vAlign w:val="center"/>
                </w:tcPr>
                <w:p w14:paraId="0A45DD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0.063</w:t>
                  </w:r>
                </w:p>
              </w:tc>
              <w:tc>
                <w:tcPr>
                  <w:tcW w:w="434" w:type="pct"/>
                  <w:vMerge w:val="restart"/>
                  <w:tcBorders>
                    <w:tl2br w:val="nil"/>
                    <w:tr2bl w:val="nil"/>
                  </w:tcBorders>
                  <w:noWrap w:val="0"/>
                  <w:vAlign w:val="center"/>
                </w:tcPr>
                <w:p w14:paraId="25CE40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一般固废</w:t>
                  </w:r>
                </w:p>
              </w:tc>
              <w:tc>
                <w:tcPr>
                  <w:tcW w:w="1066" w:type="pct"/>
                  <w:tcBorders>
                    <w:tl2br w:val="nil"/>
                    <w:tr2bl w:val="nil"/>
                  </w:tcBorders>
                  <w:noWrap w:val="0"/>
                  <w:vAlign w:val="center"/>
                </w:tcPr>
                <w:p w14:paraId="5C8727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w:t>
                  </w:r>
                </w:p>
              </w:tc>
              <w:tc>
                <w:tcPr>
                  <w:tcW w:w="848" w:type="pct"/>
                  <w:vMerge w:val="restart"/>
                  <w:tcBorders>
                    <w:tl2br w:val="nil"/>
                    <w:tr2bl w:val="nil"/>
                  </w:tcBorders>
                  <w:noWrap w:val="0"/>
                  <w:vAlign w:val="center"/>
                </w:tcPr>
                <w:p w14:paraId="091EC5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暂存</w:t>
                  </w:r>
                  <w:r>
                    <w:rPr>
                      <w:rFonts w:hint="eastAsia" w:cs="Times New Roman"/>
                      <w:color w:val="000000" w:themeColor="text1"/>
                      <w:sz w:val="21"/>
                      <w:szCs w:val="21"/>
                      <w:lang w:val="en-US" w:eastAsia="zh-CN"/>
                      <w14:textFill>
                        <w14:solidFill>
                          <w14:schemeClr w14:val="tx1"/>
                        </w14:solidFill>
                      </w14:textFill>
                    </w:rPr>
                    <w:t>一般固废暂存间，</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定期外售处理</w:t>
                  </w:r>
                </w:p>
              </w:tc>
              <w:tc>
                <w:tcPr>
                  <w:tcW w:w="863" w:type="dxa"/>
                  <w:tcBorders>
                    <w:tl2br w:val="nil"/>
                    <w:tr2bl w:val="nil"/>
                  </w:tcBorders>
                  <w:noWrap w:val="0"/>
                  <w:vAlign w:val="center"/>
                </w:tcPr>
                <w:p w14:paraId="695C0F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0.063</w:t>
                  </w:r>
                </w:p>
              </w:tc>
            </w:tr>
            <w:tr w14:paraId="61D65E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pct"/>
                  <w:tcBorders>
                    <w:tl2br w:val="nil"/>
                    <w:tr2bl w:val="nil"/>
                  </w:tcBorders>
                  <w:shd w:val="clear" w:color="auto" w:fill="auto"/>
                  <w:noWrap w:val="0"/>
                  <w:vAlign w:val="center"/>
                </w:tcPr>
                <w:p w14:paraId="4373ED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3</w:t>
                  </w:r>
                </w:p>
              </w:tc>
              <w:tc>
                <w:tcPr>
                  <w:tcW w:w="398" w:type="pct"/>
                  <w:vMerge w:val="restart"/>
                  <w:tcBorders>
                    <w:tl2br w:val="nil"/>
                    <w:tr2bl w:val="nil"/>
                  </w:tcBorders>
                  <w:noWrap w:val="0"/>
                  <w:vAlign w:val="center"/>
                </w:tcPr>
                <w:p w14:paraId="582117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下料</w:t>
                  </w:r>
                </w:p>
              </w:tc>
              <w:tc>
                <w:tcPr>
                  <w:tcW w:w="644" w:type="pct"/>
                  <w:tcBorders>
                    <w:tl2br w:val="nil"/>
                    <w:tr2bl w:val="nil"/>
                  </w:tcBorders>
                  <w:noWrap w:val="0"/>
                  <w:vAlign w:val="center"/>
                </w:tcPr>
                <w:p w14:paraId="3226D8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废包装桶</w:t>
                  </w:r>
                </w:p>
              </w:tc>
              <w:tc>
                <w:tcPr>
                  <w:tcW w:w="889" w:type="dxa"/>
                  <w:tcBorders>
                    <w:tl2br w:val="nil"/>
                    <w:tr2bl w:val="nil"/>
                  </w:tcBorders>
                  <w:noWrap w:val="0"/>
                  <w:vAlign w:val="center"/>
                </w:tcPr>
                <w:p w14:paraId="71D90C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1.12</w:t>
                  </w:r>
                </w:p>
              </w:tc>
              <w:tc>
                <w:tcPr>
                  <w:tcW w:w="434" w:type="pct"/>
                  <w:vMerge w:val="continue"/>
                  <w:tcBorders>
                    <w:tl2br w:val="nil"/>
                    <w:tr2bl w:val="nil"/>
                  </w:tcBorders>
                  <w:noWrap w:val="0"/>
                  <w:vAlign w:val="center"/>
                </w:tcPr>
                <w:p w14:paraId="42DB40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1066" w:type="pct"/>
                  <w:tcBorders>
                    <w:tl2br w:val="nil"/>
                    <w:tr2bl w:val="nil"/>
                  </w:tcBorders>
                  <w:noWrap w:val="0"/>
                  <w:vAlign w:val="center"/>
                </w:tcPr>
                <w:p w14:paraId="3BEA69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48" w:type="pct"/>
                  <w:vMerge w:val="continue"/>
                  <w:tcBorders>
                    <w:tl2br w:val="nil"/>
                    <w:tr2bl w:val="nil"/>
                  </w:tcBorders>
                  <w:noWrap w:val="0"/>
                  <w:vAlign w:val="center"/>
                </w:tcPr>
                <w:p w14:paraId="1BE6F9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63" w:type="dxa"/>
                  <w:tcBorders>
                    <w:tl2br w:val="nil"/>
                    <w:tr2bl w:val="nil"/>
                  </w:tcBorders>
                  <w:noWrap w:val="0"/>
                  <w:vAlign w:val="center"/>
                </w:tcPr>
                <w:p w14:paraId="3AFAA3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1.12</w:t>
                  </w:r>
                </w:p>
              </w:tc>
            </w:tr>
            <w:tr w14:paraId="494B06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pct"/>
                  <w:tcBorders>
                    <w:tl2br w:val="nil"/>
                    <w:tr2bl w:val="nil"/>
                  </w:tcBorders>
                  <w:shd w:val="clear" w:color="auto" w:fill="auto"/>
                  <w:noWrap w:val="0"/>
                  <w:vAlign w:val="center"/>
                </w:tcPr>
                <w:p w14:paraId="039CD2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4</w:t>
                  </w:r>
                </w:p>
              </w:tc>
              <w:tc>
                <w:tcPr>
                  <w:tcW w:w="398" w:type="pct"/>
                  <w:vMerge w:val="continue"/>
                  <w:tcBorders>
                    <w:tl2br w:val="nil"/>
                    <w:tr2bl w:val="nil"/>
                  </w:tcBorders>
                  <w:noWrap w:val="0"/>
                  <w:vAlign w:val="center"/>
                </w:tcPr>
                <w:p w14:paraId="027D73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kern w:val="2"/>
                      <w:sz w:val="21"/>
                      <w:szCs w:val="21"/>
                      <w:highlight w:val="none"/>
                      <w:lang w:val="en-US" w:eastAsia="zh-CN" w:bidi="ar-SA"/>
                      <w14:textFill>
                        <w14:solidFill>
                          <w14:schemeClr w14:val="tx1"/>
                        </w14:solidFill>
                      </w14:textFill>
                    </w:rPr>
                  </w:pPr>
                </w:p>
              </w:tc>
              <w:tc>
                <w:tcPr>
                  <w:tcW w:w="644" w:type="pct"/>
                  <w:tcBorders>
                    <w:tl2br w:val="nil"/>
                    <w:tr2bl w:val="nil"/>
                  </w:tcBorders>
                  <w:noWrap w:val="0"/>
                  <w:vAlign w:val="center"/>
                </w:tcPr>
                <w:p w14:paraId="7CFFD1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废石英砂</w:t>
                  </w:r>
                </w:p>
              </w:tc>
              <w:tc>
                <w:tcPr>
                  <w:tcW w:w="889" w:type="dxa"/>
                  <w:tcBorders>
                    <w:tl2br w:val="nil"/>
                    <w:tr2bl w:val="nil"/>
                  </w:tcBorders>
                  <w:noWrap w:val="0"/>
                  <w:vAlign w:val="center"/>
                </w:tcPr>
                <w:p w14:paraId="2AD86E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0.2</w:t>
                  </w:r>
                </w:p>
              </w:tc>
              <w:tc>
                <w:tcPr>
                  <w:tcW w:w="434" w:type="pct"/>
                  <w:vMerge w:val="continue"/>
                  <w:tcBorders>
                    <w:tl2br w:val="nil"/>
                    <w:tr2bl w:val="nil"/>
                  </w:tcBorders>
                  <w:noWrap w:val="0"/>
                  <w:vAlign w:val="center"/>
                </w:tcPr>
                <w:p w14:paraId="75797B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1066" w:type="pct"/>
                  <w:tcBorders>
                    <w:tl2br w:val="nil"/>
                    <w:tr2bl w:val="nil"/>
                  </w:tcBorders>
                  <w:noWrap w:val="0"/>
                  <w:vAlign w:val="center"/>
                </w:tcPr>
                <w:p w14:paraId="22F271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48" w:type="pct"/>
                  <w:vMerge w:val="continue"/>
                  <w:tcBorders>
                    <w:tl2br w:val="nil"/>
                    <w:tr2bl w:val="nil"/>
                  </w:tcBorders>
                  <w:noWrap w:val="0"/>
                  <w:vAlign w:val="center"/>
                </w:tcPr>
                <w:p w14:paraId="3B0C58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63" w:type="dxa"/>
                  <w:tcBorders>
                    <w:tl2br w:val="nil"/>
                    <w:tr2bl w:val="nil"/>
                  </w:tcBorders>
                  <w:noWrap w:val="0"/>
                  <w:vAlign w:val="center"/>
                </w:tcPr>
                <w:p w14:paraId="47D311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0.2</w:t>
                  </w:r>
                </w:p>
              </w:tc>
            </w:tr>
            <w:tr w14:paraId="531BD9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pct"/>
                  <w:tcBorders>
                    <w:tl2br w:val="nil"/>
                    <w:tr2bl w:val="nil"/>
                  </w:tcBorders>
                  <w:shd w:val="clear" w:color="auto" w:fill="auto"/>
                  <w:noWrap w:val="0"/>
                  <w:vAlign w:val="center"/>
                </w:tcPr>
                <w:p w14:paraId="2A5A3C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kern w:val="2"/>
                      <w:sz w:val="21"/>
                      <w:szCs w:val="21"/>
                      <w:lang w:val="en-US" w:eastAsia="zh-CN" w:bidi="ar-SA"/>
                      <w14:textFill>
                        <w14:solidFill>
                          <w14:schemeClr w14:val="tx1"/>
                        </w14:solidFill>
                      </w14:textFill>
                    </w:rPr>
                    <w:t>5</w:t>
                  </w:r>
                </w:p>
              </w:tc>
              <w:tc>
                <w:tcPr>
                  <w:tcW w:w="398" w:type="pct"/>
                  <w:vMerge w:val="continue"/>
                  <w:tcBorders>
                    <w:tl2br w:val="nil"/>
                    <w:tr2bl w:val="nil"/>
                  </w:tcBorders>
                  <w:noWrap w:val="0"/>
                  <w:vAlign w:val="center"/>
                </w:tcPr>
                <w:p w14:paraId="6A922E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kern w:val="2"/>
                      <w:sz w:val="21"/>
                      <w:szCs w:val="21"/>
                      <w:highlight w:val="none"/>
                      <w:lang w:val="en-US" w:eastAsia="zh-CN" w:bidi="ar-SA"/>
                      <w14:textFill>
                        <w14:solidFill>
                          <w14:schemeClr w14:val="tx1"/>
                        </w14:solidFill>
                      </w14:textFill>
                    </w:rPr>
                  </w:pPr>
                </w:p>
              </w:tc>
              <w:tc>
                <w:tcPr>
                  <w:tcW w:w="644" w:type="pct"/>
                  <w:tcBorders>
                    <w:tl2br w:val="nil"/>
                    <w:tr2bl w:val="nil"/>
                  </w:tcBorders>
                  <w:noWrap w:val="0"/>
                  <w:vAlign w:val="center"/>
                </w:tcPr>
                <w:p w14:paraId="015518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不合格品</w:t>
                  </w:r>
                </w:p>
              </w:tc>
              <w:tc>
                <w:tcPr>
                  <w:tcW w:w="889" w:type="dxa"/>
                  <w:tcBorders>
                    <w:tl2br w:val="nil"/>
                    <w:tr2bl w:val="nil"/>
                  </w:tcBorders>
                  <w:noWrap w:val="0"/>
                  <w:vAlign w:val="center"/>
                </w:tcPr>
                <w:p w14:paraId="612F53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0.25</w:t>
                  </w:r>
                </w:p>
              </w:tc>
              <w:tc>
                <w:tcPr>
                  <w:tcW w:w="434" w:type="pct"/>
                  <w:vMerge w:val="continue"/>
                  <w:tcBorders>
                    <w:tl2br w:val="nil"/>
                    <w:tr2bl w:val="nil"/>
                  </w:tcBorders>
                  <w:noWrap w:val="0"/>
                  <w:vAlign w:val="center"/>
                </w:tcPr>
                <w:p w14:paraId="055A21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1066" w:type="pct"/>
                  <w:tcBorders>
                    <w:tl2br w:val="nil"/>
                    <w:tr2bl w:val="nil"/>
                  </w:tcBorders>
                  <w:noWrap w:val="0"/>
                  <w:vAlign w:val="center"/>
                </w:tcPr>
                <w:p w14:paraId="3082EC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cs="Times New Roman"/>
                      <w:color w:val="000000" w:themeColor="text1"/>
                      <w:sz w:val="21"/>
                      <w:szCs w:val="21"/>
                      <w:highlight w:val="none"/>
                      <w:lang w:val="en-US" w:eastAsia="zh-CN"/>
                      <w14:textFill>
                        <w14:solidFill>
                          <w14:schemeClr w14:val="tx1"/>
                        </w14:solidFill>
                      </w14:textFill>
                    </w:rPr>
                  </w:pPr>
                </w:p>
              </w:tc>
              <w:tc>
                <w:tcPr>
                  <w:tcW w:w="848" w:type="pct"/>
                  <w:vMerge w:val="continue"/>
                  <w:tcBorders>
                    <w:tl2br w:val="nil"/>
                    <w:tr2bl w:val="nil"/>
                  </w:tcBorders>
                  <w:noWrap w:val="0"/>
                  <w:vAlign w:val="center"/>
                </w:tcPr>
                <w:p w14:paraId="469362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59" w:type="dxa"/>
                  <w:tcBorders>
                    <w:tl2br w:val="nil"/>
                    <w:tr2bl w:val="nil"/>
                  </w:tcBorders>
                  <w:noWrap w:val="0"/>
                  <w:vAlign w:val="center"/>
                </w:tcPr>
                <w:p w14:paraId="2C2FE0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0.25</w:t>
                  </w:r>
                </w:p>
              </w:tc>
            </w:tr>
            <w:tr w14:paraId="157CB0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pct"/>
                  <w:tcBorders>
                    <w:tl2br w:val="nil"/>
                    <w:tr2bl w:val="nil"/>
                  </w:tcBorders>
                  <w:shd w:val="clear" w:color="auto" w:fill="auto"/>
                  <w:noWrap w:val="0"/>
                  <w:vAlign w:val="center"/>
                </w:tcPr>
                <w:p w14:paraId="482D97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kern w:val="2"/>
                      <w:sz w:val="21"/>
                      <w:szCs w:val="21"/>
                      <w:lang w:val="en-US" w:eastAsia="zh-CN" w:bidi="ar-SA"/>
                      <w14:textFill>
                        <w14:solidFill>
                          <w14:schemeClr w14:val="tx1"/>
                        </w14:solidFill>
                      </w14:textFill>
                    </w:rPr>
                    <w:t>6</w:t>
                  </w:r>
                </w:p>
              </w:tc>
              <w:tc>
                <w:tcPr>
                  <w:tcW w:w="398" w:type="pct"/>
                  <w:vMerge w:val="continue"/>
                  <w:tcBorders>
                    <w:tl2br w:val="nil"/>
                    <w:tr2bl w:val="nil"/>
                  </w:tcBorders>
                  <w:noWrap w:val="0"/>
                  <w:vAlign w:val="center"/>
                </w:tcPr>
                <w:p w14:paraId="3F1ED2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kern w:val="2"/>
                      <w:sz w:val="21"/>
                      <w:szCs w:val="21"/>
                      <w:highlight w:val="none"/>
                      <w:lang w:val="en-US" w:eastAsia="zh-CN" w:bidi="ar-SA"/>
                      <w14:textFill>
                        <w14:solidFill>
                          <w14:schemeClr w14:val="tx1"/>
                        </w14:solidFill>
                      </w14:textFill>
                    </w:rPr>
                  </w:pPr>
                </w:p>
              </w:tc>
              <w:tc>
                <w:tcPr>
                  <w:tcW w:w="644" w:type="pct"/>
                  <w:tcBorders>
                    <w:tl2br w:val="nil"/>
                    <w:tr2bl w:val="nil"/>
                  </w:tcBorders>
                  <w:noWrap w:val="0"/>
                  <w:vAlign w:val="center"/>
                </w:tcPr>
                <w:p w14:paraId="2050DC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金属边角料</w:t>
                  </w:r>
                </w:p>
              </w:tc>
              <w:tc>
                <w:tcPr>
                  <w:tcW w:w="889" w:type="dxa"/>
                  <w:tcBorders>
                    <w:tl2br w:val="nil"/>
                    <w:tr2bl w:val="nil"/>
                  </w:tcBorders>
                  <w:noWrap w:val="0"/>
                  <w:vAlign w:val="center"/>
                </w:tcPr>
                <w:p w14:paraId="13EAB4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0.5</w:t>
                  </w:r>
                </w:p>
              </w:tc>
              <w:tc>
                <w:tcPr>
                  <w:tcW w:w="434" w:type="pct"/>
                  <w:vMerge w:val="continue"/>
                  <w:tcBorders>
                    <w:tl2br w:val="nil"/>
                    <w:tr2bl w:val="nil"/>
                  </w:tcBorders>
                  <w:noWrap w:val="0"/>
                  <w:vAlign w:val="center"/>
                </w:tcPr>
                <w:p w14:paraId="0DCAAF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1066" w:type="pct"/>
                  <w:tcBorders>
                    <w:tl2br w:val="nil"/>
                    <w:tr2bl w:val="nil"/>
                  </w:tcBorders>
                  <w:noWrap w:val="0"/>
                  <w:vAlign w:val="center"/>
                </w:tcPr>
                <w:p w14:paraId="7BC284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w:t>
                  </w:r>
                </w:p>
              </w:tc>
              <w:tc>
                <w:tcPr>
                  <w:tcW w:w="848" w:type="pct"/>
                  <w:vMerge w:val="continue"/>
                  <w:tcBorders>
                    <w:tl2br w:val="nil"/>
                    <w:tr2bl w:val="nil"/>
                  </w:tcBorders>
                  <w:noWrap w:val="0"/>
                  <w:vAlign w:val="center"/>
                </w:tcPr>
                <w:p w14:paraId="2FEE1A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59" w:type="dxa"/>
                  <w:tcBorders>
                    <w:tl2br w:val="nil"/>
                    <w:tr2bl w:val="nil"/>
                  </w:tcBorders>
                  <w:noWrap w:val="0"/>
                  <w:vAlign w:val="center"/>
                </w:tcPr>
                <w:p w14:paraId="26E45E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0.5</w:t>
                  </w:r>
                </w:p>
              </w:tc>
            </w:tr>
            <w:tr w14:paraId="5EB31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pct"/>
                  <w:tcBorders>
                    <w:tl2br w:val="nil"/>
                    <w:tr2bl w:val="nil"/>
                  </w:tcBorders>
                  <w:shd w:val="clear" w:color="auto" w:fill="auto"/>
                  <w:noWrap w:val="0"/>
                  <w:vAlign w:val="center"/>
                </w:tcPr>
                <w:p w14:paraId="59CEFB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7</w:t>
                  </w:r>
                </w:p>
              </w:tc>
              <w:tc>
                <w:tcPr>
                  <w:tcW w:w="398" w:type="pct"/>
                  <w:vMerge w:val="restart"/>
                  <w:tcBorders>
                    <w:tl2br w:val="nil"/>
                    <w:tr2bl w:val="nil"/>
                  </w:tcBorders>
                  <w:noWrap w:val="0"/>
                  <w:vAlign w:val="center"/>
                </w:tcPr>
                <w:p w14:paraId="0A81C0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机加工</w:t>
                  </w:r>
                </w:p>
              </w:tc>
              <w:tc>
                <w:tcPr>
                  <w:tcW w:w="644" w:type="pct"/>
                  <w:tcBorders>
                    <w:tl2br w:val="nil"/>
                    <w:tr2bl w:val="nil"/>
                  </w:tcBorders>
                  <w:noWrap w:val="0"/>
                  <w:vAlign w:val="center"/>
                </w:tcPr>
                <w:p w14:paraId="3B8956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废切削液</w:t>
                  </w:r>
                </w:p>
              </w:tc>
              <w:tc>
                <w:tcPr>
                  <w:tcW w:w="889" w:type="dxa"/>
                  <w:tcBorders>
                    <w:tl2br w:val="nil"/>
                    <w:tr2bl w:val="nil"/>
                  </w:tcBorders>
                  <w:noWrap w:val="0"/>
                  <w:vAlign w:val="center"/>
                </w:tcPr>
                <w:p w14:paraId="5C4921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0.08</w:t>
                  </w:r>
                </w:p>
              </w:tc>
              <w:tc>
                <w:tcPr>
                  <w:tcW w:w="434" w:type="pct"/>
                  <w:vMerge w:val="restart"/>
                  <w:tcBorders>
                    <w:tl2br w:val="nil"/>
                    <w:tr2bl w:val="nil"/>
                  </w:tcBorders>
                  <w:noWrap w:val="0"/>
                  <w:vAlign w:val="center"/>
                </w:tcPr>
                <w:p w14:paraId="1613FA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kern w:val="2"/>
                      <w:sz w:val="21"/>
                      <w:szCs w:val="21"/>
                      <w:lang w:val="en-US" w:eastAsia="zh-CN" w:bidi="ar-SA"/>
                      <w14:textFill>
                        <w14:solidFill>
                          <w14:schemeClr w14:val="tx1"/>
                        </w14:solidFill>
                      </w14:textFill>
                    </w:rPr>
                    <w:t>危险废物</w:t>
                  </w:r>
                </w:p>
              </w:tc>
              <w:tc>
                <w:tcPr>
                  <w:tcW w:w="1066" w:type="pct"/>
                  <w:tcBorders>
                    <w:tl2br w:val="nil"/>
                    <w:tr2bl w:val="nil"/>
                  </w:tcBorders>
                  <w:noWrap w:val="0"/>
                  <w:vAlign w:val="center"/>
                </w:tcPr>
                <w:p w14:paraId="760F46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HW</w:t>
                  </w:r>
                  <w:r>
                    <w:rPr>
                      <w:rFonts w:hint="eastAsia" w:cs="Times New Roman"/>
                      <w:color w:val="000000" w:themeColor="text1"/>
                      <w:sz w:val="21"/>
                      <w:szCs w:val="21"/>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9</w:t>
                  </w:r>
                  <w:r>
                    <w:rPr>
                      <w:rFonts w:hint="default" w:ascii="Times New Roman" w:hAnsi="Times New Roman" w:eastAsia="宋体" w:cs="Times New Roman"/>
                      <w:color w:val="000000" w:themeColor="text1"/>
                      <w:sz w:val="21"/>
                      <w:szCs w:val="21"/>
                      <w14:textFill>
                        <w14:solidFill>
                          <w14:schemeClr w14:val="tx1"/>
                        </w14:solidFill>
                      </w14:textFill>
                    </w:rPr>
                    <w:t>900-0</w:t>
                  </w:r>
                  <w:r>
                    <w:rPr>
                      <w:rFonts w:hint="eastAsia" w:cs="Times New Roman"/>
                      <w:color w:val="000000" w:themeColor="text1"/>
                      <w:sz w:val="21"/>
                      <w:szCs w:val="21"/>
                      <w:lang w:val="en-US" w:eastAsia="zh-CN"/>
                      <w14:textFill>
                        <w14:solidFill>
                          <w14:schemeClr w14:val="tx1"/>
                        </w14:solidFill>
                      </w14:textFill>
                    </w:rPr>
                    <w:t>06</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14:textFill>
                        <w14:solidFill>
                          <w14:schemeClr w14:val="tx1"/>
                        </w14:solidFill>
                      </w14:textFill>
                    </w:rPr>
                    <w:t>9</w:t>
                  </w:r>
                </w:p>
              </w:tc>
              <w:tc>
                <w:tcPr>
                  <w:tcW w:w="848" w:type="pct"/>
                  <w:vMerge w:val="restart"/>
                  <w:tcBorders>
                    <w:tl2br w:val="nil"/>
                    <w:tr2bl w:val="nil"/>
                  </w:tcBorders>
                  <w:noWrap w:val="0"/>
                  <w:vAlign w:val="center"/>
                </w:tcPr>
                <w:p w14:paraId="0A034F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分类分区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暂存</w:t>
                  </w:r>
                  <w:r>
                    <w:rPr>
                      <w:rFonts w:hint="eastAsia" w:cs="Times New Roman"/>
                      <w:color w:val="000000" w:themeColor="text1"/>
                      <w:sz w:val="21"/>
                      <w:szCs w:val="21"/>
                      <w:lang w:val="en-US" w:eastAsia="zh-CN"/>
                      <w14:textFill>
                        <w14:solidFill>
                          <w14:schemeClr w14:val="tx1"/>
                        </w14:solidFill>
                      </w14:textFill>
                    </w:rPr>
                    <w:t>于危险废物暂贮存库，</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定期</w:t>
                  </w:r>
                  <w:r>
                    <w:rPr>
                      <w:rFonts w:hint="eastAsia" w:cs="Times New Roman"/>
                      <w:color w:val="000000" w:themeColor="text1"/>
                      <w:sz w:val="21"/>
                      <w:szCs w:val="21"/>
                      <w:lang w:val="en-US" w:eastAsia="zh-CN"/>
                      <w14:textFill>
                        <w14:solidFill>
                          <w14:schemeClr w14:val="tx1"/>
                        </w14:solidFill>
                      </w14:textFill>
                    </w:rPr>
                    <w:t>交由资质单位处置</w:t>
                  </w:r>
                </w:p>
              </w:tc>
              <w:tc>
                <w:tcPr>
                  <w:tcW w:w="863" w:type="dxa"/>
                  <w:tcBorders>
                    <w:tl2br w:val="nil"/>
                    <w:tr2bl w:val="nil"/>
                  </w:tcBorders>
                  <w:noWrap w:val="0"/>
                  <w:vAlign w:val="center"/>
                </w:tcPr>
                <w:p w14:paraId="12B1F6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0.08</w:t>
                  </w:r>
                </w:p>
              </w:tc>
            </w:tr>
            <w:tr w14:paraId="3BCA60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pct"/>
                  <w:tcBorders>
                    <w:tl2br w:val="nil"/>
                    <w:tr2bl w:val="nil"/>
                  </w:tcBorders>
                  <w:shd w:val="clear" w:color="auto" w:fill="auto"/>
                  <w:noWrap w:val="0"/>
                  <w:vAlign w:val="center"/>
                </w:tcPr>
                <w:p w14:paraId="5C0692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kern w:val="2"/>
                      <w:sz w:val="21"/>
                      <w:szCs w:val="21"/>
                      <w:lang w:val="en-US" w:eastAsia="zh-CN" w:bidi="ar-SA"/>
                      <w14:textFill>
                        <w14:solidFill>
                          <w14:schemeClr w14:val="tx1"/>
                        </w14:solidFill>
                      </w14:textFill>
                    </w:rPr>
                    <w:t>8</w:t>
                  </w:r>
                </w:p>
              </w:tc>
              <w:tc>
                <w:tcPr>
                  <w:tcW w:w="398" w:type="pct"/>
                  <w:vMerge w:val="continue"/>
                  <w:tcBorders>
                    <w:tl2br w:val="nil"/>
                    <w:tr2bl w:val="nil"/>
                  </w:tcBorders>
                  <w:noWrap w:val="0"/>
                  <w:vAlign w:val="center"/>
                </w:tcPr>
                <w:p w14:paraId="6BCE47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cs="Times New Roman"/>
                      <w:b w:val="0"/>
                      <w:bCs w:val="0"/>
                      <w:color w:val="000000" w:themeColor="text1"/>
                      <w:sz w:val="21"/>
                      <w:szCs w:val="21"/>
                      <w:lang w:val="en-US" w:eastAsia="zh-CN"/>
                      <w14:textFill>
                        <w14:solidFill>
                          <w14:schemeClr w14:val="tx1"/>
                        </w14:solidFill>
                      </w14:textFill>
                    </w:rPr>
                  </w:pPr>
                </w:p>
              </w:tc>
              <w:tc>
                <w:tcPr>
                  <w:tcW w:w="644" w:type="pct"/>
                  <w:tcBorders>
                    <w:tl2br w:val="nil"/>
                    <w:tr2bl w:val="nil"/>
                  </w:tcBorders>
                  <w:noWrap w:val="0"/>
                  <w:vAlign w:val="center"/>
                </w:tcPr>
                <w:p w14:paraId="657678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废真空泵油</w:t>
                  </w:r>
                </w:p>
              </w:tc>
              <w:tc>
                <w:tcPr>
                  <w:tcW w:w="889" w:type="dxa"/>
                  <w:tcBorders>
                    <w:tl2br w:val="nil"/>
                    <w:tr2bl w:val="nil"/>
                  </w:tcBorders>
                  <w:noWrap w:val="0"/>
                  <w:vAlign w:val="center"/>
                </w:tcPr>
                <w:p w14:paraId="4C0B4C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0.001</w:t>
                  </w:r>
                </w:p>
              </w:tc>
              <w:tc>
                <w:tcPr>
                  <w:tcW w:w="434" w:type="pct"/>
                  <w:vMerge w:val="continue"/>
                  <w:tcBorders>
                    <w:tl2br w:val="nil"/>
                    <w:tr2bl w:val="nil"/>
                  </w:tcBorders>
                  <w:noWrap w:val="0"/>
                  <w:vAlign w:val="center"/>
                </w:tcPr>
                <w:p w14:paraId="202665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p>
              </w:tc>
              <w:tc>
                <w:tcPr>
                  <w:tcW w:w="1066" w:type="pct"/>
                  <w:tcBorders>
                    <w:tl2br w:val="nil"/>
                    <w:tr2bl w:val="nil"/>
                  </w:tcBorders>
                  <w:noWrap w:val="0"/>
                  <w:vAlign w:val="center"/>
                </w:tcPr>
                <w:p w14:paraId="3B4593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HW08</w:t>
                  </w:r>
                </w:p>
                <w:p w14:paraId="6326C8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900</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249</w:t>
                  </w:r>
                  <w:r>
                    <w:rPr>
                      <w:rFonts w:hint="eastAsia" w:cs="Times New Roman"/>
                      <w:b w:val="0"/>
                      <w:bCs w:val="0"/>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08</w:t>
                  </w:r>
                </w:p>
              </w:tc>
              <w:tc>
                <w:tcPr>
                  <w:tcW w:w="848" w:type="pct"/>
                  <w:vMerge w:val="continue"/>
                  <w:tcBorders>
                    <w:tl2br w:val="nil"/>
                    <w:tr2bl w:val="nil"/>
                  </w:tcBorders>
                  <w:noWrap w:val="0"/>
                  <w:vAlign w:val="center"/>
                </w:tcPr>
                <w:p w14:paraId="427802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p>
              </w:tc>
              <w:tc>
                <w:tcPr>
                  <w:tcW w:w="863" w:type="dxa"/>
                  <w:tcBorders>
                    <w:tl2br w:val="nil"/>
                    <w:tr2bl w:val="nil"/>
                  </w:tcBorders>
                  <w:shd w:val="clear" w:color="auto" w:fill="auto"/>
                  <w:noWrap w:val="0"/>
                  <w:vAlign w:val="center"/>
                </w:tcPr>
                <w:p w14:paraId="1E111E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0.001</w:t>
                  </w:r>
                </w:p>
              </w:tc>
            </w:tr>
            <w:tr w14:paraId="03F0C8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pct"/>
                  <w:tcBorders>
                    <w:tl2br w:val="nil"/>
                    <w:tr2bl w:val="nil"/>
                  </w:tcBorders>
                  <w:shd w:val="clear" w:color="auto" w:fill="auto"/>
                  <w:noWrap w:val="0"/>
                  <w:vAlign w:val="center"/>
                </w:tcPr>
                <w:p w14:paraId="3B7EFA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kern w:val="2"/>
                      <w:sz w:val="21"/>
                      <w:szCs w:val="21"/>
                      <w:lang w:val="en-US" w:eastAsia="zh-CN" w:bidi="ar-SA"/>
                      <w14:textFill>
                        <w14:solidFill>
                          <w14:schemeClr w14:val="tx1"/>
                        </w14:solidFill>
                      </w14:textFill>
                    </w:rPr>
                    <w:t>9</w:t>
                  </w:r>
                </w:p>
              </w:tc>
              <w:tc>
                <w:tcPr>
                  <w:tcW w:w="398" w:type="pct"/>
                  <w:vMerge w:val="continue"/>
                  <w:tcBorders>
                    <w:tl2br w:val="nil"/>
                    <w:tr2bl w:val="nil"/>
                  </w:tcBorders>
                  <w:noWrap w:val="0"/>
                  <w:vAlign w:val="center"/>
                </w:tcPr>
                <w:p w14:paraId="155FE6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cs="Times New Roman"/>
                      <w:b w:val="0"/>
                      <w:bCs w:val="0"/>
                      <w:color w:val="000000" w:themeColor="text1"/>
                      <w:sz w:val="21"/>
                      <w:szCs w:val="21"/>
                      <w:lang w:val="en-US" w:eastAsia="zh-CN"/>
                      <w14:textFill>
                        <w14:solidFill>
                          <w14:schemeClr w14:val="tx1"/>
                        </w14:solidFill>
                      </w14:textFill>
                    </w:rPr>
                  </w:pPr>
                </w:p>
              </w:tc>
              <w:tc>
                <w:tcPr>
                  <w:tcW w:w="644" w:type="pct"/>
                  <w:tcBorders>
                    <w:tl2br w:val="nil"/>
                    <w:tr2bl w:val="nil"/>
                  </w:tcBorders>
                  <w:noWrap w:val="0"/>
                  <w:vAlign w:val="center"/>
                </w:tcPr>
                <w:p w14:paraId="6CB292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沾有切削液的金属屑</w:t>
                  </w:r>
                </w:p>
              </w:tc>
              <w:tc>
                <w:tcPr>
                  <w:tcW w:w="889" w:type="dxa"/>
                  <w:tcBorders>
                    <w:tl2br w:val="nil"/>
                    <w:tr2bl w:val="nil"/>
                  </w:tcBorders>
                  <w:noWrap w:val="0"/>
                  <w:vAlign w:val="center"/>
                </w:tcPr>
                <w:p w14:paraId="4457CA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0.25</w:t>
                  </w:r>
                </w:p>
              </w:tc>
              <w:tc>
                <w:tcPr>
                  <w:tcW w:w="434" w:type="pct"/>
                  <w:vMerge w:val="continue"/>
                  <w:tcBorders>
                    <w:tl2br w:val="nil"/>
                    <w:tr2bl w:val="nil"/>
                  </w:tcBorders>
                  <w:noWrap w:val="0"/>
                  <w:vAlign w:val="center"/>
                </w:tcPr>
                <w:p w14:paraId="018F73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p>
              </w:tc>
              <w:tc>
                <w:tcPr>
                  <w:tcW w:w="1066" w:type="pct"/>
                  <w:tcBorders>
                    <w:tl2br w:val="nil"/>
                    <w:tr2bl w:val="nil"/>
                  </w:tcBorders>
                  <w:noWrap w:val="0"/>
                  <w:vAlign w:val="center"/>
                </w:tcPr>
                <w:p w14:paraId="7B2218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HW49</w:t>
                  </w:r>
                </w:p>
                <w:p w14:paraId="0CC6E1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Cs w:val="21"/>
                      <w:lang w:val="en-US" w:eastAsia="zh-CN"/>
                      <w14:textFill>
                        <w14:solidFill>
                          <w14:schemeClr w14:val="tx1"/>
                        </w14:solidFill>
                      </w14:textFill>
                    </w:rPr>
                    <w:t>900-041-49</w:t>
                  </w:r>
                </w:p>
              </w:tc>
              <w:tc>
                <w:tcPr>
                  <w:tcW w:w="848" w:type="pct"/>
                  <w:vMerge w:val="continue"/>
                  <w:tcBorders>
                    <w:tl2br w:val="nil"/>
                    <w:tr2bl w:val="nil"/>
                  </w:tcBorders>
                  <w:noWrap w:val="0"/>
                  <w:vAlign w:val="center"/>
                </w:tcPr>
                <w:p w14:paraId="299B26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p>
              </w:tc>
              <w:tc>
                <w:tcPr>
                  <w:tcW w:w="863" w:type="dxa"/>
                  <w:tcBorders>
                    <w:tl2br w:val="nil"/>
                    <w:tr2bl w:val="nil"/>
                  </w:tcBorders>
                  <w:shd w:val="clear" w:color="auto" w:fill="auto"/>
                  <w:noWrap w:val="0"/>
                  <w:vAlign w:val="center"/>
                </w:tcPr>
                <w:p w14:paraId="789DA1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0.25</w:t>
                  </w:r>
                </w:p>
              </w:tc>
            </w:tr>
            <w:tr w14:paraId="5558EE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pct"/>
                  <w:tcBorders>
                    <w:tl2br w:val="nil"/>
                    <w:tr2bl w:val="nil"/>
                  </w:tcBorders>
                  <w:shd w:val="clear" w:color="auto" w:fill="auto"/>
                  <w:noWrap w:val="0"/>
                  <w:vAlign w:val="center"/>
                </w:tcPr>
                <w:p w14:paraId="1B56F4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kern w:val="2"/>
                      <w:sz w:val="21"/>
                      <w:szCs w:val="21"/>
                      <w:lang w:val="en-US" w:eastAsia="zh-CN" w:bidi="ar-SA"/>
                      <w14:textFill>
                        <w14:solidFill>
                          <w14:schemeClr w14:val="tx1"/>
                        </w14:solidFill>
                      </w14:textFill>
                    </w:rPr>
                    <w:t>10</w:t>
                  </w:r>
                </w:p>
              </w:tc>
              <w:tc>
                <w:tcPr>
                  <w:tcW w:w="398" w:type="pct"/>
                  <w:vMerge w:val="continue"/>
                  <w:tcBorders>
                    <w:tl2br w:val="nil"/>
                    <w:tr2bl w:val="nil"/>
                  </w:tcBorders>
                  <w:noWrap w:val="0"/>
                  <w:vAlign w:val="center"/>
                </w:tcPr>
                <w:p w14:paraId="3645FE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cs="Times New Roman"/>
                      <w:b w:val="0"/>
                      <w:bCs w:val="0"/>
                      <w:color w:val="000000" w:themeColor="text1"/>
                      <w:sz w:val="21"/>
                      <w:szCs w:val="21"/>
                      <w:lang w:val="en-US" w:eastAsia="zh-CN"/>
                      <w14:textFill>
                        <w14:solidFill>
                          <w14:schemeClr w14:val="tx1"/>
                        </w14:solidFill>
                      </w14:textFill>
                    </w:rPr>
                  </w:pPr>
                </w:p>
              </w:tc>
              <w:tc>
                <w:tcPr>
                  <w:tcW w:w="644" w:type="pct"/>
                  <w:tcBorders>
                    <w:tl2br w:val="nil"/>
                    <w:tr2bl w:val="nil"/>
                  </w:tcBorders>
                  <w:noWrap w:val="0"/>
                  <w:vAlign w:val="center"/>
                </w:tcPr>
                <w:p w14:paraId="40FFC5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废液压油</w:t>
                  </w:r>
                </w:p>
              </w:tc>
              <w:tc>
                <w:tcPr>
                  <w:tcW w:w="889" w:type="dxa"/>
                  <w:tcBorders>
                    <w:tl2br w:val="nil"/>
                    <w:tr2bl w:val="nil"/>
                  </w:tcBorders>
                  <w:noWrap w:val="0"/>
                  <w:vAlign w:val="center"/>
                </w:tcPr>
                <w:p w14:paraId="3C695F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0.005</w:t>
                  </w:r>
                </w:p>
              </w:tc>
              <w:tc>
                <w:tcPr>
                  <w:tcW w:w="434" w:type="pct"/>
                  <w:vMerge w:val="continue"/>
                  <w:tcBorders>
                    <w:tl2br w:val="nil"/>
                    <w:tr2bl w:val="nil"/>
                  </w:tcBorders>
                  <w:noWrap w:val="0"/>
                  <w:vAlign w:val="center"/>
                </w:tcPr>
                <w:p w14:paraId="7C880B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p>
              </w:tc>
              <w:tc>
                <w:tcPr>
                  <w:tcW w:w="1066" w:type="pct"/>
                  <w:tcBorders>
                    <w:tl2br w:val="nil"/>
                    <w:tr2bl w:val="nil"/>
                  </w:tcBorders>
                  <w:noWrap w:val="0"/>
                  <w:vAlign w:val="center"/>
                </w:tcPr>
                <w:p w14:paraId="02CDF6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HW08</w:t>
                  </w:r>
                </w:p>
                <w:p w14:paraId="424990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900</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08</w:t>
                  </w:r>
                </w:p>
              </w:tc>
              <w:tc>
                <w:tcPr>
                  <w:tcW w:w="848" w:type="pct"/>
                  <w:vMerge w:val="continue"/>
                  <w:tcBorders>
                    <w:tl2br w:val="nil"/>
                    <w:tr2bl w:val="nil"/>
                  </w:tcBorders>
                  <w:noWrap w:val="0"/>
                  <w:vAlign w:val="center"/>
                </w:tcPr>
                <w:p w14:paraId="645B32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p>
              </w:tc>
              <w:tc>
                <w:tcPr>
                  <w:tcW w:w="863" w:type="dxa"/>
                  <w:tcBorders>
                    <w:tl2br w:val="nil"/>
                    <w:tr2bl w:val="nil"/>
                  </w:tcBorders>
                  <w:noWrap w:val="0"/>
                  <w:vAlign w:val="center"/>
                </w:tcPr>
                <w:p w14:paraId="130C17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0.005</w:t>
                  </w:r>
                </w:p>
              </w:tc>
            </w:tr>
            <w:tr w14:paraId="5593A2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pct"/>
                  <w:tcBorders>
                    <w:tl2br w:val="nil"/>
                    <w:tr2bl w:val="nil"/>
                  </w:tcBorders>
                  <w:shd w:val="clear" w:color="auto" w:fill="auto"/>
                  <w:noWrap w:val="0"/>
                  <w:vAlign w:val="center"/>
                </w:tcPr>
                <w:p w14:paraId="7749A5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kern w:val="2"/>
                      <w:sz w:val="21"/>
                      <w:szCs w:val="21"/>
                      <w:lang w:val="en-US" w:eastAsia="zh-CN" w:bidi="ar-SA"/>
                      <w14:textFill>
                        <w14:solidFill>
                          <w14:schemeClr w14:val="tx1"/>
                        </w14:solidFill>
                      </w14:textFill>
                    </w:rPr>
                    <w:t>11</w:t>
                  </w:r>
                </w:p>
              </w:tc>
              <w:tc>
                <w:tcPr>
                  <w:tcW w:w="398" w:type="pct"/>
                  <w:vMerge w:val="restart"/>
                  <w:tcBorders>
                    <w:tl2br w:val="nil"/>
                    <w:tr2bl w:val="nil"/>
                  </w:tcBorders>
                  <w:noWrap w:val="0"/>
                  <w:vAlign w:val="center"/>
                </w:tcPr>
                <w:p w14:paraId="34BE64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设备保养</w:t>
                  </w:r>
                </w:p>
              </w:tc>
              <w:tc>
                <w:tcPr>
                  <w:tcW w:w="644" w:type="pct"/>
                  <w:tcBorders>
                    <w:tl2br w:val="nil"/>
                    <w:tr2bl w:val="nil"/>
                  </w:tcBorders>
                  <w:noWrap w:val="0"/>
                  <w:vAlign w:val="center"/>
                </w:tcPr>
                <w:p w14:paraId="092AD4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废润滑油</w:t>
                  </w:r>
                </w:p>
              </w:tc>
              <w:tc>
                <w:tcPr>
                  <w:tcW w:w="889" w:type="dxa"/>
                  <w:tcBorders>
                    <w:tl2br w:val="nil"/>
                    <w:tr2bl w:val="nil"/>
                  </w:tcBorders>
                  <w:noWrap w:val="0"/>
                  <w:vAlign w:val="center"/>
                </w:tcPr>
                <w:p w14:paraId="40707D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0.01</w:t>
                  </w:r>
                </w:p>
              </w:tc>
              <w:tc>
                <w:tcPr>
                  <w:tcW w:w="434" w:type="pct"/>
                  <w:vMerge w:val="continue"/>
                  <w:tcBorders>
                    <w:tl2br w:val="nil"/>
                    <w:tr2bl w:val="nil"/>
                  </w:tcBorders>
                  <w:noWrap w:val="0"/>
                  <w:vAlign w:val="center"/>
                </w:tcPr>
                <w:p w14:paraId="2E0C7F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1066" w:type="pct"/>
                  <w:tcBorders>
                    <w:tl2br w:val="nil"/>
                    <w:tr2bl w:val="nil"/>
                  </w:tcBorders>
                  <w:noWrap w:val="0"/>
                  <w:vAlign w:val="center"/>
                </w:tcPr>
                <w:p w14:paraId="54332B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HW08</w:t>
                  </w:r>
                </w:p>
                <w:p w14:paraId="707348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900</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214</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08</w:t>
                  </w:r>
                </w:p>
              </w:tc>
              <w:tc>
                <w:tcPr>
                  <w:tcW w:w="848" w:type="pct"/>
                  <w:vMerge w:val="continue"/>
                  <w:tcBorders>
                    <w:tl2br w:val="nil"/>
                    <w:tr2bl w:val="nil"/>
                  </w:tcBorders>
                  <w:noWrap w:val="0"/>
                  <w:vAlign w:val="center"/>
                </w:tcPr>
                <w:p w14:paraId="44CB5D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863" w:type="dxa"/>
                  <w:tcBorders>
                    <w:tl2br w:val="nil"/>
                    <w:tr2bl w:val="nil"/>
                  </w:tcBorders>
                  <w:noWrap w:val="0"/>
                  <w:vAlign w:val="center"/>
                </w:tcPr>
                <w:p w14:paraId="55617B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0.01</w:t>
                  </w:r>
                </w:p>
              </w:tc>
            </w:tr>
            <w:tr w14:paraId="6A6C51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6" w:type="pct"/>
                  <w:tcBorders>
                    <w:tl2br w:val="nil"/>
                    <w:tr2bl w:val="nil"/>
                  </w:tcBorders>
                  <w:noWrap w:val="0"/>
                  <w:vAlign w:val="center"/>
                </w:tcPr>
                <w:p w14:paraId="5FEFCB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kern w:val="2"/>
                      <w:sz w:val="21"/>
                      <w:szCs w:val="21"/>
                      <w:lang w:val="en-US" w:eastAsia="zh-CN" w:bidi="ar-SA"/>
                      <w14:textFill>
                        <w14:solidFill>
                          <w14:schemeClr w14:val="tx1"/>
                        </w14:solidFill>
                      </w14:textFill>
                    </w:rPr>
                    <w:t>12</w:t>
                  </w:r>
                </w:p>
              </w:tc>
              <w:tc>
                <w:tcPr>
                  <w:tcW w:w="398" w:type="pct"/>
                  <w:vMerge w:val="continue"/>
                  <w:tcBorders>
                    <w:tl2br w:val="nil"/>
                    <w:tr2bl w:val="nil"/>
                  </w:tcBorders>
                  <w:noWrap w:val="0"/>
                  <w:vAlign w:val="center"/>
                </w:tcPr>
                <w:p w14:paraId="60130D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p>
              </w:tc>
              <w:tc>
                <w:tcPr>
                  <w:tcW w:w="644" w:type="pct"/>
                  <w:tcBorders>
                    <w:tl2br w:val="nil"/>
                    <w:tr2bl w:val="nil"/>
                  </w:tcBorders>
                  <w:noWrap w:val="0"/>
                  <w:vAlign w:val="center"/>
                </w:tcPr>
                <w:p w14:paraId="600B0D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废</w:t>
                  </w:r>
                  <w:r>
                    <w:rPr>
                      <w:rFonts w:hint="eastAsia" w:cs="Times New Roman"/>
                      <w:b w:val="0"/>
                      <w:bCs w:val="0"/>
                      <w:color w:val="000000" w:themeColor="text1"/>
                      <w:sz w:val="21"/>
                      <w:szCs w:val="21"/>
                      <w:lang w:val="en-US" w:eastAsia="zh-CN"/>
                      <w14:textFill>
                        <w14:solidFill>
                          <w14:schemeClr w14:val="tx1"/>
                        </w14:solidFill>
                      </w14:textFill>
                    </w:rPr>
                    <w:t>包装</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桶</w:t>
                  </w:r>
                </w:p>
              </w:tc>
              <w:tc>
                <w:tcPr>
                  <w:tcW w:w="889" w:type="dxa"/>
                  <w:tcBorders>
                    <w:tl2br w:val="nil"/>
                    <w:tr2bl w:val="nil"/>
                  </w:tcBorders>
                  <w:noWrap w:val="0"/>
                  <w:vAlign w:val="center"/>
                </w:tcPr>
                <w:p w14:paraId="67376F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w:t>
                  </w:r>
                  <w:r>
                    <w:rPr>
                      <w:rFonts w:hint="eastAsia" w:cs="Times New Roman"/>
                      <w:b w:val="0"/>
                      <w:bCs w:val="0"/>
                      <w:color w:val="000000" w:themeColor="text1"/>
                      <w:sz w:val="21"/>
                      <w:szCs w:val="21"/>
                      <w:lang w:val="en-US" w:eastAsia="zh-CN"/>
                      <w14:textFill>
                        <w14:solidFill>
                          <w14:schemeClr w14:val="tx1"/>
                        </w14:solidFill>
                      </w14:textFill>
                    </w:rPr>
                    <w:t>2</w:t>
                  </w:r>
                </w:p>
              </w:tc>
              <w:tc>
                <w:tcPr>
                  <w:tcW w:w="434" w:type="pct"/>
                  <w:vMerge w:val="continue"/>
                  <w:tcBorders>
                    <w:tl2br w:val="nil"/>
                    <w:tr2bl w:val="nil"/>
                  </w:tcBorders>
                  <w:noWrap w:val="0"/>
                  <w:vAlign w:val="center"/>
                </w:tcPr>
                <w:p w14:paraId="53421E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1066" w:type="pct"/>
                  <w:tcBorders>
                    <w:tl2br w:val="nil"/>
                    <w:tr2bl w:val="nil"/>
                  </w:tcBorders>
                  <w:noWrap w:val="0"/>
                  <w:vAlign w:val="center"/>
                </w:tcPr>
                <w:p w14:paraId="67D5BB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HW49</w:t>
                  </w:r>
                </w:p>
                <w:p w14:paraId="7A321E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900</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041</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49</w:t>
                  </w:r>
                </w:p>
              </w:tc>
              <w:tc>
                <w:tcPr>
                  <w:tcW w:w="848" w:type="pct"/>
                  <w:vMerge w:val="continue"/>
                  <w:tcBorders>
                    <w:tl2br w:val="nil"/>
                    <w:tr2bl w:val="nil"/>
                  </w:tcBorders>
                  <w:noWrap w:val="0"/>
                  <w:vAlign w:val="center"/>
                </w:tcPr>
                <w:p w14:paraId="09C583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863" w:type="dxa"/>
                  <w:tcBorders>
                    <w:tl2br w:val="nil"/>
                    <w:tr2bl w:val="nil"/>
                  </w:tcBorders>
                  <w:noWrap w:val="0"/>
                  <w:vAlign w:val="center"/>
                </w:tcPr>
                <w:p w14:paraId="538741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0.0</w:t>
                  </w:r>
                  <w:r>
                    <w:rPr>
                      <w:rFonts w:hint="eastAsia" w:cs="Times New Roman"/>
                      <w:b w:val="0"/>
                      <w:bCs w:val="0"/>
                      <w:color w:val="000000" w:themeColor="text1"/>
                      <w:sz w:val="21"/>
                      <w:szCs w:val="21"/>
                      <w:lang w:val="en-US" w:eastAsia="zh-CN"/>
                      <w14:textFill>
                        <w14:solidFill>
                          <w14:schemeClr w14:val="tx1"/>
                        </w14:solidFill>
                      </w14:textFill>
                    </w:rPr>
                    <w:t>2</w:t>
                  </w:r>
                </w:p>
              </w:tc>
            </w:tr>
          </w:tbl>
          <w:p w14:paraId="298811E1">
            <w:pPr>
              <w:keepNext/>
              <w:keepLines/>
              <w:widowControl/>
              <w:adjustRightInd w:val="0"/>
              <w:snapToGrid w:val="0"/>
              <w:spacing w:line="360" w:lineRule="auto"/>
              <w:ind w:firstLine="422" w:firstLineChars="200"/>
              <w:jc w:val="left"/>
              <w:outlineLvl w:val="1"/>
              <w:rPr>
                <w:rFonts w:hint="default" w:ascii="Times New Roman" w:hAnsi="Times New Roman" w:eastAsia="宋体" w:cs="Times New Roman"/>
                <w:b/>
                <w:bCs w:val="0"/>
                <w:color w:val="000000" w:themeColor="text1"/>
                <w:sz w:val="21"/>
                <w:szCs w:val="21"/>
                <w:highlight w:val="none"/>
                <w:lang w:val="en-US" w:eastAsia="zh-CN"/>
                <w14:textFill>
                  <w14:solidFill>
                    <w14:schemeClr w14:val="tx1"/>
                  </w14:solidFill>
                </w14:textFill>
              </w:rPr>
            </w:pPr>
            <w:r>
              <w:rPr>
                <w:rFonts w:hint="eastAsia" w:cs="Times New Roman"/>
                <w:b/>
                <w:bCs w:val="0"/>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b/>
                <w:bCs w:val="0"/>
                <w:color w:val="000000" w:themeColor="text1"/>
                <w:sz w:val="21"/>
                <w:szCs w:val="21"/>
                <w:highlight w:val="none"/>
                <w:lang w:val="en-US" w:eastAsia="zh-CN"/>
                <w14:textFill>
                  <w14:solidFill>
                    <w14:schemeClr w14:val="tx1"/>
                  </w14:solidFill>
                </w14:textFill>
              </w:rPr>
              <w:t>环境管理要求</w:t>
            </w:r>
          </w:p>
          <w:p w14:paraId="02F776C8">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依据《排污许可证申请与核发技术规范工业固体废物（试行）》（HJ1200-2021）工业固体废物管理要求如下：</w:t>
            </w:r>
          </w:p>
          <w:p w14:paraId="3168B1A8">
            <w:pPr>
              <w:adjustRightInd w:val="0"/>
              <w:snapToGrid w:val="0"/>
              <w:spacing w:line="360" w:lineRule="auto"/>
              <w:ind w:firstLine="422" w:firstLineChars="200"/>
              <w:jc w:val="left"/>
              <w:rPr>
                <w:rFonts w:hint="default" w:ascii="Times New Roman" w:hAnsi="Times New Roman" w:cs="Times New Roman"/>
                <w:b/>
                <w:bCs/>
                <w:color w:val="000000" w:themeColor="text1"/>
                <w:kern w:val="0"/>
                <w:sz w:val="21"/>
                <w:szCs w:val="21"/>
                <w14:textFill>
                  <w14:solidFill>
                    <w14:schemeClr w14:val="tx1"/>
                  </w14:solidFill>
                </w14:textFill>
              </w:rPr>
            </w:pPr>
            <w:r>
              <w:rPr>
                <w:rFonts w:hint="eastAsia" w:cs="Times New Roman"/>
                <w:b/>
                <w:bCs/>
                <w:color w:val="000000" w:themeColor="text1"/>
                <w:kern w:val="0"/>
                <w:sz w:val="21"/>
                <w:szCs w:val="21"/>
                <w:highlight w:val="none"/>
                <w:lang w:eastAsia="zh-CN"/>
                <w14:textFill>
                  <w14:solidFill>
                    <w14:schemeClr w14:val="tx1"/>
                  </w14:solidFill>
                </w14:textFill>
              </w:rPr>
              <w:t>（</w:t>
            </w:r>
            <w:r>
              <w:rPr>
                <w:rFonts w:hint="default" w:ascii="Times New Roman" w:hAnsi="Times New Roman" w:cs="Times New Roman"/>
                <w:b/>
                <w:bCs/>
                <w:color w:val="000000" w:themeColor="text1"/>
                <w:kern w:val="0"/>
                <w:sz w:val="21"/>
                <w:szCs w:val="21"/>
                <w:highlight w:val="none"/>
                <w14:textFill>
                  <w14:solidFill>
                    <w14:schemeClr w14:val="tx1"/>
                  </w14:solidFill>
                </w14:textFill>
              </w:rPr>
              <w:t>1）一般工业废</w:t>
            </w:r>
            <w:r>
              <w:rPr>
                <w:rFonts w:hint="default" w:ascii="Times New Roman" w:hAnsi="Times New Roman" w:cs="Times New Roman"/>
                <w:b/>
                <w:bCs/>
                <w:color w:val="000000" w:themeColor="text1"/>
                <w:kern w:val="0"/>
                <w:sz w:val="21"/>
                <w:szCs w:val="21"/>
                <w14:textFill>
                  <w14:solidFill>
                    <w14:schemeClr w14:val="tx1"/>
                  </w14:solidFill>
                </w14:textFill>
              </w:rPr>
              <w:t>物</w:t>
            </w:r>
          </w:p>
          <w:p w14:paraId="59B31CD2">
            <w:pPr>
              <w:adjustRightInd w:val="0"/>
              <w:snapToGrid w:val="0"/>
              <w:spacing w:line="360" w:lineRule="auto"/>
              <w:ind w:firstLine="420" w:firstLineChars="200"/>
              <w:jc w:val="left"/>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本项目拟在车间内东南侧建设1座一般固废暂存间，面积约10m</w:t>
            </w:r>
            <w:r>
              <w:rPr>
                <w:rFonts w:hint="eastAsia" w:cs="Times New Roman"/>
                <w:color w:val="000000" w:themeColor="text1"/>
                <w:kern w:val="0"/>
                <w:sz w:val="21"/>
                <w:szCs w:val="21"/>
                <w:vertAlign w:val="superscript"/>
                <w:lang w:val="en-US" w:eastAsia="zh-CN"/>
                <w14:textFill>
                  <w14:solidFill>
                    <w14:schemeClr w14:val="tx1"/>
                  </w14:solidFill>
                </w14:textFill>
              </w:rPr>
              <w:t>2</w:t>
            </w:r>
            <w:r>
              <w:rPr>
                <w:rFonts w:hint="eastAsia" w:cs="Times New Roman"/>
                <w:color w:val="000000" w:themeColor="text1"/>
                <w:kern w:val="0"/>
                <w:sz w:val="21"/>
                <w:szCs w:val="21"/>
                <w:lang w:val="en-US" w:eastAsia="zh-CN"/>
                <w14:textFill>
                  <w14:solidFill>
                    <w14:schemeClr w14:val="tx1"/>
                  </w14:solidFill>
                </w14:textFill>
              </w:rPr>
              <w:t>。一般固废贮存过程应满足相应的防渗漏、防雨淋、防扬尘等环境保护要求，同时贮存区域应设置清晰、完整的一般工业固体废物标志牌等。一般固废贮存设施管理要求如下：</w:t>
            </w:r>
          </w:p>
          <w:p w14:paraId="12225438">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①一般固废贮存过程应满足相应的防渗漏、防雨淋、防扬尘等环境保护要求，同时贮存区域应设置清晰、完整的一般工业固体废物标志牌等。</w:t>
            </w:r>
          </w:p>
          <w:p w14:paraId="72F57C88">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②一般工业固体废物环境管理台账记录要求：依据《一般工业固体废物管理台账制定指南（试行）》的公告制定环境管理台账，如实记录工业固体废物的种类、数量、流向、贮存、利用、处置等信息。</w:t>
            </w:r>
          </w:p>
          <w:p w14:paraId="52CF26DE">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③一般工业固体废物执行报告内容要求：按照排污许可证规定的内容、频次和时间要求向审批部门提交排污许可证执行报告。</w:t>
            </w:r>
          </w:p>
          <w:p w14:paraId="638D1A55">
            <w:pPr>
              <w:adjustRightInd w:val="0"/>
              <w:snapToGrid w:val="0"/>
              <w:spacing w:line="360" w:lineRule="auto"/>
              <w:ind w:firstLine="211" w:firstLineChars="100"/>
              <w:jc w:val="left"/>
              <w:rPr>
                <w:rFonts w:hint="default" w:cs="Times New Roman"/>
                <w:b/>
                <w:bCs/>
                <w:color w:val="000000" w:themeColor="text1"/>
                <w:kern w:val="0"/>
                <w:sz w:val="21"/>
                <w:szCs w:val="21"/>
                <w:lang w:val="en-US" w:eastAsia="zh-CN"/>
                <w14:textFill>
                  <w14:solidFill>
                    <w14:schemeClr w14:val="tx1"/>
                  </w14:solidFill>
                </w14:textFill>
              </w:rPr>
            </w:pPr>
            <w:r>
              <w:rPr>
                <w:rFonts w:hint="eastAsia" w:cs="Times New Roman"/>
                <w:b/>
                <w:bCs/>
                <w:color w:val="000000" w:themeColor="text1"/>
                <w:kern w:val="0"/>
                <w:sz w:val="21"/>
                <w:szCs w:val="21"/>
                <w:lang w:val="en-US" w:eastAsia="zh-CN"/>
                <w14:textFill>
                  <w14:solidFill>
                    <w14:schemeClr w14:val="tx1"/>
                  </w14:solidFill>
                </w14:textFill>
              </w:rPr>
              <w:t>（2）危险废物</w:t>
            </w:r>
          </w:p>
          <w:p w14:paraId="496A78D8">
            <w:pPr>
              <w:adjustRightInd w:val="0"/>
              <w:snapToGrid w:val="0"/>
              <w:spacing w:line="360" w:lineRule="auto"/>
              <w:ind w:firstLine="420" w:firstLineChars="200"/>
              <w:jc w:val="left"/>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1）危险废物贮存设施建设及管理要求：</w:t>
            </w:r>
          </w:p>
          <w:p w14:paraId="3A27E026">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本项目危险废物贮存库位于车间东侧，占地面积约15m</w:t>
            </w:r>
            <w:r>
              <w:rPr>
                <w:rFonts w:hint="eastAsia" w:cs="Times New Roman"/>
                <w:color w:val="000000" w:themeColor="text1"/>
                <w:kern w:val="0"/>
                <w:sz w:val="21"/>
                <w:szCs w:val="21"/>
                <w:vertAlign w:val="superscript"/>
                <w:lang w:val="en-US" w:eastAsia="zh-CN"/>
                <w14:textFill>
                  <w14:solidFill>
                    <w14:schemeClr w14:val="tx1"/>
                  </w14:solidFill>
                </w14:textFill>
              </w:rPr>
              <w:t>2</w:t>
            </w:r>
            <w:r>
              <w:rPr>
                <w:rFonts w:hint="eastAsia" w:cs="Times New Roman"/>
                <w:color w:val="000000" w:themeColor="text1"/>
                <w:kern w:val="0"/>
                <w:sz w:val="21"/>
                <w:szCs w:val="21"/>
                <w:lang w:val="en-US" w:eastAsia="zh-CN"/>
                <w14:textFill>
                  <w14:solidFill>
                    <w14:schemeClr w14:val="tx1"/>
                  </w14:solidFill>
                </w14:textFill>
              </w:rPr>
              <w:t>。结合项目租赁已建成厂房实际情况以及《危险废物贮存污染控制标准》（GB18597-2023），本项目危险废物贮存库建设要求如下：</w:t>
            </w:r>
          </w:p>
          <w:p w14:paraId="3DA3CBCE">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①危险废物贮存库、容器和包装物应按《危险废物识别标志设置技术规范》（HJ1276-2022）要求设置危险废物贮存设施标志、危险废物贮存分区标志和危险废物标签等危险废物识别标志。</w:t>
            </w:r>
          </w:p>
          <w:p w14:paraId="7396AE1B">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②危险废物贮存库应根据危险废物的形态、物理化学性质、包装形式和污染物迁移途径，采取必要的防风、防晒、防雨、防漏、防渗、防腐以及其他环境污染防治措施，不应露天堆放危险废物。</w:t>
            </w:r>
          </w:p>
          <w:p w14:paraId="469077A8">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③危险废物贮存库应根据危险废物的类别、数量、形态、物理化学性质和污染防治等要求设置必要的贮存分区，避免不相容的危险废物接触、混合。</w:t>
            </w:r>
          </w:p>
          <w:p w14:paraId="15975294">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④危险废物贮存库内地面、墙面裙脚、堵截泄漏的围堰、接触危险废物的隔板和墙体等应采用坚固的材料建造，表面无裂缝。</w:t>
            </w:r>
          </w:p>
          <w:p w14:paraId="75DE59B0">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⑤危险废物贮存库地面与裙脚应采取表面防渗措施；表面防渗材料应与所接触的物料或污染物相容。贮存的危险废物直接接触地面的，还应进行基础防渗，由于租赁已建成厂房，地面已采取水泥硬化，因此防渗要求为防渗层为至少2mm厚高密度聚乙烯膜等人工防渗材料（渗透系数不大于10</w:t>
            </w:r>
            <w:r>
              <w:rPr>
                <w:rFonts w:hint="eastAsia" w:cs="Times New Roman"/>
                <w:color w:val="000000" w:themeColor="text1"/>
                <w:kern w:val="0"/>
                <w:sz w:val="21"/>
                <w:szCs w:val="21"/>
                <w:vertAlign w:val="superscript"/>
                <w:lang w:val="en-US" w:eastAsia="zh-CN"/>
                <w14:textFill>
                  <w14:solidFill>
                    <w14:schemeClr w14:val="tx1"/>
                  </w14:solidFill>
                </w14:textFill>
              </w:rPr>
              <w:t>-10</w:t>
            </w:r>
            <w:r>
              <w:rPr>
                <w:rFonts w:hint="eastAsia" w:cs="Times New Roman"/>
                <w:color w:val="000000" w:themeColor="text1"/>
                <w:kern w:val="0"/>
                <w:sz w:val="21"/>
                <w:szCs w:val="21"/>
                <w:lang w:val="en-US" w:eastAsia="zh-CN"/>
                <w14:textFill>
                  <w14:solidFill>
                    <w14:schemeClr w14:val="tx1"/>
                  </w14:solidFill>
                </w14:textFill>
              </w:rPr>
              <w:t>cm/s），或其他防渗性能等效的材料。</w:t>
            </w:r>
          </w:p>
          <w:p w14:paraId="39C45F63">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⑥贮存设施应采取技术和管理措施防止无关人员进入。</w:t>
            </w:r>
          </w:p>
          <w:p w14:paraId="6F5E0411">
            <w:pPr>
              <w:adjustRightInd w:val="0"/>
              <w:snapToGrid w:val="0"/>
              <w:spacing w:line="360" w:lineRule="auto"/>
              <w:ind w:firstLine="420" w:firstLineChars="200"/>
              <w:jc w:val="left"/>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2）危险废物管理要求</w:t>
            </w:r>
          </w:p>
          <w:p w14:paraId="636854B8">
            <w:pPr>
              <w:adjustRightInd w:val="0"/>
              <w:snapToGrid w:val="0"/>
              <w:spacing w:line="360" w:lineRule="auto"/>
              <w:ind w:firstLine="420" w:firstLineChars="200"/>
              <w:jc w:val="left"/>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本项目危险废物产生期间管理要求如下：</w:t>
            </w:r>
          </w:p>
          <w:p w14:paraId="19DB0F57">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①制定危险废物管理计划，内容应当包括减少危险废物产生量和降低危险废物危害性的措施以及危险废物贮存、利用、处置措施；</w:t>
            </w:r>
          </w:p>
          <w:p w14:paraId="5AF3FF14">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②建立危险废物管理台账，如实记录危险废物的种类、产生量、流向、贮存、利用、处置等有关信息；</w:t>
            </w:r>
          </w:p>
          <w:p w14:paraId="7109B4E6">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③通过国家危险废物信息管理系统向所在地生态环境主管部门备案危险废物管理计划，申报危险废物有关资料。</w:t>
            </w:r>
          </w:p>
          <w:p w14:paraId="6A531837">
            <w:pPr>
              <w:adjustRightInd w:val="0"/>
              <w:snapToGrid w:val="0"/>
              <w:spacing w:line="360" w:lineRule="auto"/>
              <w:ind w:firstLine="420" w:firstLineChars="200"/>
              <w:jc w:val="left"/>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④按照排污许可证规定的内容、频次和时间要求向审批部门提交排污许可证执行报告。</w:t>
            </w:r>
          </w:p>
          <w:p w14:paraId="1095C9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eastAsia="宋体"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六、地下水、</w:t>
            </w:r>
            <w:r>
              <w:rPr>
                <w:rFonts w:hint="eastAsia" w:eastAsia="宋体" w:cs="Times New Roman"/>
                <w:b/>
                <w:bCs/>
                <w:color w:val="000000" w:themeColor="text1"/>
                <w:sz w:val="21"/>
                <w:szCs w:val="21"/>
                <w:highlight w:val="none"/>
                <w:lang w:val="en-US" w:eastAsia="zh-CN"/>
                <w14:textFill>
                  <w14:solidFill>
                    <w14:schemeClr w14:val="tx1"/>
                  </w14:solidFill>
                </w14:textFill>
              </w:rPr>
              <w:t>土壤</w:t>
            </w:r>
          </w:p>
          <w:p w14:paraId="24BC9826">
            <w:pPr>
              <w:adjustRightInd w:val="0"/>
              <w:snapToGrid w:val="0"/>
              <w:spacing w:line="360" w:lineRule="auto"/>
              <w:ind w:firstLine="420" w:firstLineChars="200"/>
              <w:jc w:val="both"/>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本项目</w:t>
            </w:r>
            <w:r>
              <w:rPr>
                <w:rFonts w:hint="default" w:ascii="Times New Roman" w:hAnsi="Times New Roman" w:cs="Times New Roman"/>
                <w:color w:val="000000" w:themeColor="text1"/>
                <w:szCs w:val="21"/>
                <w14:textFill>
                  <w14:solidFill>
                    <w14:schemeClr w14:val="tx1"/>
                  </w14:solidFill>
                </w14:textFill>
              </w:rPr>
              <w:t>国民经济</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行业类别为</w:t>
            </w:r>
            <w:r>
              <w:rPr>
                <w:color w:val="000000" w:themeColor="text1"/>
                <w:sz w:val="21"/>
                <w:szCs w:val="21"/>
                <w14:textFill>
                  <w14:solidFill>
                    <w14:schemeClr w14:val="tx1"/>
                  </w14:solidFill>
                </w14:textFill>
              </w:rPr>
              <w:t>C3</w:t>
            </w:r>
            <w:r>
              <w:rPr>
                <w:rFonts w:hint="eastAsia"/>
                <w:color w:val="000000" w:themeColor="text1"/>
                <w:sz w:val="21"/>
                <w:szCs w:val="21"/>
                <w:lang w:val="en-US" w:eastAsia="zh-CN"/>
                <w14:textFill>
                  <w14:solidFill>
                    <w14:schemeClr w14:val="tx1"/>
                  </w14:solidFill>
                </w14:textFill>
              </w:rPr>
              <w:t>393锻件及粉末冶金制品制造，涉及的主要工序为粉末</w:t>
            </w:r>
            <w:r>
              <w:rPr>
                <w:rFonts w:hint="eastAsia"/>
                <w:color w:val="000000" w:themeColor="text1"/>
                <w:lang w:val="en-US" w:eastAsia="zh-CN"/>
                <w14:textFill>
                  <w14:solidFill>
                    <w14:schemeClr w14:val="tx1"/>
                  </w14:solidFill>
                </w14:textFill>
              </w:rPr>
              <w:t>压制成型，烧结工艺</w:t>
            </w:r>
            <w:r>
              <w:rPr>
                <w:rFonts w:hint="eastAsia"/>
                <w:color w:val="000000" w:themeColor="text1"/>
                <w:sz w:val="21"/>
                <w:szCs w:val="21"/>
                <w:lang w:val="en-US" w:eastAsia="zh-CN"/>
                <w14:textFill>
                  <w14:solidFill>
                    <w14:schemeClr w14:val="tx1"/>
                  </w14:solidFill>
                </w14:textFill>
              </w:rPr>
              <w:t>，辅助工艺为激光切割、焊接、修磨、机械加工，无化学处理，</w:t>
            </w: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无生产废水产生。</w:t>
            </w:r>
          </w:p>
          <w:p w14:paraId="475B44D5">
            <w:pPr>
              <w:keepNext w:val="0"/>
              <w:keepLines w:val="0"/>
              <w:suppressLineNumbers w:val="0"/>
              <w:adjustRightInd w:val="0"/>
              <w:snapToGrid w:val="0"/>
              <w:spacing w:before="0" w:beforeAutospacing="0" w:after="0" w:afterAutospacing="0" w:line="240" w:lineRule="auto"/>
              <w:ind w:left="0" w:right="0" w:firstLine="422" w:firstLineChars="20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表</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4-1</w:t>
            </w:r>
            <w:r>
              <w:rPr>
                <w:rFonts w:hint="eastAsia" w:cs="Times New Roman"/>
                <w:b/>
                <w:bCs/>
                <w:color w:val="000000" w:themeColor="text1"/>
                <w:sz w:val="21"/>
                <w:szCs w:val="21"/>
                <w:lang w:val="en-US" w:eastAsia="zh-CN"/>
                <w14:textFill>
                  <w14:solidFill>
                    <w14:schemeClr w14:val="tx1"/>
                  </w14:solidFill>
                </w14:textFill>
              </w:rPr>
              <w:t>3</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 xml:space="preserve">    污染源、污染物类型和污染途径分析一览表</w:t>
            </w:r>
          </w:p>
          <w:tbl>
            <w:tblPr>
              <w:tblStyle w:val="25"/>
              <w:tblW w:w="7946"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1097"/>
              <w:gridCol w:w="966"/>
              <w:gridCol w:w="928"/>
              <w:gridCol w:w="4242"/>
            </w:tblGrid>
            <w:tr w14:paraId="162C84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713" w:type="dxa"/>
                  <w:vMerge w:val="restart"/>
                  <w:tcBorders>
                    <w:tl2br w:val="nil"/>
                    <w:tr2bl w:val="nil"/>
                  </w:tcBorders>
                  <w:vAlign w:val="center"/>
                </w:tcPr>
                <w:p w14:paraId="3B9B3D1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cs="Times New Roman"/>
                      <w:b/>
                      <w:bCs/>
                      <w:color w:val="000000" w:themeColor="text1"/>
                      <w:sz w:val="21"/>
                      <w:szCs w:val="21"/>
                      <w:highlight w:val="none"/>
                      <w:vertAlign w:val="baseline"/>
                      <w:lang w:val="en-US" w:eastAsia="zh-CN"/>
                      <w14:textFill>
                        <w14:solidFill>
                          <w14:schemeClr w14:val="tx1"/>
                        </w14:solidFill>
                      </w14:textFill>
                    </w:rPr>
                  </w:pPr>
                  <w:r>
                    <w:rPr>
                      <w:rFonts w:hint="eastAsia" w:cs="Times New Roman"/>
                      <w:b/>
                      <w:bCs/>
                      <w:color w:val="000000" w:themeColor="text1"/>
                      <w:sz w:val="21"/>
                      <w:szCs w:val="21"/>
                      <w:highlight w:val="none"/>
                      <w:vertAlign w:val="baseline"/>
                      <w:lang w:val="en-US" w:eastAsia="zh-CN"/>
                      <w14:textFill>
                        <w14:solidFill>
                          <w14:schemeClr w14:val="tx1"/>
                        </w14:solidFill>
                      </w14:textFill>
                    </w:rPr>
                    <w:t>序号</w:t>
                  </w:r>
                </w:p>
              </w:tc>
              <w:tc>
                <w:tcPr>
                  <w:tcW w:w="1097" w:type="dxa"/>
                  <w:vMerge w:val="restart"/>
                  <w:tcBorders>
                    <w:tl2br w:val="nil"/>
                    <w:tr2bl w:val="nil"/>
                  </w:tcBorders>
                  <w:vAlign w:val="center"/>
                </w:tcPr>
                <w:p w14:paraId="4DEB3AD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cs="Times New Roman"/>
                      <w:b/>
                      <w:bCs/>
                      <w:color w:val="000000" w:themeColor="text1"/>
                      <w:sz w:val="21"/>
                      <w:szCs w:val="21"/>
                      <w:highlight w:val="none"/>
                      <w:vertAlign w:val="baseline"/>
                      <w:lang w:val="en-US" w:eastAsia="zh-CN"/>
                      <w14:textFill>
                        <w14:solidFill>
                          <w14:schemeClr w14:val="tx1"/>
                        </w14:solidFill>
                      </w14:textFill>
                    </w:rPr>
                  </w:pPr>
                  <w:r>
                    <w:rPr>
                      <w:rFonts w:hint="eastAsia" w:cs="Times New Roman"/>
                      <w:b/>
                      <w:bCs/>
                      <w:color w:val="000000" w:themeColor="text1"/>
                      <w:sz w:val="21"/>
                      <w:szCs w:val="21"/>
                      <w:highlight w:val="none"/>
                      <w:vertAlign w:val="baseline"/>
                      <w:lang w:val="en-US" w:eastAsia="zh-CN"/>
                      <w14:textFill>
                        <w14:solidFill>
                          <w14:schemeClr w14:val="tx1"/>
                        </w14:solidFill>
                      </w14:textFill>
                    </w:rPr>
                    <w:t>污染源</w:t>
                  </w:r>
                </w:p>
              </w:tc>
              <w:tc>
                <w:tcPr>
                  <w:tcW w:w="1894" w:type="dxa"/>
                  <w:gridSpan w:val="2"/>
                  <w:tcBorders>
                    <w:tl2br w:val="nil"/>
                    <w:tr2bl w:val="nil"/>
                  </w:tcBorders>
                  <w:vAlign w:val="center"/>
                </w:tcPr>
                <w:p w14:paraId="2D573C8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cs="Times New Roman"/>
                      <w:b/>
                      <w:bCs/>
                      <w:color w:val="000000" w:themeColor="text1"/>
                      <w:sz w:val="21"/>
                      <w:szCs w:val="21"/>
                      <w:highlight w:val="none"/>
                      <w:vertAlign w:val="baseline"/>
                      <w:lang w:val="en-US" w:eastAsia="zh-CN"/>
                      <w14:textFill>
                        <w14:solidFill>
                          <w14:schemeClr w14:val="tx1"/>
                        </w14:solidFill>
                      </w14:textFill>
                    </w:rPr>
                  </w:pPr>
                  <w:r>
                    <w:rPr>
                      <w:rFonts w:hint="eastAsia" w:cs="Times New Roman"/>
                      <w:b/>
                      <w:bCs/>
                      <w:color w:val="000000" w:themeColor="text1"/>
                      <w:sz w:val="21"/>
                      <w:szCs w:val="21"/>
                      <w:highlight w:val="none"/>
                      <w:vertAlign w:val="baseline"/>
                      <w:lang w:val="en-US" w:eastAsia="zh-CN"/>
                      <w14:textFill>
                        <w14:solidFill>
                          <w14:schemeClr w14:val="tx1"/>
                        </w14:solidFill>
                      </w14:textFill>
                    </w:rPr>
                    <w:t>污染物</w:t>
                  </w:r>
                </w:p>
              </w:tc>
              <w:tc>
                <w:tcPr>
                  <w:tcW w:w="4242" w:type="dxa"/>
                  <w:vMerge w:val="restart"/>
                  <w:tcBorders>
                    <w:tl2br w:val="nil"/>
                    <w:tr2bl w:val="nil"/>
                  </w:tcBorders>
                  <w:vAlign w:val="center"/>
                </w:tcPr>
                <w:p w14:paraId="500B330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cs="Times New Roman"/>
                      <w:b/>
                      <w:bCs/>
                      <w:color w:val="000000" w:themeColor="text1"/>
                      <w:sz w:val="21"/>
                      <w:szCs w:val="21"/>
                      <w:highlight w:val="none"/>
                      <w:vertAlign w:val="baseline"/>
                      <w:lang w:val="en-US" w:eastAsia="zh-CN"/>
                      <w14:textFill>
                        <w14:solidFill>
                          <w14:schemeClr w14:val="tx1"/>
                        </w14:solidFill>
                      </w14:textFill>
                    </w:rPr>
                  </w:pPr>
                  <w:r>
                    <w:rPr>
                      <w:rFonts w:hint="eastAsia" w:cs="Times New Roman"/>
                      <w:b/>
                      <w:bCs/>
                      <w:color w:val="000000" w:themeColor="text1"/>
                      <w:sz w:val="21"/>
                      <w:szCs w:val="21"/>
                      <w:highlight w:val="none"/>
                      <w:vertAlign w:val="baseline"/>
                      <w:lang w:val="en-US" w:eastAsia="zh-CN"/>
                      <w14:textFill>
                        <w14:solidFill>
                          <w14:schemeClr w14:val="tx1"/>
                        </w14:solidFill>
                      </w14:textFill>
                    </w:rPr>
                    <w:t>污染途径分析</w:t>
                  </w:r>
                </w:p>
              </w:tc>
            </w:tr>
            <w:tr w14:paraId="7AE73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713" w:type="dxa"/>
                  <w:vMerge w:val="continue"/>
                  <w:tcBorders>
                    <w:tl2br w:val="nil"/>
                    <w:tr2bl w:val="nil"/>
                  </w:tcBorders>
                  <w:vAlign w:val="center"/>
                </w:tcPr>
                <w:p w14:paraId="1CF60A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themeColor="text1"/>
                      <w14:textFill>
                        <w14:solidFill>
                          <w14:schemeClr w14:val="tx1"/>
                        </w14:solidFill>
                      </w14:textFill>
                    </w:rPr>
                  </w:pPr>
                </w:p>
              </w:tc>
              <w:tc>
                <w:tcPr>
                  <w:tcW w:w="1097" w:type="dxa"/>
                  <w:vMerge w:val="continue"/>
                  <w:tcBorders>
                    <w:tl2br w:val="nil"/>
                    <w:tr2bl w:val="nil"/>
                  </w:tcBorders>
                  <w:vAlign w:val="center"/>
                </w:tcPr>
                <w:p w14:paraId="3C78E9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000000" w:themeColor="text1"/>
                      <w14:textFill>
                        <w14:solidFill>
                          <w14:schemeClr w14:val="tx1"/>
                        </w14:solidFill>
                      </w14:textFill>
                    </w:rPr>
                  </w:pPr>
                </w:p>
              </w:tc>
              <w:tc>
                <w:tcPr>
                  <w:tcW w:w="966" w:type="dxa"/>
                  <w:tcBorders>
                    <w:tl2br w:val="nil"/>
                    <w:tr2bl w:val="nil"/>
                  </w:tcBorders>
                  <w:vAlign w:val="center"/>
                </w:tcPr>
                <w:p w14:paraId="5667A9D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cs="Times New Roman"/>
                      <w:b/>
                      <w:bCs/>
                      <w:color w:val="000000" w:themeColor="text1"/>
                      <w:sz w:val="21"/>
                      <w:szCs w:val="21"/>
                      <w:highlight w:val="none"/>
                      <w:vertAlign w:val="baseline"/>
                      <w:lang w:val="en-US" w:eastAsia="zh-CN"/>
                      <w14:textFill>
                        <w14:solidFill>
                          <w14:schemeClr w14:val="tx1"/>
                        </w14:solidFill>
                      </w14:textFill>
                    </w:rPr>
                  </w:pPr>
                  <w:r>
                    <w:rPr>
                      <w:rFonts w:hint="eastAsia" w:cs="Times New Roman"/>
                      <w:b/>
                      <w:bCs/>
                      <w:color w:val="000000" w:themeColor="text1"/>
                      <w:sz w:val="21"/>
                      <w:szCs w:val="21"/>
                      <w:highlight w:val="none"/>
                      <w:vertAlign w:val="baseline"/>
                      <w:lang w:val="en-US" w:eastAsia="zh-CN"/>
                      <w14:textFill>
                        <w14:solidFill>
                          <w14:schemeClr w14:val="tx1"/>
                        </w14:solidFill>
                      </w14:textFill>
                    </w:rPr>
                    <w:t>地下水</w:t>
                  </w:r>
                </w:p>
              </w:tc>
              <w:tc>
                <w:tcPr>
                  <w:tcW w:w="928" w:type="dxa"/>
                  <w:tcBorders>
                    <w:tl2br w:val="nil"/>
                    <w:tr2bl w:val="nil"/>
                  </w:tcBorders>
                  <w:vAlign w:val="center"/>
                </w:tcPr>
                <w:p w14:paraId="3F883EF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cs="Times New Roman"/>
                      <w:b/>
                      <w:bCs/>
                      <w:color w:val="000000" w:themeColor="text1"/>
                      <w:sz w:val="21"/>
                      <w:szCs w:val="21"/>
                      <w:highlight w:val="none"/>
                      <w:vertAlign w:val="baseline"/>
                      <w:lang w:val="en-US" w:eastAsia="zh-CN"/>
                      <w14:textFill>
                        <w14:solidFill>
                          <w14:schemeClr w14:val="tx1"/>
                        </w14:solidFill>
                      </w14:textFill>
                    </w:rPr>
                  </w:pPr>
                  <w:r>
                    <w:rPr>
                      <w:rFonts w:hint="eastAsia" w:cs="Times New Roman"/>
                      <w:b/>
                      <w:bCs/>
                      <w:color w:val="000000" w:themeColor="text1"/>
                      <w:sz w:val="21"/>
                      <w:szCs w:val="21"/>
                      <w:highlight w:val="none"/>
                      <w:vertAlign w:val="baseline"/>
                      <w:lang w:val="en-US" w:eastAsia="zh-CN"/>
                      <w14:textFill>
                        <w14:solidFill>
                          <w14:schemeClr w14:val="tx1"/>
                        </w14:solidFill>
                      </w14:textFill>
                    </w:rPr>
                    <w:t>土壤</w:t>
                  </w:r>
                </w:p>
              </w:tc>
              <w:tc>
                <w:tcPr>
                  <w:tcW w:w="4242" w:type="dxa"/>
                  <w:vMerge w:val="continue"/>
                  <w:tcBorders>
                    <w:tl2br w:val="nil"/>
                    <w:tr2bl w:val="nil"/>
                  </w:tcBorders>
                  <w:vAlign w:val="center"/>
                </w:tcPr>
                <w:p w14:paraId="5B38EB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bCs/>
                      <w:color w:val="000000" w:themeColor="text1"/>
                      <w:sz w:val="21"/>
                      <w:szCs w:val="21"/>
                      <w:highlight w:val="none"/>
                      <w:vertAlign w:val="baseline"/>
                      <w:lang w:val="en-US" w:eastAsia="zh-CN"/>
                      <w14:textFill>
                        <w14:solidFill>
                          <w14:schemeClr w14:val="tx1"/>
                        </w14:solidFill>
                      </w14:textFill>
                    </w:rPr>
                  </w:pPr>
                </w:p>
              </w:tc>
            </w:tr>
            <w:tr w14:paraId="654BF9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5B1AAC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1</w:t>
                  </w:r>
                </w:p>
              </w:tc>
              <w:tc>
                <w:tcPr>
                  <w:tcW w:w="1097" w:type="dxa"/>
                  <w:tcBorders>
                    <w:tl2br w:val="nil"/>
                    <w:tr2bl w:val="nil"/>
                  </w:tcBorders>
                  <w:vAlign w:val="center"/>
                </w:tcPr>
                <w:p w14:paraId="5E8F113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危险废物贮存库</w:t>
                  </w:r>
                </w:p>
              </w:tc>
              <w:tc>
                <w:tcPr>
                  <w:tcW w:w="966" w:type="dxa"/>
                  <w:tcBorders>
                    <w:tl2br w:val="nil"/>
                    <w:tr2bl w:val="nil"/>
                  </w:tcBorders>
                  <w:vAlign w:val="center"/>
                </w:tcPr>
                <w:p w14:paraId="135E00F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其他类型</w:t>
                  </w:r>
                </w:p>
              </w:tc>
              <w:tc>
                <w:tcPr>
                  <w:tcW w:w="928" w:type="dxa"/>
                  <w:tcBorders>
                    <w:tl2br w:val="nil"/>
                    <w:tr2bl w:val="nil"/>
                  </w:tcBorders>
                  <w:vAlign w:val="center"/>
                </w:tcPr>
                <w:p w14:paraId="04B0A6C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石油烃类</w:t>
                  </w:r>
                </w:p>
              </w:tc>
              <w:tc>
                <w:tcPr>
                  <w:tcW w:w="4242" w:type="dxa"/>
                  <w:tcBorders>
                    <w:tl2br w:val="nil"/>
                    <w:tr2bl w:val="nil"/>
                  </w:tcBorders>
                  <w:vAlign w:val="center"/>
                </w:tcPr>
                <w:p w14:paraId="63AFD36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本项目危险废物暂存于危险废物贮存库，委托资质单位进行处置。要求企业按照《危险废物贮存污染控制标准》（GB18597-2023）进行建设危险废物贮存库，地面采取防渗措施，无土壤和地下水污染途径。</w:t>
                  </w:r>
                </w:p>
              </w:tc>
            </w:tr>
            <w:tr w14:paraId="4809A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4D488C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2</w:t>
                  </w:r>
                </w:p>
              </w:tc>
              <w:tc>
                <w:tcPr>
                  <w:tcW w:w="1097" w:type="dxa"/>
                  <w:tcBorders>
                    <w:tl2br w:val="nil"/>
                    <w:tr2bl w:val="nil"/>
                  </w:tcBorders>
                  <w:vAlign w:val="center"/>
                </w:tcPr>
                <w:p w14:paraId="337300C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原料库房</w:t>
                  </w:r>
                </w:p>
              </w:tc>
              <w:tc>
                <w:tcPr>
                  <w:tcW w:w="966" w:type="dxa"/>
                  <w:tcBorders>
                    <w:tl2br w:val="nil"/>
                    <w:tr2bl w:val="nil"/>
                  </w:tcBorders>
                  <w:vAlign w:val="center"/>
                </w:tcPr>
                <w:p w14:paraId="2ADDAD3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其他类型</w:t>
                  </w:r>
                </w:p>
              </w:tc>
              <w:tc>
                <w:tcPr>
                  <w:tcW w:w="928" w:type="dxa"/>
                  <w:tcBorders>
                    <w:tl2br w:val="nil"/>
                    <w:tr2bl w:val="nil"/>
                  </w:tcBorders>
                  <w:vAlign w:val="center"/>
                </w:tcPr>
                <w:p w14:paraId="50ACC49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石油烃类</w:t>
                  </w:r>
                </w:p>
              </w:tc>
              <w:tc>
                <w:tcPr>
                  <w:tcW w:w="4242" w:type="dxa"/>
                  <w:tcBorders>
                    <w:tl2br w:val="nil"/>
                    <w:tr2bl w:val="nil"/>
                  </w:tcBorders>
                  <w:vAlign w:val="center"/>
                </w:tcPr>
                <w:p w14:paraId="5D4B4DB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highlight w:val="none"/>
                      <w:vertAlign w:val="baseline"/>
                      <w:lang w:val="en-US" w:eastAsia="zh-CN"/>
                      <w14:textFill>
                        <w14:solidFill>
                          <w14:schemeClr w14:val="tx1"/>
                        </w14:solidFill>
                      </w14:textFill>
                    </w:rPr>
                  </w:pP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本项目外购成品润滑油和切削液、液压油桶装暂存于原料库房内，原料库房油类原料暂存区地面采取水泥硬化和涂刷密度聚乙烯膜等人工防渗材料，无土壤和地下水污染途径。</w:t>
                  </w:r>
                </w:p>
              </w:tc>
            </w:tr>
          </w:tbl>
          <w:p w14:paraId="0BDCE9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eastAsia="宋体"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2、</w:t>
            </w:r>
            <w:r>
              <w:rPr>
                <w:rFonts w:hint="eastAsia" w:eastAsia="宋体" w:cs="Times New Roman"/>
                <w:b/>
                <w:bCs/>
                <w:color w:val="000000" w:themeColor="text1"/>
                <w:sz w:val="21"/>
                <w:szCs w:val="21"/>
                <w:highlight w:val="none"/>
                <w:lang w:val="en-US" w:eastAsia="zh-CN"/>
                <w14:textFill>
                  <w14:solidFill>
                    <w14:schemeClr w14:val="tx1"/>
                  </w14:solidFill>
                </w14:textFill>
              </w:rPr>
              <w:t>防控措施</w:t>
            </w:r>
          </w:p>
          <w:p w14:paraId="465365D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bookmarkStart w:id="21" w:name="_Toc17"/>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w:t>
            </w:r>
            <w:bookmarkEnd w:id="21"/>
            <w:bookmarkStart w:id="22" w:name="_Toc11930"/>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源头控制措施</w:t>
            </w:r>
            <w:bookmarkEnd w:id="22"/>
          </w:p>
          <w:p w14:paraId="2E80CDBD">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①运营期严格管控废气环保措施</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确保废气能得到有效处理后达标排放。</w:t>
            </w:r>
          </w:p>
          <w:p w14:paraId="6EAD14E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②全厂排水管网实行清污分流</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分生产及雨水排水系统；禁止建设及生产过程中生活垃圾乱堆乱放</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经统一收集运至市政生活垃圾处理场处置。</w:t>
            </w:r>
          </w:p>
          <w:p w14:paraId="5A62C11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③项目产生的危险废物全部送危险废物暂存库贮存</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暂存库应按照《危险废物贮存污染控制标准》（GB18597-2023）的要求采取防渗措施</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最终交由有资质单位处置；厂区污水输送管道及废水池应采取防漏、防渗处理</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从源头阻断污染物下渗的途径。</w:t>
            </w:r>
          </w:p>
          <w:p w14:paraId="431A38D9">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bookmarkStart w:id="23" w:name="_Toc7925"/>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过程防控措施</w:t>
            </w:r>
            <w:bookmarkEnd w:id="23"/>
          </w:p>
          <w:p w14:paraId="4CF72E02">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①对危废贮存库的建设提出明确的建设要求</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必须按照《危险废物贮存污染控制标准》（GB18597-2023）相关要求设置</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并进行防渗处理</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暂存场所设置在室内</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地面用粘土夯实</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粘土上构筑15cm厚的防渗混凝土</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混凝土层上涂数层环氧树脂</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确保渗透系数≤10</w:t>
            </w:r>
            <w:r>
              <w:rPr>
                <w:rFonts w:hint="eastAsia" w:cs="Times New Roman"/>
                <w:color w:val="000000" w:themeColor="text1"/>
                <w:sz w:val="21"/>
                <w:szCs w:val="21"/>
                <w:highlight w:val="none"/>
                <w:vertAlign w:val="superscript"/>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cm/s</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危废收集桶</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下设置</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防渗</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托盘及导</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流</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槽。</w:t>
            </w:r>
            <w:r>
              <w:rPr>
                <w:rFonts w:hint="eastAsia" w:cs="Times New Roman"/>
                <w:color w:val="000000" w:themeColor="text1"/>
                <w:sz w:val="21"/>
                <w:szCs w:val="21"/>
                <w:highlight w:val="none"/>
                <w:lang w:val="en-US" w:eastAsia="zh-CN"/>
                <w14:textFill>
                  <w14:solidFill>
                    <w14:schemeClr w14:val="tx1"/>
                  </w14:solidFill>
                </w14:textFill>
              </w:rPr>
              <w:t>项目分区防渗图见附图6。</w:t>
            </w:r>
          </w:p>
          <w:p w14:paraId="0A9FA0E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②</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加强废气处理设备的维护保养</w:t>
            </w:r>
            <w:r>
              <w:rPr>
                <w:rFonts w:hint="eastAsia" w:cs="Times New Roman"/>
                <w:bCs/>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定期监测。确保废气处理设备稳定运行</w:t>
            </w:r>
            <w:r>
              <w:rPr>
                <w:rFonts w:hint="eastAsia" w:cs="Times New Roman"/>
                <w:bCs/>
                <w:color w:val="000000" w:themeColor="text1"/>
                <w:sz w:val="21"/>
                <w:szCs w:val="21"/>
                <w:highlight w:val="none"/>
                <w:lang w:val="en-US" w:eastAsia="zh-CN"/>
                <w14:textFill>
                  <w14:solidFill>
                    <w14:schemeClr w14:val="tx1"/>
                  </w14:solidFill>
                </w14:textFill>
              </w:rPr>
              <w:t>，</w:t>
            </w: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各项污染物稳定达标排放</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p w14:paraId="38C694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综上所述</w:t>
            </w:r>
            <w:r>
              <w:rPr>
                <w:rFonts w:hint="eastAsia" w:cs="Times New Roman"/>
                <w:bCs/>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正常情况下</w:t>
            </w:r>
            <w:r>
              <w:rPr>
                <w:rFonts w:hint="eastAsia" w:cs="Times New Roman"/>
                <w:bCs/>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项目厂区采取完善防控措施</w:t>
            </w:r>
            <w:r>
              <w:rPr>
                <w:rFonts w:hint="eastAsia" w:cs="Times New Roman"/>
                <w:bCs/>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有效防止污染物进入土壤环境</w:t>
            </w:r>
            <w:r>
              <w:rPr>
                <w:rFonts w:hint="eastAsia" w:cs="Times New Roman"/>
                <w:bCs/>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项目在严格做好地面分区防渗措施、管理措施条件下</w:t>
            </w:r>
            <w:r>
              <w:rPr>
                <w:rFonts w:hint="eastAsia" w:cs="Times New Roman"/>
                <w:bCs/>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bCs/>
                <w:color w:val="000000" w:themeColor="text1"/>
                <w:sz w:val="21"/>
                <w:szCs w:val="21"/>
                <w:highlight w:val="none"/>
                <w:lang w:val="en-US" w:eastAsia="zh-CN"/>
                <w14:textFill>
                  <w14:solidFill>
                    <w14:schemeClr w14:val="tx1"/>
                  </w14:solidFill>
                </w14:textFill>
              </w:rPr>
              <w:t>项目建设对土壤环境的影响很小。</w:t>
            </w:r>
          </w:p>
          <w:p w14:paraId="2240D601">
            <w:pPr>
              <w:keepNext/>
              <w:keepLines/>
              <w:pageBreakBefore w:val="0"/>
              <w:widowControl/>
              <w:kinsoku/>
              <w:wordWrap/>
              <w:overflowPunct/>
              <w:topLinePunct w:val="0"/>
              <w:bidi w:val="0"/>
              <w:adjustRightInd w:val="0"/>
              <w:snapToGrid w:val="0"/>
              <w:spacing w:line="360" w:lineRule="auto"/>
              <w:ind w:firstLine="422" w:firstLineChars="200"/>
              <w:jc w:val="left"/>
              <w:textAlignment w:val="auto"/>
              <w:outlineLvl w:val="1"/>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eastAsia" w:cs="Times New Roman"/>
                <w:b/>
                <w:bCs w:val="0"/>
                <w:color w:val="000000" w:themeColor="text1"/>
                <w:sz w:val="21"/>
                <w:szCs w:val="21"/>
                <w:lang w:val="en-US" w:eastAsia="zh-CN"/>
                <w14:textFill>
                  <w14:solidFill>
                    <w14:schemeClr w14:val="tx1"/>
                  </w14:solidFill>
                </w14:textFill>
              </w:rPr>
              <w:t>七、</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环境风险分析</w:t>
            </w:r>
          </w:p>
          <w:p w14:paraId="03A6D343">
            <w:pPr>
              <w:pageBreakBefore w:val="0"/>
              <w:kinsoku/>
              <w:wordWrap/>
              <w:overflowPunct/>
              <w:topLinePunct w:val="0"/>
              <w:bidi w:val="0"/>
              <w:adjustRightInd w:val="0"/>
              <w:snapToGrid w:val="0"/>
              <w:spacing w:line="360" w:lineRule="auto"/>
              <w:ind w:firstLine="422" w:firstLineChars="200"/>
              <w:textAlignment w:val="auto"/>
              <w:outlineLvl w:val="2"/>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eastAsia="zh-CN"/>
                <w14:textFill>
                  <w14:solidFill>
                    <w14:schemeClr w14:val="tx1"/>
                  </w14:solidFill>
                </w14:textFill>
              </w:rPr>
              <w:t>（</w:t>
            </w:r>
            <w:r>
              <w:rPr>
                <w:rFonts w:hint="eastAsia" w:cs="Times New Roman"/>
                <w:b/>
                <w:bCs/>
                <w:color w:val="000000" w:themeColor="text1"/>
                <w:sz w:val="21"/>
                <w:szCs w:val="21"/>
                <w:lang w:val="en-US" w:eastAsia="zh-CN"/>
                <w14:textFill>
                  <w14:solidFill>
                    <w14:schemeClr w14:val="tx1"/>
                  </w14:solidFill>
                </w14:textFill>
              </w:rPr>
              <w:t>1</w:t>
            </w:r>
            <w:r>
              <w:rPr>
                <w:rFonts w:hint="eastAsia" w:cs="Times New Roman"/>
                <w:b/>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14:textFill>
                  <w14:solidFill>
                    <w14:schemeClr w14:val="tx1"/>
                  </w14:solidFill>
                </w14:textFill>
              </w:rPr>
              <w:t>风险物质及临界量</w:t>
            </w:r>
          </w:p>
          <w:p w14:paraId="7C09DF57">
            <w:pPr>
              <w:pageBreakBefore w:val="0"/>
              <w:kinsoku/>
              <w:wordWrap/>
              <w:overflowPunct/>
              <w:topLinePunct w:val="0"/>
              <w:bidi w:val="0"/>
              <w:adjustRightInd w:val="0"/>
              <w:snapToGrid w:val="0"/>
              <w:spacing w:line="360" w:lineRule="auto"/>
              <w:ind w:firstLine="420" w:firstLineChars="200"/>
              <w:textAlignment w:val="auto"/>
              <w:outlineLvl w:val="2"/>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根据《建设项目环境风险评价技术导则》（HJ169-2018）附录B</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本项目</w:t>
            </w:r>
            <w:r>
              <w:rPr>
                <w:rFonts w:hint="default" w:ascii="Times New Roman" w:hAnsi="Times New Roman" w:cs="Times New Roman"/>
                <w:color w:val="000000" w:themeColor="text1"/>
                <w:sz w:val="21"/>
                <w:szCs w:val="21"/>
                <w:lang w:eastAsia="zh-CN"/>
                <w14:textFill>
                  <w14:solidFill>
                    <w14:schemeClr w14:val="tx1"/>
                  </w14:solidFill>
                </w14:textFill>
              </w:rPr>
              <w:t>涉及</w:t>
            </w:r>
            <w:r>
              <w:rPr>
                <w:rFonts w:hint="default" w:ascii="Times New Roman" w:hAnsi="Times New Roman" w:cs="Times New Roman"/>
                <w:color w:val="000000" w:themeColor="text1"/>
                <w:sz w:val="21"/>
                <w:szCs w:val="21"/>
                <w14:textFill>
                  <w14:solidFill>
                    <w14:schemeClr w14:val="tx1"/>
                  </w14:solidFill>
                </w14:textFill>
              </w:rPr>
              <w:t>的风险</w:t>
            </w:r>
            <w:r>
              <w:rPr>
                <w:rFonts w:hint="default" w:ascii="Times New Roman" w:hAnsi="Times New Roman" w:cs="Times New Roman"/>
                <w:color w:val="000000" w:themeColor="text1"/>
                <w:sz w:val="21"/>
                <w:szCs w:val="21"/>
                <w:lang w:eastAsia="zh-CN"/>
                <w14:textFill>
                  <w14:solidFill>
                    <w14:schemeClr w14:val="tx1"/>
                  </w14:solidFill>
                </w14:textFill>
              </w:rPr>
              <w:t>物质</w:t>
            </w:r>
            <w:r>
              <w:rPr>
                <w:rFonts w:hint="default" w:ascii="Times New Roman" w:hAnsi="Times New Roman" w:cs="Times New Roman"/>
                <w:color w:val="000000" w:themeColor="text1"/>
                <w:sz w:val="21"/>
                <w:szCs w:val="21"/>
                <w14:textFill>
                  <w14:solidFill>
                    <w14:schemeClr w14:val="tx1"/>
                  </w14:solidFill>
                </w14:textFill>
              </w:rPr>
              <w:t>为</w:t>
            </w:r>
            <w:r>
              <w:rPr>
                <w:rFonts w:hint="eastAsia" w:cs="Times New Roman"/>
                <w:color w:val="000000" w:themeColor="text1"/>
                <w:sz w:val="21"/>
                <w:szCs w:val="21"/>
                <w:lang w:val="en-US" w:eastAsia="zh-CN"/>
                <w14:textFill>
                  <w14:solidFill>
                    <w14:schemeClr w14:val="tx1"/>
                  </w14:solidFill>
                </w14:textFill>
              </w:rPr>
              <w:t>钛粉、</w:t>
            </w:r>
            <w:r>
              <w:rPr>
                <w:rFonts w:hint="default" w:ascii="Times New Roman" w:hAnsi="Times New Roman" w:cs="Times New Roman"/>
                <w:color w:val="000000" w:themeColor="text1"/>
                <w:sz w:val="21"/>
                <w:szCs w:val="21"/>
                <w:lang w:eastAsia="zh-CN"/>
                <w14:textFill>
                  <w14:solidFill>
                    <w14:schemeClr w14:val="tx1"/>
                  </w14:solidFill>
                </w14:textFill>
              </w:rPr>
              <w:t>矿物油类</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切削液和危险废物</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判定情况如下</w:t>
            </w:r>
            <w:r>
              <w:rPr>
                <w:rFonts w:hint="default" w:ascii="Times New Roman" w:hAnsi="Times New Roman" w:cs="Times New Roman"/>
                <w:color w:val="000000" w:themeColor="text1"/>
                <w:sz w:val="21"/>
                <w:szCs w:val="21"/>
                <w:lang w:eastAsia="zh-CN"/>
                <w14:textFill>
                  <w14:solidFill>
                    <w14:schemeClr w14:val="tx1"/>
                  </w14:solidFill>
                </w14:textFill>
              </w:rPr>
              <w:t>表</w:t>
            </w:r>
            <w:r>
              <w:rPr>
                <w:rFonts w:hint="default" w:ascii="Times New Roman" w:hAnsi="Times New Roman" w:cs="Times New Roman"/>
                <w:color w:val="000000" w:themeColor="text1"/>
                <w:sz w:val="21"/>
                <w:szCs w:val="21"/>
                <w14:textFill>
                  <w14:solidFill>
                    <w14:schemeClr w14:val="tx1"/>
                  </w14:solidFill>
                </w14:textFill>
              </w:rPr>
              <w:t>：</w:t>
            </w:r>
          </w:p>
          <w:p w14:paraId="3A778771">
            <w:pPr>
              <w:keepNext w:val="0"/>
              <w:keepLines w:val="0"/>
              <w:suppressLineNumbers w:val="0"/>
              <w:adjustRightInd w:val="0"/>
              <w:snapToGrid w:val="0"/>
              <w:spacing w:before="0" w:beforeAutospacing="0" w:after="0" w:afterAutospacing="0" w:line="240" w:lineRule="auto"/>
              <w:ind w:left="0" w:right="0" w:firstLine="422" w:firstLineChars="20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表</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4-</w:t>
            </w:r>
            <w:r>
              <w:rPr>
                <w:rFonts w:hint="eastAsia" w:cs="Times New Roman"/>
                <w:b/>
                <w:bCs/>
                <w:color w:val="000000" w:themeColor="text1"/>
                <w:sz w:val="21"/>
                <w:szCs w:val="21"/>
                <w:lang w:val="en-US" w:eastAsia="zh-CN"/>
                <w14:textFill>
                  <w14:solidFill>
                    <w14:schemeClr w14:val="tx1"/>
                  </w14:solidFill>
                </w14:textFill>
              </w:rPr>
              <w:t xml:space="preserve">14    </w:t>
            </w:r>
            <w:r>
              <w:rPr>
                <w:rFonts w:hint="default" w:ascii="Times New Roman" w:hAnsi="Times New Roman" w:eastAsia="宋体" w:cs="Times New Roman"/>
                <w:b/>
                <w:bCs/>
                <w:color w:val="000000" w:themeColor="text1"/>
                <w:sz w:val="21"/>
                <w:szCs w:val="21"/>
                <w14:textFill>
                  <w14:solidFill>
                    <w14:schemeClr w14:val="tx1"/>
                  </w14:solidFill>
                </w14:textFill>
              </w:rPr>
              <w:t>风险物质及临界量判定</w:t>
            </w:r>
          </w:p>
          <w:tbl>
            <w:tblPr>
              <w:tblStyle w:val="24"/>
              <w:tblW w:w="4996"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98"/>
              <w:gridCol w:w="724"/>
              <w:gridCol w:w="1615"/>
              <w:gridCol w:w="1760"/>
              <w:gridCol w:w="1170"/>
              <w:gridCol w:w="1360"/>
            </w:tblGrid>
            <w:tr w14:paraId="430A9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1" w:type="pct"/>
                  <w:tcBorders>
                    <w:tl2br w:val="nil"/>
                    <w:tr2bl w:val="nil"/>
                  </w:tcBorders>
                  <w:vAlign w:val="center"/>
                </w:tcPr>
                <w:p w14:paraId="02C082B1">
                  <w:pPr>
                    <w:jc w:val="center"/>
                    <w:outlineLvl w:val="2"/>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物质名称</w:t>
                  </w:r>
                </w:p>
              </w:tc>
              <w:tc>
                <w:tcPr>
                  <w:tcW w:w="451" w:type="pct"/>
                  <w:tcBorders>
                    <w:tl2br w:val="nil"/>
                    <w:tr2bl w:val="nil"/>
                  </w:tcBorders>
                  <w:vAlign w:val="center"/>
                </w:tcPr>
                <w:p w14:paraId="66B00744">
                  <w:pPr>
                    <w:jc w:val="center"/>
                    <w:outlineLvl w:val="2"/>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形态</w:t>
                  </w:r>
                </w:p>
              </w:tc>
              <w:tc>
                <w:tcPr>
                  <w:tcW w:w="1006" w:type="pct"/>
                  <w:tcBorders>
                    <w:tl2br w:val="nil"/>
                    <w:tr2bl w:val="nil"/>
                  </w:tcBorders>
                  <w:vAlign w:val="center"/>
                </w:tcPr>
                <w:p w14:paraId="0855D02F">
                  <w:pPr>
                    <w:jc w:val="center"/>
                    <w:outlineLvl w:val="2"/>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厂内最大量（t）</w:t>
                  </w:r>
                </w:p>
              </w:tc>
              <w:tc>
                <w:tcPr>
                  <w:tcW w:w="1096" w:type="pct"/>
                  <w:tcBorders>
                    <w:tl2br w:val="nil"/>
                    <w:tr2bl w:val="nil"/>
                  </w:tcBorders>
                  <w:vAlign w:val="center"/>
                </w:tcPr>
                <w:p w14:paraId="7AB1D718">
                  <w:pPr>
                    <w:jc w:val="center"/>
                    <w:outlineLvl w:val="2"/>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储存位置</w:t>
                  </w:r>
                </w:p>
              </w:tc>
              <w:tc>
                <w:tcPr>
                  <w:tcW w:w="727" w:type="pct"/>
                  <w:tcBorders>
                    <w:tl2br w:val="nil"/>
                    <w:tr2bl w:val="nil"/>
                  </w:tcBorders>
                  <w:vAlign w:val="center"/>
                </w:tcPr>
                <w:p w14:paraId="16CA20A0">
                  <w:pPr>
                    <w:jc w:val="center"/>
                    <w:outlineLvl w:val="2"/>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临界量（t）</w:t>
                  </w:r>
                </w:p>
              </w:tc>
              <w:tc>
                <w:tcPr>
                  <w:tcW w:w="846" w:type="pct"/>
                  <w:tcBorders>
                    <w:tl2br w:val="nil"/>
                    <w:tr2bl w:val="nil"/>
                  </w:tcBorders>
                  <w:vAlign w:val="center"/>
                </w:tcPr>
                <w:p w14:paraId="2A58983F">
                  <w:pPr>
                    <w:jc w:val="center"/>
                    <w:outlineLvl w:val="2"/>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Qi</w:t>
                  </w:r>
                  <w:r>
                    <w:rPr>
                      <w:rFonts w:hint="default" w:ascii="Times New Roman" w:hAnsi="Times New Roman" w:cs="Times New Roman"/>
                      <w:b/>
                      <w:bCs/>
                      <w:color w:val="000000" w:themeColor="text1"/>
                      <w:sz w:val="21"/>
                      <w:szCs w:val="21"/>
                      <w14:textFill>
                        <w14:solidFill>
                          <w14:schemeClr w14:val="tx1"/>
                        </w14:solidFill>
                      </w14:textFill>
                    </w:rPr>
                    <w:t>比值</w:t>
                  </w:r>
                </w:p>
              </w:tc>
            </w:tr>
            <w:tr w14:paraId="4867A0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871" w:type="pct"/>
                  <w:tcBorders>
                    <w:tl2br w:val="nil"/>
                    <w:tr2bl w:val="nil"/>
                  </w:tcBorders>
                  <w:vAlign w:val="center"/>
                </w:tcPr>
                <w:p w14:paraId="2F4D20BB">
                  <w:pPr>
                    <w:widowControl/>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海绵钛粉</w:t>
                  </w:r>
                </w:p>
              </w:tc>
              <w:tc>
                <w:tcPr>
                  <w:tcW w:w="451" w:type="pct"/>
                  <w:tcBorders>
                    <w:tl2br w:val="nil"/>
                    <w:tr2bl w:val="nil"/>
                  </w:tcBorders>
                  <w:vAlign w:val="center"/>
                </w:tcPr>
                <w:p w14:paraId="646FC56B">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固态</w:t>
                  </w:r>
                </w:p>
              </w:tc>
              <w:tc>
                <w:tcPr>
                  <w:tcW w:w="1006" w:type="pct"/>
                  <w:tcBorders>
                    <w:tl2br w:val="nil"/>
                    <w:tr2bl w:val="nil"/>
                  </w:tcBorders>
                  <w:vAlign w:val="center"/>
                </w:tcPr>
                <w:p w14:paraId="117B1888">
                  <w:pPr>
                    <w:jc w:val="center"/>
                    <w:outlineLvl w:val="2"/>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0.05</w:t>
                  </w:r>
                </w:p>
              </w:tc>
              <w:tc>
                <w:tcPr>
                  <w:tcW w:w="1096" w:type="pct"/>
                  <w:tcBorders>
                    <w:tl2br w:val="nil"/>
                    <w:tr2bl w:val="nil"/>
                  </w:tcBorders>
                  <w:vAlign w:val="center"/>
                </w:tcPr>
                <w:p w14:paraId="7D8E6753">
                  <w:pPr>
                    <w:jc w:val="center"/>
                    <w:outlineLvl w:val="2"/>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原料</w:t>
                  </w:r>
                  <w:r>
                    <w:rPr>
                      <w:rFonts w:hint="default" w:ascii="Times New Roman" w:hAnsi="Times New Roman" w:cs="Times New Roman"/>
                      <w:color w:val="000000" w:themeColor="text1"/>
                      <w:sz w:val="21"/>
                      <w:szCs w:val="21"/>
                      <w:lang w:val="en-US" w:eastAsia="zh-CN"/>
                      <w14:textFill>
                        <w14:solidFill>
                          <w14:schemeClr w14:val="tx1"/>
                        </w14:solidFill>
                      </w14:textFill>
                    </w:rPr>
                    <w:t>库房</w:t>
                  </w:r>
                </w:p>
              </w:tc>
              <w:tc>
                <w:tcPr>
                  <w:tcW w:w="727" w:type="pct"/>
                  <w:tcBorders>
                    <w:tl2br w:val="nil"/>
                    <w:tr2bl w:val="nil"/>
                  </w:tcBorders>
                  <w:vAlign w:val="center"/>
                </w:tcPr>
                <w:p w14:paraId="4F3989D5">
                  <w:pPr>
                    <w:jc w:val="center"/>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50</w:t>
                  </w:r>
                </w:p>
              </w:tc>
              <w:tc>
                <w:tcPr>
                  <w:tcW w:w="846" w:type="pct"/>
                  <w:tcBorders>
                    <w:tl2br w:val="nil"/>
                    <w:tr2bl w:val="nil"/>
                  </w:tcBorders>
                  <w:vAlign w:val="center"/>
                </w:tcPr>
                <w:p w14:paraId="5275FEB8">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0.01</w:t>
                  </w:r>
                </w:p>
              </w:tc>
            </w:tr>
            <w:tr w14:paraId="239F06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871" w:type="pct"/>
                  <w:tcBorders>
                    <w:tl2br w:val="nil"/>
                    <w:tr2bl w:val="nil"/>
                  </w:tcBorders>
                  <w:vAlign w:val="center"/>
                </w:tcPr>
                <w:p w14:paraId="0D76A2CB">
                  <w:pPr>
                    <w:widowControl/>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液压油</w:t>
                  </w:r>
                </w:p>
              </w:tc>
              <w:tc>
                <w:tcPr>
                  <w:tcW w:w="451" w:type="pct"/>
                  <w:tcBorders>
                    <w:tl2br w:val="nil"/>
                    <w:tr2bl w:val="nil"/>
                  </w:tcBorders>
                  <w:vAlign w:val="center"/>
                </w:tcPr>
                <w:p w14:paraId="6FB2BD3D">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液态</w:t>
                  </w:r>
                </w:p>
              </w:tc>
              <w:tc>
                <w:tcPr>
                  <w:tcW w:w="1006" w:type="pct"/>
                  <w:tcBorders>
                    <w:tl2br w:val="nil"/>
                    <w:tr2bl w:val="nil"/>
                  </w:tcBorders>
                  <w:vAlign w:val="center"/>
                </w:tcPr>
                <w:p w14:paraId="445E6E97">
                  <w:pPr>
                    <w:jc w:val="center"/>
                    <w:outlineLvl w:val="2"/>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0.05</w:t>
                  </w:r>
                </w:p>
              </w:tc>
              <w:tc>
                <w:tcPr>
                  <w:tcW w:w="1096" w:type="pct"/>
                  <w:vMerge w:val="restart"/>
                  <w:tcBorders>
                    <w:tl2br w:val="nil"/>
                    <w:tr2bl w:val="nil"/>
                  </w:tcBorders>
                  <w:vAlign w:val="center"/>
                </w:tcPr>
                <w:p w14:paraId="25BEAA1F">
                  <w:pPr>
                    <w:jc w:val="center"/>
                    <w:outlineLvl w:val="2"/>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原料</w:t>
                  </w:r>
                  <w:r>
                    <w:rPr>
                      <w:rFonts w:hint="default" w:ascii="Times New Roman" w:hAnsi="Times New Roman" w:cs="Times New Roman"/>
                      <w:color w:val="000000" w:themeColor="text1"/>
                      <w:sz w:val="21"/>
                      <w:szCs w:val="21"/>
                      <w:lang w:val="en-US" w:eastAsia="zh-CN"/>
                      <w14:textFill>
                        <w14:solidFill>
                          <w14:schemeClr w14:val="tx1"/>
                        </w14:solidFill>
                      </w14:textFill>
                    </w:rPr>
                    <w:t>库房</w:t>
                  </w:r>
                </w:p>
              </w:tc>
              <w:tc>
                <w:tcPr>
                  <w:tcW w:w="727" w:type="pct"/>
                  <w:tcBorders>
                    <w:tl2br w:val="nil"/>
                    <w:tr2bl w:val="nil"/>
                  </w:tcBorders>
                  <w:vAlign w:val="center"/>
                </w:tcPr>
                <w:p w14:paraId="06B65C38">
                  <w:pPr>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2500</w:t>
                  </w:r>
                </w:p>
              </w:tc>
              <w:tc>
                <w:tcPr>
                  <w:tcW w:w="846" w:type="pct"/>
                  <w:tcBorders>
                    <w:tl2br w:val="nil"/>
                    <w:tr2bl w:val="nil"/>
                  </w:tcBorders>
                  <w:vAlign w:val="center"/>
                </w:tcPr>
                <w:p w14:paraId="451489DA">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0.00002</w:t>
                  </w:r>
                </w:p>
              </w:tc>
            </w:tr>
            <w:tr w14:paraId="0CF76D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871" w:type="pct"/>
                  <w:tcBorders>
                    <w:tl2br w:val="nil"/>
                    <w:tr2bl w:val="nil"/>
                  </w:tcBorders>
                  <w:vAlign w:val="center"/>
                </w:tcPr>
                <w:p w14:paraId="3D79D548">
                  <w:pPr>
                    <w:widowControl/>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润滑油</w:t>
                  </w:r>
                </w:p>
              </w:tc>
              <w:tc>
                <w:tcPr>
                  <w:tcW w:w="451" w:type="pct"/>
                  <w:tcBorders>
                    <w:tl2br w:val="nil"/>
                    <w:tr2bl w:val="nil"/>
                  </w:tcBorders>
                  <w:vAlign w:val="center"/>
                </w:tcPr>
                <w:p w14:paraId="3414BF2D">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液态</w:t>
                  </w:r>
                </w:p>
              </w:tc>
              <w:tc>
                <w:tcPr>
                  <w:tcW w:w="1006" w:type="pct"/>
                  <w:tcBorders>
                    <w:tl2br w:val="nil"/>
                    <w:tr2bl w:val="nil"/>
                  </w:tcBorders>
                  <w:vAlign w:val="center"/>
                </w:tcPr>
                <w:p w14:paraId="339641D4">
                  <w:pPr>
                    <w:jc w:val="center"/>
                    <w:outlineLvl w:val="2"/>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0.02</w:t>
                  </w:r>
                </w:p>
              </w:tc>
              <w:tc>
                <w:tcPr>
                  <w:tcW w:w="1096" w:type="pct"/>
                  <w:vMerge w:val="continue"/>
                  <w:tcBorders>
                    <w:tl2br w:val="nil"/>
                    <w:tr2bl w:val="nil"/>
                  </w:tcBorders>
                  <w:vAlign w:val="center"/>
                </w:tcPr>
                <w:p w14:paraId="10CC6AFC">
                  <w:pPr>
                    <w:jc w:val="center"/>
                    <w:outlineLvl w:val="2"/>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727" w:type="pct"/>
                  <w:tcBorders>
                    <w:tl2br w:val="nil"/>
                    <w:tr2bl w:val="nil"/>
                  </w:tcBorders>
                  <w:vAlign w:val="center"/>
                </w:tcPr>
                <w:p w14:paraId="2FC3746D">
                  <w:pPr>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2500</w:t>
                  </w:r>
                </w:p>
              </w:tc>
              <w:tc>
                <w:tcPr>
                  <w:tcW w:w="846" w:type="pct"/>
                  <w:tcBorders>
                    <w:tl2br w:val="nil"/>
                    <w:tr2bl w:val="nil"/>
                  </w:tcBorders>
                  <w:vAlign w:val="center"/>
                </w:tcPr>
                <w:p w14:paraId="1BA12361">
                  <w:pPr>
                    <w:keepNext w:val="0"/>
                    <w:keepLines w:val="0"/>
                    <w:widowControl/>
                    <w:suppressLineNumbers w:val="0"/>
                    <w:jc w:val="center"/>
                    <w:textAlignment w:val="center"/>
                    <w:rPr>
                      <w:rFonts w:hint="default"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0.000008</w:t>
                  </w:r>
                </w:p>
              </w:tc>
            </w:tr>
            <w:tr w14:paraId="4F28F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871" w:type="pct"/>
                  <w:tcBorders>
                    <w:tl2br w:val="nil"/>
                    <w:tr2bl w:val="nil"/>
                  </w:tcBorders>
                  <w:vAlign w:val="center"/>
                </w:tcPr>
                <w:p w14:paraId="5480D1A7">
                  <w:pPr>
                    <w:widowControl/>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真空泵油</w:t>
                  </w:r>
                </w:p>
              </w:tc>
              <w:tc>
                <w:tcPr>
                  <w:tcW w:w="451" w:type="pct"/>
                  <w:tcBorders>
                    <w:tl2br w:val="nil"/>
                    <w:tr2bl w:val="nil"/>
                  </w:tcBorders>
                  <w:vAlign w:val="center"/>
                </w:tcPr>
                <w:p w14:paraId="64987565">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液态</w:t>
                  </w:r>
                </w:p>
              </w:tc>
              <w:tc>
                <w:tcPr>
                  <w:tcW w:w="1006" w:type="pct"/>
                  <w:tcBorders>
                    <w:tl2br w:val="nil"/>
                    <w:tr2bl w:val="nil"/>
                  </w:tcBorders>
                  <w:vAlign w:val="center"/>
                </w:tcPr>
                <w:p w14:paraId="392613D7">
                  <w:pPr>
                    <w:jc w:val="center"/>
                    <w:outlineLvl w:val="2"/>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0.02</w:t>
                  </w:r>
                </w:p>
              </w:tc>
              <w:tc>
                <w:tcPr>
                  <w:tcW w:w="1096" w:type="pct"/>
                  <w:vMerge w:val="continue"/>
                  <w:tcBorders>
                    <w:tl2br w:val="nil"/>
                    <w:tr2bl w:val="nil"/>
                  </w:tcBorders>
                  <w:vAlign w:val="center"/>
                </w:tcPr>
                <w:p w14:paraId="166A9FE7">
                  <w:pPr>
                    <w:jc w:val="center"/>
                    <w:outlineLvl w:val="2"/>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727" w:type="pct"/>
                  <w:tcBorders>
                    <w:tl2br w:val="nil"/>
                    <w:tr2bl w:val="nil"/>
                  </w:tcBorders>
                  <w:vAlign w:val="center"/>
                </w:tcPr>
                <w:p w14:paraId="6B6478A5">
                  <w:pPr>
                    <w:jc w:val="center"/>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2500</w:t>
                  </w:r>
                </w:p>
              </w:tc>
              <w:tc>
                <w:tcPr>
                  <w:tcW w:w="846" w:type="pct"/>
                  <w:tcBorders>
                    <w:tl2br w:val="nil"/>
                    <w:tr2bl w:val="nil"/>
                  </w:tcBorders>
                  <w:vAlign w:val="center"/>
                </w:tcPr>
                <w:p w14:paraId="69B0F487">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0.000008</w:t>
                  </w:r>
                </w:p>
              </w:tc>
            </w:tr>
            <w:tr w14:paraId="1C329D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1" w:type="pct"/>
                  <w:tcBorders>
                    <w:tl2br w:val="nil"/>
                    <w:tr2bl w:val="nil"/>
                  </w:tcBorders>
                  <w:vAlign w:val="center"/>
                </w:tcPr>
                <w:p w14:paraId="0CB85238">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切削液</w:t>
                  </w:r>
                </w:p>
              </w:tc>
              <w:tc>
                <w:tcPr>
                  <w:tcW w:w="451" w:type="pct"/>
                  <w:tcBorders>
                    <w:tl2br w:val="nil"/>
                    <w:tr2bl w:val="nil"/>
                  </w:tcBorders>
                  <w:vAlign w:val="center"/>
                </w:tcPr>
                <w:p w14:paraId="0FF7E391">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液态</w:t>
                  </w:r>
                </w:p>
              </w:tc>
              <w:tc>
                <w:tcPr>
                  <w:tcW w:w="1006" w:type="pct"/>
                  <w:tcBorders>
                    <w:tl2br w:val="nil"/>
                    <w:tr2bl w:val="nil"/>
                  </w:tcBorders>
                  <w:vAlign w:val="center"/>
                </w:tcPr>
                <w:p w14:paraId="75DA3DA7">
                  <w:pPr>
                    <w:jc w:val="center"/>
                    <w:outlineLvl w:val="2"/>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0.02</w:t>
                  </w:r>
                </w:p>
              </w:tc>
              <w:tc>
                <w:tcPr>
                  <w:tcW w:w="1096" w:type="pct"/>
                  <w:vMerge w:val="continue"/>
                  <w:tcBorders>
                    <w:tl2br w:val="nil"/>
                    <w:tr2bl w:val="nil"/>
                  </w:tcBorders>
                  <w:vAlign w:val="center"/>
                </w:tcPr>
                <w:p w14:paraId="79CB51B2">
                  <w:pPr>
                    <w:jc w:val="center"/>
                    <w:outlineLvl w:val="2"/>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727" w:type="pct"/>
                  <w:tcBorders>
                    <w:tl2br w:val="nil"/>
                    <w:tr2bl w:val="nil"/>
                  </w:tcBorders>
                  <w:vAlign w:val="center"/>
                </w:tcPr>
                <w:p w14:paraId="71B78F3B">
                  <w:pPr>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2500</w:t>
                  </w:r>
                </w:p>
              </w:tc>
              <w:tc>
                <w:tcPr>
                  <w:tcW w:w="846" w:type="pct"/>
                  <w:tcBorders>
                    <w:tl2br w:val="nil"/>
                    <w:tr2bl w:val="nil"/>
                  </w:tcBorders>
                  <w:vAlign w:val="center"/>
                </w:tcPr>
                <w:p w14:paraId="095CC06B">
                  <w:pPr>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0.000008</w:t>
                  </w:r>
                </w:p>
              </w:tc>
            </w:tr>
            <w:tr w14:paraId="5C5B7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1" w:type="pct"/>
                  <w:tcBorders>
                    <w:tl2br w:val="nil"/>
                    <w:tr2bl w:val="nil"/>
                  </w:tcBorders>
                  <w:vAlign w:val="center"/>
                </w:tcPr>
                <w:p w14:paraId="387E3417">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废液压油</w:t>
                  </w:r>
                </w:p>
              </w:tc>
              <w:tc>
                <w:tcPr>
                  <w:tcW w:w="451" w:type="pct"/>
                  <w:tcBorders>
                    <w:tl2br w:val="nil"/>
                    <w:tr2bl w:val="nil"/>
                  </w:tcBorders>
                  <w:vAlign w:val="center"/>
                </w:tcPr>
                <w:p w14:paraId="5F57371B">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液态</w:t>
                  </w:r>
                </w:p>
              </w:tc>
              <w:tc>
                <w:tcPr>
                  <w:tcW w:w="1006" w:type="pct"/>
                  <w:tcBorders>
                    <w:tl2br w:val="nil"/>
                    <w:tr2bl w:val="nil"/>
                  </w:tcBorders>
                  <w:vAlign w:val="center"/>
                </w:tcPr>
                <w:p w14:paraId="45390EA7">
                  <w:pPr>
                    <w:jc w:val="center"/>
                    <w:outlineLvl w:val="2"/>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0.005</w:t>
                  </w:r>
                </w:p>
              </w:tc>
              <w:tc>
                <w:tcPr>
                  <w:tcW w:w="1096" w:type="pct"/>
                  <w:vMerge w:val="restart"/>
                  <w:tcBorders>
                    <w:tl2br w:val="nil"/>
                    <w:tr2bl w:val="nil"/>
                  </w:tcBorders>
                  <w:vAlign w:val="center"/>
                </w:tcPr>
                <w:p w14:paraId="27923A1E">
                  <w:pPr>
                    <w:jc w:val="center"/>
                    <w:outlineLvl w:val="2"/>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危险废物贮存库</w:t>
                  </w:r>
                </w:p>
              </w:tc>
              <w:tc>
                <w:tcPr>
                  <w:tcW w:w="727" w:type="pct"/>
                  <w:tcBorders>
                    <w:tl2br w:val="nil"/>
                    <w:tr2bl w:val="nil"/>
                  </w:tcBorders>
                  <w:vAlign w:val="center"/>
                </w:tcPr>
                <w:p w14:paraId="16C01DB8">
                  <w:pPr>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50</w:t>
                  </w:r>
                </w:p>
              </w:tc>
              <w:tc>
                <w:tcPr>
                  <w:tcW w:w="846" w:type="pct"/>
                  <w:tcBorders>
                    <w:tl2br w:val="nil"/>
                    <w:tr2bl w:val="nil"/>
                  </w:tcBorders>
                  <w:vAlign w:val="center"/>
                </w:tcPr>
                <w:p w14:paraId="1F5DBDC9">
                  <w:pPr>
                    <w:jc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0.0001</w:t>
                  </w:r>
                </w:p>
              </w:tc>
            </w:tr>
            <w:tr w14:paraId="171DF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1" w:type="pct"/>
                  <w:tcBorders>
                    <w:tl2br w:val="nil"/>
                    <w:tr2bl w:val="nil"/>
                  </w:tcBorders>
                  <w:vAlign w:val="center"/>
                </w:tcPr>
                <w:p w14:paraId="75C2D757">
                  <w:pPr>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废切削液</w:t>
                  </w:r>
                </w:p>
              </w:tc>
              <w:tc>
                <w:tcPr>
                  <w:tcW w:w="451" w:type="pct"/>
                  <w:tcBorders>
                    <w:tl2br w:val="nil"/>
                    <w:tr2bl w:val="nil"/>
                  </w:tcBorders>
                  <w:vAlign w:val="center"/>
                </w:tcPr>
                <w:p w14:paraId="3290F58F">
                  <w:pPr>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液态</w:t>
                  </w:r>
                </w:p>
              </w:tc>
              <w:tc>
                <w:tcPr>
                  <w:tcW w:w="1006" w:type="pct"/>
                  <w:tcBorders>
                    <w:tl2br w:val="nil"/>
                    <w:tr2bl w:val="nil"/>
                  </w:tcBorders>
                  <w:vAlign w:val="center"/>
                </w:tcPr>
                <w:p w14:paraId="3F14C735">
                  <w:pPr>
                    <w:jc w:val="center"/>
                    <w:outlineLvl w:val="2"/>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0.08</w:t>
                  </w:r>
                </w:p>
              </w:tc>
              <w:tc>
                <w:tcPr>
                  <w:tcW w:w="1096" w:type="pct"/>
                  <w:vMerge w:val="continue"/>
                  <w:tcBorders>
                    <w:tl2br w:val="nil"/>
                    <w:tr2bl w:val="nil"/>
                  </w:tcBorders>
                  <w:vAlign w:val="center"/>
                </w:tcPr>
                <w:p w14:paraId="1B50E055">
                  <w:pPr>
                    <w:jc w:val="center"/>
                    <w:outlineLvl w:val="2"/>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727" w:type="pct"/>
                  <w:tcBorders>
                    <w:tl2br w:val="nil"/>
                    <w:tr2bl w:val="nil"/>
                  </w:tcBorders>
                  <w:vAlign w:val="center"/>
                </w:tcPr>
                <w:p w14:paraId="32095A76">
                  <w:pPr>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50</w:t>
                  </w:r>
                </w:p>
              </w:tc>
              <w:tc>
                <w:tcPr>
                  <w:tcW w:w="846" w:type="pct"/>
                  <w:tcBorders>
                    <w:tl2br w:val="nil"/>
                    <w:tr2bl w:val="nil"/>
                  </w:tcBorders>
                  <w:vAlign w:val="center"/>
                </w:tcPr>
                <w:p w14:paraId="42C68054">
                  <w:pPr>
                    <w:jc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0.0016</w:t>
                  </w:r>
                </w:p>
              </w:tc>
            </w:tr>
            <w:tr w14:paraId="052DEC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1" w:type="pct"/>
                  <w:tcBorders>
                    <w:tl2br w:val="nil"/>
                    <w:tr2bl w:val="nil"/>
                  </w:tcBorders>
                  <w:vAlign w:val="center"/>
                </w:tcPr>
                <w:p w14:paraId="47F5C2E0">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废真空泵油</w:t>
                  </w:r>
                </w:p>
              </w:tc>
              <w:tc>
                <w:tcPr>
                  <w:tcW w:w="451" w:type="pct"/>
                  <w:tcBorders>
                    <w:tl2br w:val="nil"/>
                    <w:tr2bl w:val="nil"/>
                  </w:tcBorders>
                  <w:vAlign w:val="center"/>
                </w:tcPr>
                <w:p w14:paraId="4D39EB4E">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液态</w:t>
                  </w:r>
                </w:p>
              </w:tc>
              <w:tc>
                <w:tcPr>
                  <w:tcW w:w="1006" w:type="pct"/>
                  <w:tcBorders>
                    <w:tl2br w:val="nil"/>
                    <w:tr2bl w:val="nil"/>
                  </w:tcBorders>
                  <w:vAlign w:val="center"/>
                </w:tcPr>
                <w:p w14:paraId="48262E11">
                  <w:pPr>
                    <w:jc w:val="center"/>
                    <w:outlineLvl w:val="2"/>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0.001</w:t>
                  </w:r>
                </w:p>
              </w:tc>
              <w:tc>
                <w:tcPr>
                  <w:tcW w:w="1096" w:type="pct"/>
                  <w:vMerge w:val="continue"/>
                  <w:tcBorders>
                    <w:tl2br w:val="nil"/>
                    <w:tr2bl w:val="nil"/>
                  </w:tcBorders>
                  <w:vAlign w:val="center"/>
                </w:tcPr>
                <w:p w14:paraId="14C4317B">
                  <w:pPr>
                    <w:jc w:val="center"/>
                    <w:outlineLvl w:val="2"/>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727" w:type="pct"/>
                  <w:tcBorders>
                    <w:tl2br w:val="nil"/>
                    <w:tr2bl w:val="nil"/>
                  </w:tcBorders>
                  <w:vAlign w:val="center"/>
                </w:tcPr>
                <w:p w14:paraId="405E881E">
                  <w:pPr>
                    <w:jc w:val="center"/>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50</w:t>
                  </w:r>
                </w:p>
              </w:tc>
              <w:tc>
                <w:tcPr>
                  <w:tcW w:w="846" w:type="pct"/>
                  <w:tcBorders>
                    <w:tl2br w:val="nil"/>
                    <w:tr2bl w:val="nil"/>
                  </w:tcBorders>
                  <w:vAlign w:val="center"/>
                </w:tcPr>
                <w:p w14:paraId="7F580E65">
                  <w:pPr>
                    <w:jc w:val="center"/>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0.00002</w:t>
                  </w:r>
                </w:p>
              </w:tc>
            </w:tr>
            <w:tr w14:paraId="035E41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71" w:type="pct"/>
                  <w:tcBorders>
                    <w:tl2br w:val="nil"/>
                    <w:tr2bl w:val="nil"/>
                  </w:tcBorders>
                  <w:vAlign w:val="center"/>
                </w:tcPr>
                <w:p w14:paraId="6DF09203">
                  <w:pPr>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废润滑油</w:t>
                  </w:r>
                </w:p>
              </w:tc>
              <w:tc>
                <w:tcPr>
                  <w:tcW w:w="451" w:type="pct"/>
                  <w:tcBorders>
                    <w:tl2br w:val="nil"/>
                    <w:tr2bl w:val="nil"/>
                  </w:tcBorders>
                  <w:vAlign w:val="center"/>
                </w:tcPr>
                <w:p w14:paraId="5EA1614A">
                  <w:pPr>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液态</w:t>
                  </w:r>
                </w:p>
              </w:tc>
              <w:tc>
                <w:tcPr>
                  <w:tcW w:w="1006" w:type="pct"/>
                  <w:tcBorders>
                    <w:tl2br w:val="nil"/>
                    <w:tr2bl w:val="nil"/>
                  </w:tcBorders>
                  <w:vAlign w:val="center"/>
                </w:tcPr>
                <w:p w14:paraId="3D2461A1">
                  <w:pPr>
                    <w:jc w:val="center"/>
                    <w:outlineLvl w:val="2"/>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w:t>
                  </w:r>
                </w:p>
              </w:tc>
              <w:tc>
                <w:tcPr>
                  <w:tcW w:w="1096" w:type="pct"/>
                  <w:vMerge w:val="continue"/>
                  <w:tcBorders>
                    <w:tl2br w:val="nil"/>
                    <w:tr2bl w:val="nil"/>
                  </w:tcBorders>
                  <w:vAlign w:val="center"/>
                </w:tcPr>
                <w:p w14:paraId="5D21B812">
                  <w:pPr>
                    <w:jc w:val="center"/>
                    <w:outlineLvl w:val="2"/>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727" w:type="pct"/>
                  <w:tcBorders>
                    <w:tl2br w:val="nil"/>
                    <w:tr2bl w:val="nil"/>
                  </w:tcBorders>
                  <w:vAlign w:val="center"/>
                </w:tcPr>
                <w:p w14:paraId="45767DDD">
                  <w:pPr>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50</w:t>
                  </w:r>
                </w:p>
              </w:tc>
              <w:tc>
                <w:tcPr>
                  <w:tcW w:w="846" w:type="pct"/>
                  <w:tcBorders>
                    <w:tl2br w:val="nil"/>
                    <w:tr2bl w:val="nil"/>
                  </w:tcBorders>
                  <w:vAlign w:val="center"/>
                </w:tcPr>
                <w:p w14:paraId="656A8E5B">
                  <w:pPr>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0.0002</w:t>
                  </w:r>
                </w:p>
              </w:tc>
            </w:tr>
            <w:tr w14:paraId="3C71E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153" w:type="pct"/>
                  <w:gridSpan w:val="5"/>
                  <w:tcBorders>
                    <w:tl2br w:val="nil"/>
                    <w:tr2bl w:val="nil"/>
                  </w:tcBorders>
                  <w:vAlign w:val="center"/>
                </w:tcPr>
                <w:p w14:paraId="3934ED96">
                  <w:pPr>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合计</w:t>
                  </w:r>
                </w:p>
              </w:tc>
              <w:tc>
                <w:tcPr>
                  <w:tcW w:w="846" w:type="pct"/>
                  <w:tcBorders>
                    <w:tl2br w:val="nil"/>
                    <w:tr2bl w:val="nil"/>
                  </w:tcBorders>
                  <w:vAlign w:val="center"/>
                </w:tcPr>
                <w:p w14:paraId="6B0536D3">
                  <w:pPr>
                    <w:jc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0.011964</w:t>
                  </w:r>
                </w:p>
              </w:tc>
            </w:tr>
            <w:tr w14:paraId="230173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6"/>
                  <w:tcBorders>
                    <w:tl2br w:val="nil"/>
                    <w:tr2bl w:val="nil"/>
                  </w:tcBorders>
                  <w:vAlign w:val="center"/>
                </w:tcPr>
                <w:p w14:paraId="1B9729FE">
                  <w:pPr>
                    <w:jc w:val="left"/>
                    <w:rPr>
                      <w:rFonts w:hint="eastAsia"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注：对照《危险化学品名录（2015版）》，海绵钛粉属于危险化学品，CAS号7440-32-6，依据《危险化学品重大危险源辨识》（GB18218-2018）表2，应属于W8自然固体，临界量为50吨。</w:t>
                  </w:r>
                </w:p>
              </w:tc>
            </w:tr>
          </w:tbl>
          <w:p w14:paraId="3A460B7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2" w:firstLineChars="200"/>
              <w:jc w:val="left"/>
              <w:textAlignment w:val="auto"/>
              <w:rPr>
                <w:rFonts w:hint="eastAsia"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（2）风险源分布情况</w:t>
            </w:r>
          </w:p>
          <w:p w14:paraId="4D4D771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0" w:firstLineChars="200"/>
              <w:jc w:val="left"/>
              <w:textAlignment w:val="auto"/>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①风险单元</w:t>
            </w:r>
          </w:p>
          <w:p w14:paraId="0F5B8CB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0" w:firstLineChars="200"/>
              <w:jc w:val="left"/>
              <w:textAlignment w:val="auto"/>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本项目涉及的风险单元主要为原料库房、危险废物贮存库，各风险单元内风险物质最大存在量均小于临界量。</w:t>
            </w:r>
          </w:p>
          <w:p w14:paraId="264EB26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0" w:firstLineChars="200"/>
              <w:jc w:val="left"/>
              <w:textAlignment w:val="auto"/>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②危险性识别</w:t>
            </w:r>
          </w:p>
          <w:p w14:paraId="0285B35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0" w:firstLineChars="200"/>
              <w:jc w:val="left"/>
              <w:textAlignment w:val="auto"/>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本项目环境风险主要为原料、危险废物在储存、转移等过程中，由于不规范操作、容器破损等原因，导致发生泄漏事故，一旦发生泄漏，将有可能给事故现场及周边环境带来环境危害。</w:t>
            </w:r>
          </w:p>
          <w:p w14:paraId="092FD61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2" w:firstLineChars="200"/>
              <w:jc w:val="left"/>
              <w:textAlignment w:val="auto"/>
              <w:rPr>
                <w:rFonts w:hint="eastAsia"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（3）影响途径</w:t>
            </w:r>
          </w:p>
          <w:p w14:paraId="4A87C3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right="0" w:firstLine="420" w:firstLineChars="200"/>
              <w:jc w:val="left"/>
              <w:textAlignment w:val="auto"/>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①环境风险类型</w:t>
            </w:r>
          </w:p>
          <w:p w14:paraId="3C2DA8A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0" w:firstLineChars="200"/>
              <w:jc w:val="left"/>
              <w:textAlignment w:val="auto"/>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本项目风险物质包括</w:t>
            </w:r>
            <w:r>
              <w:rPr>
                <w:rFonts w:hint="eastAsia" w:cs="Times New Roman"/>
                <w:color w:val="000000" w:themeColor="text1"/>
                <w:sz w:val="21"/>
                <w:szCs w:val="21"/>
                <w:lang w:val="en-US" w:eastAsia="zh-CN"/>
                <w14:textFill>
                  <w14:solidFill>
                    <w14:schemeClr w14:val="tx1"/>
                  </w14:solidFill>
                </w14:textFill>
              </w:rPr>
              <w:t>海绵钛粉（固体）、</w:t>
            </w:r>
            <w:r>
              <w:rPr>
                <w:rFonts w:hint="eastAsia" w:cs="Times New Roman"/>
                <w:b w:val="0"/>
                <w:bCs w:val="0"/>
                <w:color w:val="000000" w:themeColor="text1"/>
                <w:sz w:val="21"/>
                <w:szCs w:val="21"/>
                <w:lang w:val="en-US" w:eastAsia="zh-CN"/>
                <w14:textFill>
                  <w14:solidFill>
                    <w14:schemeClr w14:val="tx1"/>
                  </w14:solidFill>
                </w14:textFill>
              </w:rPr>
              <w:t>润滑油、液压油、切削液及危险废物，依据风险物质的特性，本项目环境风险类型主要为危险物质泄漏及海绵钛粉暂存期间发生火灾爆炸风险。</w:t>
            </w:r>
          </w:p>
          <w:p w14:paraId="249553C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0" w:firstLineChars="200"/>
              <w:jc w:val="left"/>
              <w:textAlignment w:val="auto"/>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②危险物质向环境转移的途径</w:t>
            </w:r>
          </w:p>
          <w:p w14:paraId="7F349A1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0" w:firstLineChars="200"/>
              <w:jc w:val="left"/>
              <w:textAlignment w:val="auto"/>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原库房、危险废物贮存库发生泄漏，如不设置应急防范措施，可能导致风险物质通过雨水管道排出厂外，污染周边地表水体。</w:t>
            </w:r>
          </w:p>
          <w:p w14:paraId="6239C8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2" w:firstLineChars="200"/>
              <w:jc w:val="left"/>
              <w:textAlignment w:val="auto"/>
              <w:rPr>
                <w:rFonts w:hint="eastAsia"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（4）环境风险防范措施</w:t>
            </w:r>
          </w:p>
          <w:p w14:paraId="65DDB67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20" w:firstLineChars="200"/>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w:t>
            </w:r>
            <w:r>
              <w:rPr>
                <w:rFonts w:hint="eastAsia" w:cs="Times New Roman"/>
                <w:color w:val="000000" w:themeColor="text1"/>
                <w:sz w:val="21"/>
                <w:szCs w:val="21"/>
                <w:lang w:val="en-US" w:eastAsia="zh-CN"/>
                <w14:textFill>
                  <w14:solidFill>
                    <w14:schemeClr w14:val="tx1"/>
                  </w14:solidFill>
                </w14:textFill>
              </w:rPr>
              <w:t>火灾爆炸风险防范措施</w:t>
            </w:r>
          </w:p>
          <w:p w14:paraId="60A2BD30">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本项目使用的</w:t>
            </w:r>
            <w:r>
              <w:rPr>
                <w:rFonts w:hint="eastAsia" w:cs="Times New Roman"/>
                <w:color w:val="000000" w:themeColor="text1"/>
                <w:sz w:val="21"/>
                <w:szCs w:val="21"/>
                <w:highlight w:val="none"/>
                <w:lang w:val="en-US" w:eastAsia="zh-CN"/>
                <w14:textFill>
                  <w14:solidFill>
                    <w14:schemeClr w14:val="tx1"/>
                  </w14:solidFill>
                </w14:textFill>
              </w:rPr>
              <w:t>海绵钛</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粉属于自然固体</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在贮存、使用过程中可能会发生火灾、爆炸</w:t>
            </w:r>
            <w:r>
              <w:rPr>
                <w:rFonts w:hint="default" w:ascii="Times New Roman" w:hAnsi="Times New Roman" w:eastAsia="宋体" w:cs="Times New Roman"/>
                <w:color w:val="000000" w:themeColor="text1"/>
                <w:sz w:val="21"/>
                <w:szCs w:val="21"/>
                <w:highlight w:val="none"/>
                <w14:textFill>
                  <w14:solidFill>
                    <w14:schemeClr w14:val="tx1"/>
                  </w14:solidFill>
                </w14:textFill>
              </w:rPr>
              <w:t>为</w:t>
            </w:r>
            <w:r>
              <w:rPr>
                <w:rFonts w:hint="eastAsia" w:cs="Times New Roman"/>
                <w:color w:val="000000" w:themeColor="text1"/>
                <w:sz w:val="21"/>
                <w:szCs w:val="21"/>
                <w:highlight w:val="none"/>
                <w:lang w:eastAsia="zh-CN"/>
                <w14:textFill>
                  <w14:solidFill>
                    <w14:schemeClr w14:val="tx1"/>
                  </w14:solidFill>
                </w14:textFill>
              </w:rPr>
              <w:t>防止</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钛合金粉发生</w:t>
            </w:r>
            <w:r>
              <w:rPr>
                <w:rFonts w:hint="default" w:ascii="Times New Roman" w:hAnsi="Times New Roman" w:eastAsia="宋体" w:cs="Times New Roman"/>
                <w:color w:val="000000" w:themeColor="text1"/>
                <w:sz w:val="21"/>
                <w:szCs w:val="21"/>
                <w:highlight w:val="none"/>
                <w14:textFill>
                  <w14:solidFill>
                    <w14:schemeClr w14:val="tx1"/>
                  </w14:solidFill>
                </w14:textFill>
              </w:rPr>
              <w:t>火灾爆炸产生的风险</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建议建设单位采取如下措施：</w:t>
            </w:r>
          </w:p>
          <w:p w14:paraId="7182FF98">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20" w:firstLineChars="200"/>
              <w:textAlignment w:val="auto"/>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①规范</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建设</w:t>
            </w:r>
            <w:r>
              <w:rPr>
                <w:rFonts w:hint="eastAsia" w:cs="Times New Roman"/>
                <w:color w:val="000000" w:themeColor="text1"/>
                <w:sz w:val="21"/>
                <w:szCs w:val="21"/>
                <w:highlight w:val="none"/>
                <w:lang w:val="en-US" w:eastAsia="zh-CN"/>
                <w14:textFill>
                  <w14:solidFill>
                    <w14:schemeClr w14:val="tx1"/>
                  </w14:solidFill>
                </w14:textFill>
              </w:rPr>
              <w:t>海绵钛粉贮存</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库</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耐火等级≥二级</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墙体采用防爆混凝土</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屋顶采用轻质泄压结构</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耐火等级≥二级</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墙体采用防爆混凝土</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屋顶采用轻质泄压结构</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门窗采用防爆型</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向外开启</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设置泄爆口</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确保爆炸压力及时释放</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设置氩气/氮气惰化系统</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维持仓内氧含量≤5%</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抑制钛粉氧化自燃</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实时监测仓内温度（精度±0.5℃）、湿度、氧含量、粉尘浓度</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超标自动报警并启动惰化系统</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设多点温度传感器（距粉末表面5</w:t>
            </w:r>
            <w:r>
              <w:rPr>
                <w:rFonts w:hint="eastAsia"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10cm）</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重点监测堆放中心区域</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防止局部升温引发自燃；</w:t>
            </w:r>
          </w:p>
          <w:p w14:paraId="0D1A1B6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20" w:firstLineChars="200"/>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②操作人员穿戴防静电服、导电鞋、防静电手套</w:t>
            </w:r>
            <w:r>
              <w:rPr>
                <w:rFonts w:hint="eastAsia"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并设置静电释放装置</w:t>
            </w:r>
            <w:r>
              <w:rPr>
                <w:rFonts w:hint="eastAsia"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生产前</w:t>
            </w:r>
            <w:r>
              <w:rPr>
                <w:rFonts w:hint="default" w:ascii="Times New Roman" w:hAnsi="Times New Roman" w:eastAsia="宋体" w:cs="Times New Roman"/>
                <w:color w:val="000000" w:themeColor="text1"/>
                <w:sz w:val="21"/>
                <w:szCs w:val="21"/>
                <w:highlight w:val="none"/>
                <w14:textFill>
                  <w14:solidFill>
                    <w14:schemeClr w14:val="tx1"/>
                  </w14:solidFill>
                </w14:textFill>
              </w:rPr>
              <w:t>触摸静电释放柱</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远离热源、火源；设置醒目的防火、禁止吸烟及明火标志。</w:t>
            </w:r>
          </w:p>
          <w:p w14:paraId="546651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③防止机械（撞击、摩擦）着火源</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控制高温物体着火源、电气着火源及化学着火源；建立防爆</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监测</w:t>
            </w:r>
            <w:r>
              <w:rPr>
                <w:rFonts w:hint="default" w:ascii="Times New Roman" w:hAnsi="Times New Roman" w:eastAsia="宋体" w:cs="Times New Roman"/>
                <w:color w:val="000000" w:themeColor="text1"/>
                <w:sz w:val="21"/>
                <w:szCs w:val="21"/>
                <w:highlight w:val="none"/>
                <w14:textFill>
                  <w14:solidFill>
                    <w14:schemeClr w14:val="tx1"/>
                  </w14:solidFill>
                </w14:textFill>
              </w:rPr>
              <w:t>和报警系统。</w:t>
            </w:r>
          </w:p>
          <w:p w14:paraId="3DF154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④厂房保持通风良好</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规划平面布局并设置消防通道。</w:t>
            </w:r>
          </w:p>
          <w:p w14:paraId="79D5D7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⑤</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设置</w:t>
            </w:r>
            <w:r>
              <w:rPr>
                <w:rFonts w:hint="eastAsia" w:cs="Times New Roman"/>
                <w:color w:val="000000" w:themeColor="text1"/>
                <w:sz w:val="21"/>
                <w:szCs w:val="21"/>
                <w:highlight w:val="none"/>
                <w:lang w:val="en-US" w:eastAsia="zh-CN"/>
                <w14:textFill>
                  <w14:solidFill>
                    <w14:schemeClr w14:val="tx1"/>
                  </w14:solidFill>
                </w14:textFill>
              </w:rPr>
              <w:t>原料</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粉库</w:t>
            </w:r>
            <w:r>
              <w:rPr>
                <w:rFonts w:hint="default" w:ascii="Times New Roman" w:hAnsi="Times New Roman" w:eastAsia="宋体" w:cs="Times New Roman"/>
                <w:color w:val="000000" w:themeColor="text1"/>
                <w:sz w:val="21"/>
                <w:szCs w:val="21"/>
                <w:highlight w:val="none"/>
                <w14:textFill>
                  <w14:solidFill>
                    <w14:schemeClr w14:val="tx1"/>
                  </w14:solidFill>
                </w14:textFill>
              </w:rPr>
              <w:t>接地系统</w:t>
            </w:r>
            <w:r>
              <w:rPr>
                <w:rFonts w:hint="eastAsia"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物料输送采用防静电管道</w:t>
            </w:r>
            <w:r>
              <w:rPr>
                <w:rFonts w:hint="eastAsia"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流速控制≤1m/s</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定期检查检测设备、照明等电路</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做好电气安全措施</w:t>
            </w:r>
            <w:r>
              <w:rPr>
                <w:rFonts w:hint="eastAsia" w:cs="Times New Roman"/>
                <w:color w:val="000000" w:themeColor="text1"/>
                <w:sz w:val="21"/>
                <w:szCs w:val="21"/>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做好</w:t>
            </w:r>
            <w:r>
              <w:rPr>
                <w:rFonts w:hint="default" w:ascii="Times New Roman" w:hAnsi="Times New Roman" w:eastAsia="宋体" w:cs="Times New Roman"/>
                <w:color w:val="000000" w:themeColor="text1"/>
                <w:sz w:val="21"/>
                <w:szCs w:val="21"/>
                <w:highlight w:val="none"/>
                <w14:textFill>
                  <w14:solidFill>
                    <w14:schemeClr w14:val="tx1"/>
                  </w14:solidFill>
                </w14:textFill>
              </w:rPr>
              <w:t>防静电措施。</w:t>
            </w:r>
          </w:p>
          <w:p w14:paraId="6A10B309">
            <w:pPr>
              <w:spacing w:line="360" w:lineRule="auto"/>
              <w:ind w:firstLine="420" w:firstLineChars="200"/>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⑥建设单位应按照消防部门的相关要求设置D类干粉灭火器（专用金属火灾灭火剂）、消防</w:t>
            </w:r>
            <w:r>
              <w:rPr>
                <w:rFonts w:hint="eastAsia" w:cs="Times New Roman"/>
                <w:color w:val="000000" w:themeColor="text1"/>
                <w:sz w:val="21"/>
                <w:szCs w:val="21"/>
                <w:highlight w:val="none"/>
                <w:lang w:eastAsia="zh-CN"/>
                <w14:textFill>
                  <w14:solidFill>
                    <w14:schemeClr w14:val="tx1"/>
                  </w14:solidFill>
                </w14:textFill>
              </w:rPr>
              <w:t>砂</w:t>
            </w:r>
            <w:r>
              <w:rPr>
                <w:rFonts w:hint="default" w:ascii="Times New Roman" w:hAnsi="Times New Roman" w:eastAsia="宋体" w:cs="Times New Roman"/>
                <w:color w:val="000000" w:themeColor="text1"/>
                <w:sz w:val="21"/>
                <w:szCs w:val="21"/>
                <w:highlight w:val="none"/>
                <w14:textFill>
                  <w14:solidFill>
                    <w14:schemeClr w14:val="tx1"/>
                  </w14:solidFill>
                </w14:textFill>
              </w:rPr>
              <w:t>、石墨粉</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严禁水基灭火系统等</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消防措施</w:t>
            </w:r>
            <w: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t>需</w:t>
            </w:r>
            <w:r>
              <w:rPr>
                <w:rFonts w:hint="default" w:ascii="Times New Roman" w:hAnsi="Times New Roman" w:eastAsia="宋体" w:cs="Times New Roman"/>
                <w:color w:val="000000" w:themeColor="text1"/>
                <w:sz w:val="21"/>
                <w:szCs w:val="21"/>
                <w:highlight w:val="none"/>
                <w14:textFill>
                  <w14:solidFill>
                    <w14:schemeClr w14:val="tx1"/>
                  </w14:solidFill>
                </w14:textFill>
              </w:rPr>
              <w:t>经相关部门验收合格</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并定期检查消防器材的性能及使用期限。</w:t>
            </w:r>
          </w:p>
          <w:p w14:paraId="2EE8D8F6">
            <w:pPr>
              <w:pStyle w:val="18"/>
              <w:spacing w:line="360" w:lineRule="auto"/>
              <w:ind w:left="0" w:leftChars="0" w:firstLine="420" w:firstLineChars="20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⑦采用防爆型工业吸尘器清灰</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严禁用压缩空气吹扫或干式清扫</w:t>
            </w:r>
            <w:r>
              <w:rPr>
                <w:rFonts w:hint="eastAsia" w:cs="Times New Roman"/>
                <w:color w:val="000000" w:themeColor="text1"/>
                <w:sz w:val="21"/>
                <w:szCs w:val="21"/>
                <w:lang w:val="en-US" w:eastAsia="zh-CN"/>
                <w14:textFill>
                  <w14:solidFill>
                    <w14:schemeClr w14:val="tx1"/>
                  </w14:solidFill>
                </w14:textFill>
              </w:rPr>
              <w:t>。</w:t>
            </w:r>
          </w:p>
          <w:p w14:paraId="78E24189">
            <w:pPr>
              <w:spacing w:line="360" w:lineRule="auto"/>
              <w:ind w:firstLine="420"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⑧</w:t>
            </w:r>
            <w:r>
              <w:rPr>
                <w:rFonts w:hint="eastAsia" w:cs="Times New Roman"/>
                <w:color w:val="000000" w:themeColor="text1"/>
                <w:sz w:val="21"/>
                <w:szCs w:val="21"/>
                <w:lang w:val="en-US" w:eastAsia="zh-CN"/>
                <w14:textFill>
                  <w14:solidFill>
                    <w14:schemeClr w14:val="tx1"/>
                  </w14:solidFill>
                </w14:textFill>
              </w:rPr>
              <w:t>制</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定专项应急预案</w:t>
            </w:r>
            <w:r>
              <w:rPr>
                <w:rFonts w:hint="eastAsia" w:cs="Times New Roman"/>
                <w:color w:val="000000" w:themeColor="text1"/>
                <w:sz w:val="21"/>
                <w:szCs w:val="21"/>
                <w:lang w:val="en-US" w:eastAsia="zh-CN"/>
                <w14:textFill>
                  <w14:solidFill>
                    <w14:schemeClr w14:val="tx1"/>
                  </w14:solidFill>
                </w14:textFill>
              </w:rPr>
              <w:t>，并报生态环境主管部门备案，</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明确自燃、火灾、爆炸、泄漏等不同场景的处置流程</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定期演练</w:t>
            </w:r>
            <w:r>
              <w:rPr>
                <w:rFonts w:hint="eastAsia" w:cs="Times New Roman"/>
                <w:color w:val="000000" w:themeColor="text1"/>
                <w:sz w:val="21"/>
                <w:szCs w:val="21"/>
                <w:lang w:val="en-US" w:eastAsia="zh-CN"/>
                <w14:textFill>
                  <w14:solidFill>
                    <w14:schemeClr w14:val="tx1"/>
                  </w14:solidFill>
                </w14:textFill>
              </w:rPr>
              <w:t>。</w:t>
            </w:r>
          </w:p>
          <w:p w14:paraId="6343BB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2）危险废物泄漏风险防治措施</w:t>
            </w:r>
          </w:p>
          <w:p w14:paraId="5B0E89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①</w:t>
            </w:r>
            <w:r>
              <w:rPr>
                <w:rFonts w:ascii="Times New Roman" w:hAnsi="Times New Roman" w:eastAsia="宋体" w:cs="Times New Roman"/>
                <w:color w:val="000000" w:themeColor="text1"/>
                <w:sz w:val="21"/>
                <w:szCs w:val="21"/>
                <w14:textFill>
                  <w14:solidFill>
                    <w14:schemeClr w14:val="tx1"/>
                  </w14:solidFill>
                </w14:textFill>
              </w:rPr>
              <w:t>危废</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贮存库</w:t>
            </w:r>
            <w:r>
              <w:rPr>
                <w:rFonts w:ascii="Times New Roman" w:hAnsi="Times New Roman" w:eastAsia="宋体" w:cs="Times New Roman"/>
                <w:color w:val="000000" w:themeColor="text1"/>
                <w:sz w:val="21"/>
                <w:szCs w:val="21"/>
                <w14:textFill>
                  <w14:solidFill>
                    <w14:schemeClr w14:val="tx1"/>
                  </w14:solidFill>
                </w14:textFill>
              </w:rPr>
              <w:t>应严格按照《危险废物贮存污染控制标准》（GBl8597-2023）的要求规范建设</w:t>
            </w:r>
            <w:r>
              <w:rPr>
                <w:rFonts w:hint="eastAsia" w:cs="Times New Roman"/>
                <w:color w:val="000000" w:themeColor="text1"/>
                <w:sz w:val="21"/>
                <w:szCs w:val="21"/>
                <w:lang w:eastAsia="zh-CN"/>
                <w14:textFill>
                  <w14:solidFill>
                    <w14:schemeClr w14:val="tx1"/>
                  </w14:solidFill>
                </w14:textFill>
              </w:rPr>
              <w:t>，</w:t>
            </w:r>
            <w:r>
              <w:rPr>
                <w:rFonts w:ascii="Times New Roman" w:hAnsi="Times New Roman" w:eastAsia="宋体" w:cs="Times New Roman"/>
                <w:color w:val="000000" w:themeColor="text1"/>
                <w:sz w:val="21"/>
                <w:szCs w:val="21"/>
                <w14:textFill>
                  <w14:solidFill>
                    <w14:schemeClr w14:val="tx1"/>
                  </w14:solidFill>
                </w14:textFill>
              </w:rPr>
              <w:t>并做好</w:t>
            </w: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防风、防雨、防晒、防火、防渗漏、防腐蚀</w:t>
            </w:r>
            <w:r>
              <w:rPr>
                <w:rFonts w:ascii="Times New Roman" w:hAnsi="Times New Roman" w:eastAsia="宋体" w:cs="Times New Roman"/>
                <w:color w:val="000000" w:themeColor="text1"/>
                <w:sz w:val="21"/>
                <w:szCs w:val="21"/>
                <w14:textFill>
                  <w14:solidFill>
                    <w14:schemeClr w14:val="tx1"/>
                  </w14:solidFill>
                </w14:textFill>
              </w:rPr>
              <w:t>等</w:t>
            </w:r>
            <w:r>
              <w:rPr>
                <w:rFonts w:hint="eastAsia" w:cs="Times New Roman"/>
                <w:color w:val="000000" w:themeColor="text1"/>
                <w:sz w:val="21"/>
                <w:szCs w:val="21"/>
                <w:lang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六防</w:t>
            </w:r>
            <w:r>
              <w:rPr>
                <w:rFonts w:hint="eastAsia" w:cs="Times New Roman"/>
                <w:color w:val="000000" w:themeColor="text1"/>
                <w:sz w:val="21"/>
                <w:szCs w:val="21"/>
                <w:lang w:eastAsia="zh-CN"/>
                <w14:textFill>
                  <w14:solidFill>
                    <w14:schemeClr w14:val="tx1"/>
                  </w14:solidFill>
                </w14:textFill>
              </w:rPr>
              <w:t>”</w:t>
            </w:r>
            <w:r>
              <w:rPr>
                <w:rFonts w:ascii="Times New Roman" w:hAnsi="Times New Roman" w:eastAsia="宋体" w:cs="Times New Roman"/>
                <w:color w:val="000000" w:themeColor="text1"/>
                <w:sz w:val="21"/>
                <w:szCs w:val="21"/>
                <w14:textFill>
                  <w14:solidFill>
                    <w14:schemeClr w14:val="tx1"/>
                  </w14:solidFill>
                </w14:textFill>
              </w:rPr>
              <w:t>措施。危废</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贮存库</w:t>
            </w:r>
            <w:r>
              <w:rPr>
                <w:rFonts w:ascii="Times New Roman" w:hAnsi="Times New Roman" w:eastAsia="宋体" w:cs="Times New Roman"/>
                <w:color w:val="000000" w:themeColor="text1"/>
                <w:sz w:val="21"/>
                <w:szCs w:val="21"/>
                <w14:textFill>
                  <w14:solidFill>
                    <w14:schemeClr w14:val="tx1"/>
                  </w14:solidFill>
                </w14:textFill>
              </w:rPr>
              <w:t>内还应配备干粉灭火器、惰性吸附剂等材料</w:t>
            </w:r>
            <w:r>
              <w:rPr>
                <w:rFonts w:hint="eastAsia" w:cs="Times New Roman"/>
                <w:color w:val="000000" w:themeColor="text1"/>
                <w:sz w:val="21"/>
                <w:szCs w:val="21"/>
                <w:lang w:eastAsia="zh-CN"/>
                <w14:textFill>
                  <w14:solidFill>
                    <w14:schemeClr w14:val="tx1"/>
                  </w14:solidFill>
                </w14:textFill>
              </w:rPr>
              <w:t>，</w:t>
            </w:r>
            <w:r>
              <w:rPr>
                <w:rFonts w:ascii="Times New Roman" w:hAnsi="Times New Roman" w:eastAsia="宋体" w:cs="Times New Roman"/>
                <w:color w:val="000000" w:themeColor="text1"/>
                <w:sz w:val="21"/>
                <w:szCs w:val="21"/>
                <w14:textFill>
                  <w14:solidFill>
                    <w14:schemeClr w14:val="tx1"/>
                  </w14:solidFill>
                </w14:textFill>
              </w:rPr>
              <w:t>防止发生事故时能对事故进行应急处理。</w:t>
            </w:r>
          </w:p>
          <w:p w14:paraId="7DE3CA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②</w:t>
            </w:r>
            <w:r>
              <w:rPr>
                <w:rFonts w:ascii="Times New Roman" w:hAnsi="Times New Roman" w:eastAsia="宋体" w:cs="Times New Roman"/>
                <w:color w:val="000000" w:themeColor="text1"/>
                <w:sz w:val="21"/>
                <w:szCs w:val="21"/>
                <w14:textFill>
                  <w14:solidFill>
                    <w14:schemeClr w14:val="tx1"/>
                  </w14:solidFill>
                </w14:textFill>
              </w:rPr>
              <w:t>危废</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贮存库</w:t>
            </w:r>
            <w:r>
              <w:rPr>
                <w:rFonts w:ascii="Times New Roman" w:hAnsi="Times New Roman" w:eastAsia="宋体" w:cs="Times New Roman"/>
                <w:color w:val="000000" w:themeColor="text1"/>
                <w:sz w:val="21"/>
                <w:szCs w:val="21"/>
                <w14:textFill>
                  <w14:solidFill>
                    <w14:schemeClr w14:val="tx1"/>
                  </w14:solidFill>
                </w14:textFill>
              </w:rPr>
              <w:t>内各种危险废物要有单独的贮存容器</w:t>
            </w:r>
            <w:r>
              <w:rPr>
                <w:rFonts w:hint="eastAsia" w:cs="Times New Roman"/>
                <w:color w:val="000000" w:themeColor="text1"/>
                <w:sz w:val="21"/>
                <w:szCs w:val="21"/>
                <w:lang w:eastAsia="zh-CN"/>
                <w14:textFill>
                  <w14:solidFill>
                    <w14:schemeClr w14:val="tx1"/>
                  </w14:solidFill>
                </w14:textFill>
              </w:rPr>
              <w:t>，</w:t>
            </w:r>
            <w:r>
              <w:rPr>
                <w:rFonts w:ascii="Times New Roman" w:hAnsi="Times New Roman" w:eastAsia="宋体" w:cs="Times New Roman"/>
                <w:color w:val="000000" w:themeColor="text1"/>
                <w:sz w:val="21"/>
                <w:szCs w:val="21"/>
                <w14:textFill>
                  <w14:solidFill>
                    <w14:schemeClr w14:val="tx1"/>
                  </w14:solidFill>
                </w14:textFill>
              </w:rPr>
              <w:t>并贴上标签；容器及容器的材质要满足相应强度要求</w:t>
            </w:r>
            <w:r>
              <w:rPr>
                <w:rFonts w:hint="eastAsia" w:cs="Times New Roman"/>
                <w:color w:val="000000" w:themeColor="text1"/>
                <w:sz w:val="21"/>
                <w:szCs w:val="21"/>
                <w:lang w:eastAsia="zh-CN"/>
                <w14:textFill>
                  <w14:solidFill>
                    <w14:schemeClr w14:val="tx1"/>
                  </w14:solidFill>
                </w14:textFill>
              </w:rPr>
              <w:t>，</w:t>
            </w:r>
            <w:r>
              <w:rPr>
                <w:rFonts w:ascii="Times New Roman" w:hAnsi="Times New Roman" w:eastAsia="宋体" w:cs="Times New Roman"/>
                <w:color w:val="000000" w:themeColor="text1"/>
                <w:sz w:val="21"/>
                <w:szCs w:val="21"/>
                <w14:textFill>
                  <w14:solidFill>
                    <w14:schemeClr w14:val="tx1"/>
                  </w14:solidFill>
                </w14:textFill>
              </w:rPr>
              <w:t>并必须完整无损。</w:t>
            </w:r>
          </w:p>
          <w:p w14:paraId="45CD6FB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0" w:firstLineChars="200"/>
              <w:jc w:val="left"/>
              <w:textAlignment w:val="auto"/>
              <w:rPr>
                <w:rFonts w:hint="default"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③</w:t>
            </w:r>
            <w:r>
              <w:rPr>
                <w:rFonts w:ascii="Times New Roman" w:hAnsi="Times New Roman" w:eastAsia="宋体" w:cs="Times New Roman"/>
                <w:color w:val="000000" w:themeColor="text1"/>
                <w:sz w:val="21"/>
                <w:szCs w:val="21"/>
                <w14:textFill>
                  <w14:solidFill>
                    <w14:schemeClr w14:val="tx1"/>
                  </w14:solidFill>
                </w14:textFill>
              </w:rPr>
              <w:t>危废</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贮存库</w:t>
            </w:r>
            <w:r>
              <w:rPr>
                <w:rFonts w:ascii="Times New Roman" w:hAnsi="Times New Roman" w:eastAsia="宋体" w:cs="Times New Roman"/>
                <w:color w:val="000000" w:themeColor="text1"/>
                <w:sz w:val="21"/>
                <w:szCs w:val="21"/>
                <w14:textFill>
                  <w14:solidFill>
                    <w14:schemeClr w14:val="tx1"/>
                  </w14:solidFill>
                </w14:textFill>
              </w:rPr>
              <w:t>还应按照要求设置导流沟等措施</w:t>
            </w:r>
            <w:r>
              <w:rPr>
                <w:rFonts w:hint="eastAsia" w:cs="Times New Roman"/>
                <w:color w:val="000000" w:themeColor="text1"/>
                <w:sz w:val="21"/>
                <w:szCs w:val="21"/>
                <w:lang w:eastAsia="zh-CN"/>
                <w14:textFill>
                  <w14:solidFill>
                    <w14:schemeClr w14:val="tx1"/>
                  </w14:solidFill>
                </w14:textFill>
              </w:rPr>
              <w:t>，</w:t>
            </w:r>
            <w:r>
              <w:rPr>
                <w:rFonts w:ascii="Times New Roman" w:hAnsi="Times New Roman" w:eastAsia="宋体" w:cs="Times New Roman"/>
                <w:color w:val="000000" w:themeColor="text1"/>
                <w:sz w:val="21"/>
                <w:szCs w:val="21"/>
                <w14:textFill>
                  <w14:solidFill>
                    <w14:schemeClr w14:val="tx1"/>
                  </w14:solidFill>
                </w14:textFill>
              </w:rPr>
              <w:t>危险废物在事故状态下可通过导流沟进入暂存池收集；危险废物暂存过程中对区域地表水不会产生较大影响</w:t>
            </w:r>
            <w:r>
              <w:rPr>
                <w:rFonts w:hint="eastAsia" w:cs="Times New Roman"/>
                <w:color w:val="000000" w:themeColor="text1"/>
                <w:sz w:val="21"/>
                <w:szCs w:val="21"/>
                <w:lang w:eastAsia="zh-CN"/>
                <w14:textFill>
                  <w14:solidFill>
                    <w14:schemeClr w14:val="tx1"/>
                  </w14:solidFill>
                </w14:textFill>
              </w:rPr>
              <w:t>，</w:t>
            </w:r>
            <w:r>
              <w:rPr>
                <w:rFonts w:ascii="Times New Roman" w:hAnsi="Times New Roman" w:eastAsia="宋体" w:cs="Times New Roman"/>
                <w:color w:val="000000" w:themeColor="text1"/>
                <w:sz w:val="21"/>
                <w:szCs w:val="21"/>
                <w14:textFill>
                  <w14:solidFill>
                    <w14:schemeClr w14:val="tx1"/>
                  </w14:solidFill>
                </w14:textFill>
              </w:rPr>
              <w:t>对环境空气产生的影响较小</w:t>
            </w:r>
            <w:r>
              <w:rPr>
                <w:rFonts w:hint="eastAsia" w:cs="Times New Roman"/>
                <w:color w:val="000000" w:themeColor="text1"/>
                <w:sz w:val="21"/>
                <w:szCs w:val="21"/>
                <w:lang w:eastAsia="zh-CN"/>
                <w14:textFill>
                  <w14:solidFill>
                    <w14:schemeClr w14:val="tx1"/>
                  </w14:solidFill>
                </w14:textFill>
              </w:rPr>
              <w:t>，</w:t>
            </w:r>
            <w:r>
              <w:rPr>
                <w:rFonts w:ascii="Times New Roman" w:hAnsi="Times New Roman" w:eastAsia="宋体" w:cs="Times New Roman"/>
                <w:color w:val="000000" w:themeColor="text1"/>
                <w:sz w:val="21"/>
                <w:szCs w:val="21"/>
                <w14:textFill>
                  <w14:solidFill>
                    <w14:schemeClr w14:val="tx1"/>
                  </w14:solidFill>
                </w14:textFill>
              </w:rPr>
              <w:t>事故状态下的危险废物经收集后可得到有效处置</w:t>
            </w:r>
            <w:r>
              <w:rPr>
                <w:rFonts w:hint="eastAsia" w:cs="Times New Roman"/>
                <w:color w:val="000000" w:themeColor="text1"/>
                <w:sz w:val="21"/>
                <w:szCs w:val="21"/>
                <w:lang w:eastAsia="zh-CN"/>
                <w14:textFill>
                  <w14:solidFill>
                    <w14:schemeClr w14:val="tx1"/>
                  </w14:solidFill>
                </w14:textFill>
              </w:rPr>
              <w:t>，</w:t>
            </w:r>
            <w:r>
              <w:rPr>
                <w:rFonts w:ascii="Times New Roman" w:hAnsi="Times New Roman" w:eastAsia="宋体" w:cs="Times New Roman"/>
                <w:color w:val="000000" w:themeColor="text1"/>
                <w:sz w:val="21"/>
                <w:szCs w:val="21"/>
                <w14:textFill>
                  <w14:solidFill>
                    <w14:schemeClr w14:val="tx1"/>
                  </w14:solidFill>
                </w14:textFill>
              </w:rPr>
              <w:t>对地下水和土壤不会造成明显的不利影响。</w:t>
            </w:r>
          </w:p>
          <w:p w14:paraId="4DB23E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20" w:firstLineChars="200"/>
              <w:jc w:val="left"/>
              <w:textAlignment w:val="auto"/>
              <w:rPr>
                <w:rFonts w:hint="eastAsia"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④编制突发环境事件应急预案并备案。</w:t>
            </w:r>
          </w:p>
          <w:p w14:paraId="66A5705D">
            <w:pPr>
              <w:numPr>
                <w:ilvl w:val="0"/>
                <w:numId w:val="0"/>
              </w:numPr>
              <w:adjustRightInd w:val="0"/>
              <w:snapToGrid w:val="0"/>
              <w:spacing w:line="360" w:lineRule="auto"/>
              <w:ind w:firstLine="422" w:firstLineChars="200"/>
              <w:rPr>
                <w:rFonts w:hint="eastAsia" w:cs="Times New Roman"/>
                <w:b/>
                <w:bCs w:val="0"/>
                <w:color w:val="000000" w:themeColor="text1"/>
                <w:sz w:val="21"/>
                <w:szCs w:val="21"/>
                <w:lang w:val="en-US" w:eastAsia="zh-CN"/>
                <w14:textFill>
                  <w14:solidFill>
                    <w14:schemeClr w14:val="tx1"/>
                  </w14:solidFill>
                </w14:textFill>
              </w:rPr>
            </w:pPr>
            <w:r>
              <w:rPr>
                <w:rFonts w:hint="eastAsia" w:cs="Times New Roman"/>
                <w:b/>
                <w:bCs w:val="0"/>
                <w:color w:val="000000" w:themeColor="text1"/>
                <w:sz w:val="21"/>
                <w:szCs w:val="21"/>
                <w:lang w:val="en-US" w:eastAsia="zh-CN"/>
                <w14:textFill>
                  <w14:solidFill>
                    <w14:schemeClr w14:val="tx1"/>
                  </w14:solidFill>
                </w14:textFill>
              </w:rPr>
              <w:t>八、</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环保投资</w:t>
            </w:r>
            <w:r>
              <w:rPr>
                <w:rFonts w:hint="eastAsia" w:cs="Times New Roman"/>
                <w:b/>
                <w:bCs w:val="0"/>
                <w:color w:val="000000" w:themeColor="text1"/>
                <w:sz w:val="21"/>
                <w:szCs w:val="21"/>
                <w:lang w:val="en-US" w:eastAsia="zh-CN"/>
                <w14:textFill>
                  <w14:solidFill>
                    <w14:schemeClr w14:val="tx1"/>
                  </w14:solidFill>
                </w14:textFill>
              </w:rPr>
              <w:t>概算</w:t>
            </w:r>
          </w:p>
          <w:p w14:paraId="45D43ED9">
            <w:pPr>
              <w:numPr>
                <w:ilvl w:val="0"/>
                <w:numId w:val="0"/>
              </w:numPr>
              <w:adjustRightInd w:val="0"/>
              <w:snapToGrid w:val="0"/>
              <w:spacing w:line="360" w:lineRule="auto"/>
              <w:ind w:firstLine="420" w:firstLineChars="200"/>
              <w:rPr>
                <w:rFonts w:hint="default" w:ascii="Times New Roman" w:hAnsi="Times New Roman" w:eastAsia="黑体" w:cs="Times New Roman"/>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本项目总投资</w:t>
            </w:r>
            <w:r>
              <w:rPr>
                <w:rFonts w:hint="eastAsia" w:cs="Times New Roman"/>
                <w:color w:val="000000" w:themeColor="text1"/>
                <w:sz w:val="21"/>
                <w:szCs w:val="21"/>
                <w:highlight w:val="none"/>
                <w:lang w:val="en-US" w:eastAsia="zh-CN"/>
                <w14:textFill>
                  <w14:solidFill>
                    <w14:schemeClr w14:val="tx1"/>
                  </w14:solidFill>
                </w14:textFill>
              </w:rPr>
              <w:t>260</w:t>
            </w:r>
            <w:r>
              <w:rPr>
                <w:rFonts w:hint="default" w:ascii="Times New Roman" w:hAnsi="Times New Roman" w:cs="Times New Roman"/>
                <w:color w:val="000000" w:themeColor="text1"/>
                <w:sz w:val="21"/>
                <w:szCs w:val="21"/>
                <w:highlight w:val="none"/>
                <w14:textFill>
                  <w14:solidFill>
                    <w14:schemeClr w14:val="tx1"/>
                  </w14:solidFill>
                </w14:textFill>
              </w:rPr>
              <w:t>万元</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经估算本项目建设用于环保方面的投资</w:t>
            </w:r>
            <w:r>
              <w:rPr>
                <w:rFonts w:hint="eastAsia" w:cs="Times New Roman"/>
                <w:color w:val="000000" w:themeColor="text1"/>
                <w:sz w:val="21"/>
                <w:szCs w:val="21"/>
                <w:highlight w:val="none"/>
                <w:lang w:val="en-US" w:eastAsia="zh-CN"/>
                <w14:textFill>
                  <w14:solidFill>
                    <w14:schemeClr w14:val="tx1"/>
                  </w14:solidFill>
                </w14:textFill>
              </w:rPr>
              <w:t>12.0</w:t>
            </w:r>
            <w:r>
              <w:rPr>
                <w:rFonts w:hint="default" w:ascii="Times New Roman" w:hAnsi="Times New Roman" w:cs="Times New Roman"/>
                <w:color w:val="000000" w:themeColor="text1"/>
                <w:sz w:val="21"/>
                <w:szCs w:val="21"/>
                <w:highlight w:val="none"/>
                <w14:textFill>
                  <w14:solidFill>
                    <w14:schemeClr w14:val="tx1"/>
                  </w14:solidFill>
                </w14:textFill>
              </w:rPr>
              <w:t>万元</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占本项目总投资的</w:t>
            </w:r>
            <w:r>
              <w:rPr>
                <w:rFonts w:hint="eastAsia" w:cs="Times New Roman"/>
                <w:color w:val="000000" w:themeColor="text1"/>
                <w:sz w:val="21"/>
                <w:szCs w:val="21"/>
                <w:highlight w:val="none"/>
                <w:lang w:val="en-US" w:eastAsia="zh-CN"/>
                <w14:textFill>
                  <w14:solidFill>
                    <w14:schemeClr w14:val="tx1"/>
                  </w14:solidFill>
                </w14:textFill>
              </w:rPr>
              <w:t>4.6</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具体见</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下</w:t>
            </w:r>
            <w:r>
              <w:rPr>
                <w:rFonts w:hint="default" w:ascii="Times New Roman" w:hAnsi="Times New Roman" w:cs="Times New Roman"/>
                <w:color w:val="000000" w:themeColor="text1"/>
                <w:sz w:val="21"/>
                <w:szCs w:val="21"/>
                <w:highlight w:val="none"/>
                <w14:textFill>
                  <w14:solidFill>
                    <w14:schemeClr w14:val="tx1"/>
                  </w14:solidFill>
                </w14:textFill>
              </w:rPr>
              <w:t>表。</w:t>
            </w:r>
          </w:p>
          <w:p w14:paraId="0F34C029">
            <w:pPr>
              <w:widowControl/>
              <w:spacing w:line="240" w:lineRule="auto"/>
              <w:jc w:val="center"/>
              <w:rPr>
                <w:rFonts w:hint="default" w:ascii="Times New Roman" w:hAnsi="Times New Roman" w:cs="Times New Roman"/>
                <w:b/>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表4-</w:t>
            </w:r>
            <w:r>
              <w:rPr>
                <w:rFonts w:hint="eastAsia" w:cs="Times New Roman"/>
                <w:b/>
                <w:color w:val="000000" w:themeColor="text1"/>
                <w:sz w:val="21"/>
                <w:szCs w:val="21"/>
                <w:lang w:val="en-US" w:eastAsia="zh-CN"/>
                <w14:textFill>
                  <w14:solidFill>
                    <w14:schemeClr w14:val="tx1"/>
                  </w14:solidFill>
                </w14:textFill>
              </w:rPr>
              <w:t xml:space="preserve">15    </w:t>
            </w:r>
            <w:r>
              <w:rPr>
                <w:rFonts w:hint="default" w:ascii="Times New Roman" w:hAnsi="Times New Roman" w:cs="Times New Roman"/>
                <w:b/>
                <w:color w:val="000000" w:themeColor="text1"/>
                <w:sz w:val="21"/>
                <w:szCs w:val="21"/>
                <w14:textFill>
                  <w14:solidFill>
                    <w14:schemeClr w14:val="tx1"/>
                  </w14:solidFill>
                </w14:textFill>
              </w:rPr>
              <w:t>环保投资一览表</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426"/>
              <w:gridCol w:w="1531"/>
              <w:gridCol w:w="4411"/>
              <w:gridCol w:w="1067"/>
            </w:tblGrid>
            <w:tr w14:paraId="394DA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89" w:type="pct"/>
                  <w:gridSpan w:val="3"/>
                  <w:tcBorders>
                    <w:tl2br w:val="nil"/>
                    <w:tr2bl w:val="nil"/>
                  </w:tcBorders>
                  <w:noWrap w:val="0"/>
                  <w:vAlign w:val="center"/>
                </w:tcPr>
                <w:p w14:paraId="546DE1F0">
                  <w:pPr>
                    <w:pStyle w:val="51"/>
                    <w:adjustRightInd w:val="0"/>
                    <w:snapToGrid w:val="0"/>
                    <w:contextualSpacing/>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名称</w:t>
                  </w:r>
                </w:p>
              </w:tc>
              <w:tc>
                <w:tcPr>
                  <w:tcW w:w="2746" w:type="pct"/>
                  <w:tcBorders>
                    <w:tl2br w:val="nil"/>
                    <w:tr2bl w:val="nil"/>
                  </w:tcBorders>
                  <w:noWrap w:val="0"/>
                  <w:vAlign w:val="center"/>
                </w:tcPr>
                <w:p w14:paraId="791615F1">
                  <w:pPr>
                    <w:pStyle w:val="51"/>
                    <w:adjustRightInd w:val="0"/>
                    <w:snapToGrid w:val="0"/>
                    <w:contextualSpacing/>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环保设施</w:t>
                  </w:r>
                </w:p>
              </w:tc>
              <w:tc>
                <w:tcPr>
                  <w:tcW w:w="664" w:type="pct"/>
                  <w:tcBorders>
                    <w:tl2br w:val="nil"/>
                    <w:tr2bl w:val="nil"/>
                  </w:tcBorders>
                  <w:noWrap w:val="0"/>
                  <w:tcMar>
                    <w:left w:w="0" w:type="dxa"/>
                    <w:right w:w="0" w:type="dxa"/>
                  </w:tcMar>
                  <w:vAlign w:val="center"/>
                </w:tcPr>
                <w:p w14:paraId="2D3AD573">
                  <w:pPr>
                    <w:pStyle w:val="51"/>
                    <w:adjustRightInd w:val="0"/>
                    <w:snapToGrid w:val="0"/>
                    <w:contextualSpacing/>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投资</w:t>
                  </w:r>
                  <w:r>
                    <w:rPr>
                      <w:rFonts w:hint="eastAsia" w:cs="Times New Roman"/>
                      <w:b/>
                      <w:bCs/>
                      <w:color w:val="000000" w:themeColor="text1"/>
                      <w:sz w:val="21"/>
                      <w:szCs w:val="21"/>
                      <w:lang w:eastAsia="zh-CN"/>
                      <w14:textFill>
                        <w14:solidFill>
                          <w14:schemeClr w14:val="tx1"/>
                        </w14:solidFill>
                      </w14:textFill>
                    </w:rPr>
                    <w:t>（</w:t>
                  </w:r>
                  <w:r>
                    <w:rPr>
                      <w:rFonts w:hint="default" w:ascii="Times New Roman" w:hAnsi="Times New Roman" w:cs="Times New Roman"/>
                      <w:b/>
                      <w:bCs/>
                      <w:color w:val="000000" w:themeColor="text1"/>
                      <w:sz w:val="21"/>
                      <w:szCs w:val="21"/>
                      <w14:textFill>
                        <w14:solidFill>
                          <w14:schemeClr w14:val="tx1"/>
                        </w14:solidFill>
                      </w14:textFill>
                    </w:rPr>
                    <w:t>万元</w:t>
                  </w:r>
                  <w:r>
                    <w:rPr>
                      <w:rFonts w:hint="eastAsia" w:cs="Times New Roman"/>
                      <w:b/>
                      <w:bCs/>
                      <w:color w:val="000000" w:themeColor="text1"/>
                      <w:sz w:val="21"/>
                      <w:szCs w:val="21"/>
                      <w:lang w:eastAsia="zh-CN"/>
                      <w14:textFill>
                        <w14:solidFill>
                          <w14:schemeClr w14:val="tx1"/>
                        </w14:solidFill>
                      </w14:textFill>
                    </w:rPr>
                    <w:t>）</w:t>
                  </w:r>
                </w:p>
              </w:tc>
            </w:tr>
            <w:tr w14:paraId="5937BB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71" w:type="pct"/>
                  <w:vMerge w:val="restart"/>
                  <w:tcBorders>
                    <w:tl2br w:val="nil"/>
                    <w:tr2bl w:val="nil"/>
                  </w:tcBorders>
                  <w:noWrap w:val="0"/>
                  <w:vAlign w:val="center"/>
                </w:tcPr>
                <w:p w14:paraId="57FA2D34">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运</w:t>
                  </w:r>
                </w:p>
                <w:p w14:paraId="068D5251">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营</w:t>
                  </w:r>
                </w:p>
                <w:p w14:paraId="7E7D14F0">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期</w:t>
                  </w:r>
                </w:p>
              </w:tc>
              <w:tc>
                <w:tcPr>
                  <w:tcW w:w="265" w:type="pct"/>
                  <w:vMerge w:val="restart"/>
                  <w:tcBorders>
                    <w:tl2br w:val="nil"/>
                    <w:tr2bl w:val="nil"/>
                  </w:tcBorders>
                  <w:noWrap w:val="0"/>
                  <w:vAlign w:val="center"/>
                </w:tcPr>
                <w:p w14:paraId="186D61E0">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废气</w:t>
                  </w:r>
                </w:p>
              </w:tc>
              <w:tc>
                <w:tcPr>
                  <w:tcW w:w="952" w:type="pct"/>
                  <w:vMerge w:val="restart"/>
                  <w:tcBorders>
                    <w:tl2br w:val="nil"/>
                    <w:tr2bl w:val="nil"/>
                  </w:tcBorders>
                  <w:noWrap w:val="0"/>
                  <w:vAlign w:val="center"/>
                </w:tcPr>
                <w:p w14:paraId="570D0F1A">
                  <w:pPr>
                    <w:pStyle w:val="65"/>
                    <w:spacing w:line="24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激光切割工序</w:t>
                  </w:r>
                </w:p>
              </w:tc>
              <w:tc>
                <w:tcPr>
                  <w:tcW w:w="2746" w:type="pct"/>
                  <w:tcBorders>
                    <w:tl2br w:val="nil"/>
                    <w:tr2bl w:val="nil"/>
                  </w:tcBorders>
                  <w:noWrap w:val="0"/>
                  <w:vAlign w:val="center"/>
                </w:tcPr>
                <w:p w14:paraId="79115A2C">
                  <w:pPr>
                    <w:pStyle w:val="65"/>
                    <w:spacing w:line="24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配套同步移动集气罩</w:t>
                  </w:r>
                </w:p>
              </w:tc>
              <w:tc>
                <w:tcPr>
                  <w:tcW w:w="664" w:type="pct"/>
                  <w:tcBorders>
                    <w:tl2br w:val="nil"/>
                    <w:tr2bl w:val="nil"/>
                  </w:tcBorders>
                  <w:noWrap w:val="0"/>
                  <w:tcMar>
                    <w:left w:w="0" w:type="dxa"/>
                    <w:right w:w="0" w:type="dxa"/>
                  </w:tcMar>
                  <w:vAlign w:val="center"/>
                </w:tcPr>
                <w:p w14:paraId="0D49B81B">
                  <w:pPr>
                    <w:widowControl w:val="0"/>
                    <w:adjustRightInd w:val="0"/>
                    <w:snapToGrid w:val="0"/>
                    <w:spacing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计入工程投资</w:t>
                  </w:r>
                </w:p>
              </w:tc>
            </w:tr>
            <w:tr w14:paraId="06CF4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71" w:type="pct"/>
                  <w:vMerge w:val="continue"/>
                  <w:tcBorders>
                    <w:tl2br w:val="nil"/>
                    <w:tr2bl w:val="nil"/>
                  </w:tcBorders>
                  <w:noWrap w:val="0"/>
                  <w:vAlign w:val="center"/>
                </w:tcPr>
                <w:p w14:paraId="68CAAF99">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4D49BB42">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952" w:type="pct"/>
                  <w:vMerge w:val="continue"/>
                  <w:tcBorders>
                    <w:tl2br w:val="nil"/>
                    <w:tr2bl w:val="nil"/>
                  </w:tcBorders>
                  <w:noWrap w:val="0"/>
                  <w:vAlign w:val="center"/>
                </w:tcPr>
                <w:p w14:paraId="34B7F2D4">
                  <w:pPr>
                    <w:pStyle w:val="65"/>
                    <w:spacing w:line="240" w:lineRule="auto"/>
                    <w:rPr>
                      <w:rFonts w:hint="eastAsia" w:cs="Times New Roman"/>
                      <w:color w:val="000000" w:themeColor="text1"/>
                      <w:sz w:val="21"/>
                      <w:szCs w:val="21"/>
                      <w:lang w:val="en-US" w:eastAsia="zh-CN"/>
                      <w14:textFill>
                        <w14:solidFill>
                          <w14:schemeClr w14:val="tx1"/>
                        </w14:solidFill>
                      </w14:textFill>
                    </w:rPr>
                  </w:pPr>
                </w:p>
              </w:tc>
              <w:tc>
                <w:tcPr>
                  <w:tcW w:w="2746" w:type="pct"/>
                  <w:tcBorders>
                    <w:tl2br w:val="nil"/>
                    <w:tr2bl w:val="nil"/>
                  </w:tcBorders>
                  <w:noWrap w:val="0"/>
                  <w:vAlign w:val="center"/>
                </w:tcPr>
                <w:p w14:paraId="66041219">
                  <w:pPr>
                    <w:pStyle w:val="65"/>
                    <w:spacing w:line="240" w:lineRule="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密闭集气管道</w:t>
                  </w:r>
                </w:p>
              </w:tc>
              <w:tc>
                <w:tcPr>
                  <w:tcW w:w="664" w:type="pct"/>
                  <w:tcBorders>
                    <w:tl2br w:val="nil"/>
                    <w:tr2bl w:val="nil"/>
                  </w:tcBorders>
                  <w:noWrap w:val="0"/>
                  <w:tcMar>
                    <w:left w:w="0" w:type="dxa"/>
                    <w:right w:w="0" w:type="dxa"/>
                  </w:tcMar>
                  <w:vAlign w:val="center"/>
                </w:tcPr>
                <w:p w14:paraId="1010A44C">
                  <w:pPr>
                    <w:widowControl w:val="0"/>
                    <w:adjustRightInd w:val="0"/>
                    <w:snapToGrid w:val="0"/>
                    <w:spacing w:line="240" w:lineRule="auto"/>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0.3</w:t>
                  </w:r>
                </w:p>
              </w:tc>
            </w:tr>
            <w:tr w14:paraId="7384BD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371" w:type="pct"/>
                  <w:vMerge w:val="continue"/>
                  <w:tcBorders>
                    <w:tl2br w:val="nil"/>
                    <w:tr2bl w:val="nil"/>
                  </w:tcBorders>
                  <w:noWrap w:val="0"/>
                  <w:vAlign w:val="center"/>
                </w:tcPr>
                <w:p w14:paraId="030E275C">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1CEEE1C8">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952" w:type="pct"/>
                  <w:vMerge w:val="restart"/>
                  <w:tcBorders>
                    <w:tl2br w:val="nil"/>
                    <w:tr2bl w:val="nil"/>
                  </w:tcBorders>
                  <w:noWrap w:val="0"/>
                  <w:vAlign w:val="center"/>
                </w:tcPr>
                <w:p w14:paraId="6D6C6371">
                  <w:pPr>
                    <w:pStyle w:val="65"/>
                    <w:spacing w:line="240" w:lineRule="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焊接工序</w:t>
                  </w:r>
                </w:p>
              </w:tc>
              <w:tc>
                <w:tcPr>
                  <w:tcW w:w="2746" w:type="pct"/>
                  <w:tcBorders>
                    <w:tl2br w:val="nil"/>
                    <w:tr2bl w:val="nil"/>
                  </w:tcBorders>
                  <w:noWrap w:val="0"/>
                  <w:vAlign w:val="center"/>
                </w:tcPr>
                <w:p w14:paraId="0976D19F">
                  <w:pPr>
                    <w:pStyle w:val="65"/>
                    <w:spacing w:line="240" w:lineRule="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1个固定工位（三面封闭、出入口安装软帘）</w:t>
                  </w:r>
                </w:p>
              </w:tc>
              <w:tc>
                <w:tcPr>
                  <w:tcW w:w="664" w:type="pct"/>
                  <w:tcBorders>
                    <w:tl2br w:val="nil"/>
                    <w:tr2bl w:val="nil"/>
                  </w:tcBorders>
                  <w:noWrap w:val="0"/>
                  <w:tcMar>
                    <w:left w:w="0" w:type="dxa"/>
                    <w:right w:w="0" w:type="dxa"/>
                  </w:tcMar>
                  <w:vAlign w:val="center"/>
                </w:tcPr>
                <w:p w14:paraId="6563A7A0">
                  <w:pPr>
                    <w:widowControl w:val="0"/>
                    <w:adjustRightInd w:val="0"/>
                    <w:snapToGrid w:val="0"/>
                    <w:spacing w:line="240" w:lineRule="auto"/>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计入工程投资</w:t>
                  </w:r>
                </w:p>
              </w:tc>
            </w:tr>
            <w:tr w14:paraId="3C557B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371" w:type="pct"/>
                  <w:vMerge w:val="continue"/>
                  <w:tcBorders>
                    <w:tl2br w:val="nil"/>
                    <w:tr2bl w:val="nil"/>
                  </w:tcBorders>
                  <w:noWrap w:val="0"/>
                  <w:vAlign w:val="center"/>
                </w:tcPr>
                <w:p w14:paraId="7D2429AE">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0A38EEEC">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952" w:type="pct"/>
                  <w:vMerge w:val="continue"/>
                  <w:tcBorders>
                    <w:tl2br w:val="nil"/>
                    <w:tr2bl w:val="nil"/>
                  </w:tcBorders>
                  <w:noWrap w:val="0"/>
                  <w:vAlign w:val="center"/>
                </w:tcPr>
                <w:p w14:paraId="6CABFEA4">
                  <w:pPr>
                    <w:pStyle w:val="65"/>
                    <w:spacing w:line="240" w:lineRule="auto"/>
                    <w:rPr>
                      <w:rFonts w:hint="eastAsia" w:cs="Times New Roman"/>
                      <w:color w:val="000000" w:themeColor="text1"/>
                      <w:sz w:val="21"/>
                      <w:szCs w:val="21"/>
                      <w:lang w:val="en-US" w:eastAsia="zh-CN"/>
                      <w14:textFill>
                        <w14:solidFill>
                          <w14:schemeClr w14:val="tx1"/>
                        </w14:solidFill>
                      </w14:textFill>
                    </w:rPr>
                  </w:pPr>
                </w:p>
              </w:tc>
              <w:tc>
                <w:tcPr>
                  <w:tcW w:w="2746" w:type="pct"/>
                  <w:tcBorders>
                    <w:tl2br w:val="nil"/>
                    <w:tr2bl w:val="nil"/>
                  </w:tcBorders>
                  <w:noWrap w:val="0"/>
                  <w:vAlign w:val="center"/>
                </w:tcPr>
                <w:p w14:paraId="5657FCA7">
                  <w:pPr>
                    <w:pStyle w:val="65"/>
                    <w:spacing w:line="240" w:lineRule="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1个顶吸集气罩+密闭集气管道</w:t>
                  </w:r>
                </w:p>
              </w:tc>
              <w:tc>
                <w:tcPr>
                  <w:tcW w:w="664" w:type="pct"/>
                  <w:tcBorders>
                    <w:tl2br w:val="nil"/>
                    <w:tr2bl w:val="nil"/>
                  </w:tcBorders>
                  <w:noWrap w:val="0"/>
                  <w:tcMar>
                    <w:left w:w="0" w:type="dxa"/>
                    <w:right w:w="0" w:type="dxa"/>
                  </w:tcMar>
                  <w:vAlign w:val="center"/>
                </w:tcPr>
                <w:p w14:paraId="599A52DF">
                  <w:pPr>
                    <w:widowControl w:val="0"/>
                    <w:adjustRightInd w:val="0"/>
                    <w:snapToGrid w:val="0"/>
                    <w:spacing w:line="240" w:lineRule="auto"/>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0.6</w:t>
                  </w:r>
                </w:p>
              </w:tc>
            </w:tr>
            <w:tr w14:paraId="46B8F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371" w:type="pct"/>
                  <w:vMerge w:val="continue"/>
                  <w:tcBorders>
                    <w:tl2br w:val="nil"/>
                    <w:tr2bl w:val="nil"/>
                  </w:tcBorders>
                  <w:noWrap w:val="0"/>
                  <w:vAlign w:val="center"/>
                </w:tcPr>
                <w:p w14:paraId="23269D15">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03158BDD">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952" w:type="pct"/>
                  <w:vMerge w:val="restart"/>
                  <w:tcBorders>
                    <w:tl2br w:val="nil"/>
                    <w:tr2bl w:val="nil"/>
                  </w:tcBorders>
                  <w:noWrap w:val="0"/>
                  <w:vAlign w:val="center"/>
                </w:tcPr>
                <w:p w14:paraId="14FCBFE8">
                  <w:pPr>
                    <w:pStyle w:val="65"/>
                    <w:spacing w:line="240" w:lineRule="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修磨工序</w:t>
                  </w:r>
                </w:p>
              </w:tc>
              <w:tc>
                <w:tcPr>
                  <w:tcW w:w="2746" w:type="pct"/>
                  <w:tcBorders>
                    <w:tl2br w:val="nil"/>
                    <w:tr2bl w:val="nil"/>
                  </w:tcBorders>
                  <w:noWrap w:val="0"/>
                  <w:vAlign w:val="center"/>
                </w:tcPr>
                <w:p w14:paraId="4EC63A1D">
                  <w:pPr>
                    <w:pStyle w:val="65"/>
                    <w:spacing w:line="240" w:lineRule="auto"/>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2个固定工位（三面封闭、出入口安装软帘）</w:t>
                  </w:r>
                </w:p>
              </w:tc>
              <w:tc>
                <w:tcPr>
                  <w:tcW w:w="664" w:type="pct"/>
                  <w:tcBorders>
                    <w:tl2br w:val="nil"/>
                    <w:tr2bl w:val="nil"/>
                  </w:tcBorders>
                  <w:noWrap w:val="0"/>
                  <w:tcMar>
                    <w:left w:w="0" w:type="dxa"/>
                    <w:right w:w="0" w:type="dxa"/>
                  </w:tcMar>
                  <w:vAlign w:val="center"/>
                </w:tcPr>
                <w:p w14:paraId="73B20240">
                  <w:pPr>
                    <w:widowControl w:val="0"/>
                    <w:adjustRightInd w:val="0"/>
                    <w:snapToGrid w:val="0"/>
                    <w:spacing w:line="240" w:lineRule="auto"/>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计入工程投资</w:t>
                  </w:r>
                </w:p>
              </w:tc>
            </w:tr>
            <w:tr w14:paraId="37DDDF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371" w:type="pct"/>
                  <w:vMerge w:val="continue"/>
                  <w:tcBorders>
                    <w:tl2br w:val="nil"/>
                    <w:tr2bl w:val="nil"/>
                  </w:tcBorders>
                  <w:noWrap w:val="0"/>
                  <w:vAlign w:val="center"/>
                </w:tcPr>
                <w:p w14:paraId="478B2E6D">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2349657C">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952" w:type="pct"/>
                  <w:vMerge w:val="continue"/>
                  <w:tcBorders>
                    <w:tl2br w:val="nil"/>
                    <w:tr2bl w:val="nil"/>
                  </w:tcBorders>
                  <w:noWrap w:val="0"/>
                  <w:vAlign w:val="center"/>
                </w:tcPr>
                <w:p w14:paraId="788F9CF9">
                  <w:pPr>
                    <w:pStyle w:val="65"/>
                    <w:spacing w:line="240" w:lineRule="auto"/>
                    <w:rPr>
                      <w:rFonts w:hint="eastAsia" w:cs="Times New Roman"/>
                      <w:color w:val="000000" w:themeColor="text1"/>
                      <w:sz w:val="21"/>
                      <w:szCs w:val="21"/>
                      <w:lang w:val="en-US" w:eastAsia="zh-CN"/>
                      <w14:textFill>
                        <w14:solidFill>
                          <w14:schemeClr w14:val="tx1"/>
                        </w14:solidFill>
                      </w14:textFill>
                    </w:rPr>
                  </w:pPr>
                </w:p>
              </w:tc>
              <w:tc>
                <w:tcPr>
                  <w:tcW w:w="2746" w:type="pct"/>
                  <w:tcBorders>
                    <w:tl2br w:val="nil"/>
                    <w:tr2bl w:val="nil"/>
                  </w:tcBorders>
                  <w:noWrap w:val="0"/>
                  <w:vAlign w:val="center"/>
                </w:tcPr>
                <w:p w14:paraId="59111423">
                  <w:pPr>
                    <w:pStyle w:val="65"/>
                    <w:spacing w:line="240" w:lineRule="auto"/>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2个顶吸集气装置+密闭集气管道</w:t>
                  </w:r>
                </w:p>
              </w:tc>
              <w:tc>
                <w:tcPr>
                  <w:tcW w:w="664" w:type="pct"/>
                  <w:tcBorders>
                    <w:tl2br w:val="nil"/>
                    <w:tr2bl w:val="nil"/>
                  </w:tcBorders>
                  <w:noWrap w:val="0"/>
                  <w:tcMar>
                    <w:left w:w="0" w:type="dxa"/>
                    <w:right w:w="0" w:type="dxa"/>
                  </w:tcMar>
                  <w:vAlign w:val="center"/>
                </w:tcPr>
                <w:p w14:paraId="2FFA64DC">
                  <w:pPr>
                    <w:widowControl w:val="0"/>
                    <w:adjustRightInd w:val="0"/>
                    <w:snapToGrid w:val="0"/>
                    <w:spacing w:line="240" w:lineRule="auto"/>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p>
              </w:tc>
            </w:tr>
            <w:tr w14:paraId="6BC139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371" w:type="pct"/>
                  <w:vMerge w:val="continue"/>
                  <w:tcBorders>
                    <w:tl2br w:val="nil"/>
                    <w:tr2bl w:val="nil"/>
                  </w:tcBorders>
                  <w:noWrap w:val="0"/>
                  <w:vAlign w:val="center"/>
                </w:tcPr>
                <w:p w14:paraId="3A0BDDC9">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47D38041">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952" w:type="pct"/>
                  <w:tcBorders>
                    <w:tl2br w:val="nil"/>
                    <w:tr2bl w:val="nil"/>
                  </w:tcBorders>
                  <w:noWrap w:val="0"/>
                  <w:vAlign w:val="center"/>
                </w:tcPr>
                <w:p w14:paraId="7F13020B">
                  <w:pPr>
                    <w:pStyle w:val="65"/>
                    <w:spacing w:line="240" w:lineRule="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末端废气治理设施</w:t>
                  </w:r>
                </w:p>
              </w:tc>
              <w:tc>
                <w:tcPr>
                  <w:tcW w:w="2746" w:type="pct"/>
                  <w:tcBorders>
                    <w:tl2br w:val="nil"/>
                    <w:tr2bl w:val="nil"/>
                  </w:tcBorders>
                  <w:noWrap w:val="0"/>
                  <w:vAlign w:val="center"/>
                </w:tcPr>
                <w:p w14:paraId="19277E9B">
                  <w:pPr>
                    <w:pStyle w:val="65"/>
                    <w:spacing w:line="240" w:lineRule="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以上工序共同1套布袋除尘器+15m排气筒</w:t>
                  </w:r>
                </w:p>
              </w:tc>
              <w:tc>
                <w:tcPr>
                  <w:tcW w:w="664" w:type="pct"/>
                  <w:tcBorders>
                    <w:tl2br w:val="nil"/>
                    <w:tr2bl w:val="nil"/>
                  </w:tcBorders>
                  <w:noWrap w:val="0"/>
                  <w:tcMar>
                    <w:left w:w="0" w:type="dxa"/>
                    <w:right w:w="0" w:type="dxa"/>
                  </w:tcMar>
                  <w:vAlign w:val="center"/>
                </w:tcPr>
                <w:p w14:paraId="12685C96">
                  <w:pPr>
                    <w:widowControl w:val="0"/>
                    <w:adjustRightInd w:val="0"/>
                    <w:snapToGrid w:val="0"/>
                    <w:spacing w:line="240" w:lineRule="auto"/>
                    <w:jc w:val="center"/>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4.0</w:t>
                  </w:r>
                </w:p>
              </w:tc>
            </w:tr>
            <w:tr w14:paraId="358A11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71" w:type="pct"/>
                  <w:vMerge w:val="continue"/>
                  <w:tcBorders>
                    <w:tl2br w:val="nil"/>
                    <w:tr2bl w:val="nil"/>
                  </w:tcBorders>
                  <w:noWrap w:val="0"/>
                  <w:vAlign w:val="center"/>
                </w:tcPr>
                <w:p w14:paraId="1CFDBD82">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tcBorders>
                    <w:tl2br w:val="nil"/>
                    <w:tr2bl w:val="nil"/>
                  </w:tcBorders>
                  <w:noWrap w:val="0"/>
                  <w:vAlign w:val="center"/>
                </w:tcPr>
                <w:p w14:paraId="3D0E1CA8">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废水</w:t>
                  </w:r>
                </w:p>
              </w:tc>
              <w:tc>
                <w:tcPr>
                  <w:tcW w:w="952" w:type="pct"/>
                  <w:tcBorders>
                    <w:tl2br w:val="nil"/>
                    <w:tr2bl w:val="nil"/>
                  </w:tcBorders>
                  <w:noWrap w:val="0"/>
                  <w:vAlign w:val="center"/>
                </w:tcPr>
                <w:p w14:paraId="64487078">
                  <w:pPr>
                    <w:tabs>
                      <w:tab w:val="left" w:pos="4536"/>
                    </w:tabs>
                    <w:spacing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生活污水</w:t>
                  </w:r>
                </w:p>
              </w:tc>
              <w:tc>
                <w:tcPr>
                  <w:tcW w:w="2746" w:type="pct"/>
                  <w:tcBorders>
                    <w:tl2br w:val="nil"/>
                    <w:tr2bl w:val="nil"/>
                  </w:tcBorders>
                  <w:noWrap w:val="0"/>
                  <w:vAlign w:val="center"/>
                </w:tcPr>
                <w:p w14:paraId="75E948E3">
                  <w:pPr>
                    <w:tabs>
                      <w:tab w:val="left" w:pos="4536"/>
                    </w:tabs>
                    <w:spacing w:line="240" w:lineRule="auto"/>
                    <w:jc w:val="center"/>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依托宝鸡得力隆纺织有限公司厂区</w:t>
                  </w:r>
                </w:p>
                <w:p w14:paraId="331689D2">
                  <w:pPr>
                    <w:tabs>
                      <w:tab w:val="left" w:pos="4536"/>
                    </w:tabs>
                    <w:spacing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现有化粪池（30m</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cs="Times New Roman"/>
                      <w:color w:val="000000" w:themeColor="text1"/>
                      <w:sz w:val="21"/>
                      <w:szCs w:val="21"/>
                      <w:lang w:val="en-US" w:eastAsia="zh-CN"/>
                      <w14:textFill>
                        <w14:solidFill>
                          <w14:schemeClr w14:val="tx1"/>
                        </w14:solidFill>
                      </w14:textFill>
                    </w:rPr>
                    <w:t>）</w:t>
                  </w:r>
                </w:p>
              </w:tc>
              <w:tc>
                <w:tcPr>
                  <w:tcW w:w="664" w:type="pct"/>
                  <w:tcBorders>
                    <w:tl2br w:val="nil"/>
                    <w:tr2bl w:val="nil"/>
                  </w:tcBorders>
                  <w:noWrap w:val="0"/>
                  <w:tcMar>
                    <w:left w:w="0" w:type="dxa"/>
                    <w:right w:w="0" w:type="dxa"/>
                  </w:tcMar>
                  <w:vAlign w:val="center"/>
                </w:tcPr>
                <w:p w14:paraId="7B122836">
                  <w:pPr>
                    <w:adjustRightInd w:val="0"/>
                    <w:snapToGrid w:val="0"/>
                    <w:spacing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w:t>
                  </w:r>
                </w:p>
              </w:tc>
            </w:tr>
            <w:tr w14:paraId="4A1F59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1" w:type="pct"/>
                  <w:vMerge w:val="continue"/>
                  <w:tcBorders>
                    <w:tl2br w:val="nil"/>
                    <w:tr2bl w:val="nil"/>
                  </w:tcBorders>
                  <w:noWrap w:val="0"/>
                  <w:vAlign w:val="center"/>
                </w:tcPr>
                <w:p w14:paraId="6DC2ABA7">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restart"/>
                  <w:tcBorders>
                    <w:tl2br w:val="nil"/>
                    <w:tr2bl w:val="nil"/>
                  </w:tcBorders>
                  <w:noWrap w:val="0"/>
                  <w:vAlign w:val="center"/>
                </w:tcPr>
                <w:p w14:paraId="57C526B1">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噪声</w:t>
                  </w:r>
                </w:p>
              </w:tc>
              <w:tc>
                <w:tcPr>
                  <w:tcW w:w="952" w:type="pct"/>
                  <w:tcBorders>
                    <w:tl2br w:val="nil"/>
                    <w:tr2bl w:val="nil"/>
                  </w:tcBorders>
                  <w:noWrap w:val="0"/>
                  <w:vAlign w:val="center"/>
                </w:tcPr>
                <w:p w14:paraId="39D37C4F">
                  <w:pPr>
                    <w:pStyle w:val="51"/>
                    <w:adjustRightInd w:val="0"/>
                    <w:snapToGrid w:val="0"/>
                    <w:contextualSpacing/>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液压机、轧机</w:t>
                  </w:r>
                </w:p>
              </w:tc>
              <w:tc>
                <w:tcPr>
                  <w:tcW w:w="2746" w:type="pct"/>
                  <w:tcBorders>
                    <w:tl2br w:val="nil"/>
                    <w:tr2bl w:val="nil"/>
                  </w:tcBorders>
                  <w:noWrap w:val="0"/>
                  <w:vAlign w:val="center"/>
                </w:tcPr>
                <w:p w14:paraId="1FE7547C">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基础减振、设置减振沟</w:t>
                  </w:r>
                </w:p>
              </w:tc>
              <w:tc>
                <w:tcPr>
                  <w:tcW w:w="664" w:type="pct"/>
                  <w:tcBorders>
                    <w:tl2br w:val="nil"/>
                    <w:tr2bl w:val="nil"/>
                  </w:tcBorders>
                  <w:noWrap w:val="0"/>
                  <w:tcMar>
                    <w:left w:w="0" w:type="dxa"/>
                    <w:right w:w="0" w:type="dxa"/>
                  </w:tcMar>
                  <w:vAlign w:val="center"/>
                </w:tcPr>
                <w:p w14:paraId="3F7B8A1C">
                  <w:pPr>
                    <w:pStyle w:val="51"/>
                    <w:adjustRightInd w:val="0"/>
                    <w:snapToGrid w:val="0"/>
                    <w:contextualSpacing/>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计入工程投资</w:t>
                  </w:r>
                </w:p>
              </w:tc>
            </w:tr>
            <w:tr w14:paraId="5E843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1" w:type="pct"/>
                  <w:vMerge w:val="continue"/>
                  <w:tcBorders>
                    <w:tl2br w:val="nil"/>
                    <w:tr2bl w:val="nil"/>
                  </w:tcBorders>
                  <w:noWrap w:val="0"/>
                  <w:vAlign w:val="center"/>
                </w:tcPr>
                <w:p w14:paraId="07F8487A">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5B499F29">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952" w:type="pct"/>
                  <w:tcBorders>
                    <w:tl2br w:val="nil"/>
                    <w:tr2bl w:val="nil"/>
                  </w:tcBorders>
                  <w:noWrap w:val="0"/>
                  <w:vAlign w:val="center"/>
                </w:tcPr>
                <w:p w14:paraId="1276931B">
                  <w:pPr>
                    <w:pStyle w:val="51"/>
                    <w:adjustRightInd w:val="0"/>
                    <w:snapToGrid w:val="0"/>
                    <w:contextualSpacing/>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其他生产设备</w:t>
                  </w:r>
                </w:p>
              </w:tc>
              <w:tc>
                <w:tcPr>
                  <w:tcW w:w="2746" w:type="pct"/>
                  <w:tcBorders>
                    <w:tl2br w:val="nil"/>
                    <w:tr2bl w:val="nil"/>
                  </w:tcBorders>
                  <w:noWrap w:val="0"/>
                  <w:vAlign w:val="center"/>
                </w:tcPr>
                <w:p w14:paraId="09FF6CC5">
                  <w:pPr>
                    <w:pStyle w:val="51"/>
                    <w:adjustRightInd w:val="0"/>
                    <w:snapToGrid w:val="0"/>
                    <w:contextualSpacing/>
                    <w:rPr>
                      <w:rFonts w:hint="default" w:ascii="Times New Roman" w:hAnsi="Times New Roman" w:cs="Times New Roman"/>
                      <w:color w:val="000000" w:themeColor="text1"/>
                      <w:kern w:val="0"/>
                      <w:sz w:val="21"/>
                      <w:szCs w:val="21"/>
                      <w14:textFill>
                        <w14:solidFill>
                          <w14:schemeClr w14:val="tx1"/>
                        </w14:solidFill>
                      </w14:textFill>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基础减振</w:t>
                  </w:r>
                </w:p>
              </w:tc>
              <w:tc>
                <w:tcPr>
                  <w:tcW w:w="664" w:type="pct"/>
                  <w:tcBorders>
                    <w:tl2br w:val="nil"/>
                    <w:tr2bl w:val="nil"/>
                  </w:tcBorders>
                  <w:noWrap w:val="0"/>
                  <w:tcMar>
                    <w:left w:w="0" w:type="dxa"/>
                    <w:right w:w="0" w:type="dxa"/>
                  </w:tcMar>
                  <w:vAlign w:val="center"/>
                </w:tcPr>
                <w:p w14:paraId="75109712">
                  <w:pPr>
                    <w:pStyle w:val="51"/>
                    <w:adjustRightInd w:val="0"/>
                    <w:snapToGrid w:val="0"/>
                    <w:contextualSpacing/>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w:t>
                  </w:r>
                </w:p>
              </w:tc>
            </w:tr>
            <w:tr w14:paraId="3FA29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1" w:type="pct"/>
                  <w:vMerge w:val="continue"/>
                  <w:tcBorders>
                    <w:tl2br w:val="nil"/>
                    <w:tr2bl w:val="nil"/>
                  </w:tcBorders>
                  <w:noWrap w:val="0"/>
                  <w:vAlign w:val="center"/>
                </w:tcPr>
                <w:p w14:paraId="7B919502">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31EA09D6">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952" w:type="pct"/>
                  <w:tcBorders>
                    <w:tl2br w:val="nil"/>
                    <w:tr2bl w:val="nil"/>
                  </w:tcBorders>
                  <w:noWrap w:val="0"/>
                  <w:vAlign w:val="center"/>
                </w:tcPr>
                <w:p w14:paraId="01983FE5">
                  <w:pPr>
                    <w:pStyle w:val="51"/>
                    <w:adjustRightInd w:val="0"/>
                    <w:snapToGrid w:val="0"/>
                    <w:contextualSpacing/>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风机</w:t>
                  </w:r>
                </w:p>
              </w:tc>
              <w:tc>
                <w:tcPr>
                  <w:tcW w:w="2746" w:type="pct"/>
                  <w:tcBorders>
                    <w:tl2br w:val="nil"/>
                    <w:tr2bl w:val="nil"/>
                  </w:tcBorders>
                  <w:noWrap w:val="0"/>
                  <w:vAlign w:val="center"/>
                </w:tcPr>
                <w:p w14:paraId="6E9E2977">
                  <w:pPr>
                    <w:pStyle w:val="51"/>
                    <w:adjustRightInd w:val="0"/>
                    <w:snapToGrid w:val="0"/>
                    <w:contextualSpacing/>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安装隔声罩</w:t>
                  </w:r>
                </w:p>
              </w:tc>
              <w:tc>
                <w:tcPr>
                  <w:tcW w:w="664" w:type="pct"/>
                  <w:tcBorders>
                    <w:tl2br w:val="nil"/>
                    <w:tr2bl w:val="nil"/>
                  </w:tcBorders>
                  <w:noWrap w:val="0"/>
                  <w:tcMar>
                    <w:left w:w="0" w:type="dxa"/>
                    <w:right w:w="0" w:type="dxa"/>
                  </w:tcMar>
                  <w:vAlign w:val="center"/>
                </w:tcPr>
                <w:p w14:paraId="24C98841">
                  <w:pPr>
                    <w:pStyle w:val="51"/>
                    <w:adjustRightInd w:val="0"/>
                    <w:snapToGrid w:val="0"/>
                    <w:contextualSpacing/>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0.5</w:t>
                  </w:r>
                </w:p>
              </w:tc>
            </w:tr>
            <w:tr w14:paraId="19A563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1" w:type="pct"/>
                  <w:vMerge w:val="continue"/>
                  <w:tcBorders>
                    <w:tl2br w:val="nil"/>
                    <w:tr2bl w:val="nil"/>
                  </w:tcBorders>
                  <w:noWrap w:val="0"/>
                  <w:vAlign w:val="center"/>
                </w:tcPr>
                <w:p w14:paraId="3302768B">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265FB53C">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952" w:type="pct"/>
                  <w:tcBorders>
                    <w:tl2br w:val="nil"/>
                    <w:tr2bl w:val="nil"/>
                  </w:tcBorders>
                  <w:noWrap w:val="0"/>
                  <w:vAlign w:val="center"/>
                </w:tcPr>
                <w:p w14:paraId="29B08423">
                  <w:pPr>
                    <w:pStyle w:val="51"/>
                    <w:adjustRightInd w:val="0"/>
                    <w:snapToGrid w:val="0"/>
                    <w:contextualSpacing/>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水泵</w:t>
                  </w:r>
                </w:p>
              </w:tc>
              <w:tc>
                <w:tcPr>
                  <w:tcW w:w="2746" w:type="pct"/>
                  <w:tcBorders>
                    <w:tl2br w:val="nil"/>
                    <w:tr2bl w:val="nil"/>
                  </w:tcBorders>
                  <w:noWrap w:val="0"/>
                  <w:vAlign w:val="center"/>
                </w:tcPr>
                <w:p w14:paraId="73FCC6EC">
                  <w:pPr>
                    <w:pStyle w:val="51"/>
                    <w:adjustRightInd w:val="0"/>
                    <w:snapToGrid w:val="0"/>
                    <w:contextualSpacing/>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柔性连接</w:t>
                  </w:r>
                </w:p>
              </w:tc>
              <w:tc>
                <w:tcPr>
                  <w:tcW w:w="664" w:type="pct"/>
                  <w:tcBorders>
                    <w:tl2br w:val="nil"/>
                    <w:tr2bl w:val="nil"/>
                  </w:tcBorders>
                  <w:noWrap w:val="0"/>
                  <w:tcMar>
                    <w:left w:w="0" w:type="dxa"/>
                    <w:right w:w="0" w:type="dxa"/>
                  </w:tcMar>
                  <w:vAlign w:val="center"/>
                </w:tcPr>
                <w:p w14:paraId="4F17BD34">
                  <w:pPr>
                    <w:pStyle w:val="51"/>
                    <w:adjustRightInd w:val="0"/>
                    <w:snapToGrid w:val="0"/>
                    <w:contextualSpacing/>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计入工程投资</w:t>
                  </w:r>
                </w:p>
              </w:tc>
            </w:tr>
            <w:tr w14:paraId="73488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1" w:type="pct"/>
                  <w:vMerge w:val="continue"/>
                  <w:tcBorders>
                    <w:tl2br w:val="nil"/>
                    <w:tr2bl w:val="nil"/>
                  </w:tcBorders>
                  <w:noWrap w:val="0"/>
                  <w:vAlign w:val="center"/>
                </w:tcPr>
                <w:p w14:paraId="42DD72A5">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restart"/>
                  <w:tcBorders>
                    <w:tl2br w:val="nil"/>
                    <w:tr2bl w:val="nil"/>
                  </w:tcBorders>
                  <w:noWrap w:val="0"/>
                  <w:vAlign w:val="center"/>
                </w:tcPr>
                <w:p w14:paraId="3C454CDC">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固废</w:t>
                  </w:r>
                </w:p>
              </w:tc>
              <w:tc>
                <w:tcPr>
                  <w:tcW w:w="952" w:type="pct"/>
                  <w:tcBorders>
                    <w:tl2br w:val="nil"/>
                    <w:tr2bl w:val="nil"/>
                  </w:tcBorders>
                  <w:noWrap w:val="0"/>
                  <w:vAlign w:val="center"/>
                </w:tcPr>
                <w:p w14:paraId="64651393">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生活垃圾</w:t>
                  </w:r>
                </w:p>
              </w:tc>
              <w:tc>
                <w:tcPr>
                  <w:tcW w:w="2746" w:type="pct"/>
                  <w:tcBorders>
                    <w:tl2br w:val="nil"/>
                    <w:tr2bl w:val="nil"/>
                  </w:tcBorders>
                  <w:noWrap w:val="0"/>
                  <w:vAlign w:val="center"/>
                </w:tcPr>
                <w:p w14:paraId="0A0A946E">
                  <w:pPr>
                    <w:tabs>
                      <w:tab w:val="left" w:pos="4536"/>
                    </w:tabs>
                    <w:spacing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生活垃圾收集桶</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垃圾收集箱</w:t>
                  </w:r>
                </w:p>
              </w:tc>
              <w:tc>
                <w:tcPr>
                  <w:tcW w:w="664" w:type="pct"/>
                  <w:tcBorders>
                    <w:tl2br w:val="nil"/>
                    <w:tr2bl w:val="nil"/>
                  </w:tcBorders>
                  <w:noWrap w:val="0"/>
                  <w:tcMar>
                    <w:left w:w="0" w:type="dxa"/>
                    <w:right w:w="0" w:type="dxa"/>
                  </w:tcMar>
                  <w:vAlign w:val="center"/>
                </w:tcPr>
                <w:p w14:paraId="24A670A4">
                  <w:pPr>
                    <w:tabs>
                      <w:tab w:val="left" w:pos="4536"/>
                    </w:tabs>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0.1</w:t>
                  </w:r>
                </w:p>
              </w:tc>
            </w:tr>
            <w:tr w14:paraId="6A94B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1" w:type="pct"/>
                  <w:vMerge w:val="continue"/>
                  <w:tcBorders>
                    <w:tl2br w:val="nil"/>
                    <w:tr2bl w:val="nil"/>
                  </w:tcBorders>
                  <w:noWrap w:val="0"/>
                  <w:vAlign w:val="center"/>
                </w:tcPr>
                <w:p w14:paraId="67D31EAE">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241B0CA6">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952" w:type="pct"/>
                  <w:tcBorders>
                    <w:tl2br w:val="nil"/>
                    <w:tr2bl w:val="nil"/>
                  </w:tcBorders>
                  <w:noWrap w:val="0"/>
                  <w:vAlign w:val="center"/>
                </w:tcPr>
                <w:p w14:paraId="0C405A7A">
                  <w:pPr>
                    <w:tabs>
                      <w:tab w:val="left" w:pos="4536"/>
                    </w:tabs>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一般固废</w:t>
                  </w:r>
                </w:p>
              </w:tc>
              <w:tc>
                <w:tcPr>
                  <w:tcW w:w="2746" w:type="pct"/>
                  <w:tcBorders>
                    <w:tl2br w:val="nil"/>
                    <w:tr2bl w:val="nil"/>
                  </w:tcBorders>
                  <w:noWrap w:val="0"/>
                  <w:vAlign w:val="center"/>
                </w:tcPr>
                <w:p w14:paraId="1CEC1FEE">
                  <w:pPr>
                    <w:tabs>
                      <w:tab w:val="left" w:pos="4536"/>
                    </w:tabs>
                    <w:spacing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规范建设</w:t>
                  </w:r>
                  <w:r>
                    <w:rPr>
                      <w:rFonts w:hint="eastAsia" w:cs="Times New Roman"/>
                      <w:color w:val="000000" w:themeColor="text1"/>
                      <w:sz w:val="21"/>
                      <w:szCs w:val="21"/>
                      <w:lang w:eastAsia="zh-CN"/>
                      <w14:textFill>
                        <w14:solidFill>
                          <w14:schemeClr w14:val="tx1"/>
                        </w14:solidFill>
                      </w14:textFill>
                    </w:rPr>
                    <w:t>一般固废暂存间</w:t>
                  </w:r>
                  <w:r>
                    <w:rPr>
                      <w:rFonts w:hint="eastAsia" w:cs="Times New Roman"/>
                      <w:color w:val="000000" w:themeColor="text1"/>
                      <w:sz w:val="21"/>
                      <w:szCs w:val="21"/>
                      <w:lang w:val="en-US" w:eastAsia="zh-CN"/>
                      <w14:textFill>
                        <w14:solidFill>
                          <w14:schemeClr w14:val="tx1"/>
                        </w14:solidFill>
                      </w14:textFill>
                    </w:rPr>
                    <w:t>1处（10m</w:t>
                  </w:r>
                  <w:r>
                    <w:rPr>
                      <w:rFonts w:hint="eastAsia" w:cs="Times New Roman"/>
                      <w:color w:val="000000" w:themeColor="text1"/>
                      <w:sz w:val="21"/>
                      <w:szCs w:val="21"/>
                      <w:vertAlign w:val="superscript"/>
                      <w:lang w:val="en-US" w:eastAsia="zh-CN"/>
                      <w14:textFill>
                        <w14:solidFill>
                          <w14:schemeClr w14:val="tx1"/>
                        </w14:solidFill>
                      </w14:textFill>
                    </w:rPr>
                    <w:t>2</w:t>
                  </w:r>
                  <w:r>
                    <w:rPr>
                      <w:rFonts w:hint="eastAsia" w:cs="Times New Roman"/>
                      <w:color w:val="000000" w:themeColor="text1"/>
                      <w:sz w:val="21"/>
                      <w:szCs w:val="21"/>
                      <w:lang w:val="en-US" w:eastAsia="zh-CN"/>
                      <w14:textFill>
                        <w14:solidFill>
                          <w14:schemeClr w14:val="tx1"/>
                        </w14:solidFill>
                      </w14:textFill>
                    </w:rPr>
                    <w:t>）</w:t>
                  </w:r>
                </w:p>
              </w:tc>
              <w:tc>
                <w:tcPr>
                  <w:tcW w:w="664" w:type="pct"/>
                  <w:tcBorders>
                    <w:tl2br w:val="nil"/>
                    <w:tr2bl w:val="nil"/>
                  </w:tcBorders>
                  <w:noWrap w:val="0"/>
                  <w:tcMar>
                    <w:left w:w="0" w:type="dxa"/>
                    <w:right w:w="0" w:type="dxa"/>
                  </w:tcMar>
                  <w:vAlign w:val="center"/>
                </w:tcPr>
                <w:p w14:paraId="50918702">
                  <w:pPr>
                    <w:pStyle w:val="51"/>
                    <w:adjustRightInd w:val="0"/>
                    <w:snapToGrid w:val="0"/>
                    <w:contextualSpacing/>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r>
                    <w:rPr>
                      <w:rFonts w:hint="eastAsia" w:cs="Times New Roman"/>
                      <w:color w:val="000000" w:themeColor="text1"/>
                      <w:sz w:val="21"/>
                      <w:szCs w:val="21"/>
                      <w:lang w:val="en-US" w:eastAsia="zh-CN"/>
                      <w14:textFill>
                        <w14:solidFill>
                          <w14:schemeClr w14:val="tx1"/>
                        </w14:solidFill>
                      </w14:textFill>
                    </w:rPr>
                    <w:t>.0</w:t>
                  </w:r>
                </w:p>
              </w:tc>
            </w:tr>
            <w:tr w14:paraId="1A59E7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1" w:type="pct"/>
                  <w:vMerge w:val="continue"/>
                  <w:tcBorders>
                    <w:tl2br w:val="nil"/>
                    <w:tr2bl w:val="nil"/>
                  </w:tcBorders>
                  <w:noWrap w:val="0"/>
                  <w:vAlign w:val="center"/>
                </w:tcPr>
                <w:p w14:paraId="549A4D31">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265" w:type="pct"/>
                  <w:vMerge w:val="continue"/>
                  <w:tcBorders>
                    <w:tl2br w:val="nil"/>
                    <w:tr2bl w:val="nil"/>
                  </w:tcBorders>
                  <w:noWrap w:val="0"/>
                  <w:vAlign w:val="center"/>
                </w:tcPr>
                <w:p w14:paraId="2B4E29C6">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p>
              </w:tc>
              <w:tc>
                <w:tcPr>
                  <w:tcW w:w="952" w:type="pct"/>
                  <w:tcBorders>
                    <w:tl2br w:val="nil"/>
                    <w:tr2bl w:val="nil"/>
                  </w:tcBorders>
                  <w:noWrap w:val="0"/>
                  <w:vAlign w:val="center"/>
                </w:tcPr>
                <w:p w14:paraId="495E2ECA">
                  <w:pPr>
                    <w:tabs>
                      <w:tab w:val="left" w:pos="4536"/>
                    </w:tabs>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危险废物</w:t>
                  </w:r>
                </w:p>
              </w:tc>
              <w:tc>
                <w:tcPr>
                  <w:tcW w:w="2746" w:type="pct"/>
                  <w:tcBorders>
                    <w:tl2br w:val="nil"/>
                    <w:tr2bl w:val="nil"/>
                  </w:tcBorders>
                  <w:noWrap w:val="0"/>
                  <w:vAlign w:val="center"/>
                </w:tcPr>
                <w:p w14:paraId="1C033236">
                  <w:pPr>
                    <w:tabs>
                      <w:tab w:val="left" w:pos="4536"/>
                    </w:tabs>
                    <w:spacing w:line="240" w:lineRule="auto"/>
                    <w:jc w:val="center"/>
                    <w:rPr>
                      <w:rFonts w:hint="eastAsia" w:ascii="Times New Roman" w:hAnsi="Times New Roman" w:cs="Times New Roman"/>
                      <w:color w:val="000000" w:themeColor="text1"/>
                      <w:sz w:val="21"/>
                      <w:szCs w:val="21"/>
                      <w:lang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规范建设1座</w:t>
                  </w:r>
                  <w:r>
                    <w:rPr>
                      <w:rFonts w:hint="default" w:ascii="Times New Roman" w:hAnsi="Times New Roman" w:cs="Times New Roman"/>
                      <w:color w:val="000000" w:themeColor="text1"/>
                      <w:sz w:val="21"/>
                      <w:szCs w:val="21"/>
                      <w14:textFill>
                        <w14:solidFill>
                          <w14:schemeClr w14:val="tx1"/>
                        </w14:solidFill>
                      </w14:textFill>
                    </w:rPr>
                    <w:t>危废</w:t>
                  </w:r>
                  <w:r>
                    <w:rPr>
                      <w:rFonts w:hint="eastAsia" w:ascii="Times New Roman" w:hAnsi="Times New Roman" w:cs="Times New Roman"/>
                      <w:color w:val="000000" w:themeColor="text1"/>
                      <w:sz w:val="21"/>
                      <w:szCs w:val="21"/>
                      <w:lang w:val="en-US" w:eastAsia="zh-CN"/>
                      <w14:textFill>
                        <w14:solidFill>
                          <w14:schemeClr w14:val="tx1"/>
                        </w14:solidFill>
                      </w14:textFill>
                    </w:rPr>
                    <w:t>储存库</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val="en-US" w:eastAsia="zh-CN" w:bidi="ar"/>
                      <w14:textFill>
                        <w14:solidFill>
                          <w14:schemeClr w14:val="tx1"/>
                        </w14:solidFill>
                      </w14:textFill>
                    </w:rPr>
                    <w:t>15</w:t>
                  </w:r>
                  <w:r>
                    <w:rPr>
                      <w:rFonts w:hint="default" w:ascii="Times New Roman" w:hAnsi="Times New Roman" w:cs="Times New Roman"/>
                      <w:color w:val="000000" w:themeColor="text1"/>
                      <w:sz w:val="21"/>
                      <w:szCs w:val="21"/>
                      <w:lang w:bidi="ar"/>
                      <w14:textFill>
                        <w14:solidFill>
                          <w14:schemeClr w14:val="tx1"/>
                        </w14:solidFill>
                      </w14:textFill>
                    </w:rPr>
                    <w:t>m</w:t>
                  </w:r>
                  <w:r>
                    <w:rPr>
                      <w:rFonts w:hint="default" w:ascii="Times New Roman" w:hAnsi="Times New Roman" w:cs="Times New Roman"/>
                      <w:color w:val="000000" w:themeColor="text1"/>
                      <w:sz w:val="21"/>
                      <w:szCs w:val="21"/>
                      <w:vertAlign w:val="superscript"/>
                      <w:lang w:bidi="ar"/>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eastAsia="zh-CN"/>
                      <w14:textFill>
                        <w14:solidFill>
                          <w14:schemeClr w14:val="tx1"/>
                        </w14:solidFill>
                      </w14:textFill>
                    </w:rPr>
                    <w:t>，</w:t>
                  </w:r>
                </w:p>
                <w:p w14:paraId="5180236D">
                  <w:pPr>
                    <w:tabs>
                      <w:tab w:val="left" w:pos="4536"/>
                    </w:tabs>
                    <w:spacing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专用容器收集</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定期</w:t>
                  </w:r>
                  <w:r>
                    <w:rPr>
                      <w:rFonts w:hint="eastAsia" w:cs="Times New Roman"/>
                      <w:color w:val="000000" w:themeColor="text1"/>
                      <w:sz w:val="21"/>
                      <w:szCs w:val="21"/>
                      <w:lang w:val="en-US" w:eastAsia="zh-CN"/>
                      <w14:textFill>
                        <w14:solidFill>
                          <w14:schemeClr w14:val="tx1"/>
                        </w14:solidFill>
                      </w14:textFill>
                    </w:rPr>
                    <w:t>交由</w:t>
                  </w:r>
                  <w:r>
                    <w:rPr>
                      <w:rFonts w:hint="eastAsia" w:ascii="Times New Roman" w:hAnsi="Times New Roman" w:cs="Times New Roman"/>
                      <w:color w:val="000000" w:themeColor="text1"/>
                      <w:sz w:val="21"/>
                      <w:szCs w:val="21"/>
                      <w:lang w:val="en-US" w:eastAsia="zh-CN"/>
                      <w14:textFill>
                        <w14:solidFill>
                          <w14:schemeClr w14:val="tx1"/>
                        </w14:solidFill>
                      </w14:textFill>
                    </w:rPr>
                    <w:t>资质单位处置</w:t>
                  </w:r>
                </w:p>
              </w:tc>
              <w:tc>
                <w:tcPr>
                  <w:tcW w:w="664" w:type="pct"/>
                  <w:tcBorders>
                    <w:tl2br w:val="nil"/>
                    <w:tr2bl w:val="nil"/>
                  </w:tcBorders>
                  <w:noWrap w:val="0"/>
                  <w:tcMar>
                    <w:left w:w="0" w:type="dxa"/>
                    <w:right w:w="0" w:type="dxa"/>
                  </w:tcMar>
                  <w:vAlign w:val="center"/>
                </w:tcPr>
                <w:p w14:paraId="0551553E">
                  <w:pPr>
                    <w:pStyle w:val="51"/>
                    <w:adjustRightInd w:val="0"/>
                    <w:snapToGrid w:val="0"/>
                    <w:contextualSpacing/>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r>
                    <w:rPr>
                      <w:rFonts w:hint="default" w:ascii="Times New Roman" w:hAnsi="Times New Roman" w:cs="Times New Roman"/>
                      <w:color w:val="000000" w:themeColor="text1"/>
                      <w:sz w:val="21"/>
                      <w:szCs w:val="21"/>
                      <w:lang w:val="en-US" w:eastAsia="zh-CN"/>
                      <w14:textFill>
                        <w14:solidFill>
                          <w14:schemeClr w14:val="tx1"/>
                        </w14:solidFill>
                      </w14:textFill>
                    </w:rPr>
                    <w:t>.5</w:t>
                  </w:r>
                </w:p>
              </w:tc>
            </w:tr>
            <w:tr w14:paraId="23D651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35" w:type="pct"/>
                  <w:gridSpan w:val="4"/>
                  <w:tcBorders>
                    <w:tl2br w:val="nil"/>
                    <w:tr2bl w:val="nil"/>
                  </w:tcBorders>
                  <w:noWrap w:val="0"/>
                  <w:vAlign w:val="center"/>
                </w:tcPr>
                <w:p w14:paraId="0A615985">
                  <w:pPr>
                    <w:pStyle w:val="51"/>
                    <w:adjustRightInd w:val="0"/>
                    <w:snapToGrid w:val="0"/>
                    <w:contextualSpacing/>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合计</w:t>
                  </w:r>
                </w:p>
              </w:tc>
              <w:tc>
                <w:tcPr>
                  <w:tcW w:w="664" w:type="pct"/>
                  <w:tcBorders>
                    <w:tl2br w:val="nil"/>
                    <w:tr2bl w:val="nil"/>
                  </w:tcBorders>
                  <w:noWrap w:val="0"/>
                  <w:tcMar>
                    <w:left w:w="0" w:type="dxa"/>
                    <w:right w:w="0" w:type="dxa"/>
                  </w:tcMar>
                  <w:vAlign w:val="center"/>
                </w:tcPr>
                <w:p w14:paraId="423FD644">
                  <w:pPr>
                    <w:pStyle w:val="51"/>
                    <w:adjustRightInd w:val="0"/>
                    <w:snapToGrid w:val="0"/>
                    <w:contextualSpacing/>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12.0</w:t>
                  </w:r>
                </w:p>
              </w:tc>
            </w:tr>
          </w:tbl>
          <w:p w14:paraId="3F005BA5">
            <w:pPr>
              <w:pStyle w:val="18"/>
              <w:rPr>
                <w:rFonts w:hint="default" w:ascii="Times New Roman" w:hAnsi="Times New Roman" w:cs="Times New Roman"/>
                <w:b/>
                <w:color w:val="000000" w:themeColor="text1"/>
                <w:sz w:val="21"/>
                <w:szCs w:val="21"/>
                <w14:textFill>
                  <w14:solidFill>
                    <w14:schemeClr w14:val="tx1"/>
                  </w14:solidFill>
                </w14:textFill>
              </w:rPr>
            </w:pPr>
          </w:p>
          <w:p w14:paraId="0FB7AF47">
            <w:pPr>
              <w:rPr>
                <w:rFonts w:hint="default"/>
                <w:color w:val="000000" w:themeColor="text1"/>
                <w14:textFill>
                  <w14:solidFill>
                    <w14:schemeClr w14:val="tx1"/>
                  </w14:solidFill>
                </w14:textFill>
              </w:rPr>
            </w:pPr>
          </w:p>
          <w:p w14:paraId="63F62DA7">
            <w:pPr>
              <w:rPr>
                <w:rFonts w:hint="default"/>
                <w:color w:val="000000" w:themeColor="text1"/>
                <w14:textFill>
                  <w14:solidFill>
                    <w14:schemeClr w14:val="tx1"/>
                  </w14:solidFill>
                </w14:textFill>
              </w:rPr>
            </w:pPr>
          </w:p>
          <w:p w14:paraId="06C93F03">
            <w:pPr>
              <w:adjustRightInd w:val="0"/>
              <w:snapToGrid w:val="0"/>
              <w:rPr>
                <w:rFonts w:hint="default" w:ascii="Times New Roman" w:hAnsi="Times New Roman" w:cs="Times New Roman"/>
                <w:bCs/>
                <w:color w:val="000000" w:themeColor="text1"/>
                <w:spacing w:val="-10"/>
                <w:sz w:val="21"/>
                <w:szCs w:val="21"/>
                <w14:textFill>
                  <w14:solidFill>
                    <w14:schemeClr w14:val="tx1"/>
                  </w14:solidFill>
                </w14:textFill>
              </w:rPr>
            </w:pPr>
          </w:p>
        </w:tc>
      </w:tr>
    </w:tbl>
    <w:p w14:paraId="703C6C5D">
      <w:pPr>
        <w:adjustRightInd w:val="0"/>
        <w:snapToGrid w:val="0"/>
        <w:spacing w:line="360" w:lineRule="auto"/>
        <w:rPr>
          <w:rFonts w:hint="default" w:ascii="Times New Roman" w:hAnsi="Times New Roman" w:cs="Times New Roman"/>
          <w:b/>
          <w:color w:val="000000" w:themeColor="text1"/>
          <w:kern w:val="0"/>
          <w:sz w:val="28"/>
          <w:szCs w:val="28"/>
          <w14:textFill>
            <w14:solidFill>
              <w14:schemeClr w14:val="tx1"/>
            </w14:solidFill>
          </w14:textFill>
        </w:rPr>
        <w:sectPr>
          <w:pgSz w:w="11907" w:h="16840"/>
          <w:pgMar w:top="1701" w:right="1531" w:bottom="2127" w:left="1531" w:header="1417" w:footer="1701" w:gutter="0"/>
          <w:pgBorders>
            <w:top w:val="none" w:sz="0" w:space="0"/>
            <w:left w:val="none" w:sz="0" w:space="0"/>
            <w:bottom w:val="none" w:sz="0" w:space="0"/>
            <w:right w:val="none" w:sz="0" w:space="0"/>
          </w:pgBorders>
          <w:cols w:space="720" w:num="1"/>
          <w:docGrid w:linePitch="312" w:charSpace="0"/>
        </w:sectPr>
      </w:pPr>
    </w:p>
    <w:p w14:paraId="222A86DC">
      <w:pPr>
        <w:pStyle w:val="20"/>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9"/>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五、</w:t>
      </w:r>
      <w:bookmarkStart w:id="24" w:name="_Hlk54167917"/>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环境保护措施监督检查清单</w:t>
      </w:r>
      <w:bookmarkEnd w:id="24"/>
    </w:p>
    <w:tbl>
      <w:tblPr>
        <w:tblStyle w:val="24"/>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49"/>
        <w:gridCol w:w="1690"/>
        <w:gridCol w:w="1610"/>
        <w:gridCol w:w="2261"/>
        <w:gridCol w:w="2445"/>
      </w:tblGrid>
      <w:tr w14:paraId="45D3D1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79" w:type="pct"/>
            <w:tcBorders>
              <w:tl2br w:val="nil"/>
              <w:tr2bl w:val="nil"/>
            </w:tcBorders>
            <w:shd w:val="clear" w:color="auto" w:fill="auto"/>
            <w:vAlign w:val="top"/>
          </w:tcPr>
          <w:p w14:paraId="66360940">
            <w:pPr>
              <w:keepNext w:val="0"/>
              <w:keepLines w:val="0"/>
              <w:widowControl w:val="0"/>
              <w:suppressLineNumbers w:val="0"/>
              <w:adjustRightInd w:val="0"/>
              <w:snapToGrid w:val="0"/>
              <w:spacing w:before="0" w:beforeAutospacing="0" w:after="0" w:afterAutospacing="0"/>
              <w:ind w:right="0"/>
              <w:jc w:val="both"/>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内容</w:t>
            </w:r>
          </w:p>
          <w:p w14:paraId="0E5C111E">
            <w:pPr>
              <w:keepNext w:val="0"/>
              <w:keepLines w:val="0"/>
              <w:widowControl w:val="0"/>
              <w:suppressLineNumbers w:val="0"/>
              <w:adjustRightInd w:val="0"/>
              <w:snapToGrid w:val="0"/>
              <w:spacing w:before="0" w:beforeAutospacing="0" w:after="0" w:afterAutospacing="0"/>
              <w:ind w:left="0" w:right="0"/>
              <w:jc w:val="both"/>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要素</w:t>
            </w:r>
          </w:p>
        </w:tc>
        <w:tc>
          <w:tcPr>
            <w:tcW w:w="933" w:type="pct"/>
            <w:tcBorders>
              <w:tl2br w:val="nil"/>
              <w:tr2bl w:val="nil"/>
            </w:tcBorders>
            <w:shd w:val="clear" w:color="auto" w:fill="auto"/>
            <w:vAlign w:val="center"/>
          </w:tcPr>
          <w:p w14:paraId="01177964">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排放口</w:t>
            </w:r>
            <w:r>
              <w:rPr>
                <w:rFonts w:hint="default" w:ascii="Times New Roman" w:hAnsi="Times New Roman" w:cs="Times New Roman"/>
                <w:color w:val="000000" w:themeColor="text1"/>
                <w:kern w:val="2"/>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编号、</w:t>
            </w:r>
          </w:p>
          <w:p w14:paraId="758FF03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名称</w:t>
            </w:r>
            <w:r>
              <w:rPr>
                <w:rFonts w:hint="default" w:ascii="Times New Roman" w:hAnsi="Times New Roman" w:cs="Times New Roman"/>
                <w:color w:val="000000" w:themeColor="text1"/>
                <w:kern w:val="2"/>
                <w:sz w:val="21"/>
                <w:szCs w:val="21"/>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/污染源</w:t>
            </w:r>
          </w:p>
        </w:tc>
        <w:tc>
          <w:tcPr>
            <w:tcW w:w="889" w:type="pct"/>
            <w:tcBorders>
              <w:tl2br w:val="nil"/>
              <w:tr2bl w:val="nil"/>
            </w:tcBorders>
            <w:shd w:val="clear" w:color="auto" w:fill="auto"/>
            <w:vAlign w:val="center"/>
          </w:tcPr>
          <w:p w14:paraId="39DFD90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污染物项目</w:t>
            </w:r>
          </w:p>
        </w:tc>
        <w:tc>
          <w:tcPr>
            <w:tcW w:w="1248" w:type="pct"/>
            <w:tcBorders>
              <w:tl2br w:val="nil"/>
              <w:tr2bl w:val="nil"/>
            </w:tcBorders>
            <w:shd w:val="clear" w:color="auto" w:fill="auto"/>
            <w:vAlign w:val="center"/>
          </w:tcPr>
          <w:p w14:paraId="698D78E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环境保护措施</w:t>
            </w:r>
          </w:p>
        </w:tc>
        <w:tc>
          <w:tcPr>
            <w:tcW w:w="1350" w:type="pct"/>
            <w:tcBorders>
              <w:tl2br w:val="nil"/>
              <w:tr2bl w:val="nil"/>
            </w:tcBorders>
            <w:shd w:val="clear" w:color="auto" w:fill="auto"/>
            <w:vAlign w:val="center"/>
          </w:tcPr>
          <w:p w14:paraId="63A6C3B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执行标准</w:t>
            </w:r>
          </w:p>
        </w:tc>
      </w:tr>
      <w:tr w14:paraId="549463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restart"/>
            <w:tcBorders>
              <w:tl2br w:val="nil"/>
              <w:tr2bl w:val="nil"/>
            </w:tcBorders>
            <w:shd w:val="clear" w:color="auto" w:fill="auto"/>
            <w:vAlign w:val="center"/>
          </w:tcPr>
          <w:p w14:paraId="2572D2B8">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大气环境</w:t>
            </w:r>
          </w:p>
        </w:tc>
        <w:tc>
          <w:tcPr>
            <w:tcW w:w="933" w:type="pct"/>
            <w:tcBorders>
              <w:tl2br w:val="nil"/>
              <w:tr2bl w:val="nil"/>
            </w:tcBorders>
            <w:shd w:val="clear" w:color="auto" w:fill="auto"/>
            <w:vAlign w:val="center"/>
          </w:tcPr>
          <w:p w14:paraId="2DE757A6">
            <w:pPr>
              <w:pStyle w:val="65"/>
              <w:spacing w:line="240" w:lineRule="auto"/>
              <w:rPr>
                <w:rFonts w:hint="default" w:ascii="Times New Roman" w:hAnsi="Times New Roman"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激光切割工序</w:t>
            </w:r>
          </w:p>
        </w:tc>
        <w:tc>
          <w:tcPr>
            <w:tcW w:w="889" w:type="pct"/>
            <w:tcBorders>
              <w:tl2br w:val="nil"/>
              <w:tr2bl w:val="nil"/>
            </w:tcBorders>
            <w:shd w:val="clear" w:color="auto" w:fill="auto"/>
            <w:vAlign w:val="center"/>
          </w:tcPr>
          <w:p w14:paraId="35564575">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颗粒物</w:t>
            </w:r>
          </w:p>
        </w:tc>
        <w:tc>
          <w:tcPr>
            <w:tcW w:w="1248" w:type="pct"/>
            <w:tcBorders>
              <w:tl2br w:val="nil"/>
              <w:tr2bl w:val="nil"/>
            </w:tcBorders>
            <w:shd w:val="clear" w:color="auto" w:fill="auto"/>
            <w:vAlign w:val="center"/>
          </w:tcPr>
          <w:p w14:paraId="1A41E0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配套同步移动集气罩+密闭集气管道</w:t>
            </w:r>
          </w:p>
        </w:tc>
        <w:tc>
          <w:tcPr>
            <w:tcW w:w="1350" w:type="pct"/>
            <w:vMerge w:val="restart"/>
            <w:tcBorders>
              <w:tl2br w:val="nil"/>
              <w:tr2bl w:val="nil"/>
            </w:tcBorders>
            <w:shd w:val="clear" w:color="auto" w:fill="auto"/>
            <w:vAlign w:val="center"/>
          </w:tcPr>
          <w:p w14:paraId="6E2DB51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eastAsia="zh-CN"/>
                <w14:textFill>
                  <w14:solidFill>
                    <w14:schemeClr w14:val="tx1"/>
                  </w14:solidFill>
                </w14:textFill>
              </w:rPr>
              <w:t>《大气污染物综合排放标准》（GB16297-1996）</w:t>
            </w:r>
          </w:p>
          <w:p w14:paraId="1E1F5881">
            <w:pPr>
              <w:keepNext w:val="0"/>
              <w:keepLines w:val="0"/>
              <w:widowControl w:val="0"/>
              <w:suppressLineNumbers w:val="0"/>
              <w:adjustRightInd w:val="0"/>
              <w:snapToGrid w:val="0"/>
              <w:spacing w:before="0" w:beforeAutospacing="0" w:after="0" w:afterAutospacing="0"/>
              <w:ind w:left="0" w:right="0"/>
              <w:jc w:val="center"/>
              <w:rPr>
                <w:rFonts w:hint="eastAsia"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表2</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中</w:t>
            </w:r>
            <w:r>
              <w:rPr>
                <w:rFonts w:hint="eastAsia" w:cs="Times New Roman"/>
                <w:color w:val="000000" w:themeColor="text1"/>
                <w:sz w:val="21"/>
                <w:szCs w:val="21"/>
                <w:highlight w:val="none"/>
                <w:lang w:val="en-US" w:eastAsia="zh-CN"/>
                <w14:textFill>
                  <w14:solidFill>
                    <w14:schemeClr w14:val="tx1"/>
                  </w14:solidFill>
                </w14:textFill>
              </w:rPr>
              <w:t>二级标准以及</w:t>
            </w:r>
          </w:p>
          <w:p w14:paraId="56DA2A3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无组织排放限值</w:t>
            </w:r>
            <w:r>
              <w:rPr>
                <w:rFonts w:hint="eastAsia" w:cs="Times New Roman"/>
                <w:color w:val="000000" w:themeColor="text1"/>
                <w:sz w:val="21"/>
                <w:szCs w:val="21"/>
                <w:highlight w:val="none"/>
                <w:lang w:val="en-US" w:eastAsia="zh-CN"/>
                <w14:textFill>
                  <w14:solidFill>
                    <w14:schemeClr w14:val="tx1"/>
                  </w14:solidFill>
                </w14:textFill>
              </w:rPr>
              <w:t>要求</w:t>
            </w:r>
          </w:p>
        </w:tc>
      </w:tr>
      <w:tr w14:paraId="7225D3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2841323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933" w:type="pct"/>
            <w:tcBorders>
              <w:tl2br w:val="nil"/>
              <w:tr2bl w:val="nil"/>
            </w:tcBorders>
            <w:shd w:val="clear" w:color="auto" w:fill="auto"/>
            <w:vAlign w:val="center"/>
          </w:tcPr>
          <w:p w14:paraId="5C73993C">
            <w:pPr>
              <w:pStyle w:val="65"/>
              <w:spacing w:line="240" w:lineRule="auto"/>
              <w:rPr>
                <w:rFonts w:hint="eastAsia" w:cs="Times New Roman"/>
                <w:b w:val="0"/>
                <w:bCs/>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焊接工序</w:t>
            </w:r>
          </w:p>
        </w:tc>
        <w:tc>
          <w:tcPr>
            <w:tcW w:w="889" w:type="pct"/>
            <w:tcBorders>
              <w:tl2br w:val="nil"/>
              <w:tr2bl w:val="nil"/>
            </w:tcBorders>
            <w:shd w:val="clear" w:color="auto" w:fill="auto"/>
            <w:vAlign w:val="center"/>
          </w:tcPr>
          <w:p w14:paraId="31DBE480">
            <w:pPr>
              <w:keepNext w:val="0"/>
              <w:keepLines w:val="0"/>
              <w:widowControl w:val="0"/>
              <w:suppressLineNumbers w:val="0"/>
              <w:adjustRightInd w:val="0"/>
              <w:snapToGrid w:val="0"/>
              <w:spacing w:before="0" w:beforeAutospacing="0" w:after="0" w:afterAutospacing="0"/>
              <w:ind w:left="0" w:leftChars="0" w:right="0" w:rightChars="0"/>
              <w:jc w:val="center"/>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颗粒物</w:t>
            </w:r>
          </w:p>
        </w:tc>
        <w:tc>
          <w:tcPr>
            <w:tcW w:w="1248" w:type="pct"/>
            <w:tcBorders>
              <w:tl2br w:val="nil"/>
              <w:tr2bl w:val="nil"/>
            </w:tcBorders>
            <w:shd w:val="clear" w:color="auto" w:fill="auto"/>
            <w:vAlign w:val="center"/>
          </w:tcPr>
          <w:p w14:paraId="4149EB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1个固定工位（三面封闭、出入口安装软帘）+1个顶吸集气罩+密闭集气管道</w:t>
            </w:r>
          </w:p>
        </w:tc>
        <w:tc>
          <w:tcPr>
            <w:tcW w:w="1350" w:type="pct"/>
            <w:vMerge w:val="continue"/>
            <w:tcBorders>
              <w:tl2br w:val="nil"/>
              <w:tr2bl w:val="nil"/>
            </w:tcBorders>
            <w:shd w:val="clear" w:color="auto" w:fill="auto"/>
            <w:vAlign w:val="center"/>
          </w:tcPr>
          <w:p w14:paraId="21E8B09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p>
        </w:tc>
      </w:tr>
      <w:tr w14:paraId="78F281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68EA4C1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933" w:type="pct"/>
            <w:tcBorders>
              <w:tl2br w:val="nil"/>
              <w:tr2bl w:val="nil"/>
            </w:tcBorders>
            <w:shd w:val="clear" w:color="auto" w:fill="auto"/>
            <w:vAlign w:val="center"/>
          </w:tcPr>
          <w:p w14:paraId="4ED26B55">
            <w:pPr>
              <w:pStyle w:val="65"/>
              <w:spacing w:line="240" w:lineRule="auto"/>
              <w:rPr>
                <w:rFonts w:hint="eastAsia" w:cs="Times New Roman"/>
                <w:b w:val="0"/>
                <w:bCs/>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修磨工序</w:t>
            </w:r>
          </w:p>
        </w:tc>
        <w:tc>
          <w:tcPr>
            <w:tcW w:w="889" w:type="pct"/>
            <w:tcBorders>
              <w:tl2br w:val="nil"/>
              <w:tr2bl w:val="nil"/>
            </w:tcBorders>
            <w:shd w:val="clear" w:color="auto" w:fill="auto"/>
            <w:vAlign w:val="center"/>
          </w:tcPr>
          <w:p w14:paraId="34733771">
            <w:pPr>
              <w:keepNext w:val="0"/>
              <w:keepLines w:val="0"/>
              <w:widowControl w:val="0"/>
              <w:suppressLineNumbers w:val="0"/>
              <w:adjustRightInd w:val="0"/>
              <w:snapToGrid w:val="0"/>
              <w:spacing w:before="0" w:beforeAutospacing="0" w:after="0" w:afterAutospacing="0"/>
              <w:ind w:left="0" w:leftChars="0" w:right="0" w:rightChars="0"/>
              <w:jc w:val="center"/>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颗粒物</w:t>
            </w:r>
          </w:p>
        </w:tc>
        <w:tc>
          <w:tcPr>
            <w:tcW w:w="1248" w:type="pct"/>
            <w:tcBorders>
              <w:tl2br w:val="nil"/>
              <w:tr2bl w:val="nil"/>
            </w:tcBorders>
            <w:shd w:val="clear" w:color="auto" w:fill="auto"/>
            <w:vAlign w:val="center"/>
          </w:tcPr>
          <w:p w14:paraId="061E9B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2个固定工位（三面封闭、出入口安装软帘）+2个顶吸集气装置+密闭集气管道</w:t>
            </w:r>
          </w:p>
        </w:tc>
        <w:tc>
          <w:tcPr>
            <w:tcW w:w="1350" w:type="pct"/>
            <w:vMerge w:val="continue"/>
            <w:tcBorders>
              <w:tl2br w:val="nil"/>
              <w:tr2bl w:val="nil"/>
            </w:tcBorders>
            <w:shd w:val="clear" w:color="auto" w:fill="auto"/>
            <w:vAlign w:val="center"/>
          </w:tcPr>
          <w:p w14:paraId="1A6C8B4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p>
        </w:tc>
      </w:tr>
      <w:tr w14:paraId="37585B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5822682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933" w:type="pct"/>
            <w:tcBorders>
              <w:tl2br w:val="nil"/>
              <w:tr2bl w:val="nil"/>
            </w:tcBorders>
            <w:shd w:val="clear" w:color="auto" w:fill="auto"/>
            <w:vAlign w:val="center"/>
          </w:tcPr>
          <w:p w14:paraId="40E68E35">
            <w:pPr>
              <w:pStyle w:val="65"/>
              <w:spacing w:line="240" w:lineRule="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末端废气治理</w:t>
            </w:r>
          </w:p>
          <w:p w14:paraId="3C4F1FEC">
            <w:pPr>
              <w:pStyle w:val="65"/>
              <w:spacing w:line="240" w:lineRule="auto"/>
              <w:rPr>
                <w:rFonts w:hint="eastAsia" w:cs="Times New Roman"/>
                <w:b w:val="0"/>
                <w:bCs/>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设施</w:t>
            </w:r>
          </w:p>
        </w:tc>
        <w:tc>
          <w:tcPr>
            <w:tcW w:w="889" w:type="pct"/>
            <w:tcBorders>
              <w:tl2br w:val="nil"/>
              <w:tr2bl w:val="nil"/>
            </w:tcBorders>
            <w:shd w:val="clear" w:color="auto" w:fill="auto"/>
            <w:vAlign w:val="center"/>
          </w:tcPr>
          <w:p w14:paraId="19E610B4">
            <w:pPr>
              <w:keepNext w:val="0"/>
              <w:keepLines w:val="0"/>
              <w:widowControl w:val="0"/>
              <w:suppressLineNumbers w:val="0"/>
              <w:adjustRightInd w:val="0"/>
              <w:snapToGrid w:val="0"/>
              <w:spacing w:before="0" w:beforeAutospacing="0" w:after="0" w:afterAutospacing="0"/>
              <w:ind w:left="0" w:leftChars="0" w:right="0" w:rightChars="0"/>
              <w:jc w:val="center"/>
              <w:rPr>
                <w:rFonts w:hint="eastAsia"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颗粒物</w:t>
            </w:r>
          </w:p>
        </w:tc>
        <w:tc>
          <w:tcPr>
            <w:tcW w:w="1248" w:type="pct"/>
            <w:tcBorders>
              <w:tl2br w:val="nil"/>
              <w:tr2bl w:val="nil"/>
            </w:tcBorders>
            <w:shd w:val="clear" w:color="auto" w:fill="auto"/>
            <w:vAlign w:val="center"/>
          </w:tcPr>
          <w:p w14:paraId="274206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以上工序共同1套布袋除尘器+15m排气筒</w:t>
            </w:r>
          </w:p>
        </w:tc>
        <w:tc>
          <w:tcPr>
            <w:tcW w:w="1350" w:type="pct"/>
            <w:vMerge w:val="continue"/>
            <w:tcBorders>
              <w:tl2br w:val="nil"/>
              <w:tr2bl w:val="nil"/>
            </w:tcBorders>
            <w:shd w:val="clear" w:color="auto" w:fill="auto"/>
            <w:vAlign w:val="center"/>
          </w:tcPr>
          <w:p w14:paraId="162015F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cs="Times New Roman"/>
                <w:color w:val="000000" w:themeColor="text1"/>
                <w:sz w:val="21"/>
                <w:szCs w:val="21"/>
                <w:highlight w:val="none"/>
                <w:lang w:eastAsia="zh-CN"/>
                <w14:textFill>
                  <w14:solidFill>
                    <w14:schemeClr w14:val="tx1"/>
                  </w14:solidFill>
                </w14:textFill>
              </w:rPr>
            </w:pPr>
          </w:p>
        </w:tc>
      </w:tr>
      <w:tr w14:paraId="7AD10F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tcBorders>
              <w:tl2br w:val="nil"/>
              <w:tr2bl w:val="nil"/>
            </w:tcBorders>
            <w:shd w:val="clear" w:color="auto" w:fill="auto"/>
            <w:vAlign w:val="center"/>
          </w:tcPr>
          <w:p w14:paraId="7D0D8B14">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地表水环境</w:t>
            </w:r>
          </w:p>
        </w:tc>
        <w:tc>
          <w:tcPr>
            <w:tcW w:w="933" w:type="pct"/>
            <w:tcBorders>
              <w:tl2br w:val="nil"/>
              <w:tr2bl w:val="nil"/>
            </w:tcBorders>
            <w:shd w:val="clear" w:color="auto" w:fill="auto"/>
            <w:vAlign w:val="center"/>
          </w:tcPr>
          <w:p w14:paraId="3A23A543">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职工生活</w:t>
            </w:r>
          </w:p>
        </w:tc>
        <w:tc>
          <w:tcPr>
            <w:tcW w:w="889" w:type="pct"/>
            <w:tcBorders>
              <w:tl2br w:val="nil"/>
              <w:tr2bl w:val="nil"/>
            </w:tcBorders>
            <w:shd w:val="clear" w:color="auto" w:fill="auto"/>
            <w:vAlign w:val="center"/>
          </w:tcPr>
          <w:p w14:paraId="695C970E">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COD</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BOD</w:t>
            </w:r>
            <w:r>
              <w:rPr>
                <w:rFonts w:hint="default" w:ascii="Times New Roman" w:hAnsi="Times New Roman" w:eastAsia="宋体" w:cs="Times New Roman"/>
                <w:color w:val="000000" w:themeColor="text1"/>
                <w:sz w:val="21"/>
                <w:szCs w:val="21"/>
                <w:highlight w:val="none"/>
                <w:vertAlign w:val="subscript"/>
                <w:lang w:val="en-US"/>
                <w14:textFill>
                  <w14:solidFill>
                    <w14:schemeClr w14:val="tx1"/>
                  </w14:solidFill>
                </w14:textFill>
              </w:rPr>
              <w:t>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SS</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NH</w:t>
            </w:r>
            <w:r>
              <w:rPr>
                <w:rFonts w:hint="default" w:ascii="Times New Roman" w:hAnsi="Times New Roman" w:eastAsia="宋体" w:cs="Times New Roman"/>
                <w:color w:val="000000" w:themeColor="text1"/>
                <w:sz w:val="21"/>
                <w:szCs w:val="21"/>
                <w:highlight w:val="none"/>
                <w:vertAlign w:val="subscript"/>
                <w:lang w:val="en-US"/>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t>-N</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、总磷、总氮</w:t>
            </w:r>
          </w:p>
        </w:tc>
        <w:tc>
          <w:tcPr>
            <w:tcW w:w="1248" w:type="pct"/>
            <w:tcBorders>
              <w:tl2br w:val="nil"/>
              <w:tr2bl w:val="nil"/>
            </w:tcBorders>
            <w:shd w:val="clear" w:color="auto" w:fill="auto"/>
            <w:vAlign w:val="center"/>
          </w:tcPr>
          <w:p w14:paraId="3244C101">
            <w:pPr>
              <w:keepNext w:val="0"/>
              <w:keepLines w:val="0"/>
              <w:widowControl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依托宝鸡得力隆纺织有限公司</w:t>
            </w:r>
            <w:r>
              <w:rPr>
                <w:rFonts w:hint="eastAsia" w:cs="Times New Roman"/>
                <w:color w:val="000000" w:themeColor="text1"/>
                <w:sz w:val="21"/>
                <w:szCs w:val="21"/>
                <w:highlight w:val="none"/>
                <w:lang w:val="en-US" w:eastAsia="zh-CN"/>
                <w14:textFill>
                  <w14:solidFill>
                    <w14:schemeClr w14:val="tx1"/>
                  </w14:solidFill>
                </w14:textFill>
              </w:rPr>
              <w:t>厂区现有化粪池处理后进入市政污水管网</w:t>
            </w:r>
          </w:p>
        </w:tc>
        <w:tc>
          <w:tcPr>
            <w:tcW w:w="1350" w:type="pct"/>
            <w:tcBorders>
              <w:tl2br w:val="nil"/>
              <w:tr2bl w:val="nil"/>
            </w:tcBorders>
            <w:shd w:val="clear" w:color="auto" w:fill="auto"/>
            <w:vAlign w:val="center"/>
          </w:tcPr>
          <w:p w14:paraId="4B957B9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《污水综合排放标准》（GB8978-1996）</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《污水排入城镇下水道水质标准》（GB/T31962-2015）</w:t>
            </w:r>
          </w:p>
        </w:tc>
      </w:tr>
      <w:tr w14:paraId="7A2B91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restart"/>
            <w:tcBorders>
              <w:tl2br w:val="nil"/>
              <w:tr2bl w:val="nil"/>
            </w:tcBorders>
            <w:shd w:val="clear" w:color="auto" w:fill="auto"/>
            <w:vAlign w:val="center"/>
          </w:tcPr>
          <w:p w14:paraId="0FBC550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声环境</w:t>
            </w:r>
          </w:p>
        </w:tc>
        <w:tc>
          <w:tcPr>
            <w:tcW w:w="933" w:type="pct"/>
            <w:tcBorders>
              <w:tl2br w:val="nil"/>
              <w:tr2bl w:val="nil"/>
            </w:tcBorders>
            <w:shd w:val="clear" w:color="auto" w:fill="auto"/>
            <w:vAlign w:val="center"/>
          </w:tcPr>
          <w:p w14:paraId="136CDC58">
            <w:pPr>
              <w:adjustRightInd w:val="0"/>
              <w:snapToGrid w:val="0"/>
              <w:spacing w:line="240" w:lineRule="auto"/>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生产设备</w:t>
            </w:r>
          </w:p>
        </w:tc>
        <w:tc>
          <w:tcPr>
            <w:tcW w:w="889" w:type="pct"/>
            <w:vMerge w:val="restart"/>
            <w:tcBorders>
              <w:tl2br w:val="nil"/>
              <w:tr2bl w:val="nil"/>
            </w:tcBorders>
            <w:shd w:val="clear" w:color="auto" w:fill="auto"/>
            <w:vAlign w:val="center"/>
          </w:tcPr>
          <w:p w14:paraId="5A17C50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zh-CN"/>
                <w14:textFill>
                  <w14:solidFill>
                    <w14:schemeClr w14:val="tx1"/>
                  </w14:solidFill>
                </w14:textFill>
              </w:rPr>
              <w:t>等效连续A声级</w:t>
            </w:r>
          </w:p>
        </w:tc>
        <w:tc>
          <w:tcPr>
            <w:tcW w:w="1248" w:type="pct"/>
            <w:tcBorders>
              <w:tl2br w:val="nil"/>
              <w:tr2bl w:val="nil"/>
            </w:tcBorders>
            <w:shd w:val="clear" w:color="auto" w:fill="auto"/>
            <w:vAlign w:val="center"/>
          </w:tcPr>
          <w:p w14:paraId="060C07EF">
            <w:pPr>
              <w:adjustRightInd w:val="0"/>
              <w:snapToGrid w:val="0"/>
              <w:jc w:val="both"/>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snapToGrid w:val="0"/>
                <w:color w:val="000000" w:themeColor="text1"/>
                <w:sz w:val="21"/>
                <w:szCs w:val="21"/>
                <w:highlight w:val="none"/>
                <w14:textFill>
                  <w14:solidFill>
                    <w14:schemeClr w14:val="tx1"/>
                  </w14:solidFill>
                </w14:textFill>
              </w:rPr>
              <w:t>基础减振</w:t>
            </w:r>
            <w:r>
              <w:rPr>
                <w:rFonts w:hint="eastAsia"/>
                <w:snapToGrid w:val="0"/>
                <w:color w:val="000000" w:themeColor="text1"/>
                <w:sz w:val="21"/>
                <w:szCs w:val="21"/>
                <w:highlight w:val="none"/>
                <w14:textFill>
                  <w14:solidFill>
                    <w14:schemeClr w14:val="tx1"/>
                  </w14:solidFill>
                </w14:textFill>
              </w:rPr>
              <w:t>、厂房隔声、</w:t>
            </w:r>
            <w:r>
              <w:rPr>
                <w:snapToGrid w:val="0"/>
                <w:color w:val="000000" w:themeColor="text1"/>
                <w:sz w:val="21"/>
                <w:szCs w:val="21"/>
                <w:highlight w:val="none"/>
                <w14:textFill>
                  <w14:solidFill>
                    <w14:schemeClr w14:val="tx1"/>
                  </w14:solidFill>
                </w14:textFill>
              </w:rPr>
              <w:t>距离衰减</w:t>
            </w:r>
            <w:r>
              <w:rPr>
                <w:rFonts w:hint="eastAsia"/>
                <w:snapToGrid w:val="0"/>
                <w:color w:val="000000" w:themeColor="text1"/>
                <w:sz w:val="21"/>
                <w:szCs w:val="21"/>
                <w:highlight w:val="none"/>
                <w:lang w:val="en-US" w:eastAsia="zh-CN"/>
                <w14:textFill>
                  <w14:solidFill>
                    <w14:schemeClr w14:val="tx1"/>
                  </w14:solidFill>
                </w14:textFill>
              </w:rPr>
              <w:t>等措施</w:t>
            </w:r>
          </w:p>
        </w:tc>
        <w:tc>
          <w:tcPr>
            <w:tcW w:w="1350" w:type="pct"/>
            <w:vMerge w:val="restart"/>
            <w:tcBorders>
              <w:tl2br w:val="nil"/>
              <w:tr2bl w:val="nil"/>
            </w:tcBorders>
            <w:shd w:val="clear" w:color="auto" w:fill="auto"/>
            <w:vAlign w:val="center"/>
          </w:tcPr>
          <w:p w14:paraId="324F8A7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000000" w:themeColor="text1"/>
                <w:sz w:val="21"/>
                <w:szCs w:val="21"/>
                <w:highlight w:val="none"/>
                <w:lang w:val="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zh-CN"/>
                <w14:textFill>
                  <w14:solidFill>
                    <w14:schemeClr w14:val="tx1"/>
                  </w14:solidFill>
                </w14:textFill>
              </w:rPr>
              <w:t>《工业企业厂界环境噪声排放标准》（GB12348-2008）</w:t>
            </w:r>
          </w:p>
          <w:p w14:paraId="089FE56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highlight w:val="none"/>
                <w:lang w:val="zh-CN"/>
                <w14:textFill>
                  <w14:solidFill>
                    <w14:schemeClr w14:val="tx1"/>
                  </w14:solidFill>
                </w14:textFill>
              </w:rPr>
              <w:t>类标准</w:t>
            </w:r>
          </w:p>
        </w:tc>
      </w:tr>
      <w:tr w14:paraId="27DFF4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5E168BE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933" w:type="pct"/>
            <w:tcBorders>
              <w:tl2br w:val="nil"/>
              <w:tr2bl w:val="nil"/>
            </w:tcBorders>
            <w:shd w:val="clear" w:color="auto" w:fill="auto"/>
            <w:vAlign w:val="center"/>
          </w:tcPr>
          <w:p w14:paraId="1343B429">
            <w:pPr>
              <w:adjustRightInd w:val="0"/>
              <w:snapToGrid w:val="0"/>
              <w:spacing w:line="240" w:lineRule="auto"/>
              <w:jc w:val="both"/>
              <w:rPr>
                <w:rFonts w:hint="default"/>
                <w:color w:val="000000" w:themeColor="text1"/>
                <w:sz w:val="21"/>
                <w:szCs w:val="21"/>
                <w:highlight w:val="none"/>
                <w:lang w:val="en-US" w:eastAsia="zh-CN"/>
                <w14:textFill>
                  <w14:solidFill>
                    <w14:schemeClr w14:val="tx1"/>
                  </w14:solidFill>
                </w14:textFill>
              </w:rPr>
            </w:pPr>
            <w:r>
              <w:rPr>
                <w:rFonts w:hint="eastAsia"/>
                <w:color w:val="000000" w:themeColor="text1"/>
                <w:sz w:val="21"/>
                <w:szCs w:val="21"/>
                <w:highlight w:val="none"/>
                <w:lang w:val="en-US" w:eastAsia="zh-CN"/>
                <w14:textFill>
                  <w14:solidFill>
                    <w14:schemeClr w14:val="tx1"/>
                  </w14:solidFill>
                </w14:textFill>
              </w:rPr>
              <w:t>液压机、轧机</w:t>
            </w:r>
          </w:p>
        </w:tc>
        <w:tc>
          <w:tcPr>
            <w:tcW w:w="889" w:type="pct"/>
            <w:vMerge w:val="continue"/>
            <w:tcBorders>
              <w:tl2br w:val="nil"/>
              <w:tr2bl w:val="nil"/>
            </w:tcBorders>
            <w:shd w:val="clear" w:color="auto" w:fill="auto"/>
            <w:vAlign w:val="center"/>
          </w:tcPr>
          <w:p w14:paraId="6BB1055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lang w:val="zh-CN"/>
                <w14:textFill>
                  <w14:solidFill>
                    <w14:schemeClr w14:val="tx1"/>
                  </w14:solidFill>
                </w14:textFill>
              </w:rPr>
            </w:pPr>
          </w:p>
        </w:tc>
        <w:tc>
          <w:tcPr>
            <w:tcW w:w="1248" w:type="pct"/>
            <w:tcBorders>
              <w:tl2br w:val="nil"/>
              <w:tr2bl w:val="nil"/>
            </w:tcBorders>
            <w:shd w:val="clear" w:color="auto" w:fill="auto"/>
            <w:vAlign w:val="center"/>
          </w:tcPr>
          <w:p w14:paraId="411809B8">
            <w:pPr>
              <w:adjustRightInd w:val="0"/>
              <w:snapToGrid w:val="0"/>
              <w:jc w:val="both"/>
              <w:rPr>
                <w:rFonts w:hint="eastAsia"/>
                <w:snapToGrid w:val="0"/>
                <w:color w:val="000000" w:themeColor="text1"/>
                <w:sz w:val="21"/>
                <w:szCs w:val="21"/>
                <w:highlight w:val="none"/>
                <w14:textFill>
                  <w14:solidFill>
                    <w14:schemeClr w14:val="tx1"/>
                  </w14:solidFill>
                </w14:textFill>
              </w:rPr>
            </w:pPr>
            <w:r>
              <w:rPr>
                <w:rFonts w:hint="eastAsia"/>
                <w:snapToGrid w:val="0"/>
                <w:color w:val="000000" w:themeColor="text1"/>
                <w:sz w:val="21"/>
                <w:szCs w:val="21"/>
                <w:highlight w:val="none"/>
                <w:lang w:val="en-US" w:eastAsia="zh-CN"/>
                <w14:textFill>
                  <w14:solidFill>
                    <w14:schemeClr w14:val="tx1"/>
                  </w14:solidFill>
                </w14:textFill>
              </w:rPr>
              <w:t>减振沟</w:t>
            </w:r>
            <w:r>
              <w:rPr>
                <w:rFonts w:hint="eastAsia"/>
                <w:snapToGrid w:val="0"/>
                <w:color w:val="000000" w:themeColor="text1"/>
                <w:sz w:val="21"/>
                <w:szCs w:val="21"/>
                <w:highlight w:val="none"/>
                <w14:textFill>
                  <w14:solidFill>
                    <w14:schemeClr w14:val="tx1"/>
                  </w14:solidFill>
                </w14:textFill>
              </w:rPr>
              <w:t>、厂房隔声、</w:t>
            </w:r>
          </w:p>
          <w:p w14:paraId="1124F3A0">
            <w:pPr>
              <w:adjustRightInd w:val="0"/>
              <w:snapToGrid w:val="0"/>
              <w:jc w:val="both"/>
              <w:rPr>
                <w:snapToGrid w:val="0"/>
                <w:color w:val="000000" w:themeColor="text1"/>
                <w:sz w:val="21"/>
                <w:szCs w:val="21"/>
                <w:highlight w:val="none"/>
                <w14:textFill>
                  <w14:solidFill>
                    <w14:schemeClr w14:val="tx1"/>
                  </w14:solidFill>
                </w14:textFill>
              </w:rPr>
            </w:pPr>
            <w:r>
              <w:rPr>
                <w:snapToGrid w:val="0"/>
                <w:color w:val="000000" w:themeColor="text1"/>
                <w:sz w:val="21"/>
                <w:szCs w:val="21"/>
                <w:highlight w:val="none"/>
                <w14:textFill>
                  <w14:solidFill>
                    <w14:schemeClr w14:val="tx1"/>
                  </w14:solidFill>
                </w14:textFill>
              </w:rPr>
              <w:t>距离衰减</w:t>
            </w:r>
            <w:r>
              <w:rPr>
                <w:rFonts w:hint="eastAsia"/>
                <w:snapToGrid w:val="0"/>
                <w:color w:val="000000" w:themeColor="text1"/>
                <w:sz w:val="21"/>
                <w:szCs w:val="21"/>
                <w:highlight w:val="none"/>
                <w:lang w:val="en-US" w:eastAsia="zh-CN"/>
                <w14:textFill>
                  <w14:solidFill>
                    <w14:schemeClr w14:val="tx1"/>
                  </w14:solidFill>
                </w14:textFill>
              </w:rPr>
              <w:t>等措施</w:t>
            </w:r>
          </w:p>
        </w:tc>
        <w:tc>
          <w:tcPr>
            <w:tcW w:w="1350" w:type="pct"/>
            <w:vMerge w:val="continue"/>
            <w:tcBorders>
              <w:tl2br w:val="nil"/>
              <w:tr2bl w:val="nil"/>
            </w:tcBorders>
            <w:shd w:val="clear" w:color="auto" w:fill="auto"/>
            <w:vAlign w:val="center"/>
          </w:tcPr>
          <w:p w14:paraId="71577C1A">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r>
      <w:tr w14:paraId="6BBC61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676B946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1690" w:type="dxa"/>
            <w:tcBorders>
              <w:tl2br w:val="nil"/>
              <w:tr2bl w:val="nil"/>
            </w:tcBorders>
            <w:shd w:val="clear" w:color="auto" w:fill="auto"/>
            <w:vAlign w:val="center"/>
          </w:tcPr>
          <w:p w14:paraId="62D38D6E">
            <w:pPr>
              <w:pStyle w:val="51"/>
              <w:adjustRightInd w:val="0"/>
              <w:snapToGrid w:val="0"/>
              <w:contextualSpacing/>
              <w:rPr>
                <w:rFonts w:hint="eastAsia"/>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风机</w:t>
            </w:r>
          </w:p>
        </w:tc>
        <w:tc>
          <w:tcPr>
            <w:tcW w:w="889" w:type="pct"/>
            <w:vMerge w:val="continue"/>
            <w:tcBorders>
              <w:tl2br w:val="nil"/>
              <w:tr2bl w:val="nil"/>
            </w:tcBorders>
            <w:shd w:val="clear" w:color="auto" w:fill="auto"/>
            <w:vAlign w:val="center"/>
          </w:tcPr>
          <w:p w14:paraId="5E8DC23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lang w:val="zh-CN"/>
                <w14:textFill>
                  <w14:solidFill>
                    <w14:schemeClr w14:val="tx1"/>
                  </w14:solidFill>
                </w14:textFill>
              </w:rPr>
            </w:pPr>
          </w:p>
        </w:tc>
        <w:tc>
          <w:tcPr>
            <w:tcW w:w="2261" w:type="dxa"/>
            <w:tcBorders>
              <w:tl2br w:val="nil"/>
              <w:tr2bl w:val="nil"/>
            </w:tcBorders>
            <w:shd w:val="clear" w:color="auto" w:fill="auto"/>
            <w:vAlign w:val="center"/>
          </w:tcPr>
          <w:p w14:paraId="26928385">
            <w:pPr>
              <w:pStyle w:val="51"/>
              <w:adjustRightInd w:val="0"/>
              <w:snapToGrid w:val="0"/>
              <w:contextualSpacing/>
              <w:rPr>
                <w:rFonts w:hint="eastAsia"/>
                <w:snapToGrid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安装隔声罩</w:t>
            </w:r>
          </w:p>
        </w:tc>
        <w:tc>
          <w:tcPr>
            <w:tcW w:w="1350" w:type="pct"/>
            <w:vMerge w:val="continue"/>
            <w:tcBorders>
              <w:tl2br w:val="nil"/>
              <w:tr2bl w:val="nil"/>
            </w:tcBorders>
            <w:shd w:val="clear" w:color="auto" w:fill="auto"/>
            <w:vAlign w:val="center"/>
          </w:tcPr>
          <w:p w14:paraId="1C1B972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r>
      <w:tr w14:paraId="19B51A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1B2D155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1690" w:type="dxa"/>
            <w:tcBorders>
              <w:tl2br w:val="nil"/>
              <w:tr2bl w:val="nil"/>
            </w:tcBorders>
            <w:shd w:val="clear" w:color="auto" w:fill="auto"/>
            <w:vAlign w:val="center"/>
          </w:tcPr>
          <w:p w14:paraId="7DAF11E4">
            <w:pPr>
              <w:pStyle w:val="51"/>
              <w:adjustRightInd w:val="0"/>
              <w:snapToGrid w:val="0"/>
              <w:contextualSpacing/>
              <w:rPr>
                <w:rFonts w:hint="eastAsia"/>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水泵</w:t>
            </w:r>
          </w:p>
        </w:tc>
        <w:tc>
          <w:tcPr>
            <w:tcW w:w="889" w:type="pct"/>
            <w:vMerge w:val="continue"/>
            <w:tcBorders>
              <w:tl2br w:val="nil"/>
              <w:tr2bl w:val="nil"/>
            </w:tcBorders>
            <w:shd w:val="clear" w:color="auto" w:fill="auto"/>
            <w:vAlign w:val="center"/>
          </w:tcPr>
          <w:p w14:paraId="2146B04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color w:val="000000" w:themeColor="text1"/>
                <w:sz w:val="21"/>
                <w:szCs w:val="21"/>
                <w:highlight w:val="none"/>
                <w:lang w:val="zh-CN"/>
                <w14:textFill>
                  <w14:solidFill>
                    <w14:schemeClr w14:val="tx1"/>
                  </w14:solidFill>
                </w14:textFill>
              </w:rPr>
            </w:pPr>
          </w:p>
        </w:tc>
        <w:tc>
          <w:tcPr>
            <w:tcW w:w="2261" w:type="dxa"/>
            <w:tcBorders>
              <w:tl2br w:val="nil"/>
              <w:tr2bl w:val="nil"/>
            </w:tcBorders>
            <w:shd w:val="clear" w:color="auto" w:fill="auto"/>
            <w:vAlign w:val="center"/>
          </w:tcPr>
          <w:p w14:paraId="3513FC93">
            <w:pPr>
              <w:pStyle w:val="51"/>
              <w:adjustRightInd w:val="0"/>
              <w:snapToGrid w:val="0"/>
              <w:contextualSpacing/>
              <w:rPr>
                <w:rFonts w:hint="eastAsia"/>
                <w:snapToGrid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柔性连接</w:t>
            </w:r>
          </w:p>
        </w:tc>
        <w:tc>
          <w:tcPr>
            <w:tcW w:w="1350" w:type="pct"/>
            <w:vMerge w:val="continue"/>
            <w:tcBorders>
              <w:tl2br w:val="nil"/>
              <w:tr2bl w:val="nil"/>
            </w:tcBorders>
            <w:shd w:val="clear" w:color="auto" w:fill="auto"/>
            <w:vAlign w:val="center"/>
          </w:tcPr>
          <w:p w14:paraId="433FB907">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r>
      <w:tr w14:paraId="24B49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tcBorders>
              <w:tl2br w:val="nil"/>
              <w:tr2bl w:val="nil"/>
            </w:tcBorders>
            <w:shd w:val="clear" w:color="auto" w:fill="auto"/>
            <w:vAlign w:val="center"/>
          </w:tcPr>
          <w:p w14:paraId="7485E9C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电磁辐射</w:t>
            </w:r>
          </w:p>
        </w:tc>
        <w:tc>
          <w:tcPr>
            <w:tcW w:w="933" w:type="pct"/>
            <w:tcBorders>
              <w:tl2br w:val="nil"/>
              <w:tr2bl w:val="nil"/>
            </w:tcBorders>
            <w:shd w:val="clear" w:color="auto" w:fill="auto"/>
            <w:vAlign w:val="center"/>
          </w:tcPr>
          <w:p w14:paraId="251C504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无</w:t>
            </w:r>
          </w:p>
        </w:tc>
        <w:tc>
          <w:tcPr>
            <w:tcW w:w="889" w:type="pct"/>
            <w:tcBorders>
              <w:tl2br w:val="nil"/>
              <w:tr2bl w:val="nil"/>
            </w:tcBorders>
            <w:shd w:val="clear" w:color="auto" w:fill="auto"/>
            <w:vAlign w:val="center"/>
          </w:tcPr>
          <w:p w14:paraId="41B5C76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无</w:t>
            </w:r>
          </w:p>
        </w:tc>
        <w:tc>
          <w:tcPr>
            <w:tcW w:w="1248" w:type="pct"/>
            <w:tcBorders>
              <w:tl2br w:val="nil"/>
              <w:tr2bl w:val="nil"/>
            </w:tcBorders>
            <w:shd w:val="clear" w:color="auto" w:fill="auto"/>
            <w:vAlign w:val="center"/>
          </w:tcPr>
          <w:p w14:paraId="5E31F96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无</w:t>
            </w:r>
          </w:p>
        </w:tc>
        <w:tc>
          <w:tcPr>
            <w:tcW w:w="1350" w:type="pct"/>
            <w:tcBorders>
              <w:tl2br w:val="nil"/>
              <w:tr2bl w:val="nil"/>
            </w:tcBorders>
            <w:shd w:val="clear" w:color="auto" w:fill="auto"/>
            <w:vAlign w:val="center"/>
          </w:tcPr>
          <w:p w14:paraId="31C96F77">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无</w:t>
            </w:r>
          </w:p>
        </w:tc>
      </w:tr>
      <w:tr w14:paraId="2B83A6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restart"/>
            <w:tcBorders>
              <w:tl2br w:val="nil"/>
              <w:tr2bl w:val="nil"/>
            </w:tcBorders>
            <w:shd w:val="clear" w:color="auto" w:fill="auto"/>
            <w:vAlign w:val="center"/>
          </w:tcPr>
          <w:p w14:paraId="76B22237">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固体废物</w:t>
            </w:r>
          </w:p>
        </w:tc>
        <w:tc>
          <w:tcPr>
            <w:tcW w:w="1822" w:type="pct"/>
            <w:gridSpan w:val="2"/>
            <w:tcBorders>
              <w:tl2br w:val="nil"/>
              <w:tr2bl w:val="nil"/>
            </w:tcBorders>
            <w:shd w:val="clear" w:color="auto" w:fill="auto"/>
            <w:vAlign w:val="center"/>
          </w:tcPr>
          <w:p w14:paraId="4E63AF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生活垃圾</w:t>
            </w:r>
          </w:p>
        </w:tc>
        <w:tc>
          <w:tcPr>
            <w:tcW w:w="2598" w:type="pct"/>
            <w:gridSpan w:val="2"/>
            <w:tcBorders>
              <w:tl2br w:val="nil"/>
              <w:tr2bl w:val="nil"/>
            </w:tcBorders>
            <w:shd w:val="clear" w:color="auto" w:fill="auto"/>
            <w:vAlign w:val="center"/>
          </w:tcPr>
          <w:p w14:paraId="1F55DAC3">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垃圾桶分类收集，定期交环卫部门处置</w:t>
            </w:r>
          </w:p>
        </w:tc>
      </w:tr>
      <w:tr w14:paraId="5E6FF9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42846206">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1822" w:type="pct"/>
            <w:gridSpan w:val="2"/>
            <w:tcBorders>
              <w:tl2br w:val="nil"/>
              <w:tr2bl w:val="nil"/>
            </w:tcBorders>
            <w:shd w:val="clear" w:color="auto" w:fill="auto"/>
            <w:vAlign w:val="center"/>
          </w:tcPr>
          <w:p w14:paraId="757DDA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除尘灰</w:t>
            </w:r>
          </w:p>
        </w:tc>
        <w:tc>
          <w:tcPr>
            <w:tcW w:w="2598" w:type="pct"/>
            <w:gridSpan w:val="2"/>
            <w:vMerge w:val="restart"/>
            <w:tcBorders>
              <w:tl2br w:val="nil"/>
              <w:tr2bl w:val="nil"/>
            </w:tcBorders>
            <w:shd w:val="clear" w:color="auto" w:fill="auto"/>
            <w:vAlign w:val="center"/>
          </w:tcPr>
          <w:p w14:paraId="6185272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暂存于一般固废暂存间，定期外售</w:t>
            </w:r>
          </w:p>
        </w:tc>
      </w:tr>
      <w:tr w14:paraId="182DE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6F902D2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1822" w:type="pct"/>
            <w:gridSpan w:val="2"/>
            <w:tcBorders>
              <w:tl2br w:val="nil"/>
              <w:tr2bl w:val="nil"/>
            </w:tcBorders>
            <w:shd w:val="clear" w:color="auto" w:fill="auto"/>
            <w:vAlign w:val="center"/>
          </w:tcPr>
          <w:p w14:paraId="3D1A76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废包装桶</w:t>
            </w:r>
          </w:p>
        </w:tc>
        <w:tc>
          <w:tcPr>
            <w:tcW w:w="2598" w:type="pct"/>
            <w:gridSpan w:val="2"/>
            <w:vMerge w:val="continue"/>
            <w:tcBorders>
              <w:tl2br w:val="nil"/>
              <w:tr2bl w:val="nil"/>
            </w:tcBorders>
            <w:shd w:val="clear" w:color="auto" w:fill="auto"/>
            <w:vAlign w:val="center"/>
          </w:tcPr>
          <w:p w14:paraId="1AED9DE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4A0D4F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2B12CCB7">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1822" w:type="pct"/>
            <w:gridSpan w:val="2"/>
            <w:tcBorders>
              <w:tl2br w:val="nil"/>
              <w:tr2bl w:val="nil"/>
            </w:tcBorders>
            <w:shd w:val="clear" w:color="auto" w:fill="auto"/>
            <w:vAlign w:val="center"/>
          </w:tcPr>
          <w:p w14:paraId="358489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废石英砂</w:t>
            </w:r>
          </w:p>
        </w:tc>
        <w:tc>
          <w:tcPr>
            <w:tcW w:w="2598" w:type="pct"/>
            <w:gridSpan w:val="2"/>
            <w:vMerge w:val="continue"/>
            <w:tcBorders>
              <w:tl2br w:val="nil"/>
              <w:tr2bl w:val="nil"/>
            </w:tcBorders>
            <w:shd w:val="clear" w:color="auto" w:fill="auto"/>
            <w:vAlign w:val="center"/>
          </w:tcPr>
          <w:p w14:paraId="2513F557">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2C9169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29471189">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1822" w:type="pct"/>
            <w:gridSpan w:val="2"/>
            <w:tcBorders>
              <w:tl2br w:val="nil"/>
              <w:tr2bl w:val="nil"/>
            </w:tcBorders>
            <w:shd w:val="clear" w:color="auto" w:fill="auto"/>
            <w:vAlign w:val="center"/>
          </w:tcPr>
          <w:p w14:paraId="28D024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不合格品</w:t>
            </w:r>
          </w:p>
        </w:tc>
        <w:tc>
          <w:tcPr>
            <w:tcW w:w="2598" w:type="pct"/>
            <w:gridSpan w:val="2"/>
            <w:vMerge w:val="continue"/>
            <w:tcBorders>
              <w:tl2br w:val="nil"/>
              <w:tr2bl w:val="nil"/>
            </w:tcBorders>
            <w:shd w:val="clear" w:color="auto" w:fill="auto"/>
            <w:vAlign w:val="center"/>
          </w:tcPr>
          <w:p w14:paraId="0A97E28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2D5EC1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51F0E1D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1822" w:type="pct"/>
            <w:gridSpan w:val="2"/>
            <w:tcBorders>
              <w:tl2br w:val="nil"/>
              <w:tr2bl w:val="nil"/>
            </w:tcBorders>
            <w:shd w:val="clear" w:color="auto" w:fill="auto"/>
            <w:vAlign w:val="center"/>
          </w:tcPr>
          <w:p w14:paraId="566683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金属边角料</w:t>
            </w:r>
          </w:p>
        </w:tc>
        <w:tc>
          <w:tcPr>
            <w:tcW w:w="2598" w:type="pct"/>
            <w:gridSpan w:val="2"/>
            <w:vMerge w:val="continue"/>
            <w:tcBorders>
              <w:tl2br w:val="nil"/>
              <w:tr2bl w:val="nil"/>
            </w:tcBorders>
            <w:shd w:val="clear" w:color="auto" w:fill="auto"/>
            <w:vAlign w:val="center"/>
          </w:tcPr>
          <w:p w14:paraId="38070B7D">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573A00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71FF5E3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1822" w:type="pct"/>
            <w:gridSpan w:val="2"/>
            <w:tcBorders>
              <w:tl2br w:val="nil"/>
              <w:tr2bl w:val="nil"/>
            </w:tcBorders>
            <w:shd w:val="clear" w:color="auto" w:fill="auto"/>
            <w:vAlign w:val="center"/>
          </w:tcPr>
          <w:p w14:paraId="67207F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沾有切削液的金属屑</w:t>
            </w:r>
          </w:p>
        </w:tc>
        <w:tc>
          <w:tcPr>
            <w:tcW w:w="2598" w:type="pct"/>
            <w:gridSpan w:val="2"/>
            <w:vMerge w:val="restart"/>
            <w:tcBorders>
              <w:tl2br w:val="nil"/>
              <w:tr2bl w:val="nil"/>
            </w:tcBorders>
            <w:shd w:val="clear" w:color="auto" w:fill="auto"/>
            <w:vAlign w:val="center"/>
          </w:tcPr>
          <w:p w14:paraId="24DC7B4C">
            <w:pPr>
              <w:keepNext w:val="0"/>
              <w:keepLines w:val="0"/>
              <w:widowControl w:val="0"/>
              <w:suppressLineNumbers w:val="0"/>
              <w:adjustRightInd w:val="0"/>
              <w:snapToGrid w:val="0"/>
              <w:spacing w:before="0" w:beforeAutospacing="0" w:after="0" w:afterAutospacing="0"/>
              <w:ind w:left="0" w:right="0"/>
              <w:jc w:val="center"/>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暂存于危废贮存库内，使用专用容器收集，</w:t>
            </w:r>
          </w:p>
          <w:p w14:paraId="43E3674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定期委托有资质的单位处置</w:t>
            </w:r>
          </w:p>
        </w:tc>
      </w:tr>
      <w:tr w14:paraId="33F350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579" w:type="pct"/>
            <w:vMerge w:val="continue"/>
            <w:tcBorders>
              <w:tl2br w:val="nil"/>
              <w:tr2bl w:val="nil"/>
            </w:tcBorders>
            <w:shd w:val="clear" w:color="auto" w:fill="auto"/>
            <w:vAlign w:val="center"/>
          </w:tcPr>
          <w:p w14:paraId="092855F0">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1822" w:type="pct"/>
            <w:gridSpan w:val="2"/>
            <w:tcBorders>
              <w:tl2br w:val="nil"/>
              <w:tr2bl w:val="nil"/>
            </w:tcBorders>
            <w:shd w:val="clear" w:color="auto" w:fill="auto"/>
            <w:vAlign w:val="center"/>
          </w:tcPr>
          <w:p w14:paraId="5CA738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废真空泵油</w:t>
            </w:r>
          </w:p>
        </w:tc>
        <w:tc>
          <w:tcPr>
            <w:tcW w:w="2598" w:type="pct"/>
            <w:gridSpan w:val="2"/>
            <w:vMerge w:val="continue"/>
            <w:tcBorders>
              <w:tl2br w:val="nil"/>
              <w:tr2bl w:val="nil"/>
            </w:tcBorders>
            <w:shd w:val="clear" w:color="auto" w:fill="auto"/>
            <w:vAlign w:val="center"/>
          </w:tcPr>
          <w:p w14:paraId="0DE955FC">
            <w:pPr>
              <w:keepNext w:val="0"/>
              <w:keepLines w:val="0"/>
              <w:widowControl w:val="0"/>
              <w:suppressLineNumbers w:val="0"/>
              <w:adjustRightInd w:val="0"/>
              <w:snapToGrid w:val="0"/>
              <w:spacing w:before="0" w:beforeAutospacing="0" w:after="0" w:afterAutospacing="0"/>
              <w:ind w:left="0" w:right="0"/>
              <w:jc w:val="center"/>
              <w:rPr>
                <w:rFonts w:hint="eastAsia" w:cs="Times New Roman"/>
                <w:color w:val="000000" w:themeColor="text1"/>
                <w:sz w:val="21"/>
                <w:szCs w:val="21"/>
                <w:highlight w:val="none"/>
                <w:lang w:val="en-US" w:eastAsia="zh-CN"/>
                <w14:textFill>
                  <w14:solidFill>
                    <w14:schemeClr w14:val="tx1"/>
                  </w14:solidFill>
                </w14:textFill>
              </w:rPr>
            </w:pPr>
          </w:p>
        </w:tc>
      </w:tr>
      <w:tr w14:paraId="4D8879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2" w:hRule="atLeast"/>
          <w:jc w:val="center"/>
        </w:trPr>
        <w:tc>
          <w:tcPr>
            <w:tcW w:w="579" w:type="pct"/>
            <w:vMerge w:val="continue"/>
            <w:tcBorders>
              <w:tl2br w:val="nil"/>
              <w:tr2bl w:val="nil"/>
            </w:tcBorders>
            <w:shd w:val="clear" w:color="auto" w:fill="auto"/>
            <w:vAlign w:val="center"/>
          </w:tcPr>
          <w:p w14:paraId="3CB785FF">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1822" w:type="pct"/>
            <w:gridSpan w:val="2"/>
            <w:tcBorders>
              <w:tl2br w:val="nil"/>
              <w:tr2bl w:val="nil"/>
            </w:tcBorders>
            <w:shd w:val="clear" w:color="auto" w:fill="auto"/>
            <w:vAlign w:val="center"/>
          </w:tcPr>
          <w:p w14:paraId="55D6A6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废液压油</w:t>
            </w:r>
          </w:p>
        </w:tc>
        <w:tc>
          <w:tcPr>
            <w:tcW w:w="2598" w:type="pct"/>
            <w:gridSpan w:val="2"/>
            <w:vMerge w:val="continue"/>
            <w:tcBorders>
              <w:tl2br w:val="nil"/>
              <w:tr2bl w:val="nil"/>
            </w:tcBorders>
            <w:shd w:val="clear" w:color="auto" w:fill="auto"/>
            <w:vAlign w:val="center"/>
          </w:tcPr>
          <w:p w14:paraId="771AAEB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02AA2F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3307575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1822" w:type="pct"/>
            <w:gridSpan w:val="2"/>
            <w:tcBorders>
              <w:tl2br w:val="nil"/>
              <w:tr2bl w:val="nil"/>
            </w:tcBorders>
            <w:shd w:val="clear" w:color="auto" w:fill="auto"/>
            <w:vAlign w:val="center"/>
          </w:tcPr>
          <w:p w14:paraId="1C50E1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废切削液</w:t>
            </w:r>
          </w:p>
        </w:tc>
        <w:tc>
          <w:tcPr>
            <w:tcW w:w="2598" w:type="pct"/>
            <w:gridSpan w:val="2"/>
            <w:vMerge w:val="continue"/>
            <w:tcBorders>
              <w:tl2br w:val="nil"/>
              <w:tr2bl w:val="nil"/>
            </w:tcBorders>
            <w:shd w:val="clear" w:color="auto" w:fill="auto"/>
            <w:vAlign w:val="center"/>
          </w:tcPr>
          <w:p w14:paraId="40F3CF1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2FAD81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vMerge w:val="continue"/>
            <w:tcBorders>
              <w:tl2br w:val="nil"/>
              <w:tr2bl w:val="nil"/>
            </w:tcBorders>
            <w:shd w:val="clear" w:color="auto" w:fill="auto"/>
            <w:vAlign w:val="center"/>
          </w:tcPr>
          <w:p w14:paraId="3494A73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1822" w:type="pct"/>
            <w:gridSpan w:val="2"/>
            <w:tcBorders>
              <w:tl2br w:val="nil"/>
              <w:tr2bl w:val="nil"/>
            </w:tcBorders>
            <w:shd w:val="clear" w:color="auto" w:fill="auto"/>
            <w:vAlign w:val="center"/>
          </w:tcPr>
          <w:p w14:paraId="46C22C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废润滑油</w:t>
            </w:r>
          </w:p>
        </w:tc>
        <w:tc>
          <w:tcPr>
            <w:tcW w:w="2598" w:type="pct"/>
            <w:gridSpan w:val="2"/>
            <w:vMerge w:val="continue"/>
            <w:tcBorders>
              <w:tl2br w:val="nil"/>
              <w:tr2bl w:val="nil"/>
            </w:tcBorders>
            <w:shd w:val="clear" w:color="auto" w:fill="auto"/>
            <w:vAlign w:val="center"/>
          </w:tcPr>
          <w:p w14:paraId="1D0EEE28">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481984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579" w:type="pct"/>
            <w:vMerge w:val="continue"/>
            <w:tcBorders>
              <w:tl2br w:val="nil"/>
              <w:tr2bl w:val="nil"/>
            </w:tcBorders>
            <w:shd w:val="clear" w:color="auto" w:fill="auto"/>
            <w:vAlign w:val="center"/>
          </w:tcPr>
          <w:p w14:paraId="108E2EF6">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p>
        </w:tc>
        <w:tc>
          <w:tcPr>
            <w:tcW w:w="1822" w:type="pct"/>
            <w:gridSpan w:val="2"/>
            <w:tcBorders>
              <w:tl2br w:val="nil"/>
              <w:tr2bl w:val="nil"/>
            </w:tcBorders>
            <w:shd w:val="clear" w:color="auto" w:fill="auto"/>
            <w:vAlign w:val="center"/>
          </w:tcPr>
          <w:p w14:paraId="1B86EC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w:t>
            </w:r>
            <w:r>
              <w:rPr>
                <w:rFonts w:hint="eastAsia" w:cs="Times New Roman"/>
                <w:b w:val="0"/>
                <w:bCs w:val="0"/>
                <w:color w:val="000000" w:themeColor="text1"/>
                <w:sz w:val="21"/>
                <w:szCs w:val="21"/>
                <w:highlight w:val="none"/>
                <w:lang w:val="en-US" w:eastAsia="zh-CN"/>
                <w14:textFill>
                  <w14:solidFill>
                    <w14:schemeClr w14:val="tx1"/>
                  </w14:solidFill>
                </w14:textFill>
              </w:rPr>
              <w:t>包装</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桶</w:t>
            </w:r>
          </w:p>
        </w:tc>
        <w:tc>
          <w:tcPr>
            <w:tcW w:w="2598" w:type="pct"/>
            <w:gridSpan w:val="2"/>
            <w:vMerge w:val="continue"/>
            <w:tcBorders>
              <w:tl2br w:val="nil"/>
              <w:tr2bl w:val="nil"/>
            </w:tcBorders>
            <w:shd w:val="clear" w:color="auto" w:fill="auto"/>
            <w:vAlign w:val="center"/>
          </w:tcPr>
          <w:p w14:paraId="74F9A195">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r w14:paraId="48944B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tcBorders>
              <w:tl2br w:val="nil"/>
              <w:tr2bl w:val="nil"/>
            </w:tcBorders>
            <w:shd w:val="clear" w:color="auto" w:fill="auto"/>
            <w:vAlign w:val="center"/>
          </w:tcPr>
          <w:p w14:paraId="339C2B5B">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土壤及地下水污染防治措施</w:t>
            </w:r>
          </w:p>
        </w:tc>
        <w:tc>
          <w:tcPr>
            <w:tcW w:w="4420" w:type="pct"/>
            <w:gridSpan w:val="4"/>
            <w:tcBorders>
              <w:tl2br w:val="nil"/>
              <w:tr2bl w:val="nil"/>
            </w:tcBorders>
            <w:shd w:val="clear" w:color="auto" w:fill="auto"/>
            <w:vAlign w:val="center"/>
          </w:tcPr>
          <w:p w14:paraId="62ABC86E">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分区防渗</w:t>
            </w:r>
          </w:p>
        </w:tc>
      </w:tr>
      <w:tr w14:paraId="164BF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tcBorders>
              <w:tl2br w:val="nil"/>
              <w:tr2bl w:val="nil"/>
            </w:tcBorders>
            <w:shd w:val="clear" w:color="auto" w:fill="auto"/>
            <w:vAlign w:val="center"/>
          </w:tcPr>
          <w:p w14:paraId="0CE579B4">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生态保护措施</w:t>
            </w:r>
          </w:p>
        </w:tc>
        <w:tc>
          <w:tcPr>
            <w:tcW w:w="4420" w:type="pct"/>
            <w:gridSpan w:val="4"/>
            <w:tcBorders>
              <w:tl2br w:val="nil"/>
              <w:tr2bl w:val="nil"/>
            </w:tcBorders>
            <w:shd w:val="clear" w:color="auto" w:fill="auto"/>
            <w:vAlign w:val="center"/>
          </w:tcPr>
          <w:p w14:paraId="13A41E41">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无</w:t>
            </w:r>
          </w:p>
        </w:tc>
      </w:tr>
      <w:tr w14:paraId="11D9BF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tcBorders>
              <w:tl2br w:val="nil"/>
              <w:tr2bl w:val="nil"/>
            </w:tcBorders>
            <w:shd w:val="clear" w:color="auto" w:fill="auto"/>
            <w:vAlign w:val="center"/>
          </w:tcPr>
          <w:p w14:paraId="23BBB514">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环境风险防范措施</w:t>
            </w:r>
          </w:p>
        </w:tc>
        <w:tc>
          <w:tcPr>
            <w:tcW w:w="4420" w:type="pct"/>
            <w:gridSpan w:val="4"/>
            <w:tcBorders>
              <w:tl2br w:val="nil"/>
              <w:tr2bl w:val="nil"/>
            </w:tcBorders>
            <w:shd w:val="clear" w:color="auto" w:fill="auto"/>
            <w:vAlign w:val="center"/>
          </w:tcPr>
          <w:p w14:paraId="0ACDA18B">
            <w:pPr>
              <w:keepNext w:val="0"/>
              <w:keepLines w:val="0"/>
              <w:pageBreakBefore w:val="0"/>
              <w:widowControl/>
              <w:numPr>
                <w:ilvl w:val="0"/>
                <w:numId w:val="0"/>
              </w:numPr>
              <w:suppressLineNumbers w:val="0"/>
              <w:kinsoku/>
              <w:wordWrap/>
              <w:overflowPunct w:val="0"/>
              <w:topLinePunct/>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（1）</w:t>
            </w:r>
            <w:r>
              <w:rPr>
                <w:rFonts w:hint="default" w:ascii="Times New Roman" w:hAnsi="Times New Roman" w:cs="Times New Roman"/>
                <w:color w:val="000000" w:themeColor="text1"/>
                <w:sz w:val="21"/>
                <w:szCs w:val="21"/>
                <w:lang w:val="en-US" w:eastAsia="zh-CN"/>
                <w14:textFill>
                  <w14:solidFill>
                    <w14:schemeClr w14:val="tx1"/>
                  </w14:solidFill>
                </w14:textFill>
              </w:rPr>
              <w:t>危险废物贮存库设置围堰</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按照规范要求进行</w:t>
            </w:r>
            <w:r>
              <w:rPr>
                <w:rFonts w:hint="eastAsia" w:ascii="Times New Roman" w:hAnsi="Times New Roman" w:cs="Times New Roman"/>
                <w:color w:val="000000" w:themeColor="text1"/>
                <w:sz w:val="21"/>
                <w:szCs w:val="21"/>
                <w:lang w:val="en-US" w:eastAsia="zh-CN"/>
                <w14:textFill>
                  <w14:solidFill>
                    <w14:schemeClr w14:val="tx1"/>
                  </w14:solidFill>
                </w14:textFill>
              </w:rPr>
              <w:t>“六</w:t>
            </w:r>
            <w:r>
              <w:rPr>
                <w:rFonts w:hint="default" w:ascii="Times New Roman" w:hAnsi="Times New Roman" w:cs="Times New Roman"/>
                <w:color w:val="000000" w:themeColor="text1"/>
                <w:sz w:val="21"/>
                <w:szCs w:val="21"/>
                <w:lang w:val="en-US" w:eastAsia="zh-CN"/>
                <w14:textFill>
                  <w14:solidFill>
                    <w14:schemeClr w14:val="tx1"/>
                  </w14:solidFill>
                </w14:textFill>
              </w:rPr>
              <w:t>防</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措施；</w:t>
            </w:r>
          </w:p>
          <w:p w14:paraId="5922D08C">
            <w:pPr>
              <w:keepNext w:val="0"/>
              <w:keepLines w:val="0"/>
              <w:pageBreakBefore w:val="0"/>
              <w:widowControl/>
              <w:numPr>
                <w:ilvl w:val="0"/>
                <w:numId w:val="0"/>
              </w:numPr>
              <w:suppressLineNumbers w:val="0"/>
              <w:kinsoku/>
              <w:wordWrap/>
              <w:overflowPunct w:val="0"/>
              <w:topLinePunct/>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kern w:val="2"/>
                <w:sz w:val="21"/>
                <w:szCs w:val="21"/>
                <w:lang w:val="en-US" w:eastAsia="zh-CN" w:bidi="ar-SA"/>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加强管理工作</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设专人负责危险废物的安全贮存、厂区内</w:t>
            </w:r>
            <w:r>
              <w:rPr>
                <w:rFonts w:hint="default" w:ascii="Times New Roman" w:hAnsi="Times New Roman" w:cs="Times New Roman"/>
                <w:color w:val="000000" w:themeColor="text1"/>
                <w:sz w:val="21"/>
                <w:szCs w:val="21"/>
                <w:lang w:eastAsia="zh-CN"/>
                <w14:textFill>
                  <w14:solidFill>
                    <w14:schemeClr w14:val="tx1"/>
                  </w14:solidFill>
                </w14:textFill>
              </w:rPr>
              <w:t>运输</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按照其物化性质、危险特性等特征采取相应的安全贮存方式；</w:t>
            </w:r>
          </w:p>
          <w:p w14:paraId="7688C01E">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）针对危险废物的贮存、输运制定安全条例</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严禁靠近明火；</w:t>
            </w:r>
          </w:p>
          <w:p w14:paraId="70714E1D">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420" w:firstLineChars="200"/>
              <w:jc w:val="left"/>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编制突发环境事件</w:t>
            </w:r>
            <w:r>
              <w:rPr>
                <w:rFonts w:hint="default" w:ascii="Times New Roman" w:hAnsi="Times New Roman" w:cs="Times New Roman"/>
                <w:color w:val="000000" w:themeColor="text1"/>
                <w:sz w:val="21"/>
                <w:szCs w:val="21"/>
                <w14:textFill>
                  <w14:solidFill>
                    <w14:schemeClr w14:val="tx1"/>
                  </w14:solidFill>
                </w14:textFill>
              </w:rPr>
              <w:t>应急预案</w:t>
            </w:r>
            <w:r>
              <w:rPr>
                <w:rFonts w:hint="default" w:ascii="Times New Roman" w:hAnsi="Times New Roman" w:cs="Times New Roman"/>
                <w:color w:val="000000" w:themeColor="text1"/>
                <w:sz w:val="21"/>
                <w:szCs w:val="21"/>
                <w:lang w:val="en-US" w:eastAsia="zh-CN"/>
                <w14:textFill>
                  <w14:solidFill>
                    <w14:schemeClr w14:val="tx1"/>
                  </w14:solidFill>
                </w14:textFill>
              </w:rPr>
              <w:t>并在生态环境部门备案</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一旦发生事故后能够及时采取有效措施进行科学处置</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将事故破坏降至最低限度</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同时考虑各种处置方案的科学合理性以及有效性。</w:t>
            </w:r>
          </w:p>
          <w:p w14:paraId="1D03F166">
            <w:pPr>
              <w:keepNext w:val="0"/>
              <w:keepLines w:val="0"/>
              <w:suppressLineNumbers w:val="0"/>
              <w:spacing w:before="0" w:beforeAutospacing="0" w:after="0" w:afterAutospacing="0" w:line="240" w:lineRule="auto"/>
              <w:ind w:left="0" w:right="0" w:firstLine="48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6</w:t>
            </w:r>
            <w:r>
              <w:rPr>
                <w:rFonts w:hint="default" w:ascii="Times New Roman" w:hAnsi="Times New Roman" w:cs="Times New Roman"/>
                <w:color w:val="000000" w:themeColor="text1"/>
                <w:sz w:val="21"/>
                <w:szCs w:val="21"/>
                <w14:textFill>
                  <w14:solidFill>
                    <w14:schemeClr w14:val="tx1"/>
                  </w14:solidFill>
                </w14:textFill>
              </w:rPr>
              <w:t>）履行危险废物申报登记制度、建立台账管理制度、执行报批和转移联单制度。</w:t>
            </w:r>
          </w:p>
        </w:tc>
      </w:tr>
      <w:tr w14:paraId="24C17B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pct"/>
            <w:tcBorders>
              <w:tl2br w:val="nil"/>
              <w:tr2bl w:val="nil"/>
            </w:tcBorders>
            <w:shd w:val="clear" w:color="auto" w:fill="auto"/>
            <w:vAlign w:val="center"/>
          </w:tcPr>
          <w:p w14:paraId="21CECE92">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pacing w:val="-8"/>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pacing w:val="-8"/>
                <w:kern w:val="2"/>
                <w:sz w:val="21"/>
                <w:szCs w:val="21"/>
                <w:highlight w:val="none"/>
                <w:lang w:val="en-US" w:eastAsia="zh-CN" w:bidi="ar"/>
                <w14:textFill>
                  <w14:solidFill>
                    <w14:schemeClr w14:val="tx1"/>
                  </w14:solidFill>
                </w14:textFill>
              </w:rPr>
              <w:t>其他环境</w:t>
            </w:r>
          </w:p>
          <w:p w14:paraId="49EA0A6C">
            <w:pPr>
              <w:keepNext w:val="0"/>
              <w:keepLines w:val="0"/>
              <w:widowControl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000000" w:themeColor="text1"/>
                <w:spacing w:val="-8"/>
                <w:sz w:val="21"/>
                <w:szCs w:val="21"/>
                <w:highlight w:val="none"/>
                <w:lang w:val="en-US"/>
                <w14:textFill>
                  <w14:solidFill>
                    <w14:schemeClr w14:val="tx1"/>
                  </w14:solidFill>
                </w14:textFill>
              </w:rPr>
            </w:pPr>
            <w:r>
              <w:rPr>
                <w:rFonts w:hint="default" w:ascii="Times New Roman" w:hAnsi="Times New Roman" w:eastAsia="宋体" w:cs="Times New Roman"/>
                <w:color w:val="000000" w:themeColor="text1"/>
                <w:spacing w:val="-8"/>
                <w:kern w:val="2"/>
                <w:sz w:val="21"/>
                <w:szCs w:val="21"/>
                <w:highlight w:val="none"/>
                <w:lang w:val="en-US" w:eastAsia="zh-CN" w:bidi="ar"/>
                <w14:textFill>
                  <w14:solidFill>
                    <w14:schemeClr w14:val="tx1"/>
                  </w14:solidFill>
                </w14:textFill>
              </w:rPr>
              <w:t>管理要求</w:t>
            </w:r>
          </w:p>
        </w:tc>
        <w:tc>
          <w:tcPr>
            <w:tcW w:w="4420" w:type="pct"/>
            <w:gridSpan w:val="4"/>
            <w:tcBorders>
              <w:tl2br w:val="nil"/>
              <w:tr2bl w:val="nil"/>
            </w:tcBorders>
            <w:shd w:val="clear" w:color="auto" w:fill="auto"/>
            <w:vAlign w:val="center"/>
          </w:tcPr>
          <w:p w14:paraId="5C357354">
            <w:pPr>
              <w:keepNext w:val="0"/>
              <w:keepLines w:val="0"/>
              <w:pageBreakBefore w:val="0"/>
              <w:widowControl/>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2" w:firstLineChars="200"/>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1、</w:t>
            </w:r>
            <w:r>
              <w:rPr>
                <w:rFonts w:hint="default" w:ascii="Times New Roman" w:hAnsi="Times New Roman" w:cs="Times New Roman"/>
                <w:b/>
                <w:bCs/>
                <w:color w:val="000000" w:themeColor="text1"/>
                <w:sz w:val="21"/>
                <w:szCs w:val="21"/>
                <w14:textFill>
                  <w14:solidFill>
                    <w14:schemeClr w14:val="tx1"/>
                  </w14:solidFill>
                </w14:textFill>
              </w:rPr>
              <w:t>企业信息公开</w:t>
            </w:r>
          </w:p>
          <w:p w14:paraId="691D4C8F">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（1）信息公开内容</w:t>
            </w:r>
          </w:p>
          <w:p w14:paraId="5DA3C7C9">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企业事业单位应当建立健全本单位环境信息公开制度</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指定机构负责环境信息公开日常工作。</w:t>
            </w:r>
          </w:p>
          <w:p w14:paraId="084FF499">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kern w:val="2"/>
                <w:sz w:val="21"/>
                <w:szCs w:val="21"/>
                <w:lang w:val="en-US" w:eastAsia="zh-CN" w:bidi="ar-SA"/>
                <w14:textFill>
                  <w14:solidFill>
                    <w14:schemeClr w14:val="tx1"/>
                  </w14:solidFill>
                </w14:textFill>
              </w:rPr>
              <w:t>①</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基础信息</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包括建设单位名称、组织机构代码、法定代表人、生产地址、联系方式</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以及生产经营和管理服务的主要内容、产品和规模。</w:t>
            </w:r>
          </w:p>
          <w:p w14:paraId="4210AF8A">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rightChars="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kern w:val="2"/>
                <w:sz w:val="21"/>
                <w:szCs w:val="21"/>
                <w:lang w:val="en-US" w:eastAsia="zh-CN" w:bidi="ar-SA"/>
                <w14:textFill>
                  <w14:solidFill>
                    <w14:schemeClr w14:val="tx1"/>
                  </w14:solidFill>
                </w14:textFill>
              </w:rPr>
              <w:t>②</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排污信息</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包括主要污染物及特征污染物的名称、排放方式、排放口数量和分布情况、排放浓度和总量、超标情况、固废处置情况</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以及执行的污染物排放标准、核定的排放总量。</w:t>
            </w:r>
          </w:p>
          <w:p w14:paraId="19698C71">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③</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污染防治措施运行情况</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p>
          <w:p w14:paraId="1C786DAD">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④</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建设项目环境影响评价及其他环境保护行政许可情况</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p>
          <w:p w14:paraId="6EF03BD7">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⑤</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突发环境事件应急预案</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p>
          <w:p w14:paraId="3AF7EDD5">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⑥</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企业环境自行监测方案执行情况。</w:t>
            </w:r>
          </w:p>
          <w:p w14:paraId="1462E7DC">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企业应在企业网站、当地生态环境局的环境信息平台公开环境信息、设置信息公开服务、监督热线电话</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并在周围村镇公告栏定期张贴公示告知周围热线监督电话和信息公开网站。</w:t>
            </w:r>
          </w:p>
          <w:p w14:paraId="73ECC70A">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（2）</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环境信息公开内容</w:t>
            </w:r>
          </w:p>
          <w:p w14:paraId="60C72A63">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①</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进一步完善企业管理台账</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并接受当地生态环境局的检查。台账内容包括</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污染物排放情况</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污染治理措施的运行、操作和管理情况</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各项污染物的监测分析方法和监测记录</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事故情况及有关记录</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其他与污染防治有关的情况和资料</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环保设施运行能耗情况等。</w:t>
            </w:r>
          </w:p>
          <w:p w14:paraId="462F96A9">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②</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严格执行现有各项环保措施操作规程以及维护制度</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使各项环保设施在运营过程中处于良好运行状态。</w:t>
            </w:r>
          </w:p>
          <w:p w14:paraId="2B2EF7FB">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③</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践行环境监测工作</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并如实做好记录</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不得弄虚作假。监测中如发现异常情况应及时向有关部门通报</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及时采取应急措施</w:t>
            </w:r>
            <w:r>
              <w:rPr>
                <w:rFonts w:hint="eastAsia"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防止事故排放。</w:t>
            </w:r>
          </w:p>
          <w:p w14:paraId="564A7EA6">
            <w:pPr>
              <w:keepNext w:val="0"/>
              <w:keepLines w:val="0"/>
              <w:pageBreakBefore w:val="0"/>
              <w:widowControl/>
              <w:numPr>
                <w:ilvl w:val="0"/>
                <w:numId w:val="0"/>
              </w:numPr>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2" w:firstLineChars="200"/>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2、排污口规范化</w:t>
            </w:r>
          </w:p>
          <w:p w14:paraId="49052E3F">
            <w:pPr>
              <w:keepNext w:val="0"/>
              <w:keepLines w:val="0"/>
              <w:pageBreakBefore w:val="0"/>
              <w:widowControl/>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根据国家环保总局</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《排污口规范化整治技术要求（试行）》（环监〔1996〕470号）、</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《固定源废气监测技术规范》（HJ/T397-2007）以及《排污单位污染物排放口监测点位设置技术规范》（HJ1405-2024）</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的相关规定</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企业所有排放口</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必须按照</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便于计量监测、便于日常现场监督检查</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的规范化要求</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设置与之相适应的环境保护图形标志牌</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绘制企业排污口分布图</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对治理设施安装运行监控装置</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以便环境监管部门监管。</w:t>
            </w:r>
          </w:p>
          <w:p w14:paraId="31D937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2" w:firstLineChars="200"/>
              <w:jc w:val="both"/>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废气排放口</w:t>
            </w:r>
          </w:p>
          <w:p w14:paraId="428067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2" w:firstLineChars="200"/>
              <w:jc w:val="both"/>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1）废气采样口设置要求</w:t>
            </w:r>
          </w:p>
          <w:p w14:paraId="19814C76">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参考《排污单位污染物排放口监测点位设置技术规范》（HJ1405-2024）（2027年1月1日起实施）</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FZSSK--GBK1-0" w:cs="Times New Roman"/>
                <w:color w:val="000000" w:themeColor="text1"/>
                <w:kern w:val="0"/>
                <w:sz w:val="19"/>
                <w:szCs w:val="19"/>
                <w:lang w:val="en-US" w:eastAsia="zh-CN" w:bidi="ar"/>
                <w14:textFill>
                  <w14:solidFill>
                    <w14:schemeClr w14:val="tx1"/>
                  </w14:solidFill>
                </w14:textFill>
              </w:rPr>
              <w:t>应</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在废气排放口设置科学、规范、便于采样监测的监测点位</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避开对测试人员操作有危险的场所</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具体设置如下：</w:t>
            </w:r>
          </w:p>
          <w:p w14:paraId="289B33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①在流场均匀稳定的监测断面规范开设监测孔</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设置工作平台、梯架及相应安全防护设施等。监测断面应设置在规则的圆形、矩形排气筒/烟道上的竖直段或水平段</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并避开拉筋等影响监测的内部结构件。监测断面宜设置在排气筒/烟道的负压段</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相关标准有特殊要求的除外。</w:t>
            </w:r>
          </w:p>
          <w:p w14:paraId="79C531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②自动监测断面和手工监测断面设置位置应满足</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其按照气流方向的上游距离弯头、阀门、变径管≥4倍烟道直径</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其下游距离上述部件≥2倍烟道直径。排气筒出口处视为变径。</w:t>
            </w:r>
          </w:p>
          <w:p w14:paraId="15A121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③在手工监测断面处设置手工监测孔</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其内径应满足相关污染物和排气参数的监测需要</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一般应≥80mm。</w:t>
            </w:r>
          </w:p>
          <w:p w14:paraId="782CA0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④对正压下输送高温或有毒有害气体的排气筒/烟道</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应安装带有闸板阀的密封防喷监测孔</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其他形式的手工监测孔外沿距离排气筒/烟道或保温层外壁距离应≤50mm。</w:t>
            </w:r>
          </w:p>
          <w:p w14:paraId="547D3E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⑤在排气筒附近地面醒目处设置环境保护图形标志牌。</w:t>
            </w:r>
          </w:p>
          <w:p w14:paraId="566E1F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2" w:firstLineChars="200"/>
              <w:jc w:val="both"/>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2）废气采样平台设置要求</w:t>
            </w:r>
          </w:p>
          <w:p w14:paraId="553CBE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参考《排污单位污染物排放口监测点位设置技术规范》（HJ1405-2024）</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采用平台设置如下：</w:t>
            </w:r>
          </w:p>
          <w:p w14:paraId="02A6C3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①监测断面距离坠落高度基准面2m以上时</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应配套建设永久、安全、便于采样和测试的工作平台。</w:t>
            </w:r>
          </w:p>
          <w:p w14:paraId="56EBE5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②除在水平烟道顶部开设监测孔外</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工作平台宜设置在监测孔的正下方1.2m～1.3m处。</w:t>
            </w:r>
          </w:p>
          <w:p w14:paraId="419203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③工作平台长度应≥2m</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宽度应保证人员及采样探杆操作的空间。对于监测断面直径（圆形）或者在监测孔方向的长度（矩形）&gt;1m的</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工作平台宽度应≥2m；≤1m的</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工作平台宽度应≥1.5m。</w:t>
            </w:r>
          </w:p>
          <w:p w14:paraId="2860BF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④单层工作平台及通道上方竖直方向净高应≥2m</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需设置多层工作平台的</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每层净高应≥1.9m。</w:t>
            </w:r>
          </w:p>
          <w:p w14:paraId="2DECE9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⑤工作平台宜采用厚度≥4mm的花纹钢板或经防滑处理的钢板铺装</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相邻钢板不应搭接</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上表面的高度差应≤4mm</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载荷满足GB4053.3要求。</w:t>
            </w:r>
          </w:p>
          <w:p w14:paraId="39FA1D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 xml:space="preserve">⑥工作平台与竖直烟道/排气筒的间隙距离≤10mm。 </w:t>
            </w:r>
          </w:p>
          <w:p w14:paraId="070409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2" w:firstLineChars="200"/>
              <w:jc w:val="both"/>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 xml:space="preserve">3）防护要求 </w:t>
            </w:r>
          </w:p>
          <w:p w14:paraId="5717CA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①距离坠落高度基准面1.2m以上的工作平台及通道的所有敞开边缘应设置防护栏杆</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 xml:space="preserve">其中工作平台的防护栏杆应带踢脚板。 </w:t>
            </w:r>
          </w:p>
          <w:p w14:paraId="6759B3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②防护栏杆的高度应≥1.2m</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扶手宜选用外径30mm～50mm钢管</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扶手后应有不小于75mm净空间。</w:t>
            </w:r>
          </w:p>
          <w:p w14:paraId="761F2D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③防护栏杆的踢脚板宜采用不小于100mm×2mm的钢板制作</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其顶部在平台面之上高度应不小于100mm</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 xml:space="preserve">底部距平台面应不大于10mm。 </w:t>
            </w:r>
          </w:p>
          <w:p w14:paraId="49A7E1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④扶手和踢脚板之间应至少设置一道中间栏杆</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中间栏杆与上下方构件的空隙间距≤500mm</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其载荷、制造安装应满足GB4053.3要求。防护栏杆端部应设置立柱或确保与建筑物或其他固定结构牢固连接</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立柱间距应不大于1m。</w:t>
            </w:r>
          </w:p>
          <w:p w14:paraId="26E9CA85">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leftChars="0" w:right="0" w:firstLine="422" w:firstLineChars="20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）废水排放口</w:t>
            </w:r>
          </w:p>
          <w:p w14:paraId="23B9CAF7">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leftChars="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本公司废水主要为生活污水</w:t>
            </w:r>
            <w:r>
              <w:rPr>
                <w:rFonts w:hint="eastAsia"/>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本项目运营期项目生活污水</w:t>
            </w:r>
            <w:r>
              <w:rPr>
                <w:rFonts w:hint="eastAsia" w:cs="Times New Roman"/>
                <w:color w:val="000000" w:themeColor="text1"/>
                <w:sz w:val="21"/>
                <w:szCs w:val="21"/>
                <w:lang w:val="en-US" w:eastAsia="zh-CN"/>
                <w14:textFill>
                  <w14:solidFill>
                    <w14:schemeClr w14:val="tx1"/>
                  </w14:solidFill>
                </w14:textFill>
              </w:rPr>
              <w:t>依托宝鸡得力隆纺织有限公司厂区现有</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化粪池处理后由市政</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污水</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管网排入</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宝鸡市陈仓金信安水务有限公司（宝鸡市陈仓区虢镇污水处理厂）</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w:t>
            </w:r>
            <w:r>
              <w:rPr>
                <w:rFonts w:hint="eastAsia" w:cs="Times New Roman"/>
                <w:color w:val="000000" w:themeColor="text1"/>
                <w:sz w:val="21"/>
                <w:szCs w:val="21"/>
                <w:highlight w:val="none"/>
                <w:lang w:val="en-US" w:eastAsia="zh-CN"/>
                <w14:textFill>
                  <w14:solidFill>
                    <w14:schemeClr w14:val="tx1"/>
                  </w14:solidFill>
                </w14:textFill>
              </w:rPr>
              <w:t>不新增废水排放口，依托</w:t>
            </w:r>
            <w:r>
              <w:rPr>
                <w:rFonts w:hint="eastAsia" w:cs="Times New Roman"/>
                <w:color w:val="000000" w:themeColor="text1"/>
                <w:sz w:val="21"/>
                <w:szCs w:val="21"/>
                <w:lang w:val="en-US" w:eastAsia="zh-CN"/>
                <w14:textFill>
                  <w14:solidFill>
                    <w14:schemeClr w14:val="tx1"/>
                  </w14:solidFill>
                </w14:textFill>
              </w:rPr>
              <w:t>宝鸡得力隆纺织有限公司厂区现有污水排放口，</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为一般排放口</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编号DW001。</w:t>
            </w:r>
          </w:p>
          <w:p w14:paraId="5A6C8AE1">
            <w:pPr>
              <w:keepNext w:val="0"/>
              <w:keepLines w:val="0"/>
              <w:pageBreakBefore w:val="0"/>
              <w:widowControl/>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2" w:firstLineChars="200"/>
              <w:jc w:val="left"/>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w:t>
            </w:r>
            <w:r>
              <w:rPr>
                <w:rFonts w:hint="eastAsia" w:cs="Times New Roman"/>
                <w:b/>
                <w:bCs/>
                <w:color w:val="000000" w:themeColor="text1"/>
                <w:sz w:val="21"/>
                <w:szCs w:val="21"/>
                <w:lang w:val="en-US" w:eastAsia="zh-CN"/>
                <w14:textFill>
                  <w14:solidFill>
                    <w14:schemeClr w14:val="tx1"/>
                  </w14:solidFill>
                </w14:textFill>
              </w:rPr>
              <w:t>2</w:t>
            </w:r>
            <w:r>
              <w:rPr>
                <w:rFonts w:hint="default" w:ascii="Times New Roman" w:hAnsi="Times New Roman" w:cs="Times New Roman"/>
                <w:b/>
                <w:bCs/>
                <w:color w:val="000000" w:themeColor="text1"/>
                <w:sz w:val="21"/>
                <w:szCs w:val="21"/>
                <w:lang w:val="en-US" w:eastAsia="zh-CN"/>
                <w14:textFill>
                  <w14:solidFill>
                    <w14:schemeClr w14:val="tx1"/>
                  </w14:solidFill>
                </w14:textFill>
              </w:rPr>
              <w:t>）固定噪声源</w:t>
            </w:r>
          </w:p>
          <w:p w14:paraId="549F2AA5">
            <w:pPr>
              <w:keepNext w:val="0"/>
              <w:keepLines w:val="0"/>
              <w:pageBreakBefore w:val="0"/>
              <w:widowControl/>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在固定噪声源对厂界噪声影响最大处</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设置环境保护图形标志牌。</w:t>
            </w:r>
          </w:p>
          <w:p w14:paraId="16AA9A23">
            <w:pPr>
              <w:keepNext w:val="0"/>
              <w:keepLines w:val="0"/>
              <w:pageBreakBefore w:val="0"/>
              <w:widowControl/>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2" w:firstLineChars="200"/>
              <w:jc w:val="left"/>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w:t>
            </w:r>
            <w:r>
              <w:rPr>
                <w:rFonts w:hint="eastAsia" w:cs="Times New Roman"/>
                <w:b/>
                <w:bCs/>
                <w:color w:val="000000" w:themeColor="text1"/>
                <w:sz w:val="21"/>
                <w:szCs w:val="21"/>
                <w:lang w:val="en-US" w:eastAsia="zh-CN"/>
                <w14:textFill>
                  <w14:solidFill>
                    <w14:schemeClr w14:val="tx1"/>
                  </w14:solidFill>
                </w14:textFill>
              </w:rPr>
              <w:t>3</w:t>
            </w:r>
            <w:r>
              <w:rPr>
                <w:rFonts w:hint="default" w:ascii="Times New Roman" w:hAnsi="Times New Roman" w:cs="Times New Roman"/>
                <w:b/>
                <w:bCs/>
                <w:color w:val="000000" w:themeColor="text1"/>
                <w:sz w:val="21"/>
                <w:szCs w:val="21"/>
                <w:lang w:val="en-US" w:eastAsia="zh-CN"/>
                <w14:textFill>
                  <w14:solidFill>
                    <w14:schemeClr w14:val="tx1"/>
                  </w14:solidFill>
                </w14:textFill>
              </w:rPr>
              <w:t>）固体废物贮存场所</w:t>
            </w:r>
          </w:p>
          <w:p w14:paraId="18D6F1CE">
            <w:pPr>
              <w:keepNext w:val="0"/>
              <w:keepLines w:val="0"/>
              <w:pageBreakBefore w:val="0"/>
              <w:widowControl/>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jc w:val="left"/>
              <w:textAlignment w:val="auto"/>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本项目设置2个固废临时贮场</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一个为一般</w:t>
            </w:r>
            <w:r>
              <w:rPr>
                <w:rFonts w:hint="default" w:ascii="Times New Roman" w:hAnsi="Times New Roman" w:cs="Times New Roman"/>
                <w:color w:val="000000" w:themeColor="text1"/>
                <w:sz w:val="21"/>
                <w:szCs w:val="21"/>
                <w:lang w:val="en-US" w:eastAsia="zh-CN"/>
                <w14:textFill>
                  <w14:solidFill>
                    <w14:schemeClr w14:val="tx1"/>
                  </w14:solidFill>
                </w14:textFill>
              </w:rPr>
              <w:t>固废暂存间</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eastAsia="zh-CN"/>
                <w14:textFill>
                  <w14:solidFill>
                    <w14:schemeClr w14:val="tx1"/>
                  </w14:solidFill>
                </w14:textFill>
              </w:rPr>
              <w:t>一个为危险</w:t>
            </w:r>
            <w:r>
              <w:rPr>
                <w:rFonts w:hint="default" w:ascii="Times New Roman" w:hAnsi="Times New Roman" w:cs="Times New Roman"/>
                <w:color w:val="000000" w:themeColor="text1"/>
                <w:sz w:val="21"/>
                <w:szCs w:val="21"/>
                <w:lang w:val="en-US" w:eastAsia="zh-CN"/>
                <w14:textFill>
                  <w14:solidFill>
                    <w14:schemeClr w14:val="tx1"/>
                  </w14:solidFill>
                </w14:textFill>
              </w:rPr>
              <w:t>废物贮存库</w:t>
            </w:r>
            <w:r>
              <w:rPr>
                <w:rFonts w:hint="default" w:ascii="Times New Roman" w:hAnsi="Times New Roman" w:cs="Times New Roman"/>
                <w:color w:val="000000" w:themeColor="text1"/>
                <w:sz w:val="21"/>
                <w:szCs w:val="21"/>
                <w:lang w:eastAsia="zh-CN"/>
                <w14:textFill>
                  <w14:solidFill>
                    <w14:schemeClr w14:val="tx1"/>
                  </w14:solidFill>
                </w14:textFill>
              </w:rPr>
              <w:t>。</w:t>
            </w:r>
          </w:p>
          <w:p w14:paraId="7E3FD613">
            <w:pPr>
              <w:keepNext w:val="0"/>
              <w:keepLines w:val="0"/>
              <w:pageBreakBefore w:val="0"/>
              <w:widowControl/>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固废贮存场所要求：</w:t>
            </w:r>
          </w:p>
          <w:p w14:paraId="209AE4F6">
            <w:pPr>
              <w:keepNext w:val="0"/>
              <w:keepLines w:val="0"/>
              <w:pageBreakBefore w:val="0"/>
              <w:widowControl/>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①固体废物贮存场所要有防火、防风、防扬散、防流失、防渗漏、防雨措施；</w:t>
            </w:r>
          </w:p>
          <w:p w14:paraId="5EE4709D">
            <w:pPr>
              <w:keepNext w:val="0"/>
              <w:keepLines w:val="0"/>
              <w:pageBreakBefore w:val="0"/>
              <w:widowControl/>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②固体废物贮存场所在醒目处设置一个标志牌</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具体按照《环境保护图形标志》规定制作。</w:t>
            </w:r>
          </w:p>
          <w:p w14:paraId="6116F6B0">
            <w:pPr>
              <w:keepNext w:val="0"/>
              <w:keepLines w:val="0"/>
              <w:pageBreakBefore w:val="0"/>
              <w:widowControl/>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本项目产生的废液压油等危险废物应按照</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《危险废物贮存污染控制标准》（GB18597-2023）要求进行分质贮存和处置。</w:t>
            </w:r>
          </w:p>
          <w:p w14:paraId="311C46EC">
            <w:pPr>
              <w:keepNext w:val="0"/>
              <w:keepLines w:val="0"/>
              <w:pageBreakBefore w:val="0"/>
              <w:widowControl/>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2" w:firstLineChars="200"/>
              <w:jc w:val="left"/>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（5）环境保护图形标志</w:t>
            </w:r>
          </w:p>
          <w:p w14:paraId="6912D37B">
            <w:pPr>
              <w:keepNext w:val="0"/>
              <w:keepLines w:val="0"/>
              <w:pageBreakBefore w:val="0"/>
              <w:widowControl/>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在厂区的废气排放口、噪声排放源、固体废物贮存处置场应设置环境保护图形标志</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图形符号分为提示图形和警告图形符号两种</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分别按GB15562.1-1995、GB15562.2-1995、</w:t>
            </w:r>
            <w:r>
              <w:rPr>
                <w:rFonts w:hint="default" w:ascii="Times New Roman" w:hAnsi="Times New Roman" w:cs="Times New Roman"/>
                <w:color w:val="000000" w:themeColor="text1"/>
                <w:sz w:val="21"/>
                <w:szCs w:val="21"/>
                <w14:textFill>
                  <w14:solidFill>
                    <w14:schemeClr w14:val="tx1"/>
                  </w14:solidFill>
                </w14:textFill>
              </w:rPr>
              <w:t>GB18597-</w:t>
            </w:r>
            <w:r>
              <w:rPr>
                <w:rFonts w:hint="default" w:ascii="Times New Roman" w:hAnsi="Times New Roman" w:cs="Times New Roman"/>
                <w:color w:val="000000" w:themeColor="text1"/>
                <w:sz w:val="21"/>
                <w:szCs w:val="21"/>
                <w:lang w:val="en-US" w:eastAsia="zh-CN"/>
                <w14:textFill>
                  <w14:solidFill>
                    <w14:schemeClr w14:val="tx1"/>
                  </w14:solidFill>
                </w14:textFill>
              </w:rPr>
              <w:t>2023执行。</w:t>
            </w:r>
          </w:p>
          <w:p w14:paraId="0E8E7D19">
            <w:pPr>
              <w:keepNext w:val="0"/>
              <w:keepLines w:val="0"/>
              <w:pageBreakBefore w:val="0"/>
              <w:widowControl/>
              <w:suppressLineNumbers w:val="0"/>
              <w:kinsoku/>
              <w:wordWrap/>
              <w:overflowPunct w:val="0"/>
              <w:topLinePunct/>
              <w:autoSpaceDE/>
              <w:autoSpaceDN/>
              <w:bidi w:val="0"/>
              <w:adjustRightInd/>
              <w:snapToGrid/>
              <w:spacing w:before="0" w:beforeAutospacing="0" w:after="0" w:afterAutospacing="0" w:line="240" w:lineRule="auto"/>
              <w:ind w:left="0" w:leftChars="0" w:right="0" w:firstLine="420" w:firstLineChars="200"/>
              <w:jc w:val="left"/>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环境保护图形符号见下表。</w:t>
            </w:r>
          </w:p>
          <w:p w14:paraId="52F1A98E">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表5-1</w:t>
            </w:r>
            <w:r>
              <w:rPr>
                <w:rFonts w:hint="eastAsia"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环境保护图形符号一览表</w:t>
            </w:r>
          </w:p>
          <w:tbl>
            <w:tblPr>
              <w:tblStyle w:val="24"/>
              <w:tblW w:w="4996" w:type="pct"/>
              <w:tblInd w:w="-15"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041"/>
              <w:gridCol w:w="3006"/>
              <w:gridCol w:w="2707"/>
            </w:tblGrid>
            <w:tr w14:paraId="25D2F4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16" w:type="pct"/>
                  <w:tcBorders>
                    <w:tl2br w:val="nil"/>
                    <w:tr2bl w:val="nil"/>
                  </w:tcBorders>
                  <w:noWrap w:val="0"/>
                  <w:vAlign w:val="center"/>
                </w:tcPr>
                <w:p w14:paraId="3549BBD2">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bookmarkStart w:id="25" w:name="10.2.4企业环境信息公开"/>
                  <w:bookmarkEnd w:id="25"/>
                  <w:r>
                    <w:rPr>
                      <w:rFonts w:hint="default" w:ascii="Times New Roman" w:hAnsi="Times New Roman" w:eastAsia="宋体" w:cs="Times New Roman"/>
                      <w:b/>
                      <w:bCs/>
                      <w:color w:val="000000" w:themeColor="text1"/>
                      <w:sz w:val="21"/>
                      <w:szCs w:val="21"/>
                      <w14:textFill>
                        <w14:solidFill>
                          <w14:schemeClr w14:val="tx1"/>
                        </w14:solidFill>
                      </w14:textFill>
                    </w:rPr>
                    <w:t>图形标志</w:t>
                  </w:r>
                </w:p>
              </w:tc>
              <w:tc>
                <w:tcPr>
                  <w:tcW w:w="1938" w:type="pct"/>
                  <w:tcBorders>
                    <w:tl2br w:val="nil"/>
                    <w:tr2bl w:val="nil"/>
                  </w:tcBorders>
                  <w:noWrap w:val="0"/>
                  <w:vAlign w:val="center"/>
                </w:tcPr>
                <w:p w14:paraId="34CBD8BB">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图形代表意义</w:t>
                  </w:r>
                </w:p>
              </w:tc>
              <w:tc>
                <w:tcPr>
                  <w:tcW w:w="1745" w:type="pct"/>
                  <w:tcBorders>
                    <w:tl2br w:val="nil"/>
                    <w:tr2bl w:val="nil"/>
                  </w:tcBorders>
                  <w:noWrap w:val="0"/>
                  <w:vAlign w:val="center"/>
                </w:tcPr>
                <w:p w14:paraId="193DEDB0">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符号简介</w:t>
                  </w:r>
                </w:p>
              </w:tc>
            </w:tr>
            <w:tr w14:paraId="38CAC4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16" w:type="pct"/>
                  <w:tcBorders>
                    <w:tl2br w:val="nil"/>
                    <w:tr2bl w:val="nil"/>
                  </w:tcBorders>
                  <w:noWrap w:val="0"/>
                  <w:vAlign w:val="center"/>
                </w:tcPr>
                <w:p w14:paraId="3C806344">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drawing>
                      <wp:inline distT="0" distB="0" distL="114300" distR="114300">
                        <wp:extent cx="761365" cy="772160"/>
                        <wp:effectExtent l="0" t="0" r="635" b="8890"/>
                        <wp:docPr id="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0"/>
                                <pic:cNvPicPr>
                                  <a:picLocks noChangeAspect="1"/>
                                </pic:cNvPicPr>
                              </pic:nvPicPr>
                              <pic:blipFill>
                                <a:blip r:embed="rId20"/>
                                <a:stretch>
                                  <a:fillRect/>
                                </a:stretch>
                              </pic:blipFill>
                              <pic:spPr>
                                <a:xfrm>
                                  <a:off x="0" y="0"/>
                                  <a:ext cx="761365" cy="772160"/>
                                </a:xfrm>
                                <a:prstGeom prst="rect">
                                  <a:avLst/>
                                </a:prstGeom>
                                <a:noFill/>
                                <a:ln>
                                  <a:noFill/>
                                </a:ln>
                              </pic:spPr>
                            </pic:pic>
                          </a:graphicData>
                        </a:graphic>
                      </wp:inline>
                    </w:drawing>
                  </w:r>
                </w:p>
              </w:tc>
              <w:tc>
                <w:tcPr>
                  <w:tcW w:w="3006" w:type="dxa"/>
                  <w:tcBorders>
                    <w:tl2br w:val="nil"/>
                    <w:tr2bl w:val="nil"/>
                  </w:tcBorders>
                  <w:noWrap w:val="0"/>
                  <w:vAlign w:val="center"/>
                </w:tcPr>
                <w:p w14:paraId="508A9B3B">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标志名称：废气排放口国标代码：GB15562.1-1995</w:t>
                  </w:r>
                </w:p>
              </w:tc>
              <w:tc>
                <w:tcPr>
                  <w:tcW w:w="2707" w:type="dxa"/>
                  <w:tcBorders>
                    <w:tl2br w:val="nil"/>
                    <w:tr2bl w:val="nil"/>
                  </w:tcBorders>
                  <w:noWrap w:val="0"/>
                  <w:vAlign w:val="center"/>
                </w:tcPr>
                <w:p w14:paraId="7E13814F">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提示图形符号废气排放口</w:t>
                  </w:r>
                </w:p>
                <w:p w14:paraId="162BF9A5">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表示废气向大气环境排放</w:t>
                  </w:r>
                </w:p>
              </w:tc>
            </w:tr>
            <w:tr w14:paraId="5C60CD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16" w:type="pct"/>
                  <w:tcBorders>
                    <w:tl2br w:val="nil"/>
                    <w:tr2bl w:val="nil"/>
                  </w:tcBorders>
                  <w:noWrap w:val="0"/>
                  <w:vAlign w:val="center"/>
                </w:tcPr>
                <w:p w14:paraId="4FF051E6">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drawing>
                      <wp:inline distT="0" distB="0" distL="114300" distR="114300">
                        <wp:extent cx="678180" cy="653415"/>
                        <wp:effectExtent l="0" t="0" r="7620" b="1333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21"/>
                                <a:stretch>
                                  <a:fillRect/>
                                </a:stretch>
                              </pic:blipFill>
                              <pic:spPr>
                                <a:xfrm>
                                  <a:off x="0" y="0"/>
                                  <a:ext cx="678180" cy="653415"/>
                                </a:xfrm>
                                <a:prstGeom prst="rect">
                                  <a:avLst/>
                                </a:prstGeom>
                                <a:noFill/>
                                <a:ln>
                                  <a:noFill/>
                                </a:ln>
                              </pic:spPr>
                            </pic:pic>
                          </a:graphicData>
                        </a:graphic>
                      </wp:inline>
                    </w:drawing>
                  </w:r>
                </w:p>
              </w:tc>
              <w:tc>
                <w:tcPr>
                  <w:tcW w:w="1938" w:type="pct"/>
                  <w:tcBorders>
                    <w:tl2br w:val="nil"/>
                    <w:tr2bl w:val="nil"/>
                  </w:tcBorders>
                  <w:noWrap w:val="0"/>
                  <w:vAlign w:val="center"/>
                </w:tcPr>
                <w:p w14:paraId="0D21D604">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标志名称：污水排放口国标代码：GB15562.1-1995</w:t>
                  </w:r>
                </w:p>
              </w:tc>
              <w:tc>
                <w:tcPr>
                  <w:tcW w:w="1745" w:type="pct"/>
                  <w:tcBorders>
                    <w:tl2br w:val="nil"/>
                    <w:tr2bl w:val="nil"/>
                  </w:tcBorders>
                  <w:noWrap w:val="0"/>
                  <w:vAlign w:val="center"/>
                </w:tcPr>
                <w:p w14:paraId="72723761">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提示图形符号污水排放口</w:t>
                  </w:r>
                </w:p>
                <w:p w14:paraId="241CD46A">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表示污水向水体排放</w:t>
                  </w:r>
                </w:p>
              </w:tc>
            </w:tr>
            <w:tr w14:paraId="2255F4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16" w:type="pct"/>
                  <w:tcBorders>
                    <w:tl2br w:val="nil"/>
                    <w:tr2bl w:val="nil"/>
                  </w:tcBorders>
                  <w:noWrap w:val="0"/>
                  <w:vAlign w:val="center"/>
                </w:tcPr>
                <w:p w14:paraId="1623978C">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drawing>
                      <wp:inline distT="0" distB="0" distL="114300" distR="114300">
                        <wp:extent cx="720725" cy="722630"/>
                        <wp:effectExtent l="0" t="0" r="3175" b="1270"/>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22"/>
                                <a:stretch>
                                  <a:fillRect/>
                                </a:stretch>
                              </pic:blipFill>
                              <pic:spPr>
                                <a:xfrm>
                                  <a:off x="0" y="0"/>
                                  <a:ext cx="720725" cy="722630"/>
                                </a:xfrm>
                                <a:prstGeom prst="rect">
                                  <a:avLst/>
                                </a:prstGeom>
                                <a:noFill/>
                                <a:ln>
                                  <a:noFill/>
                                </a:ln>
                              </pic:spPr>
                            </pic:pic>
                          </a:graphicData>
                        </a:graphic>
                      </wp:inline>
                    </w:drawing>
                  </w:r>
                </w:p>
              </w:tc>
              <w:tc>
                <w:tcPr>
                  <w:tcW w:w="1938" w:type="pct"/>
                  <w:tcBorders>
                    <w:tl2br w:val="nil"/>
                    <w:tr2bl w:val="nil"/>
                  </w:tcBorders>
                  <w:noWrap w:val="0"/>
                  <w:vAlign w:val="center"/>
                </w:tcPr>
                <w:p w14:paraId="50800C2E">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标志名称：噪声排放源国标代码：GB15562.1-1995</w:t>
                  </w:r>
                </w:p>
              </w:tc>
              <w:tc>
                <w:tcPr>
                  <w:tcW w:w="1745" w:type="pct"/>
                  <w:tcBorders>
                    <w:tl2br w:val="nil"/>
                    <w:tr2bl w:val="nil"/>
                  </w:tcBorders>
                  <w:noWrap w:val="0"/>
                  <w:vAlign w:val="center"/>
                </w:tcPr>
                <w:p w14:paraId="2376B830">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提示图形符号噪声排放源</w:t>
                  </w:r>
                </w:p>
                <w:p w14:paraId="1FA46DD0">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表示噪声向外环境排放</w:t>
                  </w:r>
                </w:p>
              </w:tc>
            </w:tr>
            <w:tr w14:paraId="12EB97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16" w:type="pct"/>
                  <w:tcBorders>
                    <w:tl2br w:val="nil"/>
                    <w:tr2bl w:val="nil"/>
                  </w:tcBorders>
                  <w:noWrap w:val="0"/>
                  <w:vAlign w:val="center"/>
                </w:tcPr>
                <w:p w14:paraId="5C1F4879">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drawing>
                      <wp:inline distT="0" distB="0" distL="114300" distR="114300">
                        <wp:extent cx="754380" cy="731520"/>
                        <wp:effectExtent l="0" t="0" r="7620" b="1143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23"/>
                                <a:stretch>
                                  <a:fillRect/>
                                </a:stretch>
                              </pic:blipFill>
                              <pic:spPr>
                                <a:xfrm>
                                  <a:off x="0" y="0"/>
                                  <a:ext cx="754380" cy="731520"/>
                                </a:xfrm>
                                <a:prstGeom prst="rect">
                                  <a:avLst/>
                                </a:prstGeom>
                                <a:noFill/>
                                <a:ln>
                                  <a:noFill/>
                                </a:ln>
                              </pic:spPr>
                            </pic:pic>
                          </a:graphicData>
                        </a:graphic>
                      </wp:inline>
                    </w:drawing>
                  </w:r>
                </w:p>
              </w:tc>
              <w:tc>
                <w:tcPr>
                  <w:tcW w:w="1938" w:type="pct"/>
                  <w:tcBorders>
                    <w:tl2br w:val="nil"/>
                    <w:tr2bl w:val="nil"/>
                  </w:tcBorders>
                  <w:noWrap w:val="0"/>
                  <w:vAlign w:val="center"/>
                </w:tcPr>
                <w:p w14:paraId="66A34D36">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标志名称：噪声排放源国标代码：GB15562.1-1995</w:t>
                  </w:r>
                </w:p>
              </w:tc>
              <w:tc>
                <w:tcPr>
                  <w:tcW w:w="1745" w:type="pct"/>
                  <w:tcBorders>
                    <w:tl2br w:val="nil"/>
                    <w:tr2bl w:val="nil"/>
                  </w:tcBorders>
                  <w:noWrap w:val="0"/>
                  <w:vAlign w:val="center"/>
                </w:tcPr>
                <w:p w14:paraId="3D067212">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警告图形符号噪声排放源</w:t>
                  </w:r>
                </w:p>
                <w:p w14:paraId="27F3F6FC">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表示噪声向外环境排放</w:t>
                  </w:r>
                </w:p>
              </w:tc>
            </w:tr>
            <w:tr w14:paraId="7FF07F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16" w:type="pct"/>
                  <w:tcBorders>
                    <w:tl2br w:val="nil"/>
                    <w:tr2bl w:val="nil"/>
                  </w:tcBorders>
                  <w:noWrap w:val="0"/>
                  <w:vAlign w:val="center"/>
                </w:tcPr>
                <w:p w14:paraId="70F23591">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drawing>
                      <wp:inline distT="0" distB="0" distL="114300" distR="114300">
                        <wp:extent cx="851535" cy="701675"/>
                        <wp:effectExtent l="0" t="0" r="5715" b="3175"/>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24"/>
                                <a:stretch>
                                  <a:fillRect/>
                                </a:stretch>
                              </pic:blipFill>
                              <pic:spPr>
                                <a:xfrm>
                                  <a:off x="0" y="0"/>
                                  <a:ext cx="851535" cy="701675"/>
                                </a:xfrm>
                                <a:prstGeom prst="rect">
                                  <a:avLst/>
                                </a:prstGeom>
                                <a:noFill/>
                                <a:ln>
                                  <a:noFill/>
                                </a:ln>
                              </pic:spPr>
                            </pic:pic>
                          </a:graphicData>
                        </a:graphic>
                      </wp:inline>
                    </w:drawing>
                  </w:r>
                </w:p>
              </w:tc>
              <w:tc>
                <w:tcPr>
                  <w:tcW w:w="1938" w:type="pct"/>
                  <w:tcBorders>
                    <w:tl2br w:val="nil"/>
                    <w:tr2bl w:val="nil"/>
                  </w:tcBorders>
                  <w:noWrap w:val="0"/>
                  <w:vAlign w:val="center"/>
                </w:tcPr>
                <w:p w14:paraId="4677187C">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标志名称：固体废物提示国标代码：GB15562.1-1995</w:t>
                  </w:r>
                </w:p>
              </w:tc>
              <w:tc>
                <w:tcPr>
                  <w:tcW w:w="1745" w:type="pct"/>
                  <w:tcBorders>
                    <w:tl2br w:val="nil"/>
                    <w:tr2bl w:val="nil"/>
                  </w:tcBorders>
                  <w:noWrap w:val="0"/>
                  <w:vAlign w:val="center"/>
                </w:tcPr>
                <w:p w14:paraId="320992C0">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固体废物提示</w:t>
                  </w:r>
                </w:p>
              </w:tc>
            </w:tr>
            <w:tr w14:paraId="7F6823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16" w:type="pct"/>
                  <w:tcBorders>
                    <w:tl2br w:val="nil"/>
                    <w:tr2bl w:val="nil"/>
                  </w:tcBorders>
                  <w:noWrap w:val="0"/>
                  <w:vAlign w:val="center"/>
                </w:tcPr>
                <w:p w14:paraId="6DCA9ADF">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drawing>
                      <wp:inline distT="0" distB="0" distL="114300" distR="114300">
                        <wp:extent cx="802640" cy="755650"/>
                        <wp:effectExtent l="0" t="0" r="16510" b="6350"/>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25"/>
                                <a:stretch>
                                  <a:fillRect/>
                                </a:stretch>
                              </pic:blipFill>
                              <pic:spPr>
                                <a:xfrm>
                                  <a:off x="0" y="0"/>
                                  <a:ext cx="802640" cy="755650"/>
                                </a:xfrm>
                                <a:prstGeom prst="rect">
                                  <a:avLst/>
                                </a:prstGeom>
                                <a:noFill/>
                                <a:ln>
                                  <a:noFill/>
                                </a:ln>
                              </pic:spPr>
                            </pic:pic>
                          </a:graphicData>
                        </a:graphic>
                      </wp:inline>
                    </w:drawing>
                  </w:r>
                </w:p>
              </w:tc>
              <w:tc>
                <w:tcPr>
                  <w:tcW w:w="1938" w:type="pct"/>
                  <w:tcBorders>
                    <w:tl2br w:val="nil"/>
                    <w:tr2bl w:val="nil"/>
                  </w:tcBorders>
                  <w:noWrap w:val="0"/>
                  <w:vAlign w:val="center"/>
                </w:tcPr>
                <w:p w14:paraId="355201D0">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标志名称：一般固体废物国标代码：GB15562.1-1995</w:t>
                  </w:r>
                </w:p>
              </w:tc>
              <w:tc>
                <w:tcPr>
                  <w:tcW w:w="1745" w:type="pct"/>
                  <w:tcBorders>
                    <w:tl2br w:val="nil"/>
                    <w:tr2bl w:val="nil"/>
                  </w:tcBorders>
                  <w:noWrap w:val="0"/>
                  <w:vAlign w:val="center"/>
                </w:tcPr>
                <w:p w14:paraId="452832A0">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一般固体废物</w:t>
                  </w:r>
                </w:p>
              </w:tc>
            </w:tr>
            <w:tr w14:paraId="7D2CA8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316" w:type="pct"/>
                  <w:tcBorders>
                    <w:tl2br w:val="nil"/>
                    <w:tr2bl w:val="nil"/>
                  </w:tcBorders>
                  <w:noWrap w:val="0"/>
                  <w:vAlign w:val="center"/>
                </w:tcPr>
                <w:p w14:paraId="3CB19ECA">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1061720" cy="685800"/>
                        <wp:effectExtent l="0" t="0" r="5080" b="0"/>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26"/>
                                <a:stretch>
                                  <a:fillRect/>
                                </a:stretch>
                              </pic:blipFill>
                              <pic:spPr>
                                <a:xfrm>
                                  <a:off x="0" y="0"/>
                                  <a:ext cx="1061720" cy="685800"/>
                                </a:xfrm>
                                <a:prstGeom prst="rect">
                                  <a:avLst/>
                                </a:prstGeom>
                                <a:noFill/>
                                <a:ln>
                                  <a:noFill/>
                                </a:ln>
                              </pic:spPr>
                            </pic:pic>
                          </a:graphicData>
                        </a:graphic>
                      </wp:inline>
                    </w:drawing>
                  </w:r>
                </w:p>
              </w:tc>
              <w:tc>
                <w:tcPr>
                  <w:tcW w:w="1938" w:type="pct"/>
                  <w:tcBorders>
                    <w:tl2br w:val="nil"/>
                    <w:tr2bl w:val="nil"/>
                  </w:tcBorders>
                  <w:noWrap w:val="0"/>
                  <w:vAlign w:val="center"/>
                </w:tcPr>
                <w:p w14:paraId="627D0AC3">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标</w:t>
                  </w:r>
                  <w:r>
                    <w:rPr>
                      <w:rFonts w:hint="default" w:ascii="Times New Roman" w:hAnsi="Times New Roman" w:eastAsia="宋体" w:cs="Times New Roman"/>
                      <w:color w:val="000000" w:themeColor="text1"/>
                      <w:sz w:val="21"/>
                      <w:szCs w:val="21"/>
                      <w14:textFill>
                        <w14:solidFill>
                          <w14:schemeClr w14:val="tx1"/>
                        </w14:solidFill>
                      </w14:textFill>
                    </w:rPr>
                    <w:t>志名称：危险废物</w:t>
                  </w:r>
                </w:p>
                <w:p w14:paraId="74960704">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国标代码：GB15562.1-1995</w:t>
                  </w:r>
                </w:p>
              </w:tc>
              <w:tc>
                <w:tcPr>
                  <w:tcW w:w="1745" w:type="pct"/>
                  <w:tcBorders>
                    <w:tl2br w:val="nil"/>
                    <w:tr2bl w:val="nil"/>
                  </w:tcBorders>
                  <w:noWrap w:val="0"/>
                  <w:vAlign w:val="center"/>
                </w:tcPr>
                <w:p w14:paraId="67E2956E">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危险废物</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贮存</w:t>
                  </w:r>
                  <w:r>
                    <w:rPr>
                      <w:rFonts w:hint="default" w:ascii="Times New Roman" w:hAnsi="Times New Roman" w:eastAsia="宋体" w:cs="Times New Roman"/>
                      <w:color w:val="000000" w:themeColor="text1"/>
                      <w:sz w:val="21"/>
                      <w:szCs w:val="21"/>
                      <w14:textFill>
                        <w14:solidFill>
                          <w14:schemeClr w14:val="tx1"/>
                        </w14:solidFill>
                      </w14:textFill>
                    </w:rPr>
                    <w:t>场所</w:t>
                  </w:r>
                </w:p>
              </w:tc>
            </w:tr>
          </w:tbl>
          <w:p w14:paraId="57E4BC3E">
            <w:pPr>
              <w:keepNext w:val="0"/>
              <w:keepLines w:val="0"/>
              <w:pageBreakBefore w:val="0"/>
              <w:widowControl/>
              <w:kinsoku/>
              <w:wordWrap/>
              <w:overflowPunct w:val="0"/>
              <w:topLinePunct/>
              <w:autoSpaceDE/>
              <w:autoSpaceDN/>
              <w:bidi w:val="0"/>
              <w:adjustRightInd w:val="0"/>
              <w:snapToGrid w:val="0"/>
              <w:spacing w:line="240" w:lineRule="auto"/>
              <w:ind w:firstLine="422" w:firstLineChars="200"/>
              <w:jc w:val="left"/>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3、</w:t>
            </w: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环境管理台账记录保存</w:t>
            </w:r>
          </w:p>
          <w:p w14:paraId="524FB3D9">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leftChars="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①纸质存储：应将纸质台账存放于保护袋、卷夹或保护盒等保存介质中；由专人签字、定点保存；应采取防光、防热、防潮、防细菌及防污染等措施：如有破损应及时修补</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并留存备查；保存时间原则上不低于5年。</w:t>
            </w:r>
          </w:p>
          <w:p w14:paraId="7AAB9F5A">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leftChars="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②电子化存储：应存放于电子存储介质中</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并进行数据备份；由专人定期维护管理：保存时间原则上不低于</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年</w:t>
            </w:r>
            <w:r>
              <w:rPr>
                <w:rFonts w:hint="eastAsia"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危险废物管理台账不低于</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年。</w:t>
            </w:r>
          </w:p>
          <w:p w14:paraId="5545C923">
            <w:pPr>
              <w:keepNext w:val="0"/>
              <w:keepLines w:val="0"/>
              <w:pageBreakBefore w:val="0"/>
              <w:widowControl/>
              <w:kinsoku/>
              <w:wordWrap/>
              <w:overflowPunct w:val="0"/>
              <w:topLinePunct/>
              <w:autoSpaceDE/>
              <w:autoSpaceDN/>
              <w:bidi w:val="0"/>
              <w:adjustRightInd w:val="0"/>
              <w:snapToGrid w:val="0"/>
              <w:spacing w:line="240" w:lineRule="auto"/>
              <w:ind w:firstLine="422" w:firstLineChars="200"/>
              <w:jc w:val="left"/>
              <w:rPr>
                <w:rFonts w:hint="default" w:ascii="Times New Roman" w:hAnsi="Times New Roman" w:eastAsia="Times New Roman" w:cs="Times New Roman"/>
                <w:b/>
                <w:color w:val="000000" w:themeColor="text1"/>
                <w:sz w:val="21"/>
                <w:szCs w:val="21"/>
                <w14:textFill>
                  <w14:solidFill>
                    <w14:schemeClr w14:val="tx1"/>
                  </w14:solidFill>
                </w14:textFill>
              </w:rPr>
            </w:pP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4、</w:t>
            </w:r>
            <w:r>
              <w:rPr>
                <w:rFonts w:hint="default" w:ascii="Times New Roman" w:hAnsi="Times New Roman" w:eastAsia="宋体" w:cs="Times New Roman"/>
                <w:b/>
                <w:color w:val="000000" w:themeColor="text1"/>
                <w:sz w:val="21"/>
                <w:szCs w:val="21"/>
                <w14:textFill>
                  <w14:solidFill>
                    <w14:schemeClr w14:val="tx1"/>
                  </w14:solidFill>
                </w14:textFill>
              </w:rPr>
              <w:t>编制突发环境事件应急预案</w:t>
            </w:r>
          </w:p>
          <w:p w14:paraId="0A3E3513">
            <w:pPr>
              <w:keepNext w:val="0"/>
              <w:keepLines w:val="0"/>
              <w:pageBreakBefore w:val="0"/>
              <w:widowControl/>
              <w:suppressLineNumbers w:val="0"/>
              <w:kinsoku/>
              <w:wordWrap/>
              <w:overflowPunct w:val="0"/>
              <w:topLinePunct/>
              <w:autoSpaceDE/>
              <w:autoSpaceDN/>
              <w:bidi w:val="0"/>
              <w:adjustRightInd w:val="0"/>
              <w:snapToGrid w:val="0"/>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建设单位在验收投产前需编制突发环境事件应急预案</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并报</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相关部门</w:t>
            </w:r>
            <w:r>
              <w:rPr>
                <w:rFonts w:hint="default" w:ascii="Times New Roman" w:hAnsi="Times New Roman" w:eastAsia="宋体" w:cs="Times New Roman"/>
                <w:color w:val="000000" w:themeColor="text1"/>
                <w:sz w:val="21"/>
                <w:szCs w:val="21"/>
                <w14:textFill>
                  <w14:solidFill>
                    <w14:schemeClr w14:val="tx1"/>
                  </w14:solidFill>
                </w14:textFill>
              </w:rPr>
              <w:t>进行备案。</w:t>
            </w:r>
          </w:p>
          <w:p w14:paraId="0B098D0F">
            <w:pPr>
              <w:keepNext w:val="0"/>
              <w:keepLines w:val="0"/>
              <w:pageBreakBefore w:val="0"/>
              <w:widowControl/>
              <w:numPr>
                <w:ilvl w:val="0"/>
                <w:numId w:val="0"/>
              </w:numPr>
              <w:suppressLineNumbers w:val="0"/>
              <w:tabs>
                <w:tab w:val="left" w:pos="314"/>
              </w:tabs>
              <w:kinsoku/>
              <w:wordWrap/>
              <w:overflowPunct w:val="0"/>
              <w:topLinePunct/>
              <w:autoSpaceDE/>
              <w:autoSpaceDN/>
              <w:bidi w:val="0"/>
              <w:adjustRightInd w:val="0"/>
              <w:snapToGrid w:val="0"/>
              <w:spacing w:before="0" w:beforeAutospacing="0" w:after="0" w:afterAutospacing="0" w:line="240" w:lineRule="auto"/>
              <w:ind w:left="0" w:leftChars="0" w:right="0" w:rightChars="0" w:firstLine="422" w:firstLineChars="200"/>
              <w:jc w:val="left"/>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例行监测计划</w:t>
            </w:r>
          </w:p>
          <w:p w14:paraId="3EE79273">
            <w:pPr>
              <w:keepNext w:val="0"/>
              <w:keepLines w:val="0"/>
              <w:pageBreakBefore w:val="0"/>
              <w:widowControl/>
              <w:numPr>
                <w:ilvl w:val="0"/>
                <w:numId w:val="0"/>
              </w:numPr>
              <w:suppressLineNumbers w:val="0"/>
              <w:kinsoku/>
              <w:wordWrap/>
              <w:overflowPunct w:val="0"/>
              <w:topLinePunct/>
              <w:autoSpaceDE/>
              <w:autoSpaceDN/>
              <w:bidi w:val="0"/>
              <w:adjustRightInd w:val="0"/>
              <w:snapToGrid w:val="0"/>
              <w:spacing w:before="0" w:beforeAutospacing="0" w:after="0" w:afterAutospacing="0" w:line="240" w:lineRule="auto"/>
              <w:ind w:left="0" w:right="0" w:rightChars="0" w:firstLine="420" w:firstLineChars="200"/>
              <w:jc w:val="left"/>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监测工作安排委托有资质单位完成</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参照《排污单位自行监测技术指南总则》（HJ819-2017）</w:t>
            </w:r>
            <w: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等相关规范性文件</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按照环评要求进行自行监测。</w:t>
            </w:r>
          </w:p>
          <w:p w14:paraId="4CA2D1A1">
            <w:pPr>
              <w:keepNext w:val="0"/>
              <w:keepLines w:val="0"/>
              <w:pageBreakBefore w:val="0"/>
              <w:widowControl/>
              <w:numPr>
                <w:ilvl w:val="0"/>
                <w:numId w:val="0"/>
              </w:numPr>
              <w:suppressLineNumbers w:val="0"/>
              <w:kinsoku/>
              <w:wordWrap/>
              <w:overflowPunct w:val="0"/>
              <w:topLinePunct/>
              <w:autoSpaceDE/>
              <w:autoSpaceDN/>
              <w:bidi w:val="0"/>
              <w:adjustRightInd w:val="0"/>
              <w:snapToGrid w:val="0"/>
              <w:spacing w:before="0" w:beforeAutospacing="0" w:after="0" w:afterAutospacing="0" w:line="240" w:lineRule="auto"/>
              <w:ind w:left="0" w:leftChars="0" w:right="0" w:rightChars="0" w:firstLine="422" w:firstLineChars="200"/>
              <w:jc w:val="left"/>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6</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、填报排污许可证</w:t>
            </w:r>
          </w:p>
          <w:p w14:paraId="7859A6B3">
            <w:pPr>
              <w:keepNext w:val="0"/>
              <w:keepLines w:val="0"/>
              <w:pageBreakBefore w:val="0"/>
              <w:widowControl/>
              <w:numPr>
                <w:ilvl w:val="0"/>
                <w:numId w:val="0"/>
              </w:numPr>
              <w:suppressLineNumbers w:val="0"/>
              <w:kinsoku/>
              <w:wordWrap/>
              <w:overflowPunct w:val="0"/>
              <w:topLinePunct/>
              <w:autoSpaceDE/>
              <w:autoSpaceDN/>
              <w:bidi w:val="0"/>
              <w:adjustRightInd w:val="0"/>
              <w:snapToGrid w:val="0"/>
              <w:spacing w:before="0" w:beforeAutospacing="0" w:after="0" w:afterAutospacing="0" w:line="240" w:lineRule="auto"/>
              <w:ind w:left="0" w:right="0" w:rightChars="0" w:firstLine="420" w:firstLineChars="20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建设单位在验收投产前需取得排污许可证</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按照《固定污染源排污许可分类管理名录》（2019年版）的要求</w:t>
            </w:r>
            <w:r>
              <w:rPr>
                <w:rFonts w:hint="eastAsia" w:cs="Times New Roman"/>
                <w:color w:val="000000" w:themeColor="text1"/>
                <w:kern w:val="2"/>
                <w:sz w:val="21"/>
                <w:szCs w:val="21"/>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在全国排污许可证管理平台进行排污登记申报。</w:t>
            </w:r>
          </w:p>
          <w:p w14:paraId="18772474">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77734B21">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37DE40C2">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1888DCA5">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3778F9DE">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3436AE01">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2C6F2960">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7B8CDAEC">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6D68D9CC">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1318BDB5">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08C1C1AE">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4539B267">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3ABB8F54">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0CCC6FF3">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6F07DB9E">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372C02ED">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441B39F7">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232DEAEC">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380CA11E">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332787DB">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0EDE8FFC">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09D241B2">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5C8359D1">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6D8A425E">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36A564B3">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40B7E83B">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17715C91">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09AAF582">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29D44822">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4B9FFC76">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6B14F03A">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2AE52CEF">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673D8053">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4AA157F3">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6D7EAE1D">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4C50C295">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2BFA2B64">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4365FB3D">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5259BDF7">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color w:val="000000" w:themeColor="text1"/>
                <w:sz w:val="21"/>
                <w:szCs w:val="21"/>
                <w:highlight w:val="none"/>
                <w14:textFill>
                  <w14:solidFill>
                    <w14:schemeClr w14:val="tx1"/>
                  </w14:solidFill>
                </w14:textFill>
              </w:rPr>
            </w:pPr>
          </w:p>
          <w:p w14:paraId="07774A4D">
            <w:pPr>
              <w:keepNext w:val="0"/>
              <w:keepLines w:val="0"/>
              <w:widowControl/>
              <w:suppressLineNumbers w:val="0"/>
              <w:spacing w:before="0" w:beforeAutospacing="0" w:after="0" w:afterAutospacing="0" w:line="240" w:lineRule="auto"/>
              <w:ind w:left="0" w:right="0" w:firstLine="480"/>
              <w:rPr>
                <w:rFonts w:hint="default" w:ascii="Times New Roman" w:hAnsi="Times New Roman" w:cs="Times New Roman"/>
                <w:b w:val="0"/>
                <w:bCs w:val="0"/>
                <w:color w:val="000000" w:themeColor="text1"/>
                <w:sz w:val="21"/>
                <w:szCs w:val="21"/>
                <w:highlight w:val="none"/>
                <w14:textFill>
                  <w14:solidFill>
                    <w14:schemeClr w14:val="tx1"/>
                  </w14:solidFill>
                </w14:textFill>
              </w:rPr>
            </w:pPr>
          </w:p>
          <w:p w14:paraId="30D101C1">
            <w:pPr>
              <w:pStyle w:val="23"/>
              <w:spacing w:line="240" w:lineRule="auto"/>
              <w:rPr>
                <w:rFonts w:hint="default" w:ascii="Times New Roman" w:hAnsi="Times New Roman" w:cs="Times New Roman"/>
                <w:b w:val="0"/>
                <w:bCs w:val="0"/>
                <w:color w:val="000000" w:themeColor="text1"/>
                <w:sz w:val="21"/>
                <w:szCs w:val="21"/>
                <w:highlight w:val="none"/>
                <w14:textFill>
                  <w14:solidFill>
                    <w14:schemeClr w14:val="tx1"/>
                  </w14:solidFill>
                </w14:textFill>
              </w:rPr>
            </w:pPr>
          </w:p>
          <w:p w14:paraId="5EFB9B51">
            <w:pPr>
              <w:pStyle w:val="23"/>
              <w:spacing w:line="240" w:lineRule="auto"/>
              <w:rPr>
                <w:rFonts w:hint="default" w:ascii="Times New Roman" w:hAnsi="Times New Roman" w:cs="Times New Roman"/>
                <w:b w:val="0"/>
                <w:bCs w:val="0"/>
                <w:color w:val="000000" w:themeColor="text1"/>
                <w:sz w:val="21"/>
                <w:szCs w:val="21"/>
                <w:highlight w:val="none"/>
                <w14:textFill>
                  <w14:solidFill>
                    <w14:schemeClr w14:val="tx1"/>
                  </w14:solidFill>
                </w14:textFill>
              </w:rPr>
            </w:pPr>
          </w:p>
          <w:p w14:paraId="444A3B35">
            <w:pPr>
              <w:keepNext w:val="0"/>
              <w:keepLines w:val="0"/>
              <w:widowControl w:val="0"/>
              <w:suppressLineNumbers w:val="0"/>
              <w:adjustRightInd w:val="0"/>
              <w:snapToGrid w:val="0"/>
              <w:spacing w:before="0" w:beforeAutospacing="0" w:after="0" w:afterAutospacing="0" w:line="240" w:lineRule="auto"/>
              <w:ind w:left="0" w:right="0"/>
              <w:jc w:val="both"/>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r>
    </w:tbl>
    <w:p w14:paraId="075F6F15">
      <w:pPr>
        <w:pStyle w:val="20"/>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cs="Times New Roman"/>
          <w:snapToGrid w:val="0"/>
          <w:color w:val="000000" w:themeColor="text1"/>
          <w14:textFill>
            <w14:solidFill>
              <w14:schemeClr w14:val="tx1"/>
            </w14:solidFill>
          </w14:textFill>
        </w:rPr>
        <w:br w:type="page"/>
      </w:r>
      <w:r>
        <w:rPr>
          <w:rFonts w:hint="default" w:ascii="Times New Roman" w:hAnsi="Times New Roman" w:eastAsia="黑体" w:cs="Times New Roman"/>
          <w:snapToGrid w:val="0"/>
          <w:color w:val="000000" w:themeColor="text1"/>
          <w:sz w:val="30"/>
          <w:szCs w:val="30"/>
          <w14:textFill>
            <w14:solidFill>
              <w14:schemeClr w14:val="tx1"/>
            </w14:solidFill>
          </w14:textFill>
        </w:rPr>
        <w:t>六、结论</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AB148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4DE56340">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p>
          <w:p w14:paraId="56D3DC18">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p>
          <w:p w14:paraId="7866C94A">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p>
          <w:p w14:paraId="5BC1BD2A">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p>
          <w:p w14:paraId="07C47F31">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p>
          <w:p w14:paraId="448CFC01">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p>
          <w:p w14:paraId="3AF11382">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p>
          <w:p w14:paraId="2E4AE31F">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p>
          <w:p w14:paraId="5F90A913">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p>
          <w:p w14:paraId="453FC34A">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p>
          <w:p w14:paraId="580949D9">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p>
          <w:p w14:paraId="45E5C444">
            <w:pPr>
              <w:pStyle w:val="18"/>
              <w:rPr>
                <w:snapToGrid w:val="0"/>
                <w:color w:val="000000" w:themeColor="text1"/>
                <w:kern w:val="0"/>
                <w:sz w:val="21"/>
                <w:szCs w:val="21"/>
                <w14:textFill>
                  <w14:solidFill>
                    <w14:schemeClr w14:val="tx1"/>
                  </w14:solidFill>
                </w14:textFill>
              </w:rPr>
            </w:pPr>
          </w:p>
          <w:p w14:paraId="7712C119">
            <w:pPr>
              <w:rPr>
                <w:color w:val="000000" w:themeColor="text1"/>
                <w14:textFill>
                  <w14:solidFill>
                    <w14:schemeClr w14:val="tx1"/>
                  </w14:solidFill>
                </w14:textFill>
              </w:rPr>
            </w:pPr>
          </w:p>
          <w:p w14:paraId="2D54BDDC">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p>
          <w:p w14:paraId="3D4F8D3D">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p>
          <w:p w14:paraId="2F516BBC">
            <w:pPr>
              <w:widowControl/>
              <w:adjustRightInd w:val="0"/>
              <w:spacing w:line="360" w:lineRule="auto"/>
              <w:ind w:firstLine="420" w:firstLineChars="200"/>
              <w:rPr>
                <w:snapToGrid w:val="0"/>
                <w:color w:val="000000" w:themeColor="text1"/>
                <w:kern w:val="0"/>
                <w:sz w:val="21"/>
                <w:szCs w:val="21"/>
                <w14:textFill>
                  <w14:solidFill>
                    <w14:schemeClr w14:val="tx1"/>
                  </w14:solidFill>
                </w14:textFill>
              </w:rPr>
            </w:pPr>
            <w:r>
              <w:rPr>
                <w:snapToGrid w:val="0"/>
                <w:color w:val="000000" w:themeColor="text1"/>
                <w:kern w:val="0"/>
                <w:sz w:val="21"/>
                <w:szCs w:val="21"/>
                <w14:textFill>
                  <w14:solidFill>
                    <w14:schemeClr w14:val="tx1"/>
                  </w14:solidFill>
                </w14:textFill>
              </w:rPr>
              <w:t>从环境</w:t>
            </w:r>
            <w:r>
              <w:rPr>
                <w:rFonts w:hint="eastAsia"/>
                <w:snapToGrid w:val="0"/>
                <w:color w:val="000000" w:themeColor="text1"/>
                <w:kern w:val="0"/>
                <w:sz w:val="21"/>
                <w:szCs w:val="21"/>
                <w:lang w:val="en-US" w:eastAsia="zh-CN"/>
                <w14:textFill>
                  <w14:solidFill>
                    <w14:schemeClr w14:val="tx1"/>
                  </w14:solidFill>
                </w14:textFill>
              </w:rPr>
              <w:t>保护</w:t>
            </w:r>
            <w:r>
              <w:rPr>
                <w:snapToGrid w:val="0"/>
                <w:color w:val="000000" w:themeColor="text1"/>
                <w:kern w:val="0"/>
                <w:sz w:val="21"/>
                <w:szCs w:val="21"/>
                <w14:textFill>
                  <w14:solidFill>
                    <w14:schemeClr w14:val="tx1"/>
                  </w14:solidFill>
                </w14:textFill>
              </w:rPr>
              <w:t>的角度分析</w:t>
            </w:r>
            <w:r>
              <w:rPr>
                <w:rFonts w:hint="eastAsia"/>
                <w:snapToGrid w:val="0"/>
                <w:color w:val="000000" w:themeColor="text1"/>
                <w:kern w:val="0"/>
                <w:sz w:val="21"/>
                <w:szCs w:val="21"/>
                <w:lang w:eastAsia="zh-CN"/>
                <w14:textFill>
                  <w14:solidFill>
                    <w14:schemeClr w14:val="tx1"/>
                  </w14:solidFill>
                </w14:textFill>
              </w:rPr>
              <w:t>，</w:t>
            </w:r>
            <w:r>
              <w:rPr>
                <w:snapToGrid w:val="0"/>
                <w:color w:val="000000" w:themeColor="text1"/>
                <w:kern w:val="0"/>
                <w:sz w:val="21"/>
                <w:szCs w:val="21"/>
                <w14:textFill>
                  <w14:solidFill>
                    <w14:schemeClr w14:val="tx1"/>
                  </w14:solidFill>
                </w14:textFill>
              </w:rPr>
              <w:t>项目建设</w:t>
            </w:r>
            <w:r>
              <w:rPr>
                <w:rFonts w:hint="eastAsia"/>
                <w:snapToGrid w:val="0"/>
                <w:color w:val="000000" w:themeColor="text1"/>
                <w:kern w:val="0"/>
                <w:sz w:val="21"/>
                <w:szCs w:val="21"/>
                <w:lang w:val="en-US" w:eastAsia="zh-CN"/>
                <w14:textFill>
                  <w14:solidFill>
                    <w14:schemeClr w14:val="tx1"/>
                  </w14:solidFill>
                </w14:textFill>
              </w:rPr>
              <w:t>环境影响</w:t>
            </w:r>
            <w:r>
              <w:rPr>
                <w:snapToGrid w:val="0"/>
                <w:color w:val="000000" w:themeColor="text1"/>
                <w:kern w:val="0"/>
                <w:sz w:val="21"/>
                <w:szCs w:val="21"/>
                <w14:textFill>
                  <w14:solidFill>
                    <w14:schemeClr w14:val="tx1"/>
                  </w14:solidFill>
                </w14:textFill>
              </w:rPr>
              <w:t>是可行的。</w:t>
            </w:r>
          </w:p>
          <w:p w14:paraId="2AF7B466">
            <w:pPr>
              <w:keepNext w:val="0"/>
              <w:keepLines w:val="0"/>
              <w:pageBreakBefore w:val="0"/>
              <w:widowControl w:val="0"/>
              <w:suppressLineNumbers w:val="0"/>
              <w:tabs>
                <w:tab w:val="left" w:pos="525"/>
              </w:tabs>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p>
          <w:p w14:paraId="5010DAF0">
            <w:pPr>
              <w:spacing w:line="360" w:lineRule="auto"/>
              <w:jc w:val="both"/>
              <w:rPr>
                <w:rFonts w:hint="default" w:ascii="Times New Roman" w:hAnsi="Times New Roman" w:cs="Times New Roman"/>
                <w:color w:val="000000" w:themeColor="text1"/>
                <w:sz w:val="24"/>
                <w14:textFill>
                  <w14:solidFill>
                    <w14:schemeClr w14:val="tx1"/>
                  </w14:solidFill>
                </w14:textFill>
              </w:rPr>
            </w:pPr>
          </w:p>
        </w:tc>
      </w:tr>
    </w:tbl>
    <w:p w14:paraId="2DC57135">
      <w:pPr>
        <w:rPr>
          <w:rFonts w:hint="default" w:ascii="Times New Roman" w:hAnsi="Times New Roman" w:cs="Times New Roman"/>
          <w:color w:val="000000" w:themeColor="text1"/>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0E661AF2">
      <w:pPr>
        <w:rPr>
          <w:rFonts w:hint="default" w:ascii="Times New Roman" w:hAnsi="Times New Roman" w:cs="Times New Roman"/>
          <w:color w:val="000000" w:themeColor="text1"/>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6F3D41A9">
      <w:pPr>
        <w:pStyle w:val="20"/>
        <w:adjustRightInd w:val="0"/>
        <w:snapToGrid w:val="0"/>
        <w:spacing w:before="0" w:beforeAutospacing="0" w:after="0" w:afterAutospacing="0" w:line="240" w:lineRule="auto"/>
        <w:outlineLvl w:val="0"/>
        <w:rPr>
          <w:rFonts w:hint="default" w:ascii="Times New Roman" w:hAnsi="Times New Roman" w:eastAsia="方正小标宋_GBK" w:cs="Times New Roman"/>
          <w:snapToGrid w:val="0"/>
          <w:color w:val="000000" w:themeColor="text1"/>
          <w:sz w:val="38"/>
          <w:szCs w:val="38"/>
          <w14:textFill>
            <w14:solidFill>
              <w14:schemeClr w14:val="tx1"/>
            </w14:solidFill>
          </w14:textFill>
        </w:rPr>
      </w:pPr>
      <w:r>
        <w:rPr>
          <w:rFonts w:hint="default" w:ascii="Times New Roman" w:hAnsi="Times New Roman" w:eastAsia="黑体" w:cs="Times New Roman"/>
          <w:snapToGrid w:val="0"/>
          <w:color w:val="000000" w:themeColor="text1"/>
          <w:sz w:val="32"/>
          <w:szCs w:val="32"/>
          <w14:textFill>
            <w14:solidFill>
              <w14:schemeClr w14:val="tx1"/>
            </w14:solidFill>
          </w14:textFill>
        </w:rPr>
        <w:t>附表</w:t>
      </w:r>
    </w:p>
    <w:p w14:paraId="7EC07B71">
      <w:pPr>
        <w:pStyle w:val="20"/>
        <w:adjustRightInd w:val="0"/>
        <w:snapToGrid w:val="0"/>
        <w:spacing w:before="0" w:beforeAutospacing="0" w:after="0" w:afterAutospacing="0" w:line="240" w:lineRule="auto"/>
        <w:jc w:val="center"/>
        <w:outlineLvl w:val="0"/>
        <w:rPr>
          <w:rFonts w:hint="default" w:ascii="Times New Roman" w:hAnsi="Times New Roman" w:eastAsia="方正小标宋_GBK" w:cs="Times New Roman"/>
          <w:snapToGrid w:val="0"/>
          <w:color w:val="000000" w:themeColor="text1"/>
          <w:sz w:val="38"/>
          <w:szCs w:val="38"/>
          <w14:textFill>
            <w14:solidFill>
              <w14:schemeClr w14:val="tx1"/>
            </w14:solidFill>
          </w14:textFill>
        </w:rPr>
      </w:pPr>
      <w:r>
        <w:rPr>
          <w:rFonts w:hint="default" w:ascii="Times New Roman" w:hAnsi="Times New Roman" w:eastAsia="方正小标宋_GBK" w:cs="Times New Roman"/>
          <w:snapToGrid w:val="0"/>
          <w:color w:val="000000" w:themeColor="text1"/>
          <w:sz w:val="38"/>
          <w:szCs w:val="38"/>
          <w14:textFill>
            <w14:solidFill>
              <w14:schemeClr w14:val="tx1"/>
            </w14:solidFill>
          </w14:textFill>
        </w:rPr>
        <w:t>建设项目污染物排放量汇总表</w:t>
      </w:r>
    </w:p>
    <w:tbl>
      <w:tblPr>
        <w:tblStyle w:val="24"/>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9"/>
        <w:gridCol w:w="1616"/>
        <w:gridCol w:w="1701"/>
        <w:gridCol w:w="1276"/>
        <w:gridCol w:w="1701"/>
        <w:gridCol w:w="1559"/>
        <w:gridCol w:w="1761"/>
        <w:gridCol w:w="1422"/>
        <w:gridCol w:w="1363"/>
      </w:tblGrid>
      <w:tr w14:paraId="76B2AE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tcBorders>
              <w:tl2br w:val="single" w:color="auto" w:sz="4" w:space="0"/>
            </w:tcBorders>
            <w:noWrap w:val="0"/>
            <w:tcMar>
              <w:left w:w="28" w:type="dxa"/>
              <w:right w:w="28" w:type="dxa"/>
            </w:tcMar>
            <w:vAlign w:val="center"/>
          </w:tcPr>
          <w:p w14:paraId="59474058">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项目</w:t>
            </w:r>
          </w:p>
          <w:p w14:paraId="6F8BBBFC">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分类</w:t>
            </w:r>
          </w:p>
        </w:tc>
        <w:tc>
          <w:tcPr>
            <w:tcW w:w="1616" w:type="dxa"/>
            <w:noWrap w:val="0"/>
            <w:tcMar>
              <w:left w:w="28" w:type="dxa"/>
              <w:right w:w="28" w:type="dxa"/>
            </w:tcMar>
            <w:vAlign w:val="center"/>
          </w:tcPr>
          <w:p w14:paraId="0C74C8D0">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污染物名称</w:t>
            </w:r>
          </w:p>
        </w:tc>
        <w:tc>
          <w:tcPr>
            <w:tcW w:w="1701" w:type="dxa"/>
            <w:noWrap w:val="0"/>
            <w:tcMar>
              <w:left w:w="28" w:type="dxa"/>
              <w:right w:w="28" w:type="dxa"/>
            </w:tcMar>
            <w:vAlign w:val="center"/>
          </w:tcPr>
          <w:p w14:paraId="2F64CF6A">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现有工程</w:t>
            </w:r>
          </w:p>
          <w:p w14:paraId="10EFAED4">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1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 w:val="21"/>
                <w:szCs w:val="21"/>
                <w14:textFill>
                  <w14:solidFill>
                    <w14:schemeClr w14:val="tx1"/>
                  </w14:solidFill>
                </w14:textFill>
              </w:rPr>
              <w:t>①</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c>
          <w:tcPr>
            <w:tcW w:w="1276" w:type="dxa"/>
            <w:noWrap w:val="0"/>
            <w:tcMar>
              <w:left w:w="28" w:type="dxa"/>
              <w:right w:w="28" w:type="dxa"/>
            </w:tcMar>
            <w:vAlign w:val="center"/>
          </w:tcPr>
          <w:p w14:paraId="436F2292">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现有工程</w:t>
            </w:r>
          </w:p>
          <w:p w14:paraId="7FE9DB9B">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许可排放量</w:t>
            </w:r>
          </w:p>
          <w:p w14:paraId="50766131">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2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②</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c>
          <w:tcPr>
            <w:tcW w:w="1701" w:type="dxa"/>
            <w:noWrap w:val="0"/>
            <w:tcMar>
              <w:left w:w="28" w:type="dxa"/>
              <w:right w:w="28" w:type="dxa"/>
            </w:tcMar>
            <w:vAlign w:val="center"/>
          </w:tcPr>
          <w:p w14:paraId="4F2BA76E">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在建工程</w:t>
            </w:r>
          </w:p>
          <w:p w14:paraId="664CC167">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3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 w:val="21"/>
                <w:szCs w:val="21"/>
                <w14:textFill>
                  <w14:solidFill>
                    <w14:schemeClr w14:val="tx1"/>
                  </w14:solidFill>
                </w14:textFill>
              </w:rPr>
              <w:t>③</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c>
          <w:tcPr>
            <w:tcW w:w="1559" w:type="dxa"/>
            <w:noWrap w:val="0"/>
            <w:tcMar>
              <w:left w:w="28" w:type="dxa"/>
              <w:right w:w="28" w:type="dxa"/>
            </w:tcMar>
            <w:vAlign w:val="center"/>
          </w:tcPr>
          <w:p w14:paraId="10ED72AE">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本项目</w:t>
            </w:r>
          </w:p>
          <w:p w14:paraId="79EC7EC9">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4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 w:val="21"/>
                <w:szCs w:val="21"/>
                <w14:textFill>
                  <w14:solidFill>
                    <w14:schemeClr w14:val="tx1"/>
                  </w14:solidFill>
                </w14:textFill>
              </w:rPr>
              <w:t>④</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c>
          <w:tcPr>
            <w:tcW w:w="1761" w:type="dxa"/>
            <w:noWrap w:val="0"/>
            <w:tcMar>
              <w:left w:w="28" w:type="dxa"/>
              <w:right w:w="28" w:type="dxa"/>
            </w:tcMar>
            <w:vAlign w:val="center"/>
          </w:tcPr>
          <w:p w14:paraId="3DC09A04">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t>以新带老削减量</w:t>
            </w:r>
          </w:p>
          <w:p w14:paraId="728078A4">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t>（新建项目不填）</w: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instrText xml:space="preserve"> = 5 \* GB3 \* MERGEFORMAT </w:instrTex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 w:val="21"/>
                <w:szCs w:val="21"/>
                <w14:textFill>
                  <w14:solidFill>
                    <w14:schemeClr w14:val="tx1"/>
                  </w14:solidFill>
                </w14:textFill>
              </w:rPr>
              <w:t>⑤</w: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end"/>
            </w:r>
          </w:p>
        </w:tc>
        <w:tc>
          <w:tcPr>
            <w:tcW w:w="1422" w:type="dxa"/>
            <w:noWrap w:val="0"/>
            <w:tcMar>
              <w:left w:w="28" w:type="dxa"/>
              <w:right w:w="28" w:type="dxa"/>
            </w:tcMar>
            <w:vAlign w:val="center"/>
          </w:tcPr>
          <w:p w14:paraId="664DA64E">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t>本项目建成后全厂排放量（固体废物产生量）</w: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instrText xml:space="preserve"> = 6 \* GB3 \* MERGEFORMAT </w:instrTex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 w:val="21"/>
                <w:szCs w:val="21"/>
                <w14:textFill>
                  <w14:solidFill>
                    <w14:schemeClr w14:val="tx1"/>
                  </w14:solidFill>
                </w14:textFill>
              </w:rPr>
              <w:t>⑥</w:t>
            </w:r>
            <w:r>
              <w:rPr>
                <w:rFonts w:hint="default" w:ascii="Times New Roman" w:hAnsi="Times New Roman" w:eastAsia="黑体" w:cs="Times New Roman"/>
                <w:snapToGrid w:val="0"/>
                <w:color w:val="000000" w:themeColor="text1"/>
                <w:spacing w:val="-16"/>
                <w:kern w:val="21"/>
                <w:sz w:val="21"/>
                <w:szCs w:val="21"/>
                <w14:textFill>
                  <w14:solidFill>
                    <w14:schemeClr w14:val="tx1"/>
                  </w14:solidFill>
                </w14:textFill>
              </w:rPr>
              <w:fldChar w:fldCharType="end"/>
            </w:r>
          </w:p>
        </w:tc>
        <w:tc>
          <w:tcPr>
            <w:tcW w:w="1363" w:type="dxa"/>
            <w:noWrap w:val="0"/>
            <w:tcMar>
              <w:left w:w="28" w:type="dxa"/>
              <w:right w:w="28" w:type="dxa"/>
            </w:tcMar>
            <w:vAlign w:val="center"/>
          </w:tcPr>
          <w:p w14:paraId="259CD193">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t>变化量</w:t>
            </w:r>
          </w:p>
          <w:p w14:paraId="269654C7">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pP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instrText xml:space="preserve"> = 7 \* GB3 \* MERGEFORMAT </w:instrTex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黑体" w:cs="Times New Roman"/>
                <w:color w:val="000000" w:themeColor="text1"/>
                <w:kern w:val="2"/>
                <w:sz w:val="21"/>
                <w:szCs w:val="21"/>
                <w14:textFill>
                  <w14:solidFill>
                    <w14:schemeClr w14:val="tx1"/>
                  </w14:solidFill>
                </w14:textFill>
              </w:rPr>
              <w:t>⑦</w:t>
            </w:r>
            <w:r>
              <w:rPr>
                <w:rFonts w:hint="default" w:ascii="Times New Roman" w:hAnsi="Times New Roman" w:eastAsia="黑体" w:cs="Times New Roman"/>
                <w:snapToGrid w:val="0"/>
                <w:color w:val="000000" w:themeColor="text1"/>
                <w:spacing w:val="-6"/>
                <w:kern w:val="21"/>
                <w:sz w:val="21"/>
                <w:szCs w:val="21"/>
                <w14:textFill>
                  <w14:solidFill>
                    <w14:schemeClr w14:val="tx1"/>
                  </w14:solidFill>
                </w14:textFill>
              </w:rPr>
              <w:fldChar w:fldCharType="end"/>
            </w:r>
          </w:p>
        </w:tc>
      </w:tr>
      <w:tr w14:paraId="5BEE21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89" w:type="dxa"/>
            <w:noWrap w:val="0"/>
            <w:vAlign w:val="center"/>
          </w:tcPr>
          <w:p w14:paraId="62E9156F">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 w:val="21"/>
                <w:szCs w:val="21"/>
                <w:highlight w:val="none"/>
                <w14:textFill>
                  <w14:solidFill>
                    <w14:schemeClr w14:val="tx1"/>
                  </w14:solidFill>
                </w14:textFill>
              </w:rPr>
              <w:t>废气</w:t>
            </w:r>
          </w:p>
        </w:tc>
        <w:tc>
          <w:tcPr>
            <w:tcW w:w="1616" w:type="dxa"/>
            <w:shd w:val="clear" w:color="auto" w:fill="auto"/>
            <w:noWrap w:val="0"/>
            <w:vAlign w:val="center"/>
          </w:tcPr>
          <w:p w14:paraId="3DC2CFED">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cs="Times New Roman"/>
                <w:snapToGrid w:val="0"/>
                <w:color w:val="000000" w:themeColor="text1"/>
                <w:kern w:val="21"/>
                <w:sz w:val="21"/>
                <w:szCs w:val="21"/>
                <w:highlight w:val="none"/>
                <w:lang w:val="en-US" w:eastAsia="zh-CN"/>
                <w14:textFill>
                  <w14:solidFill>
                    <w14:schemeClr w14:val="tx1"/>
                  </w14:solidFill>
                </w14:textFill>
              </w:rPr>
              <w:t>颗粒物</w:t>
            </w:r>
          </w:p>
        </w:tc>
        <w:tc>
          <w:tcPr>
            <w:tcW w:w="1701" w:type="dxa"/>
            <w:shd w:val="clear" w:color="auto" w:fill="auto"/>
            <w:noWrap w:val="0"/>
            <w:vAlign w:val="center"/>
          </w:tcPr>
          <w:p w14:paraId="4A9A9CEE">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276" w:type="dxa"/>
            <w:shd w:val="clear" w:color="auto" w:fill="auto"/>
            <w:noWrap w:val="0"/>
            <w:vAlign w:val="center"/>
          </w:tcPr>
          <w:p w14:paraId="15F28916">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shd w:val="clear" w:color="auto" w:fill="auto"/>
            <w:noWrap w:val="0"/>
            <w:vAlign w:val="center"/>
          </w:tcPr>
          <w:p w14:paraId="225C98C9">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shd w:val="clear" w:color="auto" w:fill="auto"/>
            <w:noWrap w:val="0"/>
            <w:vAlign w:val="center"/>
          </w:tcPr>
          <w:p w14:paraId="3D8266CE">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0.006</w:t>
            </w:r>
            <w:r>
              <w:rPr>
                <w:rFonts w:hint="default" w:ascii="Times New Roman" w:hAnsi="Times New Roman" w:cs="Times New Roman"/>
                <w:color w:val="000000" w:themeColor="text1"/>
                <w:sz w:val="21"/>
                <w:szCs w:val="21"/>
                <w14:textFill>
                  <w14:solidFill>
                    <w14:schemeClr w14:val="tx1"/>
                  </w14:solidFill>
                </w14:textFill>
              </w:rPr>
              <w:t>t/a</w:t>
            </w:r>
          </w:p>
        </w:tc>
        <w:tc>
          <w:tcPr>
            <w:tcW w:w="1761" w:type="dxa"/>
            <w:shd w:val="clear" w:color="auto" w:fill="auto"/>
            <w:noWrap w:val="0"/>
            <w:vAlign w:val="center"/>
          </w:tcPr>
          <w:p w14:paraId="1AED374F">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422" w:type="dxa"/>
            <w:shd w:val="clear" w:color="auto" w:fill="auto"/>
            <w:noWrap w:val="0"/>
            <w:vAlign w:val="center"/>
          </w:tcPr>
          <w:p w14:paraId="501EFE0B">
            <w:pPr>
              <w:keepNext w:val="0"/>
              <w:keepLines w:val="0"/>
              <w:widowControl/>
              <w:suppressLineNumbers w:val="0"/>
              <w:jc w:val="center"/>
              <w:textAlignment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0.006</w:t>
            </w:r>
            <w:r>
              <w:rPr>
                <w:rFonts w:hint="default" w:ascii="Times New Roman" w:hAnsi="Times New Roman" w:cs="Times New Roman"/>
                <w:color w:val="000000" w:themeColor="text1"/>
                <w:sz w:val="21"/>
                <w:szCs w:val="21"/>
                <w14:textFill>
                  <w14:solidFill>
                    <w14:schemeClr w14:val="tx1"/>
                  </w14:solidFill>
                </w14:textFill>
              </w:rPr>
              <w:t>t/a</w:t>
            </w:r>
          </w:p>
        </w:tc>
        <w:tc>
          <w:tcPr>
            <w:tcW w:w="1363" w:type="dxa"/>
            <w:shd w:val="clear" w:color="auto" w:fill="auto"/>
            <w:noWrap w:val="0"/>
            <w:vAlign w:val="center"/>
          </w:tcPr>
          <w:p w14:paraId="12F2EF40">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+0.006</w:t>
            </w:r>
            <w:r>
              <w:rPr>
                <w:rFonts w:hint="default" w:ascii="Times New Roman" w:hAnsi="Times New Roman" w:cs="Times New Roman"/>
                <w:color w:val="000000" w:themeColor="text1"/>
                <w:sz w:val="21"/>
                <w:szCs w:val="21"/>
                <w14:textFill>
                  <w14:solidFill>
                    <w14:schemeClr w14:val="tx1"/>
                  </w14:solidFill>
                </w14:textFill>
              </w:rPr>
              <w:t>t/a</w:t>
            </w:r>
          </w:p>
        </w:tc>
      </w:tr>
      <w:tr w14:paraId="1C3759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restart"/>
            <w:noWrap w:val="0"/>
            <w:vAlign w:val="center"/>
          </w:tcPr>
          <w:p w14:paraId="75AE1649">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废水</w:t>
            </w:r>
          </w:p>
        </w:tc>
        <w:tc>
          <w:tcPr>
            <w:tcW w:w="1616" w:type="dxa"/>
            <w:noWrap w:val="0"/>
            <w:vAlign w:val="center"/>
          </w:tcPr>
          <w:p w14:paraId="3B82E84D">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highlight w:val="none"/>
                <w:lang w:val="en-US" w:eastAsia="zh-CN"/>
                <w14:textFill>
                  <w14:solidFill>
                    <w14:schemeClr w14:val="tx1"/>
                  </w14:solidFill>
                </w14:textFill>
              </w:rPr>
            </w:pPr>
            <w:r>
              <w:rPr>
                <w:rFonts w:hint="eastAsia" w:ascii="Times New Roman" w:hAnsi="Times New Roman" w:cs="Times New Roman"/>
                <w:snapToGrid w:val="0"/>
                <w:color w:val="000000" w:themeColor="text1"/>
                <w:kern w:val="21"/>
                <w:sz w:val="21"/>
                <w:szCs w:val="21"/>
                <w:highlight w:val="none"/>
                <w:lang w:val="en-US" w:eastAsia="zh-CN"/>
                <w14:textFill>
                  <w14:solidFill>
                    <w14:schemeClr w14:val="tx1"/>
                  </w14:solidFill>
                </w14:textFill>
              </w:rPr>
              <w:t>废水量</w:t>
            </w:r>
          </w:p>
        </w:tc>
        <w:tc>
          <w:tcPr>
            <w:tcW w:w="1701" w:type="dxa"/>
            <w:shd w:val="clear" w:color="auto" w:fill="auto"/>
            <w:noWrap w:val="0"/>
            <w:vAlign w:val="center"/>
          </w:tcPr>
          <w:p w14:paraId="529B652E">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276" w:type="dxa"/>
            <w:noWrap w:val="0"/>
            <w:vAlign w:val="center"/>
          </w:tcPr>
          <w:p w14:paraId="04ACB77F">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15D01489">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318BE299">
            <w:pPr>
              <w:keepNext w:val="0"/>
              <w:keepLines w:val="0"/>
              <w:widowControl/>
              <w:suppressLineNumbers w:val="0"/>
              <w:jc w:val="center"/>
              <w:textAlignment w:val="center"/>
              <w:rPr>
                <w:rFonts w:hint="default" w:cs="Times New Roman"/>
                <w:snapToGrid w:val="0"/>
                <w:color w:val="000000" w:themeColor="text1"/>
                <w:kern w:val="2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84</w:t>
            </w:r>
            <w:r>
              <w:rPr>
                <w:rFonts w:hint="default" w:ascii="Times New Roman" w:hAnsi="Times New Roman" w:cs="Times New Roman"/>
                <w:color w:val="000000" w:themeColor="text1"/>
                <w:sz w:val="21"/>
                <w:szCs w:val="21"/>
                <w14:textFill>
                  <w14:solidFill>
                    <w14:schemeClr w14:val="tx1"/>
                  </w14:solidFill>
                </w14:textFill>
              </w:rPr>
              <w:t>t/a</w:t>
            </w:r>
          </w:p>
        </w:tc>
        <w:tc>
          <w:tcPr>
            <w:tcW w:w="1761" w:type="dxa"/>
            <w:shd w:val="clear" w:color="auto" w:fill="auto"/>
            <w:noWrap w:val="0"/>
            <w:vAlign w:val="center"/>
          </w:tcPr>
          <w:p w14:paraId="0E06FA68">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422" w:type="dxa"/>
            <w:noWrap w:val="0"/>
            <w:vAlign w:val="center"/>
          </w:tcPr>
          <w:p w14:paraId="7824EE79">
            <w:pPr>
              <w:keepNext w:val="0"/>
              <w:keepLines w:val="0"/>
              <w:widowControl/>
              <w:suppressLineNumbers w:val="0"/>
              <w:jc w:val="center"/>
              <w:textAlignment w:val="center"/>
              <w:rPr>
                <w:rFonts w:hint="eastAsia" w:cs="Times New Roman"/>
                <w:snapToGrid w:val="0"/>
                <w:color w:val="000000" w:themeColor="text1"/>
                <w:kern w:val="2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84</w:t>
            </w:r>
            <w:r>
              <w:rPr>
                <w:rFonts w:hint="default" w:ascii="Times New Roman" w:hAnsi="Times New Roman" w:cs="Times New Roman"/>
                <w:color w:val="000000" w:themeColor="text1"/>
                <w:sz w:val="21"/>
                <w:szCs w:val="21"/>
                <w14:textFill>
                  <w14:solidFill>
                    <w14:schemeClr w14:val="tx1"/>
                  </w14:solidFill>
                </w14:textFill>
              </w:rPr>
              <w:t>t/a</w:t>
            </w:r>
          </w:p>
        </w:tc>
        <w:tc>
          <w:tcPr>
            <w:tcW w:w="1363" w:type="dxa"/>
            <w:noWrap w:val="0"/>
            <w:vAlign w:val="center"/>
          </w:tcPr>
          <w:p w14:paraId="067809A4">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eastAsia"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+84</w:t>
            </w:r>
            <w:r>
              <w:rPr>
                <w:rFonts w:hint="default" w:ascii="Times New Roman" w:hAnsi="Times New Roman" w:cs="Times New Roman"/>
                <w:color w:val="000000" w:themeColor="text1"/>
                <w:sz w:val="21"/>
                <w:szCs w:val="21"/>
                <w14:textFill>
                  <w14:solidFill>
                    <w14:schemeClr w14:val="tx1"/>
                  </w14:solidFill>
                </w14:textFill>
              </w:rPr>
              <w:t>t/a</w:t>
            </w:r>
          </w:p>
        </w:tc>
      </w:tr>
      <w:tr w14:paraId="542202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continue"/>
            <w:noWrap w:val="0"/>
            <w:vAlign w:val="center"/>
          </w:tcPr>
          <w:p w14:paraId="06722B3D">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p>
        </w:tc>
        <w:tc>
          <w:tcPr>
            <w:tcW w:w="1616" w:type="dxa"/>
            <w:noWrap w:val="0"/>
            <w:vAlign w:val="center"/>
          </w:tcPr>
          <w:p w14:paraId="34460FCF">
            <w:pPr>
              <w:widowControl/>
              <w:spacing w:line="320" w:lineRule="exact"/>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COD</w:t>
            </w:r>
          </w:p>
        </w:tc>
        <w:tc>
          <w:tcPr>
            <w:tcW w:w="1701" w:type="dxa"/>
            <w:shd w:val="clear" w:color="auto" w:fill="auto"/>
            <w:noWrap w:val="0"/>
            <w:vAlign w:val="center"/>
          </w:tcPr>
          <w:p w14:paraId="07B1CFF3">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276" w:type="dxa"/>
            <w:noWrap w:val="0"/>
            <w:vAlign w:val="center"/>
          </w:tcPr>
          <w:p w14:paraId="5C981BF3">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0B67D0D9">
            <w:pPr>
              <w:widowControl/>
              <w:spacing w:line="320" w:lineRule="exact"/>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01B6417D">
            <w:pPr>
              <w:widowControl/>
              <w:spacing w:line="320" w:lineRule="exact"/>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025</w:t>
            </w:r>
            <w:r>
              <w:rPr>
                <w:rFonts w:hint="default" w:ascii="Times New Roman" w:hAnsi="Times New Roman" w:cs="Times New Roman"/>
                <w:color w:val="000000" w:themeColor="text1"/>
                <w:sz w:val="21"/>
                <w:szCs w:val="21"/>
                <w14:textFill>
                  <w14:solidFill>
                    <w14:schemeClr w14:val="tx1"/>
                  </w14:solidFill>
                </w14:textFill>
              </w:rPr>
              <w:t>t/a</w:t>
            </w:r>
          </w:p>
        </w:tc>
        <w:tc>
          <w:tcPr>
            <w:tcW w:w="1761" w:type="dxa"/>
            <w:shd w:val="clear" w:color="auto" w:fill="auto"/>
            <w:noWrap w:val="0"/>
            <w:vAlign w:val="center"/>
          </w:tcPr>
          <w:p w14:paraId="211910DD">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422" w:type="dxa"/>
            <w:noWrap w:val="0"/>
            <w:vAlign w:val="center"/>
          </w:tcPr>
          <w:p w14:paraId="3D25B41D">
            <w:pPr>
              <w:widowControl/>
              <w:spacing w:line="320" w:lineRule="exact"/>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025</w:t>
            </w:r>
            <w:r>
              <w:rPr>
                <w:rFonts w:hint="default" w:ascii="Times New Roman" w:hAnsi="Times New Roman" w:cs="Times New Roman"/>
                <w:color w:val="000000" w:themeColor="text1"/>
                <w:sz w:val="21"/>
                <w:szCs w:val="21"/>
                <w14:textFill>
                  <w14:solidFill>
                    <w14:schemeClr w14:val="tx1"/>
                  </w14:solidFill>
                </w14:textFill>
              </w:rPr>
              <w:t>t/a</w:t>
            </w:r>
          </w:p>
        </w:tc>
        <w:tc>
          <w:tcPr>
            <w:tcW w:w="1363" w:type="dxa"/>
            <w:noWrap w:val="0"/>
            <w:vAlign w:val="center"/>
          </w:tcPr>
          <w:p w14:paraId="470939A9">
            <w:pPr>
              <w:widowControl/>
              <w:spacing w:line="320" w:lineRule="exact"/>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0.</w:t>
            </w:r>
            <w:r>
              <w:rPr>
                <w:rFonts w:hint="eastAsia" w:cs="Times New Roman"/>
                <w:color w:val="000000" w:themeColor="text1"/>
                <w:sz w:val="21"/>
                <w:szCs w:val="21"/>
                <w:lang w:val="en-US" w:eastAsia="zh-CN"/>
                <w14:textFill>
                  <w14:solidFill>
                    <w14:schemeClr w14:val="tx1"/>
                  </w14:solidFill>
                </w14:textFill>
              </w:rPr>
              <w:t>025</w:t>
            </w:r>
            <w:r>
              <w:rPr>
                <w:rFonts w:hint="default" w:ascii="Times New Roman" w:hAnsi="Times New Roman" w:cs="Times New Roman"/>
                <w:color w:val="000000" w:themeColor="text1"/>
                <w:sz w:val="21"/>
                <w:szCs w:val="21"/>
                <w14:textFill>
                  <w14:solidFill>
                    <w14:schemeClr w14:val="tx1"/>
                  </w14:solidFill>
                </w14:textFill>
              </w:rPr>
              <w:t>t/a</w:t>
            </w:r>
          </w:p>
        </w:tc>
      </w:tr>
      <w:tr w14:paraId="58837E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continue"/>
            <w:noWrap w:val="0"/>
            <w:vAlign w:val="center"/>
          </w:tcPr>
          <w:p w14:paraId="0D51D85C">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616" w:type="dxa"/>
            <w:noWrap w:val="0"/>
            <w:vAlign w:val="center"/>
          </w:tcPr>
          <w:p w14:paraId="43ABB112">
            <w:pPr>
              <w:widowControl/>
              <w:spacing w:line="320" w:lineRule="exact"/>
              <w:jc w:val="center"/>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氨氮</w:t>
            </w:r>
          </w:p>
        </w:tc>
        <w:tc>
          <w:tcPr>
            <w:tcW w:w="1701" w:type="dxa"/>
            <w:shd w:val="clear" w:color="auto" w:fill="auto"/>
            <w:noWrap w:val="0"/>
            <w:vAlign w:val="center"/>
          </w:tcPr>
          <w:p w14:paraId="6560464D">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276" w:type="dxa"/>
            <w:noWrap w:val="0"/>
            <w:vAlign w:val="center"/>
          </w:tcPr>
          <w:p w14:paraId="3FAF49B5">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7444710D">
            <w:pPr>
              <w:widowControl/>
              <w:spacing w:line="320" w:lineRule="exact"/>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0197D1B9">
            <w:pPr>
              <w:widowControl/>
              <w:spacing w:line="320" w:lineRule="exact"/>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w:t>
            </w:r>
            <w:r>
              <w:rPr>
                <w:rFonts w:hint="eastAsia" w:cs="Times New Roman"/>
                <w:color w:val="000000" w:themeColor="text1"/>
                <w:sz w:val="21"/>
                <w:szCs w:val="21"/>
                <w:lang w:val="en-US" w:eastAsia="zh-CN"/>
                <w14:textFill>
                  <w14:solidFill>
                    <w14:schemeClr w14:val="tx1"/>
                  </w14:solidFill>
                </w14:textFill>
              </w:rPr>
              <w:t>03</w:t>
            </w:r>
            <w:r>
              <w:rPr>
                <w:rFonts w:hint="default" w:ascii="Times New Roman" w:hAnsi="Times New Roman" w:cs="Times New Roman"/>
                <w:color w:val="000000" w:themeColor="text1"/>
                <w:sz w:val="21"/>
                <w:szCs w:val="21"/>
                <w14:textFill>
                  <w14:solidFill>
                    <w14:schemeClr w14:val="tx1"/>
                  </w14:solidFill>
                </w14:textFill>
              </w:rPr>
              <w:t>t/a</w:t>
            </w:r>
          </w:p>
        </w:tc>
        <w:tc>
          <w:tcPr>
            <w:tcW w:w="1761" w:type="dxa"/>
            <w:shd w:val="clear" w:color="auto" w:fill="auto"/>
            <w:noWrap w:val="0"/>
            <w:vAlign w:val="center"/>
          </w:tcPr>
          <w:p w14:paraId="24159FC7">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422" w:type="dxa"/>
            <w:noWrap w:val="0"/>
            <w:vAlign w:val="center"/>
          </w:tcPr>
          <w:p w14:paraId="1C2ED5CD">
            <w:pPr>
              <w:widowControl/>
              <w:spacing w:line="320" w:lineRule="exact"/>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w:t>
            </w:r>
            <w:r>
              <w:rPr>
                <w:rFonts w:hint="eastAsia" w:cs="Times New Roman"/>
                <w:color w:val="000000" w:themeColor="text1"/>
                <w:sz w:val="21"/>
                <w:szCs w:val="21"/>
                <w:lang w:val="en-US" w:eastAsia="zh-CN"/>
                <w14:textFill>
                  <w14:solidFill>
                    <w14:schemeClr w14:val="tx1"/>
                  </w14:solidFill>
                </w14:textFill>
              </w:rPr>
              <w:t>03</w:t>
            </w:r>
            <w:r>
              <w:rPr>
                <w:rFonts w:hint="default" w:ascii="Times New Roman" w:hAnsi="Times New Roman" w:cs="Times New Roman"/>
                <w:color w:val="000000" w:themeColor="text1"/>
                <w:sz w:val="21"/>
                <w:szCs w:val="21"/>
                <w14:textFill>
                  <w14:solidFill>
                    <w14:schemeClr w14:val="tx1"/>
                  </w14:solidFill>
                </w14:textFill>
              </w:rPr>
              <w:t>t/a</w:t>
            </w:r>
          </w:p>
        </w:tc>
        <w:tc>
          <w:tcPr>
            <w:tcW w:w="1363" w:type="dxa"/>
            <w:noWrap w:val="0"/>
            <w:vAlign w:val="center"/>
          </w:tcPr>
          <w:p w14:paraId="5A829B7C">
            <w:pPr>
              <w:widowControl/>
              <w:spacing w:line="320" w:lineRule="exact"/>
              <w:jc w:val="cente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0.0</w:t>
            </w:r>
            <w:r>
              <w:rPr>
                <w:rFonts w:hint="eastAsia" w:cs="Times New Roman"/>
                <w:color w:val="000000" w:themeColor="text1"/>
                <w:sz w:val="21"/>
                <w:szCs w:val="21"/>
                <w:lang w:val="en-US" w:eastAsia="zh-CN"/>
                <w14:textFill>
                  <w14:solidFill>
                    <w14:schemeClr w14:val="tx1"/>
                  </w14:solidFill>
                </w14:textFill>
              </w:rPr>
              <w:t>03</w:t>
            </w:r>
            <w:r>
              <w:rPr>
                <w:rFonts w:hint="default" w:ascii="Times New Roman" w:hAnsi="Times New Roman" w:cs="Times New Roman"/>
                <w:color w:val="000000" w:themeColor="text1"/>
                <w:sz w:val="21"/>
                <w:szCs w:val="21"/>
                <w14:textFill>
                  <w14:solidFill>
                    <w14:schemeClr w14:val="tx1"/>
                  </w14:solidFill>
                </w14:textFill>
              </w:rPr>
              <w:t>t/a</w:t>
            </w:r>
          </w:p>
        </w:tc>
      </w:tr>
      <w:tr w14:paraId="39011E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restart"/>
            <w:noWrap w:val="0"/>
            <w:vAlign w:val="center"/>
          </w:tcPr>
          <w:p w14:paraId="7E6F9371">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固废</w:t>
            </w:r>
          </w:p>
        </w:tc>
        <w:tc>
          <w:tcPr>
            <w:tcW w:w="1616" w:type="dxa"/>
            <w:noWrap w:val="0"/>
            <w:vAlign w:val="center"/>
          </w:tcPr>
          <w:p w14:paraId="544CDA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生活垃圾</w:t>
            </w:r>
          </w:p>
        </w:tc>
        <w:tc>
          <w:tcPr>
            <w:tcW w:w="1701" w:type="dxa"/>
            <w:shd w:val="clear" w:color="auto" w:fill="auto"/>
            <w:noWrap w:val="0"/>
            <w:vAlign w:val="center"/>
          </w:tcPr>
          <w:p w14:paraId="2F366F87">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276" w:type="dxa"/>
            <w:noWrap w:val="0"/>
            <w:vAlign w:val="center"/>
          </w:tcPr>
          <w:p w14:paraId="4C0CDE45">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74AB27A7">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670509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1.32</w:t>
            </w:r>
            <w:r>
              <w:rPr>
                <w:rFonts w:hint="default" w:ascii="Times New Roman" w:hAnsi="Times New Roman" w:cs="Times New Roman"/>
                <w:color w:val="000000" w:themeColor="text1"/>
                <w:sz w:val="21"/>
                <w:szCs w:val="21"/>
                <w14:textFill>
                  <w14:solidFill>
                    <w14:schemeClr w14:val="tx1"/>
                  </w14:solidFill>
                </w14:textFill>
              </w:rPr>
              <w:t>t/a</w:t>
            </w:r>
          </w:p>
        </w:tc>
        <w:tc>
          <w:tcPr>
            <w:tcW w:w="1761" w:type="dxa"/>
            <w:shd w:val="clear" w:color="auto" w:fill="auto"/>
            <w:noWrap w:val="0"/>
            <w:vAlign w:val="center"/>
          </w:tcPr>
          <w:p w14:paraId="6001ED5C">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422" w:type="dxa"/>
            <w:noWrap w:val="0"/>
            <w:vAlign w:val="center"/>
          </w:tcPr>
          <w:p w14:paraId="11AB6A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1.32</w:t>
            </w:r>
            <w:r>
              <w:rPr>
                <w:rFonts w:hint="default" w:ascii="Times New Roman" w:hAnsi="Times New Roman" w:cs="Times New Roman"/>
                <w:color w:val="000000" w:themeColor="text1"/>
                <w:sz w:val="21"/>
                <w:szCs w:val="21"/>
                <w14:textFill>
                  <w14:solidFill>
                    <w14:schemeClr w14:val="tx1"/>
                  </w14:solidFill>
                </w14:textFill>
              </w:rPr>
              <w:t>t/a</w:t>
            </w:r>
          </w:p>
        </w:tc>
        <w:tc>
          <w:tcPr>
            <w:tcW w:w="1363" w:type="dxa"/>
            <w:noWrap w:val="0"/>
            <w:vAlign w:val="center"/>
          </w:tcPr>
          <w:p w14:paraId="40DEB9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r>
              <w:rPr>
                <w:rFonts w:hint="eastAsia" w:cs="Times New Roman"/>
                <w:b w:val="0"/>
                <w:bCs w:val="0"/>
                <w:color w:val="000000" w:themeColor="text1"/>
                <w:sz w:val="21"/>
                <w:szCs w:val="21"/>
                <w:lang w:val="en-US" w:eastAsia="zh-CN"/>
                <w14:textFill>
                  <w14:solidFill>
                    <w14:schemeClr w14:val="tx1"/>
                  </w14:solidFill>
                </w14:textFill>
              </w:rPr>
              <w:t>1.32</w:t>
            </w:r>
            <w:r>
              <w:rPr>
                <w:rFonts w:hint="default" w:ascii="Times New Roman" w:hAnsi="Times New Roman" w:cs="Times New Roman"/>
                <w:color w:val="000000" w:themeColor="text1"/>
                <w:sz w:val="21"/>
                <w:szCs w:val="21"/>
                <w14:textFill>
                  <w14:solidFill>
                    <w14:schemeClr w14:val="tx1"/>
                  </w14:solidFill>
                </w14:textFill>
              </w:rPr>
              <w:t>t/a</w:t>
            </w:r>
          </w:p>
        </w:tc>
      </w:tr>
      <w:tr w14:paraId="5AEB18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continue"/>
            <w:noWrap w:val="0"/>
            <w:vAlign w:val="center"/>
          </w:tcPr>
          <w:p w14:paraId="39CE5B50">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p>
        </w:tc>
        <w:tc>
          <w:tcPr>
            <w:tcW w:w="1616" w:type="dxa"/>
            <w:noWrap w:val="0"/>
            <w:vAlign w:val="center"/>
          </w:tcPr>
          <w:p w14:paraId="5CCE5E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废包装桶</w:t>
            </w:r>
          </w:p>
        </w:tc>
        <w:tc>
          <w:tcPr>
            <w:tcW w:w="1701" w:type="dxa"/>
            <w:shd w:val="clear" w:color="auto" w:fill="auto"/>
            <w:noWrap w:val="0"/>
            <w:vAlign w:val="center"/>
          </w:tcPr>
          <w:p w14:paraId="441E2B7B">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p>
        </w:tc>
        <w:tc>
          <w:tcPr>
            <w:tcW w:w="1276" w:type="dxa"/>
            <w:noWrap w:val="0"/>
            <w:vAlign w:val="center"/>
          </w:tcPr>
          <w:p w14:paraId="34AFFF26">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28FCD1A3">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4092D7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1.12</w:t>
            </w:r>
            <w:r>
              <w:rPr>
                <w:rFonts w:hint="default" w:ascii="Times New Roman" w:hAnsi="Times New Roman" w:cs="Times New Roman"/>
                <w:color w:val="000000" w:themeColor="text1"/>
                <w:sz w:val="21"/>
                <w:szCs w:val="21"/>
                <w14:textFill>
                  <w14:solidFill>
                    <w14:schemeClr w14:val="tx1"/>
                  </w14:solidFill>
                </w14:textFill>
              </w:rPr>
              <w:t>t/a</w:t>
            </w:r>
          </w:p>
        </w:tc>
        <w:tc>
          <w:tcPr>
            <w:tcW w:w="1761" w:type="dxa"/>
            <w:noWrap w:val="0"/>
            <w:vAlign w:val="center"/>
          </w:tcPr>
          <w:p w14:paraId="695B689B">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p>
        </w:tc>
        <w:tc>
          <w:tcPr>
            <w:tcW w:w="1422" w:type="dxa"/>
            <w:noWrap w:val="0"/>
            <w:vAlign w:val="center"/>
          </w:tcPr>
          <w:p w14:paraId="70479E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1.12</w:t>
            </w:r>
            <w:r>
              <w:rPr>
                <w:rFonts w:hint="default" w:ascii="Times New Roman" w:hAnsi="Times New Roman" w:cs="Times New Roman"/>
                <w:color w:val="000000" w:themeColor="text1"/>
                <w:sz w:val="21"/>
                <w:szCs w:val="21"/>
                <w14:textFill>
                  <w14:solidFill>
                    <w14:schemeClr w14:val="tx1"/>
                  </w14:solidFill>
                </w14:textFill>
              </w:rPr>
              <w:t>t/a</w:t>
            </w:r>
          </w:p>
        </w:tc>
        <w:tc>
          <w:tcPr>
            <w:tcW w:w="1363" w:type="dxa"/>
            <w:noWrap w:val="0"/>
            <w:vAlign w:val="center"/>
          </w:tcPr>
          <w:p w14:paraId="122A0C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cs="Times New Roman"/>
                <w:color w:val="000000" w:themeColor="text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1.12</w:t>
            </w:r>
            <w:r>
              <w:rPr>
                <w:rFonts w:hint="default" w:ascii="Times New Roman" w:hAnsi="Times New Roman" w:cs="Times New Roman"/>
                <w:color w:val="000000" w:themeColor="text1"/>
                <w:sz w:val="21"/>
                <w:szCs w:val="21"/>
                <w14:textFill>
                  <w14:solidFill>
                    <w14:schemeClr w14:val="tx1"/>
                  </w14:solidFill>
                </w14:textFill>
              </w:rPr>
              <w:t>t/a</w:t>
            </w:r>
          </w:p>
        </w:tc>
      </w:tr>
      <w:tr w14:paraId="38391D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continue"/>
            <w:noWrap w:val="0"/>
            <w:vAlign w:val="center"/>
          </w:tcPr>
          <w:p w14:paraId="5732DB59">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p>
        </w:tc>
        <w:tc>
          <w:tcPr>
            <w:tcW w:w="1616" w:type="dxa"/>
            <w:noWrap w:val="0"/>
            <w:vAlign w:val="center"/>
          </w:tcPr>
          <w:p w14:paraId="6002A2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highlight w:val="none"/>
                <w14:textFill>
                  <w14:solidFill>
                    <w14:schemeClr w14:val="tx1"/>
                  </w14:solidFill>
                </w14:textFill>
              </w:rPr>
            </w:pPr>
            <w:r>
              <w:rPr>
                <w:rFonts w:hint="eastAsia" w:cs="Times New Roman"/>
                <w:b w:val="0"/>
                <w:bCs w:val="0"/>
                <w:color w:val="000000" w:themeColor="text1"/>
                <w:kern w:val="2"/>
                <w:sz w:val="21"/>
                <w:szCs w:val="21"/>
                <w:highlight w:val="none"/>
                <w:lang w:val="en-US" w:eastAsia="zh-CN" w:bidi="ar-SA"/>
                <w14:textFill>
                  <w14:solidFill>
                    <w14:schemeClr w14:val="tx1"/>
                  </w14:solidFill>
                </w14:textFill>
              </w:rPr>
              <w:t>除尘灰</w:t>
            </w:r>
          </w:p>
        </w:tc>
        <w:tc>
          <w:tcPr>
            <w:tcW w:w="1701" w:type="dxa"/>
            <w:shd w:val="clear" w:color="auto" w:fill="auto"/>
            <w:noWrap w:val="0"/>
            <w:vAlign w:val="center"/>
          </w:tcPr>
          <w:p w14:paraId="1417D357">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276" w:type="dxa"/>
            <w:noWrap w:val="0"/>
            <w:vAlign w:val="center"/>
          </w:tcPr>
          <w:p w14:paraId="2CE15DBC">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388FD4E2">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lang w:val="en-US"/>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5344D5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0.063</w:t>
            </w:r>
            <w:r>
              <w:rPr>
                <w:rFonts w:hint="default" w:ascii="Times New Roman" w:hAnsi="Times New Roman" w:cs="Times New Roman"/>
                <w:color w:val="000000" w:themeColor="text1"/>
                <w:sz w:val="21"/>
                <w:szCs w:val="21"/>
                <w14:textFill>
                  <w14:solidFill>
                    <w14:schemeClr w14:val="tx1"/>
                  </w14:solidFill>
                </w14:textFill>
              </w:rPr>
              <w:t>t/a</w:t>
            </w:r>
          </w:p>
        </w:tc>
        <w:tc>
          <w:tcPr>
            <w:tcW w:w="1761" w:type="dxa"/>
            <w:noWrap w:val="0"/>
            <w:vAlign w:val="center"/>
          </w:tcPr>
          <w:p w14:paraId="55BEC978">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422" w:type="dxa"/>
            <w:noWrap w:val="0"/>
            <w:vAlign w:val="center"/>
          </w:tcPr>
          <w:p w14:paraId="065B27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0.063</w:t>
            </w:r>
            <w:r>
              <w:rPr>
                <w:rFonts w:hint="default" w:ascii="Times New Roman" w:hAnsi="Times New Roman" w:cs="Times New Roman"/>
                <w:color w:val="000000" w:themeColor="text1"/>
                <w:sz w:val="21"/>
                <w:szCs w:val="21"/>
                <w14:textFill>
                  <w14:solidFill>
                    <w14:schemeClr w14:val="tx1"/>
                  </w14:solidFill>
                </w14:textFill>
              </w:rPr>
              <w:t>t/a</w:t>
            </w:r>
          </w:p>
        </w:tc>
        <w:tc>
          <w:tcPr>
            <w:tcW w:w="1363" w:type="dxa"/>
            <w:noWrap w:val="0"/>
            <w:vAlign w:val="center"/>
          </w:tcPr>
          <w:p w14:paraId="11390F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lang w:val="en-US"/>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0.063</w:t>
            </w:r>
            <w:r>
              <w:rPr>
                <w:rFonts w:hint="default" w:ascii="Times New Roman" w:hAnsi="Times New Roman" w:cs="Times New Roman"/>
                <w:color w:val="000000" w:themeColor="text1"/>
                <w:sz w:val="21"/>
                <w:szCs w:val="21"/>
                <w14:textFill>
                  <w14:solidFill>
                    <w14:schemeClr w14:val="tx1"/>
                  </w14:solidFill>
                </w14:textFill>
              </w:rPr>
              <w:t>t/a</w:t>
            </w:r>
          </w:p>
        </w:tc>
      </w:tr>
      <w:tr w14:paraId="1E8B3D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continue"/>
            <w:noWrap w:val="0"/>
            <w:vAlign w:val="center"/>
          </w:tcPr>
          <w:p w14:paraId="0C02717D">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p>
        </w:tc>
        <w:tc>
          <w:tcPr>
            <w:tcW w:w="1616" w:type="dxa"/>
            <w:noWrap w:val="0"/>
            <w:vAlign w:val="center"/>
          </w:tcPr>
          <w:p w14:paraId="09C15B9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金属边角料</w:t>
            </w:r>
          </w:p>
        </w:tc>
        <w:tc>
          <w:tcPr>
            <w:tcW w:w="1701" w:type="dxa"/>
            <w:shd w:val="clear" w:color="auto" w:fill="auto"/>
            <w:noWrap w:val="0"/>
            <w:vAlign w:val="center"/>
          </w:tcPr>
          <w:p w14:paraId="4445D611">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highlight w:val="none"/>
                <w:lang w:val="en-US" w:eastAsia="zh-CN"/>
                <w14:textFill>
                  <w14:solidFill>
                    <w14:schemeClr w14:val="tx1"/>
                  </w14:solidFill>
                </w14:textFill>
              </w:rPr>
              <w:t>/</w:t>
            </w:r>
          </w:p>
        </w:tc>
        <w:tc>
          <w:tcPr>
            <w:tcW w:w="1276" w:type="dxa"/>
            <w:noWrap w:val="0"/>
            <w:vAlign w:val="center"/>
          </w:tcPr>
          <w:p w14:paraId="737592A5">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highlight w:val="none"/>
                <w:lang w:val="en-US" w:eastAsia="zh-CN"/>
                <w14:textFill>
                  <w14:solidFill>
                    <w14:schemeClr w14:val="tx1"/>
                  </w14:solidFill>
                </w14:textFill>
              </w:rPr>
              <w:t>/</w:t>
            </w:r>
          </w:p>
        </w:tc>
        <w:tc>
          <w:tcPr>
            <w:tcW w:w="1701" w:type="dxa"/>
            <w:noWrap w:val="0"/>
            <w:vAlign w:val="center"/>
          </w:tcPr>
          <w:p w14:paraId="68F9A58C">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highlight w:val="none"/>
                <w:lang w:val="en-US" w:eastAsia="zh-CN"/>
                <w14:textFill>
                  <w14:solidFill>
                    <w14:schemeClr w14:val="tx1"/>
                  </w14:solidFill>
                </w14:textFill>
              </w:rPr>
              <w:t>/</w:t>
            </w:r>
          </w:p>
        </w:tc>
        <w:tc>
          <w:tcPr>
            <w:tcW w:w="1559" w:type="dxa"/>
            <w:noWrap w:val="0"/>
            <w:vAlign w:val="center"/>
          </w:tcPr>
          <w:p w14:paraId="4A6C49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0.5</w:t>
            </w:r>
            <w:r>
              <w:rPr>
                <w:rFonts w:hint="default" w:ascii="Times New Roman" w:hAnsi="Times New Roman" w:cs="Times New Roman"/>
                <w:color w:val="000000" w:themeColor="text1"/>
                <w:sz w:val="21"/>
                <w:szCs w:val="21"/>
                <w:highlight w:val="none"/>
                <w14:textFill>
                  <w14:solidFill>
                    <w14:schemeClr w14:val="tx1"/>
                  </w14:solidFill>
                </w14:textFill>
              </w:rPr>
              <w:t>t/a</w:t>
            </w:r>
          </w:p>
        </w:tc>
        <w:tc>
          <w:tcPr>
            <w:tcW w:w="1761" w:type="dxa"/>
            <w:shd w:val="clear" w:color="auto" w:fill="auto"/>
            <w:noWrap w:val="0"/>
            <w:vAlign w:val="center"/>
          </w:tcPr>
          <w:p w14:paraId="1D170741">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highlight w:val="none"/>
                <w:lang w:val="en-US" w:eastAsia="zh-CN"/>
                <w14:textFill>
                  <w14:solidFill>
                    <w14:schemeClr w14:val="tx1"/>
                  </w14:solidFill>
                </w14:textFill>
              </w:rPr>
              <w:t>/</w:t>
            </w:r>
          </w:p>
        </w:tc>
        <w:tc>
          <w:tcPr>
            <w:tcW w:w="1422" w:type="dxa"/>
            <w:noWrap w:val="0"/>
            <w:vAlign w:val="center"/>
          </w:tcPr>
          <w:p w14:paraId="424264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0.5</w:t>
            </w:r>
            <w:r>
              <w:rPr>
                <w:rFonts w:hint="default" w:ascii="Times New Roman" w:hAnsi="Times New Roman" w:cs="Times New Roman"/>
                <w:color w:val="000000" w:themeColor="text1"/>
                <w:sz w:val="21"/>
                <w:szCs w:val="21"/>
                <w:highlight w:val="none"/>
                <w14:textFill>
                  <w14:solidFill>
                    <w14:schemeClr w14:val="tx1"/>
                  </w14:solidFill>
                </w14:textFill>
              </w:rPr>
              <w:t>t/a</w:t>
            </w:r>
          </w:p>
        </w:tc>
        <w:tc>
          <w:tcPr>
            <w:tcW w:w="1363" w:type="dxa"/>
            <w:noWrap w:val="0"/>
            <w:vAlign w:val="center"/>
          </w:tcPr>
          <w:p w14:paraId="2C58FA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0.5</w:t>
            </w:r>
            <w:r>
              <w:rPr>
                <w:rFonts w:hint="default" w:ascii="Times New Roman" w:hAnsi="Times New Roman" w:cs="Times New Roman"/>
                <w:color w:val="000000" w:themeColor="text1"/>
                <w:sz w:val="21"/>
                <w:szCs w:val="21"/>
                <w:highlight w:val="none"/>
                <w14:textFill>
                  <w14:solidFill>
                    <w14:schemeClr w14:val="tx1"/>
                  </w14:solidFill>
                </w14:textFill>
              </w:rPr>
              <w:t>t/a</w:t>
            </w:r>
          </w:p>
        </w:tc>
      </w:tr>
      <w:tr w14:paraId="776A2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continue"/>
            <w:noWrap w:val="0"/>
            <w:vAlign w:val="center"/>
          </w:tcPr>
          <w:p w14:paraId="482FA741">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p>
        </w:tc>
        <w:tc>
          <w:tcPr>
            <w:tcW w:w="1616" w:type="dxa"/>
            <w:noWrap w:val="0"/>
            <w:vAlign w:val="center"/>
          </w:tcPr>
          <w:p w14:paraId="79217F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不合格品</w:t>
            </w:r>
          </w:p>
        </w:tc>
        <w:tc>
          <w:tcPr>
            <w:tcW w:w="1701" w:type="dxa"/>
            <w:shd w:val="clear" w:color="auto" w:fill="auto"/>
            <w:noWrap w:val="0"/>
            <w:vAlign w:val="center"/>
          </w:tcPr>
          <w:p w14:paraId="36A10A3A">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cs="Times New Roman"/>
                <w:snapToGrid w:val="0"/>
                <w:color w:val="000000" w:themeColor="text1"/>
                <w:kern w:val="21"/>
                <w:sz w:val="21"/>
                <w:szCs w:val="21"/>
                <w:highlight w:val="none"/>
                <w:lang w:val="en-US" w:eastAsia="zh-CN"/>
                <w14:textFill>
                  <w14:solidFill>
                    <w14:schemeClr w14:val="tx1"/>
                  </w14:solidFill>
                </w14:textFill>
              </w:rPr>
            </w:pPr>
            <w:r>
              <w:rPr>
                <w:rFonts w:hint="eastAsia" w:cs="Times New Roman"/>
                <w:snapToGrid w:val="0"/>
                <w:color w:val="000000" w:themeColor="text1"/>
                <w:kern w:val="21"/>
                <w:sz w:val="21"/>
                <w:szCs w:val="21"/>
                <w:highlight w:val="none"/>
                <w:lang w:val="en-US" w:eastAsia="zh-CN"/>
                <w14:textFill>
                  <w14:solidFill>
                    <w14:schemeClr w14:val="tx1"/>
                  </w14:solidFill>
                </w14:textFill>
              </w:rPr>
              <w:t>/</w:t>
            </w:r>
          </w:p>
        </w:tc>
        <w:tc>
          <w:tcPr>
            <w:tcW w:w="1276" w:type="dxa"/>
            <w:noWrap w:val="0"/>
            <w:vAlign w:val="center"/>
          </w:tcPr>
          <w:p w14:paraId="41EB17F2">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cs="Times New Roman"/>
                <w:snapToGrid w:val="0"/>
                <w:color w:val="000000" w:themeColor="text1"/>
                <w:kern w:val="21"/>
                <w:sz w:val="21"/>
                <w:szCs w:val="21"/>
                <w:highlight w:val="none"/>
                <w:lang w:val="en-US" w:eastAsia="zh-CN"/>
                <w14:textFill>
                  <w14:solidFill>
                    <w14:schemeClr w14:val="tx1"/>
                  </w14:solidFill>
                </w14:textFill>
              </w:rPr>
            </w:pPr>
            <w:r>
              <w:rPr>
                <w:rFonts w:hint="eastAsia" w:cs="Times New Roman"/>
                <w:snapToGrid w:val="0"/>
                <w:color w:val="000000" w:themeColor="text1"/>
                <w:kern w:val="21"/>
                <w:sz w:val="21"/>
                <w:szCs w:val="21"/>
                <w:highlight w:val="none"/>
                <w:lang w:val="en-US" w:eastAsia="zh-CN"/>
                <w14:textFill>
                  <w14:solidFill>
                    <w14:schemeClr w14:val="tx1"/>
                  </w14:solidFill>
                </w14:textFill>
              </w:rPr>
              <w:t>/</w:t>
            </w:r>
          </w:p>
        </w:tc>
        <w:tc>
          <w:tcPr>
            <w:tcW w:w="1701" w:type="dxa"/>
            <w:noWrap w:val="0"/>
            <w:vAlign w:val="center"/>
          </w:tcPr>
          <w:p w14:paraId="5654207D">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cs="Times New Roman"/>
                <w:snapToGrid w:val="0"/>
                <w:color w:val="000000" w:themeColor="text1"/>
                <w:kern w:val="21"/>
                <w:sz w:val="21"/>
                <w:szCs w:val="21"/>
                <w:highlight w:val="none"/>
                <w:lang w:val="en-US" w:eastAsia="zh-CN"/>
                <w14:textFill>
                  <w14:solidFill>
                    <w14:schemeClr w14:val="tx1"/>
                  </w14:solidFill>
                </w14:textFill>
              </w:rPr>
            </w:pPr>
            <w:r>
              <w:rPr>
                <w:rFonts w:hint="eastAsia" w:cs="Times New Roman"/>
                <w:snapToGrid w:val="0"/>
                <w:color w:val="000000" w:themeColor="text1"/>
                <w:kern w:val="21"/>
                <w:sz w:val="21"/>
                <w:szCs w:val="21"/>
                <w:highlight w:val="none"/>
                <w:lang w:val="en-US" w:eastAsia="zh-CN"/>
                <w14:textFill>
                  <w14:solidFill>
                    <w14:schemeClr w14:val="tx1"/>
                  </w14:solidFill>
                </w14:textFill>
              </w:rPr>
              <w:t>/</w:t>
            </w:r>
          </w:p>
        </w:tc>
        <w:tc>
          <w:tcPr>
            <w:tcW w:w="1559" w:type="dxa"/>
            <w:noWrap w:val="0"/>
            <w:vAlign w:val="center"/>
          </w:tcPr>
          <w:p w14:paraId="30DF6C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0.25</w:t>
            </w:r>
            <w:r>
              <w:rPr>
                <w:rFonts w:hint="default" w:ascii="Times New Roman" w:hAnsi="Times New Roman" w:cs="Times New Roman"/>
                <w:color w:val="000000" w:themeColor="text1"/>
                <w:sz w:val="21"/>
                <w:szCs w:val="21"/>
                <w:highlight w:val="none"/>
                <w14:textFill>
                  <w14:solidFill>
                    <w14:schemeClr w14:val="tx1"/>
                  </w14:solidFill>
                </w14:textFill>
              </w:rPr>
              <w:t>t/a</w:t>
            </w:r>
          </w:p>
        </w:tc>
        <w:tc>
          <w:tcPr>
            <w:tcW w:w="1761" w:type="dxa"/>
            <w:shd w:val="clear" w:color="auto" w:fill="auto"/>
            <w:noWrap w:val="0"/>
            <w:vAlign w:val="center"/>
          </w:tcPr>
          <w:p w14:paraId="0850D1C8">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cs="Times New Roman"/>
                <w:snapToGrid w:val="0"/>
                <w:color w:val="000000" w:themeColor="text1"/>
                <w:kern w:val="21"/>
                <w:sz w:val="21"/>
                <w:szCs w:val="21"/>
                <w:highlight w:val="none"/>
                <w:lang w:val="en-US" w:eastAsia="zh-CN"/>
                <w14:textFill>
                  <w14:solidFill>
                    <w14:schemeClr w14:val="tx1"/>
                  </w14:solidFill>
                </w14:textFill>
              </w:rPr>
              <w:t>/</w:t>
            </w:r>
          </w:p>
        </w:tc>
        <w:tc>
          <w:tcPr>
            <w:tcW w:w="1422" w:type="dxa"/>
            <w:noWrap w:val="0"/>
            <w:vAlign w:val="center"/>
          </w:tcPr>
          <w:p w14:paraId="4669C7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0.25</w:t>
            </w:r>
            <w:r>
              <w:rPr>
                <w:rFonts w:hint="default" w:ascii="Times New Roman" w:hAnsi="Times New Roman" w:cs="Times New Roman"/>
                <w:color w:val="000000" w:themeColor="text1"/>
                <w:sz w:val="21"/>
                <w:szCs w:val="21"/>
                <w:highlight w:val="none"/>
                <w14:textFill>
                  <w14:solidFill>
                    <w14:schemeClr w14:val="tx1"/>
                  </w14:solidFill>
                </w14:textFill>
              </w:rPr>
              <w:t>t/a</w:t>
            </w:r>
          </w:p>
        </w:tc>
        <w:tc>
          <w:tcPr>
            <w:tcW w:w="1363" w:type="dxa"/>
            <w:noWrap w:val="0"/>
            <w:vAlign w:val="center"/>
          </w:tcPr>
          <w:p w14:paraId="0B285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0.25</w:t>
            </w:r>
            <w:r>
              <w:rPr>
                <w:rFonts w:hint="default" w:ascii="Times New Roman" w:hAnsi="Times New Roman" w:cs="Times New Roman"/>
                <w:color w:val="000000" w:themeColor="text1"/>
                <w:sz w:val="21"/>
                <w:szCs w:val="21"/>
                <w:highlight w:val="none"/>
                <w14:textFill>
                  <w14:solidFill>
                    <w14:schemeClr w14:val="tx1"/>
                  </w14:solidFill>
                </w14:textFill>
              </w:rPr>
              <w:t>t/a</w:t>
            </w:r>
          </w:p>
        </w:tc>
      </w:tr>
      <w:tr w14:paraId="71999F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continue"/>
            <w:noWrap w:val="0"/>
            <w:vAlign w:val="center"/>
          </w:tcPr>
          <w:p w14:paraId="2E4EED66">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p>
        </w:tc>
        <w:tc>
          <w:tcPr>
            <w:tcW w:w="1616" w:type="dxa"/>
            <w:noWrap w:val="0"/>
            <w:vAlign w:val="center"/>
          </w:tcPr>
          <w:p w14:paraId="027C6C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b w:val="0"/>
                <w:bCs w:val="0"/>
                <w:color w:val="000000" w:themeColor="text1"/>
                <w:sz w:val="21"/>
                <w:szCs w:val="21"/>
                <w:highlight w:val="none"/>
                <w:lang w:val="en-US" w:eastAsia="zh-CN"/>
                <w14:textFill>
                  <w14:solidFill>
                    <w14:schemeClr w14:val="tx1"/>
                  </w14:solidFill>
                </w14:textFill>
              </w:rPr>
            </w:pPr>
            <w:r>
              <w:rPr>
                <w:rFonts w:hint="eastAsia" w:cs="Times New Roman"/>
                <w:b w:val="0"/>
                <w:bCs w:val="0"/>
                <w:color w:val="000000" w:themeColor="text1"/>
                <w:sz w:val="21"/>
                <w:szCs w:val="21"/>
                <w:highlight w:val="none"/>
                <w:lang w:val="en-US" w:eastAsia="zh-CN"/>
                <w14:textFill>
                  <w14:solidFill>
                    <w14:schemeClr w14:val="tx1"/>
                  </w14:solidFill>
                </w14:textFill>
              </w:rPr>
              <w:t>废石英砂</w:t>
            </w:r>
          </w:p>
        </w:tc>
        <w:tc>
          <w:tcPr>
            <w:tcW w:w="1701" w:type="dxa"/>
            <w:shd w:val="clear" w:color="auto" w:fill="auto"/>
            <w:noWrap w:val="0"/>
            <w:vAlign w:val="center"/>
          </w:tcPr>
          <w:p w14:paraId="27376829">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cs="Times New Roman"/>
                <w:snapToGrid w:val="0"/>
                <w:color w:val="000000" w:themeColor="text1"/>
                <w:kern w:val="21"/>
                <w:sz w:val="21"/>
                <w:szCs w:val="21"/>
                <w:highlight w:val="none"/>
                <w:lang w:val="en-US" w:eastAsia="zh-CN"/>
                <w14:textFill>
                  <w14:solidFill>
                    <w14:schemeClr w14:val="tx1"/>
                  </w14:solidFill>
                </w14:textFill>
              </w:rPr>
            </w:pPr>
            <w:r>
              <w:rPr>
                <w:rFonts w:hint="eastAsia" w:cs="Times New Roman"/>
                <w:snapToGrid w:val="0"/>
                <w:color w:val="000000" w:themeColor="text1"/>
                <w:kern w:val="21"/>
                <w:sz w:val="21"/>
                <w:szCs w:val="21"/>
                <w:highlight w:val="none"/>
                <w:lang w:val="en-US" w:eastAsia="zh-CN"/>
                <w14:textFill>
                  <w14:solidFill>
                    <w14:schemeClr w14:val="tx1"/>
                  </w14:solidFill>
                </w14:textFill>
              </w:rPr>
              <w:t>/</w:t>
            </w:r>
          </w:p>
        </w:tc>
        <w:tc>
          <w:tcPr>
            <w:tcW w:w="1276" w:type="dxa"/>
            <w:noWrap w:val="0"/>
            <w:vAlign w:val="center"/>
          </w:tcPr>
          <w:p w14:paraId="581A149C">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highlight w:val="none"/>
                <w:lang w:val="en-US" w:eastAsia="zh-CN"/>
                <w14:textFill>
                  <w14:solidFill>
                    <w14:schemeClr w14:val="tx1"/>
                  </w14:solidFill>
                </w14:textFill>
              </w:rPr>
            </w:pPr>
            <w:r>
              <w:rPr>
                <w:rFonts w:hint="eastAsia" w:cs="Times New Roman"/>
                <w:snapToGrid w:val="0"/>
                <w:color w:val="000000" w:themeColor="text1"/>
                <w:kern w:val="21"/>
                <w:sz w:val="21"/>
                <w:szCs w:val="21"/>
                <w:highlight w:val="none"/>
                <w:lang w:val="en-US" w:eastAsia="zh-CN"/>
                <w14:textFill>
                  <w14:solidFill>
                    <w14:schemeClr w14:val="tx1"/>
                  </w14:solidFill>
                </w14:textFill>
              </w:rPr>
              <w:t>/</w:t>
            </w:r>
          </w:p>
        </w:tc>
        <w:tc>
          <w:tcPr>
            <w:tcW w:w="1701" w:type="dxa"/>
            <w:noWrap w:val="0"/>
            <w:vAlign w:val="center"/>
          </w:tcPr>
          <w:p w14:paraId="09E5384D">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highlight w:val="none"/>
                <w:lang w:val="en-US" w:eastAsia="zh-CN"/>
                <w14:textFill>
                  <w14:solidFill>
                    <w14:schemeClr w14:val="tx1"/>
                  </w14:solidFill>
                </w14:textFill>
              </w:rPr>
            </w:pPr>
            <w:r>
              <w:rPr>
                <w:rFonts w:hint="eastAsia" w:cs="Times New Roman"/>
                <w:snapToGrid w:val="0"/>
                <w:color w:val="000000" w:themeColor="text1"/>
                <w:kern w:val="21"/>
                <w:sz w:val="21"/>
                <w:szCs w:val="21"/>
                <w:highlight w:val="none"/>
                <w:lang w:val="en-US" w:eastAsia="zh-CN"/>
                <w14:textFill>
                  <w14:solidFill>
                    <w14:schemeClr w14:val="tx1"/>
                  </w14:solidFill>
                </w14:textFill>
              </w:rPr>
              <w:t>/</w:t>
            </w:r>
          </w:p>
        </w:tc>
        <w:tc>
          <w:tcPr>
            <w:tcW w:w="1559" w:type="dxa"/>
            <w:noWrap w:val="0"/>
            <w:vAlign w:val="center"/>
          </w:tcPr>
          <w:p w14:paraId="043066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0.2</w:t>
            </w:r>
            <w:r>
              <w:rPr>
                <w:rFonts w:hint="default" w:ascii="Times New Roman" w:hAnsi="Times New Roman" w:cs="Times New Roman"/>
                <w:color w:val="000000" w:themeColor="text1"/>
                <w:sz w:val="21"/>
                <w:szCs w:val="21"/>
                <w:highlight w:val="none"/>
                <w14:textFill>
                  <w14:solidFill>
                    <w14:schemeClr w14:val="tx1"/>
                  </w14:solidFill>
                </w14:textFill>
              </w:rPr>
              <w:t>t/a</w:t>
            </w:r>
          </w:p>
        </w:tc>
        <w:tc>
          <w:tcPr>
            <w:tcW w:w="1761" w:type="dxa"/>
            <w:shd w:val="clear" w:color="auto" w:fill="auto"/>
            <w:noWrap w:val="0"/>
            <w:vAlign w:val="center"/>
          </w:tcPr>
          <w:p w14:paraId="455080AF">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cs="Times New Roman"/>
                <w:snapToGrid w:val="0"/>
                <w:color w:val="000000" w:themeColor="text1"/>
                <w:kern w:val="21"/>
                <w:sz w:val="21"/>
                <w:szCs w:val="21"/>
                <w:highlight w:val="none"/>
                <w:lang w:val="en-US" w:eastAsia="zh-CN"/>
                <w14:textFill>
                  <w14:solidFill>
                    <w14:schemeClr w14:val="tx1"/>
                  </w14:solidFill>
                </w14:textFill>
              </w:rPr>
              <w:t>/</w:t>
            </w:r>
          </w:p>
        </w:tc>
        <w:tc>
          <w:tcPr>
            <w:tcW w:w="1422" w:type="dxa"/>
            <w:noWrap w:val="0"/>
            <w:vAlign w:val="center"/>
          </w:tcPr>
          <w:p w14:paraId="383C9B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0.2</w:t>
            </w:r>
            <w:r>
              <w:rPr>
                <w:rFonts w:hint="default" w:ascii="Times New Roman" w:hAnsi="Times New Roman" w:cs="Times New Roman"/>
                <w:color w:val="000000" w:themeColor="text1"/>
                <w:sz w:val="21"/>
                <w:szCs w:val="21"/>
                <w:highlight w:val="none"/>
                <w14:textFill>
                  <w14:solidFill>
                    <w14:schemeClr w14:val="tx1"/>
                  </w14:solidFill>
                </w14:textFill>
              </w:rPr>
              <w:t>t/a</w:t>
            </w:r>
          </w:p>
        </w:tc>
        <w:tc>
          <w:tcPr>
            <w:tcW w:w="1363" w:type="dxa"/>
            <w:noWrap w:val="0"/>
            <w:vAlign w:val="center"/>
          </w:tcPr>
          <w:p w14:paraId="47F111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0.2</w:t>
            </w:r>
            <w:r>
              <w:rPr>
                <w:rFonts w:hint="default" w:ascii="Times New Roman" w:hAnsi="Times New Roman" w:cs="Times New Roman"/>
                <w:color w:val="000000" w:themeColor="text1"/>
                <w:sz w:val="21"/>
                <w:szCs w:val="21"/>
                <w:highlight w:val="none"/>
                <w14:textFill>
                  <w14:solidFill>
                    <w14:schemeClr w14:val="tx1"/>
                  </w14:solidFill>
                </w14:textFill>
              </w:rPr>
              <w:t>t/a</w:t>
            </w:r>
          </w:p>
        </w:tc>
      </w:tr>
      <w:tr w14:paraId="0FE51E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continue"/>
            <w:noWrap w:val="0"/>
            <w:vAlign w:val="center"/>
          </w:tcPr>
          <w:p w14:paraId="11452C9C">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616" w:type="dxa"/>
            <w:noWrap w:val="0"/>
            <w:vAlign w:val="center"/>
          </w:tcPr>
          <w:p w14:paraId="7545D01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lang w:val="en-US"/>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废</w:t>
            </w:r>
            <w:r>
              <w:rPr>
                <w:rFonts w:hint="eastAsia" w:cs="Times New Roman"/>
                <w:b w:val="0"/>
                <w:bCs w:val="0"/>
                <w:color w:val="000000" w:themeColor="text1"/>
                <w:sz w:val="21"/>
                <w:szCs w:val="21"/>
                <w:lang w:val="en-US" w:eastAsia="zh-CN"/>
                <w14:textFill>
                  <w14:solidFill>
                    <w14:schemeClr w14:val="tx1"/>
                  </w14:solidFill>
                </w14:textFill>
              </w:rPr>
              <w:t>切削液</w:t>
            </w:r>
          </w:p>
        </w:tc>
        <w:tc>
          <w:tcPr>
            <w:tcW w:w="1701" w:type="dxa"/>
            <w:shd w:val="clear" w:color="auto" w:fill="auto"/>
            <w:noWrap w:val="0"/>
            <w:vAlign w:val="center"/>
          </w:tcPr>
          <w:p w14:paraId="1D0ADDE7">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276" w:type="dxa"/>
            <w:noWrap w:val="0"/>
            <w:vAlign w:val="center"/>
          </w:tcPr>
          <w:p w14:paraId="6ACD0B12">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5CA4B802">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0B0E54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0.08</w:t>
            </w:r>
            <w:r>
              <w:rPr>
                <w:rFonts w:hint="default" w:ascii="Times New Roman" w:hAnsi="Times New Roman" w:cs="Times New Roman"/>
                <w:color w:val="000000" w:themeColor="text1"/>
                <w:sz w:val="21"/>
                <w:szCs w:val="21"/>
                <w14:textFill>
                  <w14:solidFill>
                    <w14:schemeClr w14:val="tx1"/>
                  </w14:solidFill>
                </w14:textFill>
              </w:rPr>
              <w:t>t/a</w:t>
            </w:r>
          </w:p>
        </w:tc>
        <w:tc>
          <w:tcPr>
            <w:tcW w:w="1761" w:type="dxa"/>
            <w:noWrap w:val="0"/>
            <w:vAlign w:val="center"/>
          </w:tcPr>
          <w:p w14:paraId="11B36DB3">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422" w:type="dxa"/>
            <w:noWrap w:val="0"/>
            <w:vAlign w:val="center"/>
          </w:tcPr>
          <w:p w14:paraId="60C77F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0.08</w:t>
            </w:r>
            <w:r>
              <w:rPr>
                <w:rFonts w:hint="default" w:ascii="Times New Roman" w:hAnsi="Times New Roman" w:cs="Times New Roman"/>
                <w:color w:val="000000" w:themeColor="text1"/>
                <w:sz w:val="21"/>
                <w:szCs w:val="21"/>
                <w14:textFill>
                  <w14:solidFill>
                    <w14:schemeClr w14:val="tx1"/>
                  </w14:solidFill>
                </w14:textFill>
              </w:rPr>
              <w:t>t/a</w:t>
            </w:r>
          </w:p>
        </w:tc>
        <w:tc>
          <w:tcPr>
            <w:tcW w:w="1363" w:type="dxa"/>
            <w:noWrap w:val="0"/>
            <w:vAlign w:val="center"/>
          </w:tcPr>
          <w:p w14:paraId="7BE3D0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+0.08</w:t>
            </w:r>
            <w:r>
              <w:rPr>
                <w:rFonts w:hint="default" w:ascii="Times New Roman" w:hAnsi="Times New Roman" w:cs="Times New Roman"/>
                <w:color w:val="000000" w:themeColor="text1"/>
                <w:sz w:val="21"/>
                <w:szCs w:val="21"/>
                <w14:textFill>
                  <w14:solidFill>
                    <w14:schemeClr w14:val="tx1"/>
                  </w14:solidFill>
                </w14:textFill>
              </w:rPr>
              <w:t>t/a</w:t>
            </w:r>
          </w:p>
        </w:tc>
      </w:tr>
      <w:tr w14:paraId="48BAC7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continue"/>
            <w:noWrap w:val="0"/>
            <w:vAlign w:val="center"/>
          </w:tcPr>
          <w:p w14:paraId="30134BEC">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616" w:type="dxa"/>
            <w:noWrap w:val="0"/>
            <w:vAlign w:val="center"/>
          </w:tcPr>
          <w:p w14:paraId="078F74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废润滑油</w:t>
            </w:r>
          </w:p>
        </w:tc>
        <w:tc>
          <w:tcPr>
            <w:tcW w:w="1701" w:type="dxa"/>
            <w:shd w:val="clear" w:color="auto" w:fill="auto"/>
            <w:noWrap w:val="0"/>
            <w:vAlign w:val="center"/>
          </w:tcPr>
          <w:p w14:paraId="3C055F1D">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276" w:type="dxa"/>
            <w:noWrap w:val="0"/>
            <w:vAlign w:val="center"/>
          </w:tcPr>
          <w:p w14:paraId="4047DCB5">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278B21B8">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39FE60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w:t>
            </w:r>
            <w:r>
              <w:rPr>
                <w:rFonts w:hint="default" w:ascii="Times New Roman" w:hAnsi="Times New Roman" w:cs="Times New Roman"/>
                <w:color w:val="000000" w:themeColor="text1"/>
                <w:sz w:val="21"/>
                <w:szCs w:val="21"/>
                <w14:textFill>
                  <w14:solidFill>
                    <w14:schemeClr w14:val="tx1"/>
                  </w14:solidFill>
                </w14:textFill>
              </w:rPr>
              <w:t>t/a</w:t>
            </w:r>
          </w:p>
        </w:tc>
        <w:tc>
          <w:tcPr>
            <w:tcW w:w="1761" w:type="dxa"/>
            <w:noWrap w:val="0"/>
            <w:vAlign w:val="center"/>
          </w:tcPr>
          <w:p w14:paraId="5D9B0223">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422" w:type="dxa"/>
            <w:noWrap w:val="0"/>
            <w:vAlign w:val="center"/>
          </w:tcPr>
          <w:p w14:paraId="75D895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lang w:val="en-US"/>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w:t>
            </w:r>
            <w:r>
              <w:rPr>
                <w:rFonts w:hint="default" w:ascii="Times New Roman" w:hAnsi="Times New Roman" w:cs="Times New Roman"/>
                <w:color w:val="000000" w:themeColor="text1"/>
                <w:sz w:val="21"/>
                <w:szCs w:val="21"/>
                <w14:textFill>
                  <w14:solidFill>
                    <w14:schemeClr w14:val="tx1"/>
                  </w14:solidFill>
                </w14:textFill>
              </w:rPr>
              <w:t>t/a</w:t>
            </w:r>
          </w:p>
        </w:tc>
        <w:tc>
          <w:tcPr>
            <w:tcW w:w="1363" w:type="dxa"/>
            <w:noWrap w:val="0"/>
            <w:vAlign w:val="center"/>
          </w:tcPr>
          <w:p w14:paraId="5E8864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lang w:val="en-US"/>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0.01</w:t>
            </w:r>
            <w:r>
              <w:rPr>
                <w:rFonts w:hint="default" w:ascii="Times New Roman" w:hAnsi="Times New Roman" w:cs="Times New Roman"/>
                <w:color w:val="000000" w:themeColor="text1"/>
                <w:sz w:val="21"/>
                <w:szCs w:val="21"/>
                <w14:textFill>
                  <w14:solidFill>
                    <w14:schemeClr w14:val="tx1"/>
                  </w14:solidFill>
                </w14:textFill>
              </w:rPr>
              <w:t>t/a</w:t>
            </w:r>
          </w:p>
        </w:tc>
      </w:tr>
      <w:tr w14:paraId="6D5597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continue"/>
            <w:noWrap w:val="0"/>
            <w:vAlign w:val="center"/>
          </w:tcPr>
          <w:p w14:paraId="65678B0C">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616" w:type="dxa"/>
            <w:noWrap w:val="0"/>
            <w:vAlign w:val="center"/>
          </w:tcPr>
          <w:p w14:paraId="57BF0B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lang w:val="en-US"/>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废</w:t>
            </w:r>
            <w:r>
              <w:rPr>
                <w:rFonts w:hint="eastAsia" w:cs="Times New Roman"/>
                <w:b w:val="0"/>
                <w:bCs w:val="0"/>
                <w:color w:val="000000" w:themeColor="text1"/>
                <w:sz w:val="21"/>
                <w:szCs w:val="21"/>
                <w:lang w:val="en-US" w:eastAsia="zh-CN"/>
                <w14:textFill>
                  <w14:solidFill>
                    <w14:schemeClr w14:val="tx1"/>
                  </w14:solidFill>
                </w14:textFill>
              </w:rPr>
              <w:t>包装桶</w:t>
            </w:r>
          </w:p>
        </w:tc>
        <w:tc>
          <w:tcPr>
            <w:tcW w:w="1701" w:type="dxa"/>
            <w:shd w:val="clear" w:color="auto" w:fill="auto"/>
            <w:noWrap w:val="0"/>
            <w:vAlign w:val="center"/>
          </w:tcPr>
          <w:p w14:paraId="048196E3">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276" w:type="dxa"/>
            <w:noWrap w:val="0"/>
            <w:vAlign w:val="center"/>
          </w:tcPr>
          <w:p w14:paraId="3F0E77F7">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7411ABFD">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53484D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lang w:val="en-US"/>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w:t>
            </w:r>
            <w:r>
              <w:rPr>
                <w:rFonts w:hint="eastAsia" w:cs="Times New Roman"/>
                <w:b w:val="0"/>
                <w:bCs w:val="0"/>
                <w:color w:val="000000" w:themeColor="text1"/>
                <w:sz w:val="21"/>
                <w:szCs w:val="21"/>
                <w:lang w:val="en-US" w:eastAsia="zh-CN"/>
                <w14:textFill>
                  <w14:solidFill>
                    <w14:schemeClr w14:val="tx1"/>
                  </w14:solidFill>
                </w14:textFill>
              </w:rPr>
              <w:t>02</w:t>
            </w:r>
            <w:r>
              <w:rPr>
                <w:rFonts w:hint="default" w:ascii="Times New Roman" w:hAnsi="Times New Roman" w:cs="Times New Roman"/>
                <w:color w:val="000000" w:themeColor="text1"/>
                <w:sz w:val="21"/>
                <w:szCs w:val="21"/>
                <w14:textFill>
                  <w14:solidFill>
                    <w14:schemeClr w14:val="tx1"/>
                  </w14:solidFill>
                </w14:textFill>
              </w:rPr>
              <w:t>t/a</w:t>
            </w:r>
          </w:p>
        </w:tc>
        <w:tc>
          <w:tcPr>
            <w:tcW w:w="1761" w:type="dxa"/>
            <w:noWrap w:val="0"/>
            <w:vAlign w:val="center"/>
          </w:tcPr>
          <w:p w14:paraId="0FB71E18">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422" w:type="dxa"/>
            <w:noWrap w:val="0"/>
            <w:vAlign w:val="center"/>
          </w:tcPr>
          <w:p w14:paraId="7752CE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w:t>
            </w:r>
            <w:r>
              <w:rPr>
                <w:rFonts w:hint="eastAsia" w:cs="Times New Roman"/>
                <w:b w:val="0"/>
                <w:bCs w:val="0"/>
                <w:color w:val="000000" w:themeColor="text1"/>
                <w:sz w:val="21"/>
                <w:szCs w:val="21"/>
                <w:lang w:val="en-US" w:eastAsia="zh-CN"/>
                <w14:textFill>
                  <w14:solidFill>
                    <w14:schemeClr w14:val="tx1"/>
                  </w14:solidFill>
                </w14:textFill>
              </w:rPr>
              <w:t>02</w:t>
            </w:r>
            <w:r>
              <w:rPr>
                <w:rFonts w:hint="default" w:ascii="Times New Roman" w:hAnsi="Times New Roman" w:cs="Times New Roman"/>
                <w:color w:val="000000" w:themeColor="text1"/>
                <w:sz w:val="21"/>
                <w:szCs w:val="21"/>
                <w14:textFill>
                  <w14:solidFill>
                    <w14:schemeClr w14:val="tx1"/>
                  </w14:solidFill>
                </w14:textFill>
              </w:rPr>
              <w:t>t/a</w:t>
            </w:r>
          </w:p>
        </w:tc>
        <w:tc>
          <w:tcPr>
            <w:tcW w:w="1363" w:type="dxa"/>
            <w:noWrap w:val="0"/>
            <w:vAlign w:val="center"/>
          </w:tcPr>
          <w:p w14:paraId="69883F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w:t>
            </w:r>
            <w:r>
              <w:rPr>
                <w:rFonts w:hint="eastAsia" w:cs="Times New Roman"/>
                <w:b w:val="0"/>
                <w:bCs w:val="0"/>
                <w:color w:val="000000" w:themeColor="text1"/>
                <w:sz w:val="21"/>
                <w:szCs w:val="21"/>
                <w:lang w:val="en-US" w:eastAsia="zh-CN"/>
                <w14:textFill>
                  <w14:solidFill>
                    <w14:schemeClr w14:val="tx1"/>
                  </w14:solidFill>
                </w14:textFill>
              </w:rPr>
              <w:t>02</w:t>
            </w:r>
            <w:r>
              <w:rPr>
                <w:rFonts w:hint="default" w:ascii="Times New Roman" w:hAnsi="Times New Roman" w:cs="Times New Roman"/>
                <w:color w:val="000000" w:themeColor="text1"/>
                <w:sz w:val="21"/>
                <w:szCs w:val="21"/>
                <w14:textFill>
                  <w14:solidFill>
                    <w14:schemeClr w14:val="tx1"/>
                  </w14:solidFill>
                </w14:textFill>
              </w:rPr>
              <w:t>t/a</w:t>
            </w:r>
          </w:p>
        </w:tc>
      </w:tr>
      <w:tr w14:paraId="2EE2AF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continue"/>
            <w:noWrap w:val="0"/>
            <w:vAlign w:val="center"/>
          </w:tcPr>
          <w:p w14:paraId="77318C1A">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616" w:type="dxa"/>
            <w:noWrap w:val="0"/>
            <w:vAlign w:val="center"/>
          </w:tcPr>
          <w:p w14:paraId="3E6DC4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沾有切削液的金属屑</w:t>
            </w:r>
          </w:p>
        </w:tc>
        <w:tc>
          <w:tcPr>
            <w:tcW w:w="1701" w:type="dxa"/>
            <w:shd w:val="clear" w:color="auto" w:fill="auto"/>
            <w:noWrap w:val="0"/>
            <w:vAlign w:val="center"/>
          </w:tcPr>
          <w:p w14:paraId="355580DF">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276" w:type="dxa"/>
            <w:shd w:val="clear" w:color="auto" w:fill="auto"/>
            <w:noWrap w:val="0"/>
            <w:vAlign w:val="center"/>
          </w:tcPr>
          <w:p w14:paraId="31F419FF">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shd w:val="clear" w:color="auto" w:fill="auto"/>
            <w:noWrap w:val="0"/>
            <w:vAlign w:val="center"/>
          </w:tcPr>
          <w:p w14:paraId="43045588">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1076E1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0.25</w:t>
            </w:r>
            <w:r>
              <w:rPr>
                <w:rFonts w:hint="default" w:ascii="Times New Roman" w:hAnsi="Times New Roman" w:cs="Times New Roman"/>
                <w:color w:val="000000" w:themeColor="text1"/>
                <w:sz w:val="21"/>
                <w:szCs w:val="21"/>
                <w14:textFill>
                  <w14:solidFill>
                    <w14:schemeClr w14:val="tx1"/>
                  </w14:solidFill>
                </w14:textFill>
              </w:rPr>
              <w:t>t/a</w:t>
            </w:r>
          </w:p>
        </w:tc>
        <w:tc>
          <w:tcPr>
            <w:tcW w:w="1761" w:type="dxa"/>
            <w:noWrap w:val="0"/>
            <w:vAlign w:val="center"/>
          </w:tcPr>
          <w:p w14:paraId="33B8CB20">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422" w:type="dxa"/>
            <w:shd w:val="clear" w:color="auto" w:fill="auto"/>
            <w:noWrap w:val="0"/>
            <w:vAlign w:val="center"/>
          </w:tcPr>
          <w:p w14:paraId="2ACEC8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0.25</w:t>
            </w:r>
            <w:r>
              <w:rPr>
                <w:rFonts w:hint="default" w:ascii="Times New Roman" w:hAnsi="Times New Roman" w:cs="Times New Roman"/>
                <w:color w:val="000000" w:themeColor="text1"/>
                <w:sz w:val="21"/>
                <w:szCs w:val="21"/>
                <w14:textFill>
                  <w14:solidFill>
                    <w14:schemeClr w14:val="tx1"/>
                  </w14:solidFill>
                </w14:textFill>
              </w:rPr>
              <w:t>t/a</w:t>
            </w:r>
          </w:p>
        </w:tc>
        <w:tc>
          <w:tcPr>
            <w:tcW w:w="1363" w:type="dxa"/>
            <w:shd w:val="clear" w:color="auto" w:fill="auto"/>
            <w:noWrap w:val="0"/>
            <w:vAlign w:val="center"/>
          </w:tcPr>
          <w:p w14:paraId="5ADF90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r>
              <w:rPr>
                <w:rFonts w:hint="eastAsia" w:cs="Times New Roman"/>
                <w:b w:val="0"/>
                <w:bCs w:val="0"/>
                <w:color w:val="000000" w:themeColor="text1"/>
                <w:sz w:val="21"/>
                <w:szCs w:val="21"/>
                <w:lang w:val="en-US" w:eastAsia="zh-CN"/>
                <w14:textFill>
                  <w14:solidFill>
                    <w14:schemeClr w14:val="tx1"/>
                  </w14:solidFill>
                </w14:textFill>
              </w:rPr>
              <w:t>0.25</w:t>
            </w:r>
            <w:r>
              <w:rPr>
                <w:rFonts w:hint="default" w:ascii="Times New Roman" w:hAnsi="Times New Roman" w:cs="Times New Roman"/>
                <w:color w:val="000000" w:themeColor="text1"/>
                <w:sz w:val="21"/>
                <w:szCs w:val="21"/>
                <w14:textFill>
                  <w14:solidFill>
                    <w14:schemeClr w14:val="tx1"/>
                  </w14:solidFill>
                </w14:textFill>
              </w:rPr>
              <w:t>t/a</w:t>
            </w:r>
          </w:p>
        </w:tc>
      </w:tr>
      <w:tr w14:paraId="5942A0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continue"/>
            <w:noWrap w:val="0"/>
            <w:vAlign w:val="center"/>
          </w:tcPr>
          <w:p w14:paraId="50C8338C">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616" w:type="dxa"/>
            <w:noWrap w:val="0"/>
            <w:vAlign w:val="center"/>
          </w:tcPr>
          <w:p w14:paraId="6FF76F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废真空泵油</w:t>
            </w:r>
          </w:p>
        </w:tc>
        <w:tc>
          <w:tcPr>
            <w:tcW w:w="1701" w:type="dxa"/>
            <w:shd w:val="clear" w:color="auto" w:fill="auto"/>
            <w:noWrap w:val="0"/>
            <w:vAlign w:val="center"/>
          </w:tcPr>
          <w:p w14:paraId="7B679596">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276" w:type="dxa"/>
            <w:shd w:val="clear" w:color="auto" w:fill="auto"/>
            <w:noWrap w:val="0"/>
            <w:vAlign w:val="center"/>
          </w:tcPr>
          <w:p w14:paraId="04383BAB">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shd w:val="clear" w:color="auto" w:fill="auto"/>
            <w:noWrap w:val="0"/>
            <w:vAlign w:val="center"/>
          </w:tcPr>
          <w:p w14:paraId="43E47930">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3B102A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0.01</w:t>
            </w:r>
            <w:r>
              <w:rPr>
                <w:rFonts w:hint="default" w:ascii="Times New Roman" w:hAnsi="Times New Roman" w:cs="Times New Roman"/>
                <w:color w:val="000000" w:themeColor="text1"/>
                <w:sz w:val="21"/>
                <w:szCs w:val="21"/>
                <w14:textFill>
                  <w14:solidFill>
                    <w14:schemeClr w14:val="tx1"/>
                  </w14:solidFill>
                </w14:textFill>
              </w:rPr>
              <w:t>t/a</w:t>
            </w:r>
          </w:p>
        </w:tc>
        <w:tc>
          <w:tcPr>
            <w:tcW w:w="1761" w:type="dxa"/>
            <w:noWrap w:val="0"/>
            <w:vAlign w:val="center"/>
          </w:tcPr>
          <w:p w14:paraId="4CB655D7">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422" w:type="dxa"/>
            <w:shd w:val="clear" w:color="auto" w:fill="auto"/>
            <w:noWrap w:val="0"/>
            <w:vAlign w:val="center"/>
          </w:tcPr>
          <w:p w14:paraId="142146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b w:val="0"/>
                <w:bCs w:val="0"/>
                <w:color w:val="000000" w:themeColor="text1"/>
                <w:sz w:val="21"/>
                <w:szCs w:val="21"/>
                <w:lang w:val="en-US" w:eastAsia="zh-CN"/>
                <w14:textFill>
                  <w14:solidFill>
                    <w14:schemeClr w14:val="tx1"/>
                  </w14:solidFill>
                </w14:textFill>
              </w:rPr>
              <w:t>0.01</w:t>
            </w:r>
            <w:r>
              <w:rPr>
                <w:rFonts w:hint="default" w:ascii="Times New Roman" w:hAnsi="Times New Roman" w:cs="Times New Roman"/>
                <w:color w:val="000000" w:themeColor="text1"/>
                <w:sz w:val="21"/>
                <w:szCs w:val="21"/>
                <w14:textFill>
                  <w14:solidFill>
                    <w14:schemeClr w14:val="tx1"/>
                  </w14:solidFill>
                </w14:textFill>
              </w:rPr>
              <w:t>t/a</w:t>
            </w:r>
          </w:p>
        </w:tc>
        <w:tc>
          <w:tcPr>
            <w:tcW w:w="1363" w:type="dxa"/>
            <w:shd w:val="clear" w:color="auto" w:fill="auto"/>
            <w:noWrap w:val="0"/>
            <w:vAlign w:val="center"/>
          </w:tcPr>
          <w:p w14:paraId="74D54A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r>
              <w:rPr>
                <w:rFonts w:hint="eastAsia" w:cs="Times New Roman"/>
                <w:b w:val="0"/>
                <w:bCs w:val="0"/>
                <w:color w:val="000000" w:themeColor="text1"/>
                <w:sz w:val="21"/>
                <w:szCs w:val="21"/>
                <w:lang w:val="en-US" w:eastAsia="zh-CN"/>
                <w14:textFill>
                  <w14:solidFill>
                    <w14:schemeClr w14:val="tx1"/>
                  </w14:solidFill>
                </w14:textFill>
              </w:rPr>
              <w:t>0.01</w:t>
            </w:r>
            <w:r>
              <w:rPr>
                <w:rFonts w:hint="default" w:ascii="Times New Roman" w:hAnsi="Times New Roman" w:cs="Times New Roman"/>
                <w:color w:val="000000" w:themeColor="text1"/>
                <w:sz w:val="21"/>
                <w:szCs w:val="21"/>
                <w14:textFill>
                  <w14:solidFill>
                    <w14:schemeClr w14:val="tx1"/>
                  </w14:solidFill>
                </w14:textFill>
              </w:rPr>
              <w:t>t/a</w:t>
            </w:r>
          </w:p>
        </w:tc>
      </w:tr>
      <w:tr w14:paraId="13D94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9" w:type="dxa"/>
            <w:vMerge w:val="continue"/>
            <w:noWrap w:val="0"/>
            <w:vAlign w:val="center"/>
          </w:tcPr>
          <w:p w14:paraId="742181C4">
            <w:pPr>
              <w:pStyle w:val="40"/>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14:textFill>
                  <w14:solidFill>
                    <w14:schemeClr w14:val="tx1"/>
                  </w14:solidFill>
                </w14:textFill>
              </w:rPr>
            </w:pPr>
          </w:p>
        </w:tc>
        <w:tc>
          <w:tcPr>
            <w:tcW w:w="1616" w:type="dxa"/>
            <w:noWrap w:val="0"/>
            <w:vAlign w:val="center"/>
          </w:tcPr>
          <w:p w14:paraId="7CA898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废</w:t>
            </w:r>
            <w:r>
              <w:rPr>
                <w:rFonts w:hint="eastAsia" w:cs="Times New Roman"/>
                <w:b w:val="0"/>
                <w:bCs w:val="0"/>
                <w:color w:val="000000" w:themeColor="text1"/>
                <w:sz w:val="21"/>
                <w:szCs w:val="21"/>
                <w:lang w:val="en-US" w:eastAsia="zh-CN"/>
                <w14:textFill>
                  <w14:solidFill>
                    <w14:schemeClr w14:val="tx1"/>
                  </w14:solidFill>
                </w14:textFill>
              </w:rPr>
              <w:t>液压油</w:t>
            </w:r>
          </w:p>
        </w:tc>
        <w:tc>
          <w:tcPr>
            <w:tcW w:w="1701" w:type="dxa"/>
            <w:shd w:val="clear" w:color="auto" w:fill="auto"/>
            <w:noWrap w:val="0"/>
            <w:vAlign w:val="center"/>
          </w:tcPr>
          <w:p w14:paraId="69D73E88">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276" w:type="dxa"/>
            <w:noWrap w:val="0"/>
            <w:vAlign w:val="center"/>
          </w:tcPr>
          <w:p w14:paraId="4ECFEEF3">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701" w:type="dxa"/>
            <w:noWrap w:val="0"/>
            <w:vAlign w:val="center"/>
          </w:tcPr>
          <w:p w14:paraId="263B2F9A">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14:paraId="47735E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w:t>
            </w:r>
            <w:r>
              <w:rPr>
                <w:rFonts w:hint="eastAsia" w:cs="Times New Roman"/>
                <w:b w:val="0"/>
                <w:bCs w:val="0"/>
                <w:color w:val="000000" w:themeColor="text1"/>
                <w:sz w:val="21"/>
                <w:szCs w:val="21"/>
                <w:lang w:val="en-US" w:eastAsia="zh-CN"/>
                <w14:textFill>
                  <w14:solidFill>
                    <w14:schemeClr w14:val="tx1"/>
                  </w14:solidFill>
                </w14:textFill>
              </w:rPr>
              <w:t>005</w:t>
            </w:r>
            <w:r>
              <w:rPr>
                <w:rFonts w:hint="default" w:ascii="Times New Roman" w:hAnsi="Times New Roman" w:cs="Times New Roman"/>
                <w:color w:val="000000" w:themeColor="text1"/>
                <w:sz w:val="21"/>
                <w:szCs w:val="21"/>
                <w14:textFill>
                  <w14:solidFill>
                    <w14:schemeClr w14:val="tx1"/>
                  </w14:solidFill>
                </w14:textFill>
              </w:rPr>
              <w:t>t/a</w:t>
            </w:r>
          </w:p>
        </w:tc>
        <w:tc>
          <w:tcPr>
            <w:tcW w:w="1761" w:type="dxa"/>
            <w:noWrap w:val="0"/>
            <w:vAlign w:val="center"/>
          </w:tcPr>
          <w:p w14:paraId="05089DB9">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jc w:val="center"/>
              <w:textAlignment w:val="auto"/>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lang w:val="en-US" w:eastAsia="zh-CN"/>
                <w14:textFill>
                  <w14:solidFill>
                    <w14:schemeClr w14:val="tx1"/>
                  </w14:solidFill>
                </w14:textFill>
              </w:rPr>
              <w:t>/</w:t>
            </w:r>
          </w:p>
        </w:tc>
        <w:tc>
          <w:tcPr>
            <w:tcW w:w="1422" w:type="dxa"/>
            <w:noWrap w:val="0"/>
            <w:vAlign w:val="center"/>
          </w:tcPr>
          <w:p w14:paraId="7F1932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w:t>
            </w:r>
            <w:r>
              <w:rPr>
                <w:rFonts w:hint="eastAsia" w:cs="Times New Roman"/>
                <w:b w:val="0"/>
                <w:bCs w:val="0"/>
                <w:color w:val="000000" w:themeColor="text1"/>
                <w:sz w:val="21"/>
                <w:szCs w:val="21"/>
                <w:lang w:val="en-US" w:eastAsia="zh-CN"/>
                <w14:textFill>
                  <w14:solidFill>
                    <w14:schemeClr w14:val="tx1"/>
                  </w14:solidFill>
                </w14:textFill>
              </w:rPr>
              <w:t>005</w:t>
            </w:r>
            <w:r>
              <w:rPr>
                <w:rFonts w:hint="default" w:ascii="Times New Roman" w:hAnsi="Times New Roman" w:cs="Times New Roman"/>
                <w:color w:val="000000" w:themeColor="text1"/>
                <w:sz w:val="21"/>
                <w:szCs w:val="21"/>
                <w14:textFill>
                  <w14:solidFill>
                    <w14:schemeClr w14:val="tx1"/>
                  </w14:solidFill>
                </w14:textFill>
              </w:rPr>
              <w:t>t/a</w:t>
            </w:r>
          </w:p>
        </w:tc>
        <w:tc>
          <w:tcPr>
            <w:tcW w:w="1363" w:type="dxa"/>
            <w:noWrap w:val="0"/>
            <w:vAlign w:val="center"/>
          </w:tcPr>
          <w:p w14:paraId="5EE817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80" w:lineRule="exact"/>
              <w:ind w:left="0" w:leftChars="0" w:right="0" w:right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w:t>
            </w:r>
            <w:r>
              <w:rPr>
                <w:rFonts w:hint="eastAsia" w:cs="Times New Roman"/>
                <w:b w:val="0"/>
                <w:bCs w:val="0"/>
                <w:color w:val="000000" w:themeColor="text1"/>
                <w:sz w:val="21"/>
                <w:szCs w:val="21"/>
                <w:lang w:val="en-US" w:eastAsia="zh-CN"/>
                <w14:textFill>
                  <w14:solidFill>
                    <w14:schemeClr w14:val="tx1"/>
                  </w14:solidFill>
                </w14:textFill>
              </w:rPr>
              <w:t>005</w:t>
            </w:r>
            <w:r>
              <w:rPr>
                <w:rFonts w:hint="default" w:ascii="Times New Roman" w:hAnsi="Times New Roman" w:cs="Times New Roman"/>
                <w:color w:val="000000" w:themeColor="text1"/>
                <w:sz w:val="21"/>
                <w:szCs w:val="21"/>
                <w14:textFill>
                  <w14:solidFill>
                    <w14:schemeClr w14:val="tx1"/>
                  </w14:solidFill>
                </w14:textFill>
              </w:rPr>
              <w:t>t/a</w:t>
            </w:r>
          </w:p>
        </w:tc>
      </w:tr>
    </w:tbl>
    <w:p w14:paraId="467B64FE">
      <w:pPr>
        <w:pStyle w:val="40"/>
        <w:spacing w:before="192" w:beforeLines="80" w:after="24"/>
        <w:jc w:val="left"/>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snapToGrid w:val="0"/>
          <w:color w:val="000000" w:themeColor="text1"/>
          <w:kern w:val="21"/>
          <w:sz w:val="21"/>
          <w:szCs w:val="21"/>
          <w14:textFill>
            <w14:solidFill>
              <w14:schemeClr w14:val="tx1"/>
            </w14:solidFill>
          </w14:textFill>
        </w:rPr>
        <w:t>注：</w:t>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fldChar w:fldCharType="separate"/>
      </w:r>
      <w:r>
        <w:rPr>
          <w:rFonts w:hint="default" w:ascii="Times New Roman" w:hAnsi="Times New Roman" w:cs="Times New Roman"/>
          <w:color w:val="000000" w:themeColor="text1"/>
          <w:sz w:val="21"/>
          <w:szCs w:val="21"/>
          <w14:textFill>
            <w14:solidFill>
              <w14:schemeClr w14:val="tx1"/>
            </w14:solidFill>
          </w14:textFill>
        </w:rPr>
        <w:t>⑥</w:t>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cs="Times New Roman"/>
          <w:color w:val="000000" w:themeColor="text1"/>
          <w:sz w:val="21"/>
          <w:szCs w:val="21"/>
          <w14:textFill>
            <w14:solidFill>
              <w14:schemeClr w14:val="tx1"/>
            </w14:solidFill>
          </w14:textFill>
        </w:rPr>
        <w:t>①</w: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instrText xml:space="preserve"> = 3 \* GB3 \* MERGEFORMAT </w:instrTex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cs="Times New Roman"/>
          <w:color w:val="000000" w:themeColor="text1"/>
          <w:sz w:val="21"/>
          <w:szCs w:val="21"/>
          <w14:textFill>
            <w14:solidFill>
              <w14:schemeClr w14:val="tx1"/>
            </w14:solidFill>
          </w14:textFill>
        </w:rPr>
        <w:t>③</w: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instrText xml:space="preserve"> = 4 \* GB3 \* MERGEFORMAT </w:instrTex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cs="Times New Roman"/>
          <w:color w:val="000000" w:themeColor="text1"/>
          <w:sz w:val="21"/>
          <w:szCs w:val="21"/>
          <w14:textFill>
            <w14:solidFill>
              <w14:schemeClr w14:val="tx1"/>
            </w14:solidFill>
          </w14:textFill>
        </w:rPr>
        <w:t>④</w: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t>-</w:t>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instrText xml:space="preserve"> = 5 \* GB3 \* MERGEFORMAT </w:instrText>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fldChar w:fldCharType="separate"/>
      </w:r>
      <w:r>
        <w:rPr>
          <w:rFonts w:hint="default" w:ascii="Times New Roman" w:hAnsi="Times New Roman" w:cs="Times New Roman"/>
          <w:color w:val="000000" w:themeColor="text1"/>
          <w:sz w:val="21"/>
          <w:szCs w:val="21"/>
          <w14:textFill>
            <w14:solidFill>
              <w14:schemeClr w14:val="tx1"/>
            </w14:solidFill>
          </w14:textFill>
        </w:rPr>
        <w:t>⑤</w:t>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instrText xml:space="preserve"> = 7 \* GB3 \* MERGEFORMAT </w:instrTex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cs="Times New Roman"/>
          <w:color w:val="000000" w:themeColor="text1"/>
          <w:sz w:val="21"/>
          <w:szCs w:val="21"/>
          <w14:textFill>
            <w14:solidFill>
              <w14:schemeClr w14:val="tx1"/>
            </w14:solidFill>
          </w14:textFill>
        </w:rPr>
        <w:t>⑦</w: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t>=</w:t>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fldChar w:fldCharType="separate"/>
      </w:r>
      <w:r>
        <w:rPr>
          <w:rFonts w:hint="default" w:ascii="Times New Roman" w:hAnsi="Times New Roman" w:cs="Times New Roman"/>
          <w:color w:val="000000" w:themeColor="text1"/>
          <w:sz w:val="21"/>
          <w:szCs w:val="21"/>
          <w14:textFill>
            <w14:solidFill>
              <w14:schemeClr w14:val="tx1"/>
            </w14:solidFill>
          </w14:textFill>
        </w:rPr>
        <w:t>⑥</w:t>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 w:val="21"/>
          <w:szCs w:val="21"/>
          <w14:textFill>
            <w14:solidFill>
              <w14:schemeClr w14:val="tx1"/>
            </w14:solidFill>
          </w14:textFill>
        </w:rPr>
        <w:t>-</w: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cs="Times New Roman"/>
          <w:color w:val="000000" w:themeColor="text1"/>
          <w:sz w:val="21"/>
          <w:szCs w:val="21"/>
          <w14:textFill>
            <w14:solidFill>
              <w14:schemeClr w14:val="tx1"/>
            </w14:solidFill>
          </w14:textFill>
        </w:rPr>
        <w:t>①</w:t>
      </w:r>
      <w:r>
        <w:rPr>
          <w:rFonts w:hint="default" w:ascii="Times New Roman" w:hAnsi="Times New Roman" w:cs="Times New Roman"/>
          <w:snapToGrid w:val="0"/>
          <w:color w:val="000000" w:themeColor="text1"/>
          <w:spacing w:val="-6"/>
          <w:kern w:val="21"/>
          <w:sz w:val="21"/>
          <w:szCs w:val="21"/>
          <w14:textFill>
            <w14:solidFill>
              <w14:schemeClr w14:val="tx1"/>
            </w14:solidFill>
          </w14:textFill>
        </w:rPr>
        <w:fldChar w:fldCharType="end"/>
      </w:r>
    </w:p>
    <w:sectPr>
      <w:footerReference r:id="rId6"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numberInDash" w:start="54"/>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423761-FE68-49EB-B73F-B5958E05E66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FF4113D3-2D85-4426-B4A9-AA04B08A2B63}"/>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D34B72E8-2152-4126-AED7-0105B348ACDF}"/>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embedRegular r:id="rId4" w:fontKey="{BEBD5119-B315-41B2-A232-32B204280D3E}"/>
  </w:font>
  <w:font w:name="楷体_GB2312">
    <w:panose1 w:val="02010609030101010101"/>
    <w:charset w:val="86"/>
    <w:family w:val="modern"/>
    <w:pitch w:val="default"/>
    <w:sig w:usb0="00000001" w:usb1="080E0000" w:usb2="00000000" w:usb3="00000000" w:csb0="00040000" w:csb1="00000000"/>
    <w:embedRegular r:id="rId5" w:fontKey="{266B4E8F-E04D-45A1-9BC2-9BD220A851C9}"/>
  </w:font>
  <w:font w:name="华文仿宋">
    <w:panose1 w:val="02010600040101010101"/>
    <w:charset w:val="86"/>
    <w:family w:val="auto"/>
    <w:pitch w:val="default"/>
    <w:sig w:usb0="00000287" w:usb1="080F0000" w:usb2="00000000" w:usb3="00000000" w:csb0="0004009F" w:csb1="DFD70000"/>
    <w:embedRegular r:id="rId6" w:fontKey="{94A465AF-6B0A-473D-806C-1FF0F1745E91}"/>
  </w:font>
  <w:font w:name="Wingdings 2">
    <w:panose1 w:val="05020102010507070707"/>
    <w:charset w:val="00"/>
    <w:family w:val="auto"/>
    <w:pitch w:val="default"/>
    <w:sig w:usb0="00000000" w:usb1="00000000" w:usb2="00000000" w:usb3="00000000" w:csb0="80000000" w:csb1="00000000"/>
    <w:embedRegular r:id="rId7" w:fontKey="{694176D9-412F-46AD-A24E-066C72CF1FAF}"/>
  </w:font>
  <w:font w:name="Levenim MT">
    <w:altName w:val="Segoe UI Light"/>
    <w:panose1 w:val="02010502060101010101"/>
    <w:charset w:val="00"/>
    <w:family w:val="auto"/>
    <w:pitch w:val="default"/>
    <w:sig w:usb0="00000000" w:usb1="00000000" w:usb2="00000000" w:usb3="00000000" w:csb0="00000020" w:csb1="00200000"/>
    <w:embedRegular r:id="rId8" w:fontKey="{6995C0AE-E92A-4DB9-B72F-58440BDB4E94}"/>
  </w:font>
  <w:font w:name="Segoe UI Light">
    <w:panose1 w:val="020B0502040204020203"/>
    <w:charset w:val="00"/>
    <w:family w:val="auto"/>
    <w:pitch w:val="default"/>
    <w:sig w:usb0="E4002EFF" w:usb1="C000E47F" w:usb2="00000009" w:usb3="00000000" w:csb0="200001FF" w:csb1="00000000"/>
  </w:font>
  <w:font w:name="新宋体">
    <w:panose1 w:val="02010609030101010101"/>
    <w:charset w:val="86"/>
    <w:family w:val="modern"/>
    <w:pitch w:val="default"/>
    <w:sig w:usb0="00000203" w:usb1="288F0000" w:usb2="00000006" w:usb3="00000000" w:csb0="00040001" w:csb1="00000000"/>
    <w:embedRegular r:id="rId9" w:fontKey="{ADC02D2F-C93A-4155-B378-1CE15402451E}"/>
  </w:font>
  <w:font w:name="FZSSK--GBK1-0">
    <w:altName w:val="Segoe Print"/>
    <w:panose1 w:val="00000000000000000000"/>
    <w:charset w:val="00"/>
    <w:family w:val="auto"/>
    <w:pitch w:val="default"/>
    <w:sig w:usb0="00000000" w:usb1="00000000" w:usb2="00000000" w:usb3="00000000" w:csb0="00040001" w:csb1="00000000"/>
    <w:embedRegular r:id="rId10" w:fontKey="{C097344C-1669-4BC6-B5FF-2868F4E369B8}"/>
  </w:font>
  <w:font w:name="Segoe Print">
    <w:panose1 w:val="02000600000000000000"/>
    <w:charset w:val="00"/>
    <w:family w:val="auto"/>
    <w:pitch w:val="default"/>
    <w:sig w:usb0="0000028F" w:usb1="00000000" w:usb2="00000000" w:usb3="00000000" w:csb0="2000009F" w:csb1="47010000"/>
  </w:font>
  <w:font w:name="WPSEMBED8">
    <w:panose1 w:val="03000509000000000000"/>
    <w:charset w:val="86"/>
    <w:family w:val="auto"/>
    <w:pitch w:val="default"/>
    <w:sig w:usb0="00000001" w:usb1="080E0000" w:usb2="00000000" w:usb3="00000000" w:csb0="00040000" w:csb1="00000000"/>
  </w:font>
  <w:font w:name="WPSEMBED9">
    <w:panose1 w:val="02010609030101010101"/>
    <w:charset w:val="86"/>
    <w:family w:val="auto"/>
    <w:pitch w:val="default"/>
    <w:sig w:usb0="00000001" w:usb1="080E0000" w:usb2="00000000" w:usb3="00000000" w:csb0="00040000" w:csb1="00000000"/>
  </w:font>
  <w:font w:name="WPSEMBED7">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5BCF7">
    <w:pPr>
      <w:pStyle w:val="1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C73F0">
    <w:pPr>
      <w:pStyle w:val="15"/>
      <w:framePr w:wrap="around" w:vAnchor="text" w:hAnchor="margin" w:xAlign="center" w:y="1"/>
      <w:rPr>
        <w:rStyle w:val="28"/>
      </w:rPr>
    </w:pPr>
    <w:r>
      <w:fldChar w:fldCharType="begin"/>
    </w:r>
    <w:r>
      <w:rPr>
        <w:rStyle w:val="28"/>
      </w:rPr>
      <w:instrText xml:space="preserve">PAGE  </w:instrText>
    </w:r>
    <w:r>
      <w:fldChar w:fldCharType="end"/>
    </w:r>
  </w:p>
  <w:p w14:paraId="3B61C78B">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BEF37">
    <w:pPr>
      <w:pStyle w:val="15"/>
      <w:framePr w:wrap="around" w:vAnchor="text" w:hAnchor="margin" w:xAlign="outside" w:y="1"/>
      <w:rPr>
        <w:rStyle w:val="28"/>
        <w:rFonts w:ascii="宋体" w:hAnsi="宋体"/>
        <w:sz w:val="28"/>
        <w:szCs w:val="28"/>
      </w:rPr>
    </w:pPr>
    <w:r>
      <w:rPr>
        <w:rStyle w:val="28"/>
        <w:rFonts w:hint="eastAsia" w:ascii="宋体" w:hAnsi="宋体"/>
        <w:sz w:val="28"/>
        <w:szCs w:val="28"/>
      </w:rPr>
      <w:t>—</w:t>
    </w:r>
    <w:r>
      <w:rPr>
        <w:rStyle w:val="28"/>
        <w:rFonts w:hint="default" w:ascii="Times New Roman" w:hAnsi="Times New Roman" w:cs="Times New Roman"/>
        <w:b/>
        <w:bCs/>
        <w:sz w:val="26"/>
        <w:szCs w:val="26"/>
      </w:rPr>
      <w:fldChar w:fldCharType="begin"/>
    </w:r>
    <w:r>
      <w:rPr>
        <w:rStyle w:val="28"/>
        <w:rFonts w:hint="default" w:ascii="Times New Roman" w:hAnsi="Times New Roman" w:cs="Times New Roman"/>
        <w:b/>
        <w:bCs/>
        <w:sz w:val="26"/>
        <w:szCs w:val="26"/>
      </w:rPr>
      <w:instrText xml:space="preserve">PAGE  </w:instrText>
    </w:r>
    <w:r>
      <w:rPr>
        <w:rStyle w:val="28"/>
        <w:rFonts w:hint="default" w:ascii="Times New Roman" w:hAnsi="Times New Roman" w:cs="Times New Roman"/>
        <w:b/>
        <w:bCs/>
        <w:sz w:val="26"/>
        <w:szCs w:val="26"/>
      </w:rPr>
      <w:fldChar w:fldCharType="separate"/>
    </w:r>
    <w:r>
      <w:rPr>
        <w:rStyle w:val="28"/>
        <w:rFonts w:hint="default" w:ascii="Times New Roman" w:hAnsi="Times New Roman" w:cs="Times New Roman"/>
        <w:b/>
        <w:bCs/>
        <w:sz w:val="26"/>
        <w:szCs w:val="26"/>
      </w:rPr>
      <w:t>9</w:t>
    </w:r>
    <w:r>
      <w:rPr>
        <w:rStyle w:val="28"/>
        <w:rFonts w:hint="default" w:ascii="Times New Roman" w:hAnsi="Times New Roman" w:cs="Times New Roman"/>
        <w:b/>
        <w:bCs/>
        <w:sz w:val="26"/>
        <w:szCs w:val="26"/>
      </w:rPr>
      <w:fldChar w:fldCharType="end"/>
    </w:r>
    <w:r>
      <w:rPr>
        <w:rStyle w:val="28"/>
        <w:rFonts w:hint="eastAsia" w:ascii="宋体" w:hAnsi="宋体"/>
        <w:sz w:val="28"/>
        <w:szCs w:val="28"/>
      </w:rPr>
      <w:t>—</w:t>
    </w:r>
  </w:p>
  <w:p w14:paraId="1E4E1FF2">
    <w:pPr>
      <w:pStyle w:val="15"/>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7DDB4">
    <w:pPr>
      <w:pStyle w:val="1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C37462"/>
    <w:multiLevelType w:val="singleLevel"/>
    <w:tmpl w:val="C8C37462"/>
    <w:lvl w:ilvl="0" w:tentative="0">
      <w:start w:val="1"/>
      <w:numFmt w:val="decimal"/>
      <w:lvlText w:val="%1."/>
      <w:lvlJc w:val="left"/>
      <w:pPr>
        <w:tabs>
          <w:tab w:val="left" w:pos="312"/>
        </w:tabs>
      </w:pPr>
    </w:lvl>
  </w:abstractNum>
  <w:abstractNum w:abstractNumId="1">
    <w:nsid w:val="1D5298B2"/>
    <w:multiLevelType w:val="singleLevel"/>
    <w:tmpl w:val="1D5298B2"/>
    <w:lvl w:ilvl="0" w:tentative="0">
      <w:start w:val="1"/>
      <w:numFmt w:val="bullet"/>
      <w:pStyle w:val="11"/>
      <w:lvlText w:val=""/>
      <w:lvlJc w:val="left"/>
      <w:pPr>
        <w:tabs>
          <w:tab w:val="left" w:pos="2040"/>
        </w:tabs>
        <w:ind w:left="204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xZmQ2NDUxYTIzYWRlY2M0ZjhiMmQxZTJiYTVkNTEifQ=="/>
  </w:docVars>
  <w:rsids>
    <w:rsidRoot w:val="00A14947"/>
    <w:rsid w:val="000060B3"/>
    <w:rsid w:val="00013654"/>
    <w:rsid w:val="0004364B"/>
    <w:rsid w:val="00061B1F"/>
    <w:rsid w:val="000733C4"/>
    <w:rsid w:val="00074783"/>
    <w:rsid w:val="000749E3"/>
    <w:rsid w:val="0008070B"/>
    <w:rsid w:val="000810AC"/>
    <w:rsid w:val="00081A02"/>
    <w:rsid w:val="00082231"/>
    <w:rsid w:val="00092D38"/>
    <w:rsid w:val="0009377B"/>
    <w:rsid w:val="000A002F"/>
    <w:rsid w:val="000A20C9"/>
    <w:rsid w:val="000B058F"/>
    <w:rsid w:val="000B4467"/>
    <w:rsid w:val="000B44D3"/>
    <w:rsid w:val="000B4DB9"/>
    <w:rsid w:val="000C09AC"/>
    <w:rsid w:val="000C767F"/>
    <w:rsid w:val="000D5A44"/>
    <w:rsid w:val="000E3ED2"/>
    <w:rsid w:val="00131F42"/>
    <w:rsid w:val="001357F1"/>
    <w:rsid w:val="00140FA8"/>
    <w:rsid w:val="00142FEB"/>
    <w:rsid w:val="00143A2D"/>
    <w:rsid w:val="00145A41"/>
    <w:rsid w:val="00151675"/>
    <w:rsid w:val="00157435"/>
    <w:rsid w:val="00157A5E"/>
    <w:rsid w:val="0017504D"/>
    <w:rsid w:val="0017671A"/>
    <w:rsid w:val="00177422"/>
    <w:rsid w:val="00183E8A"/>
    <w:rsid w:val="00184590"/>
    <w:rsid w:val="001870D1"/>
    <w:rsid w:val="0018781E"/>
    <w:rsid w:val="001925D9"/>
    <w:rsid w:val="0019262D"/>
    <w:rsid w:val="001A1B35"/>
    <w:rsid w:val="001A4716"/>
    <w:rsid w:val="001A48A2"/>
    <w:rsid w:val="001A6F61"/>
    <w:rsid w:val="001B72B8"/>
    <w:rsid w:val="001C66E0"/>
    <w:rsid w:val="001C69B3"/>
    <w:rsid w:val="001D5595"/>
    <w:rsid w:val="001D7874"/>
    <w:rsid w:val="001D7F22"/>
    <w:rsid w:val="001F0F17"/>
    <w:rsid w:val="001F3347"/>
    <w:rsid w:val="001F69E4"/>
    <w:rsid w:val="001F7F7E"/>
    <w:rsid w:val="002125B4"/>
    <w:rsid w:val="002155B8"/>
    <w:rsid w:val="00215C08"/>
    <w:rsid w:val="00224839"/>
    <w:rsid w:val="002249B2"/>
    <w:rsid w:val="00225378"/>
    <w:rsid w:val="00226574"/>
    <w:rsid w:val="002265E2"/>
    <w:rsid w:val="002278EC"/>
    <w:rsid w:val="0023280E"/>
    <w:rsid w:val="00235772"/>
    <w:rsid w:val="002377D1"/>
    <w:rsid w:val="00247B5B"/>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2F1F1E"/>
    <w:rsid w:val="00301978"/>
    <w:rsid w:val="0030332C"/>
    <w:rsid w:val="003051C2"/>
    <w:rsid w:val="00312296"/>
    <w:rsid w:val="00314F0E"/>
    <w:rsid w:val="00321D8E"/>
    <w:rsid w:val="00325928"/>
    <w:rsid w:val="00327CB1"/>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0404"/>
    <w:rsid w:val="003D794D"/>
    <w:rsid w:val="003E3058"/>
    <w:rsid w:val="003E76A9"/>
    <w:rsid w:val="003F0809"/>
    <w:rsid w:val="003F42F4"/>
    <w:rsid w:val="003F5F2A"/>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874D5"/>
    <w:rsid w:val="00494670"/>
    <w:rsid w:val="004A3823"/>
    <w:rsid w:val="004E21D2"/>
    <w:rsid w:val="004E6946"/>
    <w:rsid w:val="004F1AD8"/>
    <w:rsid w:val="005039CB"/>
    <w:rsid w:val="0050558F"/>
    <w:rsid w:val="00506286"/>
    <w:rsid w:val="00510813"/>
    <w:rsid w:val="00511990"/>
    <w:rsid w:val="00511DE0"/>
    <w:rsid w:val="00514870"/>
    <w:rsid w:val="00514B9B"/>
    <w:rsid w:val="00517F02"/>
    <w:rsid w:val="00522102"/>
    <w:rsid w:val="00524303"/>
    <w:rsid w:val="005258A2"/>
    <w:rsid w:val="005319D6"/>
    <w:rsid w:val="00537C28"/>
    <w:rsid w:val="005401AE"/>
    <w:rsid w:val="00542E07"/>
    <w:rsid w:val="00545424"/>
    <w:rsid w:val="00554A7B"/>
    <w:rsid w:val="0055572C"/>
    <w:rsid w:val="0055574E"/>
    <w:rsid w:val="00560908"/>
    <w:rsid w:val="0056106A"/>
    <w:rsid w:val="005720AE"/>
    <w:rsid w:val="00594D77"/>
    <w:rsid w:val="005969E4"/>
    <w:rsid w:val="005A06B7"/>
    <w:rsid w:val="005A1759"/>
    <w:rsid w:val="005A68A7"/>
    <w:rsid w:val="005C088A"/>
    <w:rsid w:val="005C6ADC"/>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200AE"/>
    <w:rsid w:val="00732922"/>
    <w:rsid w:val="00744674"/>
    <w:rsid w:val="0075162E"/>
    <w:rsid w:val="00754034"/>
    <w:rsid w:val="00756556"/>
    <w:rsid w:val="00757B9E"/>
    <w:rsid w:val="007618C4"/>
    <w:rsid w:val="00767980"/>
    <w:rsid w:val="00770B19"/>
    <w:rsid w:val="00771B68"/>
    <w:rsid w:val="0077463F"/>
    <w:rsid w:val="007836EA"/>
    <w:rsid w:val="00784CDA"/>
    <w:rsid w:val="007906C4"/>
    <w:rsid w:val="007940EA"/>
    <w:rsid w:val="007967E8"/>
    <w:rsid w:val="007A2170"/>
    <w:rsid w:val="007A22BF"/>
    <w:rsid w:val="007A3323"/>
    <w:rsid w:val="007B01F2"/>
    <w:rsid w:val="007B72B8"/>
    <w:rsid w:val="007B7A58"/>
    <w:rsid w:val="007C0F2D"/>
    <w:rsid w:val="007C21B5"/>
    <w:rsid w:val="007E02F7"/>
    <w:rsid w:val="007E4BD2"/>
    <w:rsid w:val="007E4CA5"/>
    <w:rsid w:val="00801393"/>
    <w:rsid w:val="00802F88"/>
    <w:rsid w:val="00807CC5"/>
    <w:rsid w:val="0081293E"/>
    <w:rsid w:val="00814795"/>
    <w:rsid w:val="00815465"/>
    <w:rsid w:val="00817E9A"/>
    <w:rsid w:val="008306BD"/>
    <w:rsid w:val="00831A80"/>
    <w:rsid w:val="00833743"/>
    <w:rsid w:val="008340A4"/>
    <w:rsid w:val="00844285"/>
    <w:rsid w:val="0087135F"/>
    <w:rsid w:val="0087167F"/>
    <w:rsid w:val="00872D94"/>
    <w:rsid w:val="00880364"/>
    <w:rsid w:val="00891592"/>
    <w:rsid w:val="00891E9E"/>
    <w:rsid w:val="008A2F68"/>
    <w:rsid w:val="008B4FA6"/>
    <w:rsid w:val="008B5282"/>
    <w:rsid w:val="008B7C17"/>
    <w:rsid w:val="008C2D01"/>
    <w:rsid w:val="008C40E6"/>
    <w:rsid w:val="008D0F7A"/>
    <w:rsid w:val="008D138C"/>
    <w:rsid w:val="008D68E4"/>
    <w:rsid w:val="008E0506"/>
    <w:rsid w:val="008E0CFF"/>
    <w:rsid w:val="008E5D6B"/>
    <w:rsid w:val="008E76F0"/>
    <w:rsid w:val="008F15FE"/>
    <w:rsid w:val="008F2D29"/>
    <w:rsid w:val="008F5187"/>
    <w:rsid w:val="008F60D8"/>
    <w:rsid w:val="00902727"/>
    <w:rsid w:val="0090312B"/>
    <w:rsid w:val="0091736D"/>
    <w:rsid w:val="00920750"/>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A5857"/>
    <w:rsid w:val="009B0897"/>
    <w:rsid w:val="009B7BD9"/>
    <w:rsid w:val="009C15CF"/>
    <w:rsid w:val="009C7DD5"/>
    <w:rsid w:val="009E227D"/>
    <w:rsid w:val="009E5019"/>
    <w:rsid w:val="00A04F1B"/>
    <w:rsid w:val="00A0501B"/>
    <w:rsid w:val="00A14947"/>
    <w:rsid w:val="00A24ED3"/>
    <w:rsid w:val="00A32A83"/>
    <w:rsid w:val="00A368DB"/>
    <w:rsid w:val="00A423AA"/>
    <w:rsid w:val="00A53EC6"/>
    <w:rsid w:val="00A55C0F"/>
    <w:rsid w:val="00A8713F"/>
    <w:rsid w:val="00A90BA1"/>
    <w:rsid w:val="00A97A9A"/>
    <w:rsid w:val="00AA0671"/>
    <w:rsid w:val="00AA2531"/>
    <w:rsid w:val="00AB1E09"/>
    <w:rsid w:val="00AB5330"/>
    <w:rsid w:val="00AB7747"/>
    <w:rsid w:val="00AB7A64"/>
    <w:rsid w:val="00AC14CE"/>
    <w:rsid w:val="00AC2A56"/>
    <w:rsid w:val="00AD055E"/>
    <w:rsid w:val="00AD47A7"/>
    <w:rsid w:val="00AF0CBF"/>
    <w:rsid w:val="00AF257F"/>
    <w:rsid w:val="00AF33CF"/>
    <w:rsid w:val="00AF4D50"/>
    <w:rsid w:val="00AF6179"/>
    <w:rsid w:val="00B0507A"/>
    <w:rsid w:val="00B1295A"/>
    <w:rsid w:val="00B20A45"/>
    <w:rsid w:val="00B22C5C"/>
    <w:rsid w:val="00B24F30"/>
    <w:rsid w:val="00B31ABF"/>
    <w:rsid w:val="00B32474"/>
    <w:rsid w:val="00B33BE3"/>
    <w:rsid w:val="00B406C6"/>
    <w:rsid w:val="00B53B5D"/>
    <w:rsid w:val="00B6055E"/>
    <w:rsid w:val="00B6317D"/>
    <w:rsid w:val="00B7723F"/>
    <w:rsid w:val="00B80534"/>
    <w:rsid w:val="00B8433C"/>
    <w:rsid w:val="00B87491"/>
    <w:rsid w:val="00BA1A55"/>
    <w:rsid w:val="00BA29E9"/>
    <w:rsid w:val="00BA7142"/>
    <w:rsid w:val="00BB237C"/>
    <w:rsid w:val="00BB41A3"/>
    <w:rsid w:val="00BC32DC"/>
    <w:rsid w:val="00BC35B6"/>
    <w:rsid w:val="00BD1B51"/>
    <w:rsid w:val="00BD4596"/>
    <w:rsid w:val="00BE1405"/>
    <w:rsid w:val="00BE312D"/>
    <w:rsid w:val="00BF1C20"/>
    <w:rsid w:val="00BF52BD"/>
    <w:rsid w:val="00C10578"/>
    <w:rsid w:val="00C1078D"/>
    <w:rsid w:val="00C135BC"/>
    <w:rsid w:val="00C14B91"/>
    <w:rsid w:val="00C15C95"/>
    <w:rsid w:val="00C2596A"/>
    <w:rsid w:val="00C26F9F"/>
    <w:rsid w:val="00C27537"/>
    <w:rsid w:val="00C328FE"/>
    <w:rsid w:val="00C32B79"/>
    <w:rsid w:val="00C33507"/>
    <w:rsid w:val="00C4409D"/>
    <w:rsid w:val="00C44E72"/>
    <w:rsid w:val="00C45A06"/>
    <w:rsid w:val="00C47E5B"/>
    <w:rsid w:val="00C61E4B"/>
    <w:rsid w:val="00C64BFF"/>
    <w:rsid w:val="00C704E9"/>
    <w:rsid w:val="00C763C9"/>
    <w:rsid w:val="00C80057"/>
    <w:rsid w:val="00C82232"/>
    <w:rsid w:val="00C82913"/>
    <w:rsid w:val="00C85F20"/>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9637F"/>
    <w:rsid w:val="00DB20F7"/>
    <w:rsid w:val="00DB2983"/>
    <w:rsid w:val="00DC1257"/>
    <w:rsid w:val="00DC3DC0"/>
    <w:rsid w:val="00DC5B2B"/>
    <w:rsid w:val="00DD318D"/>
    <w:rsid w:val="00DE3995"/>
    <w:rsid w:val="00DF2E12"/>
    <w:rsid w:val="00DF514A"/>
    <w:rsid w:val="00DF6690"/>
    <w:rsid w:val="00DF6804"/>
    <w:rsid w:val="00E0358D"/>
    <w:rsid w:val="00E04323"/>
    <w:rsid w:val="00E070A2"/>
    <w:rsid w:val="00E13486"/>
    <w:rsid w:val="00E2656A"/>
    <w:rsid w:val="00E412D0"/>
    <w:rsid w:val="00E56322"/>
    <w:rsid w:val="00E60982"/>
    <w:rsid w:val="00E62C62"/>
    <w:rsid w:val="00E654C1"/>
    <w:rsid w:val="00E65D97"/>
    <w:rsid w:val="00E6685D"/>
    <w:rsid w:val="00E72A5A"/>
    <w:rsid w:val="00E73354"/>
    <w:rsid w:val="00E9242D"/>
    <w:rsid w:val="00EA233A"/>
    <w:rsid w:val="00EB5255"/>
    <w:rsid w:val="00EB5C47"/>
    <w:rsid w:val="00EB7E60"/>
    <w:rsid w:val="00ED0639"/>
    <w:rsid w:val="00EF4755"/>
    <w:rsid w:val="00EF7135"/>
    <w:rsid w:val="00F027DB"/>
    <w:rsid w:val="00F07F7A"/>
    <w:rsid w:val="00F14A7A"/>
    <w:rsid w:val="00F211EF"/>
    <w:rsid w:val="00F22985"/>
    <w:rsid w:val="00F3383E"/>
    <w:rsid w:val="00F465A7"/>
    <w:rsid w:val="00F50B7C"/>
    <w:rsid w:val="00F50CDF"/>
    <w:rsid w:val="00F53172"/>
    <w:rsid w:val="00F550E6"/>
    <w:rsid w:val="00F74345"/>
    <w:rsid w:val="00F74A57"/>
    <w:rsid w:val="00F80A0A"/>
    <w:rsid w:val="00F82B19"/>
    <w:rsid w:val="00F913CA"/>
    <w:rsid w:val="00F9212D"/>
    <w:rsid w:val="00F965DA"/>
    <w:rsid w:val="00FA406A"/>
    <w:rsid w:val="00FB503A"/>
    <w:rsid w:val="00FB516C"/>
    <w:rsid w:val="00FC02BF"/>
    <w:rsid w:val="00FD0236"/>
    <w:rsid w:val="00FD18F4"/>
    <w:rsid w:val="00FD54DB"/>
    <w:rsid w:val="00FD619F"/>
    <w:rsid w:val="00FE1942"/>
    <w:rsid w:val="00FE4037"/>
    <w:rsid w:val="00FF2DAE"/>
    <w:rsid w:val="0102159D"/>
    <w:rsid w:val="01042A2C"/>
    <w:rsid w:val="01066A48"/>
    <w:rsid w:val="010C51BB"/>
    <w:rsid w:val="010D6029"/>
    <w:rsid w:val="010D7DD7"/>
    <w:rsid w:val="010E3D53"/>
    <w:rsid w:val="010F1DA1"/>
    <w:rsid w:val="011164C1"/>
    <w:rsid w:val="01154EDD"/>
    <w:rsid w:val="01177872"/>
    <w:rsid w:val="01290F7E"/>
    <w:rsid w:val="012F2443"/>
    <w:rsid w:val="01340E0C"/>
    <w:rsid w:val="013B2B96"/>
    <w:rsid w:val="01457570"/>
    <w:rsid w:val="01487061"/>
    <w:rsid w:val="014A2DD9"/>
    <w:rsid w:val="014A3A81"/>
    <w:rsid w:val="014A6652"/>
    <w:rsid w:val="014D0B1B"/>
    <w:rsid w:val="014D4677"/>
    <w:rsid w:val="01505F15"/>
    <w:rsid w:val="01545A05"/>
    <w:rsid w:val="015D1E09"/>
    <w:rsid w:val="01602188"/>
    <w:rsid w:val="016F45ED"/>
    <w:rsid w:val="01722330"/>
    <w:rsid w:val="01737000"/>
    <w:rsid w:val="017716F4"/>
    <w:rsid w:val="017F409D"/>
    <w:rsid w:val="01802C9E"/>
    <w:rsid w:val="01804A4C"/>
    <w:rsid w:val="0183453D"/>
    <w:rsid w:val="01852063"/>
    <w:rsid w:val="018A58CB"/>
    <w:rsid w:val="018E7169"/>
    <w:rsid w:val="018F6A3E"/>
    <w:rsid w:val="0193633E"/>
    <w:rsid w:val="019860E9"/>
    <w:rsid w:val="01A06E9D"/>
    <w:rsid w:val="01A10A95"/>
    <w:rsid w:val="01A4698D"/>
    <w:rsid w:val="01AF70E0"/>
    <w:rsid w:val="01B02E25"/>
    <w:rsid w:val="01B16EBF"/>
    <w:rsid w:val="01B42948"/>
    <w:rsid w:val="01B6046E"/>
    <w:rsid w:val="01B9244C"/>
    <w:rsid w:val="01C25B1B"/>
    <w:rsid w:val="01C35DFF"/>
    <w:rsid w:val="01C54B55"/>
    <w:rsid w:val="01C56903"/>
    <w:rsid w:val="01C901A1"/>
    <w:rsid w:val="01CE57B8"/>
    <w:rsid w:val="01D6466C"/>
    <w:rsid w:val="01E4322D"/>
    <w:rsid w:val="01E62A26"/>
    <w:rsid w:val="01E951BF"/>
    <w:rsid w:val="01EA0118"/>
    <w:rsid w:val="01EA2E1D"/>
    <w:rsid w:val="01EC20E2"/>
    <w:rsid w:val="01EE7C08"/>
    <w:rsid w:val="01F01BD2"/>
    <w:rsid w:val="01F33470"/>
    <w:rsid w:val="01F37E0F"/>
    <w:rsid w:val="01F9035B"/>
    <w:rsid w:val="02031E8C"/>
    <w:rsid w:val="020611E9"/>
    <w:rsid w:val="02070CCA"/>
    <w:rsid w:val="02072A78"/>
    <w:rsid w:val="020A5418"/>
    <w:rsid w:val="020B6DEF"/>
    <w:rsid w:val="0211370D"/>
    <w:rsid w:val="02155C7C"/>
    <w:rsid w:val="021A7121"/>
    <w:rsid w:val="021B4775"/>
    <w:rsid w:val="021D04ED"/>
    <w:rsid w:val="021E2E5F"/>
    <w:rsid w:val="021F4E94"/>
    <w:rsid w:val="0227311A"/>
    <w:rsid w:val="022C297A"/>
    <w:rsid w:val="023A2E4D"/>
    <w:rsid w:val="024261A6"/>
    <w:rsid w:val="02441F1E"/>
    <w:rsid w:val="02474A19"/>
    <w:rsid w:val="0249088A"/>
    <w:rsid w:val="024B2609"/>
    <w:rsid w:val="02576B32"/>
    <w:rsid w:val="02581525"/>
    <w:rsid w:val="025832D3"/>
    <w:rsid w:val="025C1016"/>
    <w:rsid w:val="025C7268"/>
    <w:rsid w:val="0261030A"/>
    <w:rsid w:val="02624152"/>
    <w:rsid w:val="02655AEE"/>
    <w:rsid w:val="026779BA"/>
    <w:rsid w:val="02697903"/>
    <w:rsid w:val="026C4FD1"/>
    <w:rsid w:val="026E699E"/>
    <w:rsid w:val="02704AC1"/>
    <w:rsid w:val="02744A7A"/>
    <w:rsid w:val="02753E85"/>
    <w:rsid w:val="027A76EE"/>
    <w:rsid w:val="027D71DE"/>
    <w:rsid w:val="027F2CA3"/>
    <w:rsid w:val="0284231A"/>
    <w:rsid w:val="02847D1E"/>
    <w:rsid w:val="02860F4C"/>
    <w:rsid w:val="02897931"/>
    <w:rsid w:val="029167E5"/>
    <w:rsid w:val="02917B63"/>
    <w:rsid w:val="02954528"/>
    <w:rsid w:val="02963DFC"/>
    <w:rsid w:val="0298760E"/>
    <w:rsid w:val="029A1B3E"/>
    <w:rsid w:val="029F0F02"/>
    <w:rsid w:val="02A05AB6"/>
    <w:rsid w:val="02A14C7A"/>
    <w:rsid w:val="02A209F3"/>
    <w:rsid w:val="02A82458"/>
    <w:rsid w:val="02AD361F"/>
    <w:rsid w:val="02BD2DDC"/>
    <w:rsid w:val="02BE3A7E"/>
    <w:rsid w:val="02BE582C"/>
    <w:rsid w:val="02BF50C1"/>
    <w:rsid w:val="02C1356F"/>
    <w:rsid w:val="02C62933"/>
    <w:rsid w:val="02CB4EE2"/>
    <w:rsid w:val="02CD3CC1"/>
    <w:rsid w:val="02D16337"/>
    <w:rsid w:val="02D74B40"/>
    <w:rsid w:val="02D85BF6"/>
    <w:rsid w:val="02DA6C7E"/>
    <w:rsid w:val="02DB2E36"/>
    <w:rsid w:val="02E04605"/>
    <w:rsid w:val="02E132C9"/>
    <w:rsid w:val="02E46D6A"/>
    <w:rsid w:val="02EB05EB"/>
    <w:rsid w:val="02EE3C38"/>
    <w:rsid w:val="02F254D6"/>
    <w:rsid w:val="02F456F2"/>
    <w:rsid w:val="02F56D74"/>
    <w:rsid w:val="02F96569"/>
    <w:rsid w:val="02FD0253"/>
    <w:rsid w:val="03027722"/>
    <w:rsid w:val="030761E6"/>
    <w:rsid w:val="0309489A"/>
    <w:rsid w:val="030A5EB4"/>
    <w:rsid w:val="031B2C7F"/>
    <w:rsid w:val="031E62CB"/>
    <w:rsid w:val="0321400D"/>
    <w:rsid w:val="03215DBB"/>
    <w:rsid w:val="03222EC1"/>
    <w:rsid w:val="03304250"/>
    <w:rsid w:val="03323B24"/>
    <w:rsid w:val="03353A41"/>
    <w:rsid w:val="0337738D"/>
    <w:rsid w:val="033A0B8B"/>
    <w:rsid w:val="033F485F"/>
    <w:rsid w:val="03411FB9"/>
    <w:rsid w:val="03433F84"/>
    <w:rsid w:val="03443858"/>
    <w:rsid w:val="034B4BE6"/>
    <w:rsid w:val="034D5336"/>
    <w:rsid w:val="03573985"/>
    <w:rsid w:val="03604B36"/>
    <w:rsid w:val="0361440A"/>
    <w:rsid w:val="0371289F"/>
    <w:rsid w:val="037333D2"/>
    <w:rsid w:val="037B54CB"/>
    <w:rsid w:val="03810CCF"/>
    <w:rsid w:val="03810E94"/>
    <w:rsid w:val="038216A8"/>
    <w:rsid w:val="038C76D9"/>
    <w:rsid w:val="038E2066"/>
    <w:rsid w:val="038F088B"/>
    <w:rsid w:val="038F541B"/>
    <w:rsid w:val="03914CEF"/>
    <w:rsid w:val="03977E2B"/>
    <w:rsid w:val="03984126"/>
    <w:rsid w:val="0398426E"/>
    <w:rsid w:val="039842DB"/>
    <w:rsid w:val="03A03184"/>
    <w:rsid w:val="03A26EFC"/>
    <w:rsid w:val="03AA7B5F"/>
    <w:rsid w:val="03AC1B29"/>
    <w:rsid w:val="03AF786B"/>
    <w:rsid w:val="03B15391"/>
    <w:rsid w:val="03B22EB7"/>
    <w:rsid w:val="03B7227C"/>
    <w:rsid w:val="03B86720"/>
    <w:rsid w:val="03C65D02"/>
    <w:rsid w:val="03C74BB5"/>
    <w:rsid w:val="03C926DB"/>
    <w:rsid w:val="03CE5A7E"/>
    <w:rsid w:val="03CE5F43"/>
    <w:rsid w:val="03DB0660"/>
    <w:rsid w:val="03DD7F34"/>
    <w:rsid w:val="03DF11ED"/>
    <w:rsid w:val="03DF1EFE"/>
    <w:rsid w:val="03E219EE"/>
    <w:rsid w:val="03E703AC"/>
    <w:rsid w:val="03EA2651"/>
    <w:rsid w:val="03EA43FF"/>
    <w:rsid w:val="03EA7B21"/>
    <w:rsid w:val="03EC461B"/>
    <w:rsid w:val="03EE2141"/>
    <w:rsid w:val="03EF5EB9"/>
    <w:rsid w:val="03F1578E"/>
    <w:rsid w:val="03F37758"/>
    <w:rsid w:val="03FF60FC"/>
    <w:rsid w:val="04021749"/>
    <w:rsid w:val="0402799B"/>
    <w:rsid w:val="04082AD7"/>
    <w:rsid w:val="040E4592"/>
    <w:rsid w:val="04117BDE"/>
    <w:rsid w:val="041278E1"/>
    <w:rsid w:val="04161698"/>
    <w:rsid w:val="041871BE"/>
    <w:rsid w:val="041B0FFD"/>
    <w:rsid w:val="041E22FB"/>
    <w:rsid w:val="041F654A"/>
    <w:rsid w:val="041F679F"/>
    <w:rsid w:val="04245B63"/>
    <w:rsid w:val="04253689"/>
    <w:rsid w:val="04267B2D"/>
    <w:rsid w:val="04294F27"/>
    <w:rsid w:val="042A6EF2"/>
    <w:rsid w:val="043164D2"/>
    <w:rsid w:val="04325B3B"/>
    <w:rsid w:val="0433224A"/>
    <w:rsid w:val="04351B1E"/>
    <w:rsid w:val="04360C8C"/>
    <w:rsid w:val="04363AE8"/>
    <w:rsid w:val="04367B0B"/>
    <w:rsid w:val="043A7135"/>
    <w:rsid w:val="043F299D"/>
    <w:rsid w:val="04410970"/>
    <w:rsid w:val="0442423B"/>
    <w:rsid w:val="044B1342"/>
    <w:rsid w:val="044F0706"/>
    <w:rsid w:val="045126D0"/>
    <w:rsid w:val="045D72C7"/>
    <w:rsid w:val="04657F2A"/>
    <w:rsid w:val="046643CE"/>
    <w:rsid w:val="04675A50"/>
    <w:rsid w:val="046B5540"/>
    <w:rsid w:val="047343F5"/>
    <w:rsid w:val="04735D90"/>
    <w:rsid w:val="04781A0B"/>
    <w:rsid w:val="04784101"/>
    <w:rsid w:val="04785EAF"/>
    <w:rsid w:val="047A1C27"/>
    <w:rsid w:val="047A6397"/>
    <w:rsid w:val="047D1717"/>
    <w:rsid w:val="047E1055"/>
    <w:rsid w:val="04820ADC"/>
    <w:rsid w:val="04891E6A"/>
    <w:rsid w:val="048C54B6"/>
    <w:rsid w:val="04910D1F"/>
    <w:rsid w:val="04912ACD"/>
    <w:rsid w:val="04933280"/>
    <w:rsid w:val="04975C76"/>
    <w:rsid w:val="049802FF"/>
    <w:rsid w:val="049A7BD3"/>
    <w:rsid w:val="049C7DEF"/>
    <w:rsid w:val="049D5915"/>
    <w:rsid w:val="049F5128"/>
    <w:rsid w:val="04A44EF6"/>
    <w:rsid w:val="04A66578"/>
    <w:rsid w:val="04AB0032"/>
    <w:rsid w:val="04AC5B58"/>
    <w:rsid w:val="04B02D72"/>
    <w:rsid w:val="04B0389B"/>
    <w:rsid w:val="04B0591C"/>
    <w:rsid w:val="04B30C95"/>
    <w:rsid w:val="04B35139"/>
    <w:rsid w:val="04BC5D9C"/>
    <w:rsid w:val="04BF379F"/>
    <w:rsid w:val="04BF4664"/>
    <w:rsid w:val="04C9670A"/>
    <w:rsid w:val="04CE5ACF"/>
    <w:rsid w:val="04CE5B50"/>
    <w:rsid w:val="04D223EC"/>
    <w:rsid w:val="04D27F09"/>
    <w:rsid w:val="04D55076"/>
    <w:rsid w:val="04D74983"/>
    <w:rsid w:val="04DB3CBD"/>
    <w:rsid w:val="04DC74DB"/>
    <w:rsid w:val="04DF0C5E"/>
    <w:rsid w:val="04E15802"/>
    <w:rsid w:val="04E62E18"/>
    <w:rsid w:val="04E946B7"/>
    <w:rsid w:val="04EC4DC2"/>
    <w:rsid w:val="04EF43C3"/>
    <w:rsid w:val="04FA4B16"/>
    <w:rsid w:val="04FA68C4"/>
    <w:rsid w:val="04FD0C1C"/>
    <w:rsid w:val="05014417"/>
    <w:rsid w:val="05017C52"/>
    <w:rsid w:val="05096B07"/>
    <w:rsid w:val="050B0AD1"/>
    <w:rsid w:val="050F0848"/>
    <w:rsid w:val="051E0804"/>
    <w:rsid w:val="0523406D"/>
    <w:rsid w:val="05254F53"/>
    <w:rsid w:val="052971A9"/>
    <w:rsid w:val="052B52CE"/>
    <w:rsid w:val="052D26C1"/>
    <w:rsid w:val="052F2A11"/>
    <w:rsid w:val="052F7BDE"/>
    <w:rsid w:val="05322502"/>
    <w:rsid w:val="05341DD6"/>
    <w:rsid w:val="053650E4"/>
    <w:rsid w:val="053B7608"/>
    <w:rsid w:val="053E7F1C"/>
    <w:rsid w:val="0540041A"/>
    <w:rsid w:val="05432019"/>
    <w:rsid w:val="05435427"/>
    <w:rsid w:val="05445D91"/>
    <w:rsid w:val="05467D5B"/>
    <w:rsid w:val="054F5C0F"/>
    <w:rsid w:val="05502988"/>
    <w:rsid w:val="05504736"/>
    <w:rsid w:val="05557F9E"/>
    <w:rsid w:val="0559183C"/>
    <w:rsid w:val="055B2DFA"/>
    <w:rsid w:val="05614B95"/>
    <w:rsid w:val="056B4A14"/>
    <w:rsid w:val="056C5A14"/>
    <w:rsid w:val="056D7096"/>
    <w:rsid w:val="05705DB7"/>
    <w:rsid w:val="0571425F"/>
    <w:rsid w:val="057228FE"/>
    <w:rsid w:val="05726DA2"/>
    <w:rsid w:val="05775F05"/>
    <w:rsid w:val="057E4127"/>
    <w:rsid w:val="05801486"/>
    <w:rsid w:val="05892984"/>
    <w:rsid w:val="058C7E64"/>
    <w:rsid w:val="058F3A4A"/>
    <w:rsid w:val="05900FD6"/>
    <w:rsid w:val="05904C11"/>
    <w:rsid w:val="0591547A"/>
    <w:rsid w:val="05962A91"/>
    <w:rsid w:val="059646F9"/>
    <w:rsid w:val="059A3C03"/>
    <w:rsid w:val="059E7B97"/>
    <w:rsid w:val="059F0E35"/>
    <w:rsid w:val="05A01219"/>
    <w:rsid w:val="05A0746B"/>
    <w:rsid w:val="05A54A82"/>
    <w:rsid w:val="05A607FA"/>
    <w:rsid w:val="05A86320"/>
    <w:rsid w:val="05AA2098"/>
    <w:rsid w:val="05AB10D4"/>
    <w:rsid w:val="05B227CB"/>
    <w:rsid w:val="05B41169"/>
    <w:rsid w:val="05BB4A66"/>
    <w:rsid w:val="05C01001"/>
    <w:rsid w:val="05C940A2"/>
    <w:rsid w:val="05CA26AE"/>
    <w:rsid w:val="05CA273A"/>
    <w:rsid w:val="05CC64B2"/>
    <w:rsid w:val="05CD222A"/>
    <w:rsid w:val="05CE42E7"/>
    <w:rsid w:val="05D35C95"/>
    <w:rsid w:val="05D45367"/>
    <w:rsid w:val="05D4792B"/>
    <w:rsid w:val="05DE7F94"/>
    <w:rsid w:val="05E509F9"/>
    <w:rsid w:val="05E530D0"/>
    <w:rsid w:val="05E855C0"/>
    <w:rsid w:val="05EA2DDC"/>
    <w:rsid w:val="05EC445F"/>
    <w:rsid w:val="05F545AE"/>
    <w:rsid w:val="05F83EAE"/>
    <w:rsid w:val="05FD2B10"/>
    <w:rsid w:val="06007F0A"/>
    <w:rsid w:val="06020B9C"/>
    <w:rsid w:val="060519C4"/>
    <w:rsid w:val="060F639F"/>
    <w:rsid w:val="06141C07"/>
    <w:rsid w:val="061614DB"/>
    <w:rsid w:val="06163B39"/>
    <w:rsid w:val="061B0C12"/>
    <w:rsid w:val="061F2A86"/>
    <w:rsid w:val="0620235A"/>
    <w:rsid w:val="062067FE"/>
    <w:rsid w:val="06233BF8"/>
    <w:rsid w:val="062D4D6A"/>
    <w:rsid w:val="062F07EF"/>
    <w:rsid w:val="06380A36"/>
    <w:rsid w:val="063E7D85"/>
    <w:rsid w:val="064249C6"/>
    <w:rsid w:val="06471FDD"/>
    <w:rsid w:val="064853A5"/>
    <w:rsid w:val="064A387B"/>
    <w:rsid w:val="065169B7"/>
    <w:rsid w:val="06527A7A"/>
    <w:rsid w:val="06540256"/>
    <w:rsid w:val="06594753"/>
    <w:rsid w:val="06625E2E"/>
    <w:rsid w:val="06640499"/>
    <w:rsid w:val="06693D01"/>
    <w:rsid w:val="06723038"/>
    <w:rsid w:val="067526A6"/>
    <w:rsid w:val="0679482E"/>
    <w:rsid w:val="067D1B9F"/>
    <w:rsid w:val="06805772"/>
    <w:rsid w:val="068723D9"/>
    <w:rsid w:val="06877DFA"/>
    <w:rsid w:val="068821EB"/>
    <w:rsid w:val="068943A3"/>
    <w:rsid w:val="068C2D31"/>
    <w:rsid w:val="068E7B23"/>
    <w:rsid w:val="068F1020"/>
    <w:rsid w:val="06905732"/>
    <w:rsid w:val="069A3EBB"/>
    <w:rsid w:val="069B7C33"/>
    <w:rsid w:val="069D1BFD"/>
    <w:rsid w:val="069D39AB"/>
    <w:rsid w:val="06A92350"/>
    <w:rsid w:val="06AB256C"/>
    <w:rsid w:val="06AC0685"/>
    <w:rsid w:val="06B01930"/>
    <w:rsid w:val="06B55198"/>
    <w:rsid w:val="06B807E5"/>
    <w:rsid w:val="06C60D71"/>
    <w:rsid w:val="06C62F02"/>
    <w:rsid w:val="06CE0008"/>
    <w:rsid w:val="06CE01B4"/>
    <w:rsid w:val="06D33870"/>
    <w:rsid w:val="06D80E87"/>
    <w:rsid w:val="06D82C35"/>
    <w:rsid w:val="06E17D3B"/>
    <w:rsid w:val="06E42523"/>
    <w:rsid w:val="06E432D0"/>
    <w:rsid w:val="06E447B4"/>
    <w:rsid w:val="06EB6E0C"/>
    <w:rsid w:val="06EC63EF"/>
    <w:rsid w:val="06ED4932"/>
    <w:rsid w:val="06EE06AA"/>
    <w:rsid w:val="06F07DA6"/>
    <w:rsid w:val="06F153B1"/>
    <w:rsid w:val="06F316D8"/>
    <w:rsid w:val="06F3181D"/>
    <w:rsid w:val="06F537E7"/>
    <w:rsid w:val="06F86E33"/>
    <w:rsid w:val="06FA0508"/>
    <w:rsid w:val="06FC2DC7"/>
    <w:rsid w:val="07034156"/>
    <w:rsid w:val="070659F4"/>
    <w:rsid w:val="0708176C"/>
    <w:rsid w:val="0708351A"/>
    <w:rsid w:val="070B125C"/>
    <w:rsid w:val="070D0B30"/>
    <w:rsid w:val="070E6657"/>
    <w:rsid w:val="0717375D"/>
    <w:rsid w:val="07181283"/>
    <w:rsid w:val="071B4B75"/>
    <w:rsid w:val="071C6FC5"/>
    <w:rsid w:val="071D689A"/>
    <w:rsid w:val="071F6AB6"/>
    <w:rsid w:val="072145DC"/>
    <w:rsid w:val="07287718"/>
    <w:rsid w:val="07290F15"/>
    <w:rsid w:val="07293185"/>
    <w:rsid w:val="07293586"/>
    <w:rsid w:val="07295285"/>
    <w:rsid w:val="0737795B"/>
    <w:rsid w:val="07397B77"/>
    <w:rsid w:val="073A3330"/>
    <w:rsid w:val="073D0B7A"/>
    <w:rsid w:val="073D0CEA"/>
    <w:rsid w:val="073F4A62"/>
    <w:rsid w:val="074327A4"/>
    <w:rsid w:val="07433EF7"/>
    <w:rsid w:val="07487DBA"/>
    <w:rsid w:val="074958E1"/>
    <w:rsid w:val="074A53D1"/>
    <w:rsid w:val="074B1659"/>
    <w:rsid w:val="074D717F"/>
    <w:rsid w:val="074F4740"/>
    <w:rsid w:val="07565C1B"/>
    <w:rsid w:val="07571DAC"/>
    <w:rsid w:val="075F5104"/>
    <w:rsid w:val="07621DB4"/>
    <w:rsid w:val="07636392"/>
    <w:rsid w:val="076444C8"/>
    <w:rsid w:val="07660241"/>
    <w:rsid w:val="0768220B"/>
    <w:rsid w:val="076B3AA9"/>
    <w:rsid w:val="0774295E"/>
    <w:rsid w:val="077520F8"/>
    <w:rsid w:val="07770C56"/>
    <w:rsid w:val="077F1302"/>
    <w:rsid w:val="078132CC"/>
    <w:rsid w:val="0781507A"/>
    <w:rsid w:val="07832BA1"/>
    <w:rsid w:val="0788441B"/>
    <w:rsid w:val="078D7EC3"/>
    <w:rsid w:val="078F59E9"/>
    <w:rsid w:val="079254DA"/>
    <w:rsid w:val="07930A17"/>
    <w:rsid w:val="07943000"/>
    <w:rsid w:val="079528D4"/>
    <w:rsid w:val="079C2696"/>
    <w:rsid w:val="07A205C2"/>
    <w:rsid w:val="07AB0349"/>
    <w:rsid w:val="07AD2313"/>
    <w:rsid w:val="07AD5E6F"/>
    <w:rsid w:val="07B31491"/>
    <w:rsid w:val="07BC60B3"/>
    <w:rsid w:val="07BF3BDE"/>
    <w:rsid w:val="07C03DF5"/>
    <w:rsid w:val="07C5140B"/>
    <w:rsid w:val="07C5765D"/>
    <w:rsid w:val="07CB52ED"/>
    <w:rsid w:val="07CD78AF"/>
    <w:rsid w:val="07D948ED"/>
    <w:rsid w:val="07DB29DD"/>
    <w:rsid w:val="07DB478B"/>
    <w:rsid w:val="07DB7AF5"/>
    <w:rsid w:val="07DD0873"/>
    <w:rsid w:val="07DD1E9C"/>
    <w:rsid w:val="07DE071F"/>
    <w:rsid w:val="07E13D6B"/>
    <w:rsid w:val="07E35D35"/>
    <w:rsid w:val="07EC4BEA"/>
    <w:rsid w:val="07F27D26"/>
    <w:rsid w:val="07F43A9E"/>
    <w:rsid w:val="07F65A68"/>
    <w:rsid w:val="07F817E1"/>
    <w:rsid w:val="07FB6BDB"/>
    <w:rsid w:val="07FD446B"/>
    <w:rsid w:val="0802440D"/>
    <w:rsid w:val="080C703A"/>
    <w:rsid w:val="080F6B2A"/>
    <w:rsid w:val="08161C67"/>
    <w:rsid w:val="08167EB9"/>
    <w:rsid w:val="081859DF"/>
    <w:rsid w:val="081A0346"/>
    <w:rsid w:val="08202AE5"/>
    <w:rsid w:val="0822060B"/>
    <w:rsid w:val="0825480A"/>
    <w:rsid w:val="08262167"/>
    <w:rsid w:val="08283748"/>
    <w:rsid w:val="08292DC8"/>
    <w:rsid w:val="082B5124"/>
    <w:rsid w:val="082C3238"/>
    <w:rsid w:val="082E5202"/>
    <w:rsid w:val="08353389"/>
    <w:rsid w:val="083A505A"/>
    <w:rsid w:val="083C3D2C"/>
    <w:rsid w:val="08420CAE"/>
    <w:rsid w:val="08430582"/>
    <w:rsid w:val="084762C4"/>
    <w:rsid w:val="084C5688"/>
    <w:rsid w:val="084E5764"/>
    <w:rsid w:val="08573EE1"/>
    <w:rsid w:val="085A5FF7"/>
    <w:rsid w:val="085B41C6"/>
    <w:rsid w:val="085E56AE"/>
    <w:rsid w:val="086230FE"/>
    <w:rsid w:val="08647592"/>
    <w:rsid w:val="086719EE"/>
    <w:rsid w:val="086C1887"/>
    <w:rsid w:val="086E55FF"/>
    <w:rsid w:val="087370B9"/>
    <w:rsid w:val="0878105A"/>
    <w:rsid w:val="087846CF"/>
    <w:rsid w:val="087921F6"/>
    <w:rsid w:val="087D5842"/>
    <w:rsid w:val="0882554E"/>
    <w:rsid w:val="088776BF"/>
    <w:rsid w:val="08892439"/>
    <w:rsid w:val="088A7F5F"/>
    <w:rsid w:val="088F5575"/>
    <w:rsid w:val="089808CE"/>
    <w:rsid w:val="089B03BE"/>
    <w:rsid w:val="08A008A9"/>
    <w:rsid w:val="08A2174C"/>
    <w:rsid w:val="08A54D99"/>
    <w:rsid w:val="08AC25CB"/>
    <w:rsid w:val="08B022C9"/>
    <w:rsid w:val="08B15EBF"/>
    <w:rsid w:val="08B374B6"/>
    <w:rsid w:val="08B54AD9"/>
    <w:rsid w:val="08B576D2"/>
    <w:rsid w:val="08B60D54"/>
    <w:rsid w:val="08B864ED"/>
    <w:rsid w:val="08B919E5"/>
    <w:rsid w:val="08C23B9D"/>
    <w:rsid w:val="08C416C3"/>
    <w:rsid w:val="08C6543B"/>
    <w:rsid w:val="08CB678E"/>
    <w:rsid w:val="08CE42EF"/>
    <w:rsid w:val="08D37B58"/>
    <w:rsid w:val="08D4742C"/>
    <w:rsid w:val="08D613F6"/>
    <w:rsid w:val="08D833C0"/>
    <w:rsid w:val="08D86F1C"/>
    <w:rsid w:val="08D94110"/>
    <w:rsid w:val="08DA0F98"/>
    <w:rsid w:val="08DA7138"/>
    <w:rsid w:val="08DF474E"/>
    <w:rsid w:val="08E21B49"/>
    <w:rsid w:val="08E27D9B"/>
    <w:rsid w:val="08E77DC5"/>
    <w:rsid w:val="08EB6C4F"/>
    <w:rsid w:val="08F57ACE"/>
    <w:rsid w:val="08FD2989"/>
    <w:rsid w:val="08FE129F"/>
    <w:rsid w:val="08FF7FD2"/>
    <w:rsid w:val="09012917"/>
    <w:rsid w:val="09016473"/>
    <w:rsid w:val="09027603"/>
    <w:rsid w:val="090441B5"/>
    <w:rsid w:val="090661BB"/>
    <w:rsid w:val="090715AF"/>
    <w:rsid w:val="09081C12"/>
    <w:rsid w:val="09095327"/>
    <w:rsid w:val="09122C41"/>
    <w:rsid w:val="09153CCC"/>
    <w:rsid w:val="09173EE8"/>
    <w:rsid w:val="091837BC"/>
    <w:rsid w:val="09195181"/>
    <w:rsid w:val="092217DD"/>
    <w:rsid w:val="09246605"/>
    <w:rsid w:val="09290A37"/>
    <w:rsid w:val="09293C1C"/>
    <w:rsid w:val="092A3D98"/>
    <w:rsid w:val="09304FAA"/>
    <w:rsid w:val="0935611C"/>
    <w:rsid w:val="093A7294"/>
    <w:rsid w:val="093D1475"/>
    <w:rsid w:val="094130F0"/>
    <w:rsid w:val="09446088"/>
    <w:rsid w:val="09475E50"/>
    <w:rsid w:val="0959521C"/>
    <w:rsid w:val="095C5D9F"/>
    <w:rsid w:val="095F13EB"/>
    <w:rsid w:val="09615163"/>
    <w:rsid w:val="09622C8A"/>
    <w:rsid w:val="09630389"/>
    <w:rsid w:val="09672AAF"/>
    <w:rsid w:val="096A518A"/>
    <w:rsid w:val="096B5FE2"/>
    <w:rsid w:val="096B7D90"/>
    <w:rsid w:val="0970184A"/>
    <w:rsid w:val="09731A34"/>
    <w:rsid w:val="097529BD"/>
    <w:rsid w:val="097A6637"/>
    <w:rsid w:val="097E3F67"/>
    <w:rsid w:val="097E5D15"/>
    <w:rsid w:val="097F55EA"/>
    <w:rsid w:val="09815806"/>
    <w:rsid w:val="098552F6"/>
    <w:rsid w:val="09866978"/>
    <w:rsid w:val="09880942"/>
    <w:rsid w:val="098B21E0"/>
    <w:rsid w:val="098B6A14"/>
    <w:rsid w:val="098E3A7F"/>
    <w:rsid w:val="0992356F"/>
    <w:rsid w:val="09945539"/>
    <w:rsid w:val="09950B18"/>
    <w:rsid w:val="09951334"/>
    <w:rsid w:val="099C263F"/>
    <w:rsid w:val="09A03EDE"/>
    <w:rsid w:val="09A137B2"/>
    <w:rsid w:val="09A22B4F"/>
    <w:rsid w:val="09A31262"/>
    <w:rsid w:val="09A62FAE"/>
    <w:rsid w:val="09AA18C7"/>
    <w:rsid w:val="09AB4631"/>
    <w:rsid w:val="09AD2157"/>
    <w:rsid w:val="09B36186"/>
    <w:rsid w:val="09B434E5"/>
    <w:rsid w:val="09B47989"/>
    <w:rsid w:val="09B5725D"/>
    <w:rsid w:val="09BB0D18"/>
    <w:rsid w:val="09BC354A"/>
    <w:rsid w:val="09C0632E"/>
    <w:rsid w:val="09C6146A"/>
    <w:rsid w:val="09C94AB7"/>
    <w:rsid w:val="09CA0F5B"/>
    <w:rsid w:val="09CB04E3"/>
    <w:rsid w:val="09CB082F"/>
    <w:rsid w:val="09CD27F9"/>
    <w:rsid w:val="09D05E45"/>
    <w:rsid w:val="09D74B85"/>
    <w:rsid w:val="09D96DB9"/>
    <w:rsid w:val="09DB3168"/>
    <w:rsid w:val="09DC2A3C"/>
    <w:rsid w:val="09DE4A06"/>
    <w:rsid w:val="09DF1030"/>
    <w:rsid w:val="09E55D95"/>
    <w:rsid w:val="09F436F4"/>
    <w:rsid w:val="09F43CB3"/>
    <w:rsid w:val="09FE0C04"/>
    <w:rsid w:val="0A0319A4"/>
    <w:rsid w:val="0A083831"/>
    <w:rsid w:val="0A096257"/>
    <w:rsid w:val="0A0C1573"/>
    <w:rsid w:val="0A0C3321"/>
    <w:rsid w:val="0A0F2E11"/>
    <w:rsid w:val="0A1026E6"/>
    <w:rsid w:val="0A1131EF"/>
    <w:rsid w:val="0A206DCD"/>
    <w:rsid w:val="0A2368BD"/>
    <w:rsid w:val="0A263993"/>
    <w:rsid w:val="0A2C5771"/>
    <w:rsid w:val="0A2D3AC2"/>
    <w:rsid w:val="0A2F7010"/>
    <w:rsid w:val="0A326E18"/>
    <w:rsid w:val="0A36214C"/>
    <w:rsid w:val="0A374116"/>
    <w:rsid w:val="0A391C3C"/>
    <w:rsid w:val="0A3B1E0E"/>
    <w:rsid w:val="0A3C34DB"/>
    <w:rsid w:val="0A3D67ED"/>
    <w:rsid w:val="0A454A85"/>
    <w:rsid w:val="0A595E3B"/>
    <w:rsid w:val="0A5A1DC7"/>
    <w:rsid w:val="0A682522"/>
    <w:rsid w:val="0A6C2012"/>
    <w:rsid w:val="0A6E5D8A"/>
    <w:rsid w:val="0A7B04A7"/>
    <w:rsid w:val="0A7B4003"/>
    <w:rsid w:val="0A7D5FCD"/>
    <w:rsid w:val="0A801619"/>
    <w:rsid w:val="0A825391"/>
    <w:rsid w:val="0A8315F6"/>
    <w:rsid w:val="0A8455AD"/>
    <w:rsid w:val="0A8729A8"/>
    <w:rsid w:val="0A8A06EA"/>
    <w:rsid w:val="0A8A693C"/>
    <w:rsid w:val="0A8C6210"/>
    <w:rsid w:val="0A8E1F88"/>
    <w:rsid w:val="0A8F5D00"/>
    <w:rsid w:val="0A90021D"/>
    <w:rsid w:val="0A9D21CB"/>
    <w:rsid w:val="0AA07F0D"/>
    <w:rsid w:val="0AA25A34"/>
    <w:rsid w:val="0AA417AC"/>
    <w:rsid w:val="0AA55524"/>
    <w:rsid w:val="0AA572D2"/>
    <w:rsid w:val="0AA62962"/>
    <w:rsid w:val="0AA645E3"/>
    <w:rsid w:val="0AA74DF8"/>
    <w:rsid w:val="0AA755DF"/>
    <w:rsid w:val="0AB17A25"/>
    <w:rsid w:val="0ABD120E"/>
    <w:rsid w:val="0ABD45E4"/>
    <w:rsid w:val="0AC33F0A"/>
    <w:rsid w:val="0AC41E4E"/>
    <w:rsid w:val="0AC736EC"/>
    <w:rsid w:val="0ACC0D02"/>
    <w:rsid w:val="0AD054CA"/>
    <w:rsid w:val="0AD656DD"/>
    <w:rsid w:val="0AD96F7B"/>
    <w:rsid w:val="0ADB0F46"/>
    <w:rsid w:val="0ADD2F10"/>
    <w:rsid w:val="0ADF4592"/>
    <w:rsid w:val="0AE03629"/>
    <w:rsid w:val="0AE43B71"/>
    <w:rsid w:val="0AEA2E24"/>
    <w:rsid w:val="0AEA611A"/>
    <w:rsid w:val="0AF12517"/>
    <w:rsid w:val="0AF142C5"/>
    <w:rsid w:val="0AF3034A"/>
    <w:rsid w:val="0AF53DB5"/>
    <w:rsid w:val="0AF90439"/>
    <w:rsid w:val="0AFB3396"/>
    <w:rsid w:val="0AFB6FF6"/>
    <w:rsid w:val="0AFD2EC7"/>
    <w:rsid w:val="0AFD710E"/>
    <w:rsid w:val="0B0009AC"/>
    <w:rsid w:val="0B022976"/>
    <w:rsid w:val="0B0E131B"/>
    <w:rsid w:val="0B10295D"/>
    <w:rsid w:val="0B120D44"/>
    <w:rsid w:val="0B146006"/>
    <w:rsid w:val="0B1526A9"/>
    <w:rsid w:val="0B156206"/>
    <w:rsid w:val="0B1701D0"/>
    <w:rsid w:val="0B1775DA"/>
    <w:rsid w:val="0B1B7594"/>
    <w:rsid w:val="0B1C3A38"/>
    <w:rsid w:val="0B1D50BA"/>
    <w:rsid w:val="0B24469B"/>
    <w:rsid w:val="0B266665"/>
    <w:rsid w:val="0B293A5F"/>
    <w:rsid w:val="0B301291"/>
    <w:rsid w:val="0B325009"/>
    <w:rsid w:val="0B352079"/>
    <w:rsid w:val="0B3725DB"/>
    <w:rsid w:val="0B3B49A5"/>
    <w:rsid w:val="0B3C19E4"/>
    <w:rsid w:val="0B3F3C9B"/>
    <w:rsid w:val="0B414195"/>
    <w:rsid w:val="0B420FC5"/>
    <w:rsid w:val="0B4D1E43"/>
    <w:rsid w:val="0B563D11"/>
    <w:rsid w:val="0B586994"/>
    <w:rsid w:val="0B5C5BE2"/>
    <w:rsid w:val="0B65360B"/>
    <w:rsid w:val="0B705B32"/>
    <w:rsid w:val="0B727028"/>
    <w:rsid w:val="0B754EF6"/>
    <w:rsid w:val="0B80322F"/>
    <w:rsid w:val="0B8909A2"/>
    <w:rsid w:val="0B8E420A"/>
    <w:rsid w:val="0B91283B"/>
    <w:rsid w:val="0B995089"/>
    <w:rsid w:val="0BA63302"/>
    <w:rsid w:val="0BA72079"/>
    <w:rsid w:val="0BA94BA0"/>
    <w:rsid w:val="0BB53545"/>
    <w:rsid w:val="0BC1638D"/>
    <w:rsid w:val="0BC419DA"/>
    <w:rsid w:val="0BC814CA"/>
    <w:rsid w:val="0BCC764B"/>
    <w:rsid w:val="0BD04822"/>
    <w:rsid w:val="0BD1553F"/>
    <w:rsid w:val="0BD27BF6"/>
    <w:rsid w:val="0BD850A3"/>
    <w:rsid w:val="0BDA11FD"/>
    <w:rsid w:val="0BDC72AF"/>
    <w:rsid w:val="0BDE6F3F"/>
    <w:rsid w:val="0BDF02AC"/>
    <w:rsid w:val="0BE43E2A"/>
    <w:rsid w:val="0BE5207C"/>
    <w:rsid w:val="0BE61950"/>
    <w:rsid w:val="0BE67BA2"/>
    <w:rsid w:val="0BEB51B8"/>
    <w:rsid w:val="0BED2CDE"/>
    <w:rsid w:val="0BF4406D"/>
    <w:rsid w:val="0BF60B6A"/>
    <w:rsid w:val="0BFE313E"/>
    <w:rsid w:val="0BFE4EEC"/>
    <w:rsid w:val="0BFF5C01"/>
    <w:rsid w:val="0C083FBC"/>
    <w:rsid w:val="0C0C51C6"/>
    <w:rsid w:val="0C0D7D00"/>
    <w:rsid w:val="0C0F534B"/>
    <w:rsid w:val="0C104C1F"/>
    <w:rsid w:val="0C126658"/>
    <w:rsid w:val="0C126BE9"/>
    <w:rsid w:val="0C177D5B"/>
    <w:rsid w:val="0C191D25"/>
    <w:rsid w:val="0C1D101E"/>
    <w:rsid w:val="0C27068D"/>
    <w:rsid w:val="0C275CD3"/>
    <w:rsid w:val="0C2A5CE1"/>
    <w:rsid w:val="0C2B2A13"/>
    <w:rsid w:val="0C2C20EB"/>
    <w:rsid w:val="0C2E0560"/>
    <w:rsid w:val="0C332F42"/>
    <w:rsid w:val="0C3B3C7D"/>
    <w:rsid w:val="0C3B6140"/>
    <w:rsid w:val="0C3C00DF"/>
    <w:rsid w:val="0C3E79DE"/>
    <w:rsid w:val="0C452B1A"/>
    <w:rsid w:val="0C4548C9"/>
    <w:rsid w:val="0C48096B"/>
    <w:rsid w:val="0C48260B"/>
    <w:rsid w:val="0C4B5C57"/>
    <w:rsid w:val="0C50326D"/>
    <w:rsid w:val="0C544C0E"/>
    <w:rsid w:val="0C572F92"/>
    <w:rsid w:val="0C6531BD"/>
    <w:rsid w:val="0C662DDF"/>
    <w:rsid w:val="0C702ABC"/>
    <w:rsid w:val="0C7076AE"/>
    <w:rsid w:val="0C720387"/>
    <w:rsid w:val="0C793977"/>
    <w:rsid w:val="0C807FF6"/>
    <w:rsid w:val="0C871385"/>
    <w:rsid w:val="0C8D626F"/>
    <w:rsid w:val="0C917B0E"/>
    <w:rsid w:val="0C943AA2"/>
    <w:rsid w:val="0C9C50CE"/>
    <w:rsid w:val="0C9D2956"/>
    <w:rsid w:val="0CA02447"/>
    <w:rsid w:val="0CA05FA3"/>
    <w:rsid w:val="0CA070FC"/>
    <w:rsid w:val="0CA35A93"/>
    <w:rsid w:val="0CA75583"/>
    <w:rsid w:val="0CAB2EAE"/>
    <w:rsid w:val="0CAB755A"/>
    <w:rsid w:val="0CAC326E"/>
    <w:rsid w:val="0CB437FC"/>
    <w:rsid w:val="0CB952B6"/>
    <w:rsid w:val="0CBB2DDD"/>
    <w:rsid w:val="0CBB4B8B"/>
    <w:rsid w:val="0CC16ADE"/>
    <w:rsid w:val="0CC450AB"/>
    <w:rsid w:val="0CC638BA"/>
    <w:rsid w:val="0CC7352F"/>
    <w:rsid w:val="0CCA74C4"/>
    <w:rsid w:val="0CCF4ADA"/>
    <w:rsid w:val="0CD10852"/>
    <w:rsid w:val="0CD43E9E"/>
    <w:rsid w:val="0CD45C4C"/>
    <w:rsid w:val="0CD56232"/>
    <w:rsid w:val="0CD67C16"/>
    <w:rsid w:val="0CD8573D"/>
    <w:rsid w:val="0CD914B5"/>
    <w:rsid w:val="0CD949B1"/>
    <w:rsid w:val="0CDB347F"/>
    <w:rsid w:val="0CE51C08"/>
    <w:rsid w:val="0CE52F6E"/>
    <w:rsid w:val="0CEB6B29"/>
    <w:rsid w:val="0CEE6D0E"/>
    <w:rsid w:val="0CEE6EC8"/>
    <w:rsid w:val="0CEF2A86"/>
    <w:rsid w:val="0CF14A50"/>
    <w:rsid w:val="0CF32576"/>
    <w:rsid w:val="0CF63E15"/>
    <w:rsid w:val="0CF87B8D"/>
    <w:rsid w:val="0D006A41"/>
    <w:rsid w:val="0D0450BB"/>
    <w:rsid w:val="0D091D9A"/>
    <w:rsid w:val="0D097FEC"/>
    <w:rsid w:val="0D0A78C0"/>
    <w:rsid w:val="0D153213"/>
    <w:rsid w:val="0D1F27A7"/>
    <w:rsid w:val="0D2070E4"/>
    <w:rsid w:val="0D274837"/>
    <w:rsid w:val="0D29243C"/>
    <w:rsid w:val="0D2977CB"/>
    <w:rsid w:val="0D2B61B4"/>
    <w:rsid w:val="0D2E019B"/>
    <w:rsid w:val="0D306CA5"/>
    <w:rsid w:val="0D31309F"/>
    <w:rsid w:val="0D330BC5"/>
    <w:rsid w:val="0D334126"/>
    <w:rsid w:val="0D36180B"/>
    <w:rsid w:val="0D3A1F53"/>
    <w:rsid w:val="0D3D5EE8"/>
    <w:rsid w:val="0D3F30C4"/>
    <w:rsid w:val="0D4F1B70"/>
    <w:rsid w:val="0D504F66"/>
    <w:rsid w:val="0D5374B9"/>
    <w:rsid w:val="0D556D8D"/>
    <w:rsid w:val="0D5B3AAC"/>
    <w:rsid w:val="0D5D3E94"/>
    <w:rsid w:val="0D605732"/>
    <w:rsid w:val="0D621C7D"/>
    <w:rsid w:val="0D6276FC"/>
    <w:rsid w:val="0D6618DB"/>
    <w:rsid w:val="0D690A8B"/>
    <w:rsid w:val="0D6E7E4F"/>
    <w:rsid w:val="0D705975"/>
    <w:rsid w:val="0D837D9E"/>
    <w:rsid w:val="0D8542C2"/>
    <w:rsid w:val="0D867784"/>
    <w:rsid w:val="0D887163"/>
    <w:rsid w:val="0D896A37"/>
    <w:rsid w:val="0D8D4779"/>
    <w:rsid w:val="0D8D49B2"/>
    <w:rsid w:val="0DA43871"/>
    <w:rsid w:val="0DA47D15"/>
    <w:rsid w:val="0DA56798"/>
    <w:rsid w:val="0DA77198"/>
    <w:rsid w:val="0DA77262"/>
    <w:rsid w:val="0DAE44D7"/>
    <w:rsid w:val="0DB241E0"/>
    <w:rsid w:val="0DB735A4"/>
    <w:rsid w:val="0DBA12E6"/>
    <w:rsid w:val="0DBC1819"/>
    <w:rsid w:val="0DC161D1"/>
    <w:rsid w:val="0DC91529"/>
    <w:rsid w:val="0DCE6B40"/>
    <w:rsid w:val="0DCF4D92"/>
    <w:rsid w:val="0DD24882"/>
    <w:rsid w:val="0DE22CAF"/>
    <w:rsid w:val="0DE6032D"/>
    <w:rsid w:val="0DE75691"/>
    <w:rsid w:val="0DE97FB1"/>
    <w:rsid w:val="0DED751C"/>
    <w:rsid w:val="0DED7DC2"/>
    <w:rsid w:val="0DEE44A3"/>
    <w:rsid w:val="0DF02F5A"/>
    <w:rsid w:val="0DFB7091"/>
    <w:rsid w:val="0DFE11D3"/>
    <w:rsid w:val="0E0D1416"/>
    <w:rsid w:val="0E107158"/>
    <w:rsid w:val="0E121122"/>
    <w:rsid w:val="0E1B4801"/>
    <w:rsid w:val="0E1F1156"/>
    <w:rsid w:val="0E2055ED"/>
    <w:rsid w:val="0E215936"/>
    <w:rsid w:val="0E273E8A"/>
    <w:rsid w:val="0E2B2934"/>
    <w:rsid w:val="0E2F3A82"/>
    <w:rsid w:val="0E343F36"/>
    <w:rsid w:val="0E366DF1"/>
    <w:rsid w:val="0E3966AF"/>
    <w:rsid w:val="0E3E791A"/>
    <w:rsid w:val="0E4137B5"/>
    <w:rsid w:val="0E43308A"/>
    <w:rsid w:val="0E440BB0"/>
    <w:rsid w:val="0E464928"/>
    <w:rsid w:val="0E484B44"/>
    <w:rsid w:val="0E4D2A12"/>
    <w:rsid w:val="0E511C4A"/>
    <w:rsid w:val="0E527771"/>
    <w:rsid w:val="0E545297"/>
    <w:rsid w:val="0E550C1F"/>
    <w:rsid w:val="0E567B2C"/>
    <w:rsid w:val="0E5C414B"/>
    <w:rsid w:val="0E5E4367"/>
    <w:rsid w:val="0E5E6115"/>
    <w:rsid w:val="0E6354DA"/>
    <w:rsid w:val="0E644C2B"/>
    <w:rsid w:val="0E653000"/>
    <w:rsid w:val="0E66270A"/>
    <w:rsid w:val="0E680D42"/>
    <w:rsid w:val="0E6A6868"/>
    <w:rsid w:val="0E6B6937"/>
    <w:rsid w:val="0E6D6359"/>
    <w:rsid w:val="0E6E3480"/>
    <w:rsid w:val="0E73034D"/>
    <w:rsid w:val="0E750699"/>
    <w:rsid w:val="0E770F85"/>
    <w:rsid w:val="0E7B0A75"/>
    <w:rsid w:val="0E7C47EE"/>
    <w:rsid w:val="0E807E3A"/>
    <w:rsid w:val="0E8A6F0A"/>
    <w:rsid w:val="0E8D07A9"/>
    <w:rsid w:val="0E8D4E2F"/>
    <w:rsid w:val="0E8E2C22"/>
    <w:rsid w:val="0E975183"/>
    <w:rsid w:val="0E9C279A"/>
    <w:rsid w:val="0EA224A6"/>
    <w:rsid w:val="0EA42BE2"/>
    <w:rsid w:val="0EA855E3"/>
    <w:rsid w:val="0EA93835"/>
    <w:rsid w:val="0EAC0C2F"/>
    <w:rsid w:val="0EB67D00"/>
    <w:rsid w:val="0EB9334C"/>
    <w:rsid w:val="0EBB1D05"/>
    <w:rsid w:val="0EBB5A3A"/>
    <w:rsid w:val="0EBD346C"/>
    <w:rsid w:val="0EBE6BB4"/>
    <w:rsid w:val="0EC554A0"/>
    <w:rsid w:val="0EC8358F"/>
    <w:rsid w:val="0EC87138"/>
    <w:rsid w:val="0ECA7307"/>
    <w:rsid w:val="0ECC7523"/>
    <w:rsid w:val="0ECE18BB"/>
    <w:rsid w:val="0ED00D7B"/>
    <w:rsid w:val="0ED03E48"/>
    <w:rsid w:val="0ED10695"/>
    <w:rsid w:val="0ED14B39"/>
    <w:rsid w:val="0ED9579C"/>
    <w:rsid w:val="0EDB7766"/>
    <w:rsid w:val="0EDF1DE1"/>
    <w:rsid w:val="0EE3004D"/>
    <w:rsid w:val="0EE4486D"/>
    <w:rsid w:val="0EEA1757"/>
    <w:rsid w:val="0EEE56EB"/>
    <w:rsid w:val="0EEF4FBF"/>
    <w:rsid w:val="0EF10D38"/>
    <w:rsid w:val="0EF44B98"/>
    <w:rsid w:val="0EF600FC"/>
    <w:rsid w:val="0EF645A0"/>
    <w:rsid w:val="0EF83E74"/>
    <w:rsid w:val="0EFC3672"/>
    <w:rsid w:val="0EFC4B4B"/>
    <w:rsid w:val="0EFD592E"/>
    <w:rsid w:val="0EFF44A4"/>
    <w:rsid w:val="0F0071CD"/>
    <w:rsid w:val="0F037F40"/>
    <w:rsid w:val="0F0E18EA"/>
    <w:rsid w:val="0F10759A"/>
    <w:rsid w:val="0F13775A"/>
    <w:rsid w:val="0F1B5DB5"/>
    <w:rsid w:val="0F1B7B63"/>
    <w:rsid w:val="0F277D6F"/>
    <w:rsid w:val="0F2A424A"/>
    <w:rsid w:val="0F2E5AE8"/>
    <w:rsid w:val="0F303B5A"/>
    <w:rsid w:val="0F31382A"/>
    <w:rsid w:val="0F317386"/>
    <w:rsid w:val="0F345104"/>
    <w:rsid w:val="0F356429"/>
    <w:rsid w:val="0F3B15DF"/>
    <w:rsid w:val="0F3D0BE6"/>
    <w:rsid w:val="0F4B48EC"/>
    <w:rsid w:val="0F4B669A"/>
    <w:rsid w:val="0F4E7F38"/>
    <w:rsid w:val="0F4F43AA"/>
    <w:rsid w:val="0F503CB0"/>
    <w:rsid w:val="0F51040B"/>
    <w:rsid w:val="0F520E0A"/>
    <w:rsid w:val="0F5337A0"/>
    <w:rsid w:val="0F5535D6"/>
    <w:rsid w:val="0F557518"/>
    <w:rsid w:val="0F5575C9"/>
    <w:rsid w:val="0F587009"/>
    <w:rsid w:val="0F5F45FE"/>
    <w:rsid w:val="0F607C6B"/>
    <w:rsid w:val="0F615EBD"/>
    <w:rsid w:val="0F64775C"/>
    <w:rsid w:val="0F661726"/>
    <w:rsid w:val="0F672DA8"/>
    <w:rsid w:val="0F6A2898"/>
    <w:rsid w:val="0F6B6D3C"/>
    <w:rsid w:val="0F6F5AFD"/>
    <w:rsid w:val="0F73174D"/>
    <w:rsid w:val="0F74297C"/>
    <w:rsid w:val="0F76748F"/>
    <w:rsid w:val="0F78136C"/>
    <w:rsid w:val="0F7878F8"/>
    <w:rsid w:val="0F7BBD26"/>
    <w:rsid w:val="0F803E6A"/>
    <w:rsid w:val="0F824086"/>
    <w:rsid w:val="0F8B2F3A"/>
    <w:rsid w:val="0F8B4CE8"/>
    <w:rsid w:val="0F8D6973"/>
    <w:rsid w:val="0F8E57DC"/>
    <w:rsid w:val="0F9022FF"/>
    <w:rsid w:val="0F96368D"/>
    <w:rsid w:val="0F9A112B"/>
    <w:rsid w:val="0F9D3E41"/>
    <w:rsid w:val="0F9F0794"/>
    <w:rsid w:val="0FA4224E"/>
    <w:rsid w:val="0FA67D74"/>
    <w:rsid w:val="0FB07EA3"/>
    <w:rsid w:val="0FB26719"/>
    <w:rsid w:val="0FB57FB7"/>
    <w:rsid w:val="0FB73D2F"/>
    <w:rsid w:val="0FB83603"/>
    <w:rsid w:val="0FBD0C1A"/>
    <w:rsid w:val="0FC14BAE"/>
    <w:rsid w:val="0FC401FA"/>
    <w:rsid w:val="0FC621C4"/>
    <w:rsid w:val="0FC71A98"/>
    <w:rsid w:val="0FCB77DB"/>
    <w:rsid w:val="0FCE2E27"/>
    <w:rsid w:val="0FD22917"/>
    <w:rsid w:val="0FD83CA6"/>
    <w:rsid w:val="0FD909EB"/>
    <w:rsid w:val="0FDC3304"/>
    <w:rsid w:val="0FDE750E"/>
    <w:rsid w:val="0FDF0D69"/>
    <w:rsid w:val="0FE20680"/>
    <w:rsid w:val="0FE8038D"/>
    <w:rsid w:val="0FEF7ECE"/>
    <w:rsid w:val="0FFE195E"/>
    <w:rsid w:val="10014FAA"/>
    <w:rsid w:val="10045F2F"/>
    <w:rsid w:val="10046849"/>
    <w:rsid w:val="10060813"/>
    <w:rsid w:val="10101691"/>
    <w:rsid w:val="10125409"/>
    <w:rsid w:val="10156CA8"/>
    <w:rsid w:val="10196798"/>
    <w:rsid w:val="101A2510"/>
    <w:rsid w:val="101A42BE"/>
    <w:rsid w:val="101A606C"/>
    <w:rsid w:val="10246EEB"/>
    <w:rsid w:val="1030329B"/>
    <w:rsid w:val="103477E1"/>
    <w:rsid w:val="10391935"/>
    <w:rsid w:val="103A5C8E"/>
    <w:rsid w:val="103E7FAD"/>
    <w:rsid w:val="10417A9D"/>
    <w:rsid w:val="104355C3"/>
    <w:rsid w:val="104906FF"/>
    <w:rsid w:val="10545A22"/>
    <w:rsid w:val="106043C7"/>
    <w:rsid w:val="10613C9B"/>
    <w:rsid w:val="10645995"/>
    <w:rsid w:val="1065378B"/>
    <w:rsid w:val="1067787C"/>
    <w:rsid w:val="1068327B"/>
    <w:rsid w:val="10686DD7"/>
    <w:rsid w:val="106A549E"/>
    <w:rsid w:val="106B5E71"/>
    <w:rsid w:val="106D2F64"/>
    <w:rsid w:val="10777A24"/>
    <w:rsid w:val="10795489"/>
    <w:rsid w:val="10872A20"/>
    <w:rsid w:val="108A23A5"/>
    <w:rsid w:val="108C51BC"/>
    <w:rsid w:val="108F6A5A"/>
    <w:rsid w:val="1090632E"/>
    <w:rsid w:val="109202F8"/>
    <w:rsid w:val="10937230"/>
    <w:rsid w:val="10962D57"/>
    <w:rsid w:val="10991687"/>
    <w:rsid w:val="109C1EBD"/>
    <w:rsid w:val="109C2465"/>
    <w:rsid w:val="109E6C9D"/>
    <w:rsid w:val="10A1053B"/>
    <w:rsid w:val="10A122E9"/>
    <w:rsid w:val="10A83678"/>
    <w:rsid w:val="10AC760C"/>
    <w:rsid w:val="10AD0C8E"/>
    <w:rsid w:val="10AD6EE0"/>
    <w:rsid w:val="10B1077E"/>
    <w:rsid w:val="10B63710"/>
    <w:rsid w:val="10BB1A44"/>
    <w:rsid w:val="10BC5375"/>
    <w:rsid w:val="10BD21C1"/>
    <w:rsid w:val="10BE10ED"/>
    <w:rsid w:val="10C5247C"/>
    <w:rsid w:val="10CA5CE4"/>
    <w:rsid w:val="10CC17C7"/>
    <w:rsid w:val="10CF7E17"/>
    <w:rsid w:val="10D206F5"/>
    <w:rsid w:val="10D34B99"/>
    <w:rsid w:val="10D4256B"/>
    <w:rsid w:val="10D91A83"/>
    <w:rsid w:val="10DB3A4D"/>
    <w:rsid w:val="10E01064"/>
    <w:rsid w:val="10E3528B"/>
    <w:rsid w:val="10E420E0"/>
    <w:rsid w:val="10F10820"/>
    <w:rsid w:val="10F36FE9"/>
    <w:rsid w:val="10F66A95"/>
    <w:rsid w:val="10F863AD"/>
    <w:rsid w:val="10FC5772"/>
    <w:rsid w:val="11005262"/>
    <w:rsid w:val="11006B00"/>
    <w:rsid w:val="11032FA4"/>
    <w:rsid w:val="11036380"/>
    <w:rsid w:val="110C1E59"/>
    <w:rsid w:val="110E4329"/>
    <w:rsid w:val="1111121D"/>
    <w:rsid w:val="111807FE"/>
    <w:rsid w:val="111B4847"/>
    <w:rsid w:val="111C2F7A"/>
    <w:rsid w:val="11205904"/>
    <w:rsid w:val="11276C93"/>
    <w:rsid w:val="112A6783"/>
    <w:rsid w:val="112C42A9"/>
    <w:rsid w:val="11337300"/>
    <w:rsid w:val="11372BDF"/>
    <w:rsid w:val="11393235"/>
    <w:rsid w:val="113A4C18"/>
    <w:rsid w:val="1140061F"/>
    <w:rsid w:val="11405FA6"/>
    <w:rsid w:val="11421D1E"/>
    <w:rsid w:val="114333A1"/>
    <w:rsid w:val="11446B5C"/>
    <w:rsid w:val="114809B7"/>
    <w:rsid w:val="114A2981"/>
    <w:rsid w:val="114A29CE"/>
    <w:rsid w:val="114C0F78"/>
    <w:rsid w:val="114E2471"/>
    <w:rsid w:val="114F1D45"/>
    <w:rsid w:val="115E01DA"/>
    <w:rsid w:val="116457F1"/>
    <w:rsid w:val="11665A0D"/>
    <w:rsid w:val="11665CA1"/>
    <w:rsid w:val="1170063A"/>
    <w:rsid w:val="11743B70"/>
    <w:rsid w:val="117619C8"/>
    <w:rsid w:val="11763776"/>
    <w:rsid w:val="1178129C"/>
    <w:rsid w:val="11785AE4"/>
    <w:rsid w:val="117E41D3"/>
    <w:rsid w:val="11806150"/>
    <w:rsid w:val="11822C48"/>
    <w:rsid w:val="118539B9"/>
    <w:rsid w:val="118E6D12"/>
    <w:rsid w:val="11910454"/>
    <w:rsid w:val="1193257A"/>
    <w:rsid w:val="11934328"/>
    <w:rsid w:val="119500A0"/>
    <w:rsid w:val="119B31DD"/>
    <w:rsid w:val="119D51A7"/>
    <w:rsid w:val="11A51713"/>
    <w:rsid w:val="11A81CA9"/>
    <w:rsid w:val="11AE00FA"/>
    <w:rsid w:val="11B52FA0"/>
    <w:rsid w:val="11B627DD"/>
    <w:rsid w:val="11BC7BE4"/>
    <w:rsid w:val="11C444E1"/>
    <w:rsid w:val="11C73FD2"/>
    <w:rsid w:val="11CA7AF2"/>
    <w:rsid w:val="11D54078"/>
    <w:rsid w:val="11D54EBB"/>
    <w:rsid w:val="11D64215"/>
    <w:rsid w:val="11D64C17"/>
    <w:rsid w:val="11D861DF"/>
    <w:rsid w:val="11DF30C9"/>
    <w:rsid w:val="11E132E5"/>
    <w:rsid w:val="11E3705D"/>
    <w:rsid w:val="11E76422"/>
    <w:rsid w:val="11EB4164"/>
    <w:rsid w:val="11EC57E6"/>
    <w:rsid w:val="11EF20A7"/>
    <w:rsid w:val="11F61272"/>
    <w:rsid w:val="11FC011F"/>
    <w:rsid w:val="12040D82"/>
    <w:rsid w:val="12042B30"/>
    <w:rsid w:val="12096398"/>
    <w:rsid w:val="120F22E7"/>
    <w:rsid w:val="12135469"/>
    <w:rsid w:val="12135F22"/>
    <w:rsid w:val="12163CF3"/>
    <w:rsid w:val="12174F59"/>
    <w:rsid w:val="1218482D"/>
    <w:rsid w:val="121D1E44"/>
    <w:rsid w:val="121E0096"/>
    <w:rsid w:val="121F3E0E"/>
    <w:rsid w:val="12211934"/>
    <w:rsid w:val="12215E3D"/>
    <w:rsid w:val="12270675"/>
    <w:rsid w:val="12291BED"/>
    <w:rsid w:val="12293277"/>
    <w:rsid w:val="122B27B2"/>
    <w:rsid w:val="122D02D9"/>
    <w:rsid w:val="12323B41"/>
    <w:rsid w:val="123478B9"/>
    <w:rsid w:val="1235615E"/>
    <w:rsid w:val="12380A2C"/>
    <w:rsid w:val="123B1977"/>
    <w:rsid w:val="12435D4E"/>
    <w:rsid w:val="12445622"/>
    <w:rsid w:val="12483364"/>
    <w:rsid w:val="12486EC1"/>
    <w:rsid w:val="124E7455"/>
    <w:rsid w:val="12505D75"/>
    <w:rsid w:val="12527D3F"/>
    <w:rsid w:val="125B46F2"/>
    <w:rsid w:val="125E494F"/>
    <w:rsid w:val="12635AA8"/>
    <w:rsid w:val="126805D2"/>
    <w:rsid w:val="126D6927"/>
    <w:rsid w:val="1272218F"/>
    <w:rsid w:val="12791770"/>
    <w:rsid w:val="127A53CC"/>
    <w:rsid w:val="127B7335"/>
    <w:rsid w:val="127EBA93"/>
    <w:rsid w:val="12863E8D"/>
    <w:rsid w:val="12891287"/>
    <w:rsid w:val="128A68BE"/>
    <w:rsid w:val="128B14A3"/>
    <w:rsid w:val="12903E7E"/>
    <w:rsid w:val="12905F07"/>
    <w:rsid w:val="12955E7E"/>
    <w:rsid w:val="12993BC0"/>
    <w:rsid w:val="129C720C"/>
    <w:rsid w:val="12A05B91"/>
    <w:rsid w:val="12A14256"/>
    <w:rsid w:val="12A20CBE"/>
    <w:rsid w:val="12A32264"/>
    <w:rsid w:val="12AF0CEE"/>
    <w:rsid w:val="12B5207C"/>
    <w:rsid w:val="12C10A21"/>
    <w:rsid w:val="12C34799"/>
    <w:rsid w:val="12CA3D79"/>
    <w:rsid w:val="12CC7AF2"/>
    <w:rsid w:val="12CD73C6"/>
    <w:rsid w:val="12CE74FA"/>
    <w:rsid w:val="12D9220E"/>
    <w:rsid w:val="12D93FBD"/>
    <w:rsid w:val="12E50BB3"/>
    <w:rsid w:val="12EC0194"/>
    <w:rsid w:val="12F157AA"/>
    <w:rsid w:val="12F17558"/>
    <w:rsid w:val="12F9465F"/>
    <w:rsid w:val="12F9640D"/>
    <w:rsid w:val="13010ECD"/>
    <w:rsid w:val="1303728B"/>
    <w:rsid w:val="13047A6A"/>
    <w:rsid w:val="13094E01"/>
    <w:rsid w:val="130C4227"/>
    <w:rsid w:val="13113756"/>
    <w:rsid w:val="13150595"/>
    <w:rsid w:val="131608E4"/>
    <w:rsid w:val="131E40C5"/>
    <w:rsid w:val="13257202"/>
    <w:rsid w:val="13280AA0"/>
    <w:rsid w:val="132A2A6A"/>
    <w:rsid w:val="132E255A"/>
    <w:rsid w:val="13305ABD"/>
    <w:rsid w:val="13315BA7"/>
    <w:rsid w:val="13332D46"/>
    <w:rsid w:val="13362069"/>
    <w:rsid w:val="133B07D3"/>
    <w:rsid w:val="133E02C4"/>
    <w:rsid w:val="13477178"/>
    <w:rsid w:val="13497394"/>
    <w:rsid w:val="134A633F"/>
    <w:rsid w:val="134C0C32"/>
    <w:rsid w:val="134F1DF4"/>
    <w:rsid w:val="1353553E"/>
    <w:rsid w:val="13581385"/>
    <w:rsid w:val="13596EAB"/>
    <w:rsid w:val="135F3508"/>
    <w:rsid w:val="136840EA"/>
    <w:rsid w:val="13687709"/>
    <w:rsid w:val="136B176B"/>
    <w:rsid w:val="13726DF1"/>
    <w:rsid w:val="13732930"/>
    <w:rsid w:val="13734411"/>
    <w:rsid w:val="137B32C6"/>
    <w:rsid w:val="137B7981"/>
    <w:rsid w:val="137F010F"/>
    <w:rsid w:val="138228A6"/>
    <w:rsid w:val="13824654"/>
    <w:rsid w:val="138403CC"/>
    <w:rsid w:val="13880052"/>
    <w:rsid w:val="138C7166"/>
    <w:rsid w:val="138F28CD"/>
    <w:rsid w:val="13904FC3"/>
    <w:rsid w:val="13951726"/>
    <w:rsid w:val="13980163"/>
    <w:rsid w:val="139879D4"/>
    <w:rsid w:val="139B74C4"/>
    <w:rsid w:val="139D148E"/>
    <w:rsid w:val="139E0D62"/>
    <w:rsid w:val="139F6FB4"/>
    <w:rsid w:val="13A7383D"/>
    <w:rsid w:val="13A91BE1"/>
    <w:rsid w:val="13A97E33"/>
    <w:rsid w:val="13AC04A2"/>
    <w:rsid w:val="13AC347F"/>
    <w:rsid w:val="13B10A95"/>
    <w:rsid w:val="13B16CE7"/>
    <w:rsid w:val="13B54A2A"/>
    <w:rsid w:val="13BB36C2"/>
    <w:rsid w:val="13C702B9"/>
    <w:rsid w:val="13CC58CF"/>
    <w:rsid w:val="13CE1647"/>
    <w:rsid w:val="13D604FC"/>
    <w:rsid w:val="13DE2DD1"/>
    <w:rsid w:val="13DF1AA7"/>
    <w:rsid w:val="13E0137B"/>
    <w:rsid w:val="13E31F29"/>
    <w:rsid w:val="13E42C19"/>
    <w:rsid w:val="13E44D7E"/>
    <w:rsid w:val="13ED41C3"/>
    <w:rsid w:val="13F53078"/>
    <w:rsid w:val="13F60B9E"/>
    <w:rsid w:val="13F65452"/>
    <w:rsid w:val="13FA068E"/>
    <w:rsid w:val="13FD017F"/>
    <w:rsid w:val="13FF3EF7"/>
    <w:rsid w:val="140A3265"/>
    <w:rsid w:val="14101C60"/>
    <w:rsid w:val="141166AC"/>
    <w:rsid w:val="14123C2A"/>
    <w:rsid w:val="141352AC"/>
    <w:rsid w:val="14171240"/>
    <w:rsid w:val="141C3ED7"/>
    <w:rsid w:val="141D25CF"/>
    <w:rsid w:val="14205E9F"/>
    <w:rsid w:val="142676D5"/>
    <w:rsid w:val="14270D58"/>
    <w:rsid w:val="142851FC"/>
    <w:rsid w:val="14292D22"/>
    <w:rsid w:val="142B4CEC"/>
    <w:rsid w:val="142E20E6"/>
    <w:rsid w:val="142F2398"/>
    <w:rsid w:val="14333BA0"/>
    <w:rsid w:val="14350242"/>
    <w:rsid w:val="14357918"/>
    <w:rsid w:val="143815F4"/>
    <w:rsid w:val="14396509"/>
    <w:rsid w:val="143F0797"/>
    <w:rsid w:val="14445DAD"/>
    <w:rsid w:val="144B02B5"/>
    <w:rsid w:val="144B713C"/>
    <w:rsid w:val="144D68F7"/>
    <w:rsid w:val="14504752"/>
    <w:rsid w:val="14506500"/>
    <w:rsid w:val="14551D69"/>
    <w:rsid w:val="14593607"/>
    <w:rsid w:val="145D0B4E"/>
    <w:rsid w:val="145D29CB"/>
    <w:rsid w:val="145E6E6F"/>
    <w:rsid w:val="145F6743"/>
    <w:rsid w:val="146124BC"/>
    <w:rsid w:val="14620F73"/>
    <w:rsid w:val="14634486"/>
    <w:rsid w:val="14643D5A"/>
    <w:rsid w:val="148166BA"/>
    <w:rsid w:val="148368D6"/>
    <w:rsid w:val="14863CD0"/>
    <w:rsid w:val="148748B0"/>
    <w:rsid w:val="14887A48"/>
    <w:rsid w:val="14891A12"/>
    <w:rsid w:val="148937C0"/>
    <w:rsid w:val="148F7029"/>
    <w:rsid w:val="14961874"/>
    <w:rsid w:val="14973EB4"/>
    <w:rsid w:val="14A16084"/>
    <w:rsid w:val="14AA6509"/>
    <w:rsid w:val="14AD3953"/>
    <w:rsid w:val="14AD5701"/>
    <w:rsid w:val="14AF1479"/>
    <w:rsid w:val="14B6515E"/>
    <w:rsid w:val="14B922F8"/>
    <w:rsid w:val="14B92A8C"/>
    <w:rsid w:val="14C30032"/>
    <w:rsid w:val="14C519F0"/>
    <w:rsid w:val="14D47131"/>
    <w:rsid w:val="14D64C58"/>
    <w:rsid w:val="14D7452C"/>
    <w:rsid w:val="14DA6A78"/>
    <w:rsid w:val="14DD2C3C"/>
    <w:rsid w:val="14E32745"/>
    <w:rsid w:val="14E87AD6"/>
    <w:rsid w:val="14EB7FD7"/>
    <w:rsid w:val="14ED79F6"/>
    <w:rsid w:val="14EF7AC7"/>
    <w:rsid w:val="14F31CCA"/>
    <w:rsid w:val="14FB46BE"/>
    <w:rsid w:val="15001CD4"/>
    <w:rsid w:val="15023C9F"/>
    <w:rsid w:val="1505553D"/>
    <w:rsid w:val="150712B5"/>
    <w:rsid w:val="15080C4C"/>
    <w:rsid w:val="150D43F1"/>
    <w:rsid w:val="150F0169"/>
    <w:rsid w:val="15111718"/>
    <w:rsid w:val="15173792"/>
    <w:rsid w:val="151B6B0E"/>
    <w:rsid w:val="151E3332"/>
    <w:rsid w:val="151E65FF"/>
    <w:rsid w:val="15211C4B"/>
    <w:rsid w:val="152165B6"/>
    <w:rsid w:val="153320AA"/>
    <w:rsid w:val="15334D63"/>
    <w:rsid w:val="1537321C"/>
    <w:rsid w:val="153876C0"/>
    <w:rsid w:val="153951E6"/>
    <w:rsid w:val="153C6A85"/>
    <w:rsid w:val="153F64C2"/>
    <w:rsid w:val="15400323"/>
    <w:rsid w:val="1542409B"/>
    <w:rsid w:val="15453B8B"/>
    <w:rsid w:val="154B6663"/>
    <w:rsid w:val="155C2C83"/>
    <w:rsid w:val="155C53FF"/>
    <w:rsid w:val="15604521"/>
    <w:rsid w:val="15610299"/>
    <w:rsid w:val="1562473D"/>
    <w:rsid w:val="157224A6"/>
    <w:rsid w:val="1574621E"/>
    <w:rsid w:val="157708C6"/>
    <w:rsid w:val="157E577E"/>
    <w:rsid w:val="158025A7"/>
    <w:rsid w:val="1586655F"/>
    <w:rsid w:val="158C17BA"/>
    <w:rsid w:val="158E5532"/>
    <w:rsid w:val="15915022"/>
    <w:rsid w:val="1593695D"/>
    <w:rsid w:val="1594241D"/>
    <w:rsid w:val="15945CB1"/>
    <w:rsid w:val="159A3ED7"/>
    <w:rsid w:val="159A5332"/>
    <w:rsid w:val="15A12BAA"/>
    <w:rsid w:val="15A16653"/>
    <w:rsid w:val="15A46B04"/>
    <w:rsid w:val="15A5287C"/>
    <w:rsid w:val="15A62EDD"/>
    <w:rsid w:val="15A6765A"/>
    <w:rsid w:val="15A72150"/>
    <w:rsid w:val="15AD20D5"/>
    <w:rsid w:val="15B30AF5"/>
    <w:rsid w:val="15BA6327"/>
    <w:rsid w:val="15BF44EA"/>
    <w:rsid w:val="15C545A9"/>
    <w:rsid w:val="15C54CCC"/>
    <w:rsid w:val="15C86CDD"/>
    <w:rsid w:val="15C947BC"/>
    <w:rsid w:val="15CB6A9A"/>
    <w:rsid w:val="15CD7995"/>
    <w:rsid w:val="15CE1DD3"/>
    <w:rsid w:val="15CE592F"/>
    <w:rsid w:val="15CF16A7"/>
    <w:rsid w:val="15CF620C"/>
    <w:rsid w:val="15D24AB9"/>
    <w:rsid w:val="15D62A35"/>
    <w:rsid w:val="15D775A7"/>
    <w:rsid w:val="15D90A9B"/>
    <w:rsid w:val="15DD5B72"/>
    <w:rsid w:val="15E11B06"/>
    <w:rsid w:val="15E57946"/>
    <w:rsid w:val="15EA64E1"/>
    <w:rsid w:val="15EE7D7F"/>
    <w:rsid w:val="15F4051B"/>
    <w:rsid w:val="15FD73DC"/>
    <w:rsid w:val="15FF24FA"/>
    <w:rsid w:val="16001A6E"/>
    <w:rsid w:val="1604435F"/>
    <w:rsid w:val="160550C9"/>
    <w:rsid w:val="1606156C"/>
    <w:rsid w:val="16087E1D"/>
    <w:rsid w:val="161113F6"/>
    <w:rsid w:val="16117F11"/>
    <w:rsid w:val="1615355E"/>
    <w:rsid w:val="16184DFC"/>
    <w:rsid w:val="161C0D90"/>
    <w:rsid w:val="161C2C2E"/>
    <w:rsid w:val="16292E53"/>
    <w:rsid w:val="1629525B"/>
    <w:rsid w:val="162E2871"/>
    <w:rsid w:val="162E461F"/>
    <w:rsid w:val="16322361"/>
    <w:rsid w:val="16375AAD"/>
    <w:rsid w:val="163836F0"/>
    <w:rsid w:val="163C4F8E"/>
    <w:rsid w:val="163C6D3C"/>
    <w:rsid w:val="1642631D"/>
    <w:rsid w:val="164417F2"/>
    <w:rsid w:val="164976AB"/>
    <w:rsid w:val="16500A3A"/>
    <w:rsid w:val="165229ED"/>
    <w:rsid w:val="16551BAC"/>
    <w:rsid w:val="16596861"/>
    <w:rsid w:val="165C118C"/>
    <w:rsid w:val="16640041"/>
    <w:rsid w:val="166938A9"/>
    <w:rsid w:val="166E57B6"/>
    <w:rsid w:val="1670737F"/>
    <w:rsid w:val="167C182F"/>
    <w:rsid w:val="167C35DD"/>
    <w:rsid w:val="16842491"/>
    <w:rsid w:val="16891C16"/>
    <w:rsid w:val="16897AA8"/>
    <w:rsid w:val="168C1346"/>
    <w:rsid w:val="168D67EF"/>
    <w:rsid w:val="1692422D"/>
    <w:rsid w:val="169326D4"/>
    <w:rsid w:val="169528F0"/>
    <w:rsid w:val="16985F3D"/>
    <w:rsid w:val="169E61EB"/>
    <w:rsid w:val="16A20B69"/>
    <w:rsid w:val="16A36DBB"/>
    <w:rsid w:val="16A411B1"/>
    <w:rsid w:val="16A56F98"/>
    <w:rsid w:val="16A60B8F"/>
    <w:rsid w:val="16A86180"/>
    <w:rsid w:val="16AB4DE7"/>
    <w:rsid w:val="16B965DF"/>
    <w:rsid w:val="16BA5EB3"/>
    <w:rsid w:val="16C15797"/>
    <w:rsid w:val="16C44F84"/>
    <w:rsid w:val="16C52818"/>
    <w:rsid w:val="16C53E67"/>
    <w:rsid w:val="16C82161"/>
    <w:rsid w:val="16C84A74"/>
    <w:rsid w:val="16CA74DF"/>
    <w:rsid w:val="16CB141A"/>
    <w:rsid w:val="16CE665A"/>
    <w:rsid w:val="16CF5E02"/>
    <w:rsid w:val="16D31066"/>
    <w:rsid w:val="16D451C7"/>
    <w:rsid w:val="16E178E4"/>
    <w:rsid w:val="16E96798"/>
    <w:rsid w:val="16EC368E"/>
    <w:rsid w:val="16ED44DA"/>
    <w:rsid w:val="16EF2001"/>
    <w:rsid w:val="16F07B27"/>
    <w:rsid w:val="16FC0C78"/>
    <w:rsid w:val="16FC471D"/>
    <w:rsid w:val="16FE3FF2"/>
    <w:rsid w:val="170D2487"/>
    <w:rsid w:val="1711641B"/>
    <w:rsid w:val="17143815"/>
    <w:rsid w:val="171B0474"/>
    <w:rsid w:val="171E28E6"/>
    <w:rsid w:val="17227CCA"/>
    <w:rsid w:val="172577D0"/>
    <w:rsid w:val="17275644"/>
    <w:rsid w:val="172A565B"/>
    <w:rsid w:val="172D48D7"/>
    <w:rsid w:val="173B6FF4"/>
    <w:rsid w:val="173C0FBE"/>
    <w:rsid w:val="174165D4"/>
    <w:rsid w:val="17471E3D"/>
    <w:rsid w:val="17481711"/>
    <w:rsid w:val="174A36DB"/>
    <w:rsid w:val="174B5951"/>
    <w:rsid w:val="1752433D"/>
    <w:rsid w:val="175400B6"/>
    <w:rsid w:val="17546308"/>
    <w:rsid w:val="17555BDC"/>
    <w:rsid w:val="176531A5"/>
    <w:rsid w:val="17680005"/>
    <w:rsid w:val="1768590F"/>
    <w:rsid w:val="17701D14"/>
    <w:rsid w:val="17735226"/>
    <w:rsid w:val="177625A5"/>
    <w:rsid w:val="177644D0"/>
    <w:rsid w:val="17780248"/>
    <w:rsid w:val="177D6CFA"/>
    <w:rsid w:val="178502B5"/>
    <w:rsid w:val="1787048B"/>
    <w:rsid w:val="17887D5F"/>
    <w:rsid w:val="178A2F73"/>
    <w:rsid w:val="1791130A"/>
    <w:rsid w:val="17924D93"/>
    <w:rsid w:val="17946704"/>
    <w:rsid w:val="17950853"/>
    <w:rsid w:val="179901BE"/>
    <w:rsid w:val="179C0A16"/>
    <w:rsid w:val="179D1F49"/>
    <w:rsid w:val="179D7CAF"/>
    <w:rsid w:val="179E3A27"/>
    <w:rsid w:val="17A0154D"/>
    <w:rsid w:val="17A12E39"/>
    <w:rsid w:val="17A32DEB"/>
    <w:rsid w:val="17A33B93"/>
    <w:rsid w:val="17AA0D42"/>
    <w:rsid w:val="17AA23CB"/>
    <w:rsid w:val="17AF74D7"/>
    <w:rsid w:val="17BB0135"/>
    <w:rsid w:val="17BD3EAD"/>
    <w:rsid w:val="17C104F9"/>
    <w:rsid w:val="17C76AD9"/>
    <w:rsid w:val="17C90AA4"/>
    <w:rsid w:val="17CA3A94"/>
    <w:rsid w:val="17CA481C"/>
    <w:rsid w:val="17E313B9"/>
    <w:rsid w:val="17E41E41"/>
    <w:rsid w:val="17E551B2"/>
    <w:rsid w:val="17EC274B"/>
    <w:rsid w:val="17F17FFA"/>
    <w:rsid w:val="17F3167D"/>
    <w:rsid w:val="17F378CF"/>
    <w:rsid w:val="17F51899"/>
    <w:rsid w:val="17F7333D"/>
    <w:rsid w:val="17F81389"/>
    <w:rsid w:val="17FA6EAF"/>
    <w:rsid w:val="17FB27D0"/>
    <w:rsid w:val="17FE566D"/>
    <w:rsid w:val="18047D2E"/>
    <w:rsid w:val="180513B0"/>
    <w:rsid w:val="1807337A"/>
    <w:rsid w:val="180C273E"/>
    <w:rsid w:val="18124EA3"/>
    <w:rsid w:val="18133ACD"/>
    <w:rsid w:val="181D1C1A"/>
    <w:rsid w:val="18222C1C"/>
    <w:rsid w:val="18252411"/>
    <w:rsid w:val="18255A8C"/>
    <w:rsid w:val="182E4DAB"/>
    <w:rsid w:val="183C74C7"/>
    <w:rsid w:val="183D6D9C"/>
    <w:rsid w:val="18441ED8"/>
    <w:rsid w:val="18455C50"/>
    <w:rsid w:val="18491BE4"/>
    <w:rsid w:val="18493992"/>
    <w:rsid w:val="18504D21"/>
    <w:rsid w:val="18561C0B"/>
    <w:rsid w:val="18573883"/>
    <w:rsid w:val="18583BD5"/>
    <w:rsid w:val="185D743E"/>
    <w:rsid w:val="186049D2"/>
    <w:rsid w:val="186410E9"/>
    <w:rsid w:val="186A4292"/>
    <w:rsid w:val="186C7681"/>
    <w:rsid w:val="186E164B"/>
    <w:rsid w:val="187121C1"/>
    <w:rsid w:val="18722EE9"/>
    <w:rsid w:val="187D363C"/>
    <w:rsid w:val="188449CB"/>
    <w:rsid w:val="18876CC2"/>
    <w:rsid w:val="188A384C"/>
    <w:rsid w:val="188B3FAB"/>
    <w:rsid w:val="188C4CC0"/>
    <w:rsid w:val="189015C1"/>
    <w:rsid w:val="18910E95"/>
    <w:rsid w:val="189E639B"/>
    <w:rsid w:val="189F5C37"/>
    <w:rsid w:val="189F624C"/>
    <w:rsid w:val="18A1557C"/>
    <w:rsid w:val="18A230A3"/>
    <w:rsid w:val="18A312F5"/>
    <w:rsid w:val="18A60DE5"/>
    <w:rsid w:val="18A84B5D"/>
    <w:rsid w:val="18B352B0"/>
    <w:rsid w:val="18C354F3"/>
    <w:rsid w:val="18C96881"/>
    <w:rsid w:val="18D53478"/>
    <w:rsid w:val="18D723C4"/>
    <w:rsid w:val="18D72D4C"/>
    <w:rsid w:val="18D851B5"/>
    <w:rsid w:val="18DE057F"/>
    <w:rsid w:val="18DE232D"/>
    <w:rsid w:val="18DE626B"/>
    <w:rsid w:val="18E11E1D"/>
    <w:rsid w:val="18E45469"/>
    <w:rsid w:val="18E54142"/>
    <w:rsid w:val="18E65685"/>
    <w:rsid w:val="18E90CD1"/>
    <w:rsid w:val="18F002B2"/>
    <w:rsid w:val="18F962EE"/>
    <w:rsid w:val="18FC6C57"/>
    <w:rsid w:val="19023B58"/>
    <w:rsid w:val="190855FC"/>
    <w:rsid w:val="190A1374"/>
    <w:rsid w:val="190F0738"/>
    <w:rsid w:val="19123767"/>
    <w:rsid w:val="191A5124"/>
    <w:rsid w:val="191E097B"/>
    <w:rsid w:val="19213995"/>
    <w:rsid w:val="19213D00"/>
    <w:rsid w:val="19215E2D"/>
    <w:rsid w:val="1924530C"/>
    <w:rsid w:val="192561AE"/>
    <w:rsid w:val="19257F5C"/>
    <w:rsid w:val="192D01EC"/>
    <w:rsid w:val="192F2B88"/>
    <w:rsid w:val="19300E96"/>
    <w:rsid w:val="1937518F"/>
    <w:rsid w:val="19383A4E"/>
    <w:rsid w:val="193A152D"/>
    <w:rsid w:val="193B777F"/>
    <w:rsid w:val="19410B0E"/>
    <w:rsid w:val="19456052"/>
    <w:rsid w:val="194C39B8"/>
    <w:rsid w:val="19555B47"/>
    <w:rsid w:val="19597C05"/>
    <w:rsid w:val="195C76F5"/>
    <w:rsid w:val="196127AF"/>
    <w:rsid w:val="19630A84"/>
    <w:rsid w:val="19636CD6"/>
    <w:rsid w:val="19652F3A"/>
    <w:rsid w:val="19687E48"/>
    <w:rsid w:val="196F4FEF"/>
    <w:rsid w:val="196F567B"/>
    <w:rsid w:val="19720CC7"/>
    <w:rsid w:val="1977452F"/>
    <w:rsid w:val="197B401F"/>
    <w:rsid w:val="197E141A"/>
    <w:rsid w:val="19866520"/>
    <w:rsid w:val="19873F88"/>
    <w:rsid w:val="198A4263"/>
    <w:rsid w:val="198B3B37"/>
    <w:rsid w:val="198F043A"/>
    <w:rsid w:val="199364A5"/>
    <w:rsid w:val="199450E1"/>
    <w:rsid w:val="199926F8"/>
    <w:rsid w:val="199B021E"/>
    <w:rsid w:val="199E386A"/>
    <w:rsid w:val="19A753EF"/>
    <w:rsid w:val="19AF5A77"/>
    <w:rsid w:val="19B64DBC"/>
    <w:rsid w:val="19B80DD0"/>
    <w:rsid w:val="19B968F6"/>
    <w:rsid w:val="19BE3B8A"/>
    <w:rsid w:val="19C00160"/>
    <w:rsid w:val="19C07874"/>
    <w:rsid w:val="19C1175E"/>
    <w:rsid w:val="19C24BC8"/>
    <w:rsid w:val="19C534C4"/>
    <w:rsid w:val="19C534ED"/>
    <w:rsid w:val="19CA0B03"/>
    <w:rsid w:val="19CA1C19"/>
    <w:rsid w:val="19CF1C75"/>
    <w:rsid w:val="19D35C0A"/>
    <w:rsid w:val="19D454DE"/>
    <w:rsid w:val="19D76D7C"/>
    <w:rsid w:val="19DD3222"/>
    <w:rsid w:val="19DE635C"/>
    <w:rsid w:val="19E00326"/>
    <w:rsid w:val="19E07A85"/>
    <w:rsid w:val="19E33973"/>
    <w:rsid w:val="19EA4D01"/>
    <w:rsid w:val="19EA6AAF"/>
    <w:rsid w:val="19EF056A"/>
    <w:rsid w:val="19F3005A"/>
    <w:rsid w:val="19F6106B"/>
    <w:rsid w:val="19FE255B"/>
    <w:rsid w:val="1A0538E9"/>
    <w:rsid w:val="1A071E6B"/>
    <w:rsid w:val="1A0758B3"/>
    <w:rsid w:val="1A0E09F0"/>
    <w:rsid w:val="1A0F1A8D"/>
    <w:rsid w:val="1A1144E1"/>
    <w:rsid w:val="1A116EA2"/>
    <w:rsid w:val="1A15754E"/>
    <w:rsid w:val="1A1678A4"/>
    <w:rsid w:val="1A18361C"/>
    <w:rsid w:val="1A1B4EBB"/>
    <w:rsid w:val="1A1C66C0"/>
    <w:rsid w:val="1A1F2BFD"/>
    <w:rsid w:val="1A2226ED"/>
    <w:rsid w:val="1A2A15A2"/>
    <w:rsid w:val="1A355960"/>
    <w:rsid w:val="1A366379"/>
    <w:rsid w:val="1A383CBF"/>
    <w:rsid w:val="1A393593"/>
    <w:rsid w:val="1A3C0B68"/>
    <w:rsid w:val="1A42393B"/>
    <w:rsid w:val="1A440A74"/>
    <w:rsid w:val="1A446818"/>
    <w:rsid w:val="1A46462D"/>
    <w:rsid w:val="1A5253FC"/>
    <w:rsid w:val="1A534654"/>
    <w:rsid w:val="1A5F2FF9"/>
    <w:rsid w:val="1A6265A0"/>
    <w:rsid w:val="1A642D06"/>
    <w:rsid w:val="1A6525DA"/>
    <w:rsid w:val="1A6B4094"/>
    <w:rsid w:val="1A6C3968"/>
    <w:rsid w:val="1A6D587B"/>
    <w:rsid w:val="1A6E76E0"/>
    <w:rsid w:val="1A762276"/>
    <w:rsid w:val="1A815666"/>
    <w:rsid w:val="1A8B2040"/>
    <w:rsid w:val="1A8E38DF"/>
    <w:rsid w:val="1A903AFB"/>
    <w:rsid w:val="1A911621"/>
    <w:rsid w:val="1A911F76"/>
    <w:rsid w:val="1AA04930"/>
    <w:rsid w:val="1AA41354"/>
    <w:rsid w:val="1AA90718"/>
    <w:rsid w:val="1AAB26E2"/>
    <w:rsid w:val="1AAD234A"/>
    <w:rsid w:val="1AAD45DE"/>
    <w:rsid w:val="1AB37726"/>
    <w:rsid w:val="1AB66CBD"/>
    <w:rsid w:val="1AB86BAD"/>
    <w:rsid w:val="1ABA2925"/>
    <w:rsid w:val="1ABC07FF"/>
    <w:rsid w:val="1AC217DA"/>
    <w:rsid w:val="1AC71375"/>
    <w:rsid w:val="1AC90DBB"/>
    <w:rsid w:val="1ACE5BE1"/>
    <w:rsid w:val="1AD047CE"/>
    <w:rsid w:val="1AD05CA5"/>
    <w:rsid w:val="1AD31C39"/>
    <w:rsid w:val="1AD427F4"/>
    <w:rsid w:val="1ADA54C9"/>
    <w:rsid w:val="1ADE4866"/>
    <w:rsid w:val="1ADF413A"/>
    <w:rsid w:val="1AE17EB2"/>
    <w:rsid w:val="1AE479A2"/>
    <w:rsid w:val="1AE654C9"/>
    <w:rsid w:val="1AE71241"/>
    <w:rsid w:val="1AEB0D31"/>
    <w:rsid w:val="1AF000F5"/>
    <w:rsid w:val="1AF35E37"/>
    <w:rsid w:val="1AF776D6"/>
    <w:rsid w:val="1AF851FC"/>
    <w:rsid w:val="1AFD2812"/>
    <w:rsid w:val="1AFF5770"/>
    <w:rsid w:val="1B046F80"/>
    <w:rsid w:val="1B0B4F2F"/>
    <w:rsid w:val="1B0E67CD"/>
    <w:rsid w:val="1B124510"/>
    <w:rsid w:val="1B132036"/>
    <w:rsid w:val="1B157B5C"/>
    <w:rsid w:val="1B1F4E7E"/>
    <w:rsid w:val="1B216501"/>
    <w:rsid w:val="1B2A1722"/>
    <w:rsid w:val="1B3267B5"/>
    <w:rsid w:val="1B330A6B"/>
    <w:rsid w:val="1B36008B"/>
    <w:rsid w:val="1B375D24"/>
    <w:rsid w:val="1B397CEE"/>
    <w:rsid w:val="1B40161D"/>
    <w:rsid w:val="1B406A21"/>
    <w:rsid w:val="1B441859"/>
    <w:rsid w:val="1B444488"/>
    <w:rsid w:val="1B454FBB"/>
    <w:rsid w:val="1B484299"/>
    <w:rsid w:val="1B4A02FA"/>
    <w:rsid w:val="1B4C2CD0"/>
    <w:rsid w:val="1B506DE6"/>
    <w:rsid w:val="1B527002"/>
    <w:rsid w:val="1B55264E"/>
    <w:rsid w:val="1B59213E"/>
    <w:rsid w:val="1B5C578B"/>
    <w:rsid w:val="1B6034CD"/>
    <w:rsid w:val="1B634D6B"/>
    <w:rsid w:val="1B636B19"/>
    <w:rsid w:val="1B6437FD"/>
    <w:rsid w:val="1B6606B1"/>
    <w:rsid w:val="1B666609"/>
    <w:rsid w:val="1B683882"/>
    <w:rsid w:val="1B6F6013"/>
    <w:rsid w:val="1B721452"/>
    <w:rsid w:val="1B723200"/>
    <w:rsid w:val="1B762CF0"/>
    <w:rsid w:val="1B765DC6"/>
    <w:rsid w:val="1B775BB3"/>
    <w:rsid w:val="1B77752F"/>
    <w:rsid w:val="1B7900EB"/>
    <w:rsid w:val="1B7A20B5"/>
    <w:rsid w:val="1B7C6E54"/>
    <w:rsid w:val="1B813443"/>
    <w:rsid w:val="1B830F69"/>
    <w:rsid w:val="1B83678C"/>
    <w:rsid w:val="1B8A054A"/>
    <w:rsid w:val="1B8A0CEC"/>
    <w:rsid w:val="1B8A578C"/>
    <w:rsid w:val="1B8B54DB"/>
    <w:rsid w:val="1B8D003A"/>
    <w:rsid w:val="1B8E3378"/>
    <w:rsid w:val="1B9238A2"/>
    <w:rsid w:val="1B925650"/>
    <w:rsid w:val="1B9A532E"/>
    <w:rsid w:val="1B9C027D"/>
    <w:rsid w:val="1B9F38C9"/>
    <w:rsid w:val="1BA122C3"/>
    <w:rsid w:val="1BA7145F"/>
    <w:rsid w:val="1BA74CB4"/>
    <w:rsid w:val="1BA86C22"/>
    <w:rsid w:val="1BB44661"/>
    <w:rsid w:val="1BB96D4F"/>
    <w:rsid w:val="1BBB6955"/>
    <w:rsid w:val="1BBE1FA1"/>
    <w:rsid w:val="1BBE47DE"/>
    <w:rsid w:val="1BC03F6C"/>
    <w:rsid w:val="1BC577D4"/>
    <w:rsid w:val="1BC670A8"/>
    <w:rsid w:val="1BC87490"/>
    <w:rsid w:val="1BCD48DA"/>
    <w:rsid w:val="1BD01CD5"/>
    <w:rsid w:val="1BD931D0"/>
    <w:rsid w:val="1BDB2987"/>
    <w:rsid w:val="1BDC68CC"/>
    <w:rsid w:val="1BDE0896"/>
    <w:rsid w:val="1BE22134"/>
    <w:rsid w:val="1BE55780"/>
    <w:rsid w:val="1BE7774A"/>
    <w:rsid w:val="1BEC5FB9"/>
    <w:rsid w:val="1BEF4851"/>
    <w:rsid w:val="1BF34341"/>
    <w:rsid w:val="1BF63E31"/>
    <w:rsid w:val="1BF92425"/>
    <w:rsid w:val="1BFB4FA4"/>
    <w:rsid w:val="1BFC114A"/>
    <w:rsid w:val="1C026332"/>
    <w:rsid w:val="1C0302FC"/>
    <w:rsid w:val="1C030ADB"/>
    <w:rsid w:val="1C0320AA"/>
    <w:rsid w:val="1C057BD0"/>
    <w:rsid w:val="1C071C07"/>
    <w:rsid w:val="1C0A00B2"/>
    <w:rsid w:val="1C0A51E7"/>
    <w:rsid w:val="1C0E4124"/>
    <w:rsid w:val="1C163B8C"/>
    <w:rsid w:val="1C177197"/>
    <w:rsid w:val="1C1A6C0F"/>
    <w:rsid w:val="1C1E6EE4"/>
    <w:rsid w:val="1C21175D"/>
    <w:rsid w:val="1C250273"/>
    <w:rsid w:val="1C256D67"/>
    <w:rsid w:val="1C286CE3"/>
    <w:rsid w:val="1C2C1601"/>
    <w:rsid w:val="1C2E1720"/>
    <w:rsid w:val="1C311B1C"/>
    <w:rsid w:val="1C33100A"/>
    <w:rsid w:val="1C387FA6"/>
    <w:rsid w:val="1C3B5CE8"/>
    <w:rsid w:val="1C4138C9"/>
    <w:rsid w:val="1C47468D"/>
    <w:rsid w:val="1C4C3A51"/>
    <w:rsid w:val="1C4C57FF"/>
    <w:rsid w:val="1C4F0A0A"/>
    <w:rsid w:val="1C4F3541"/>
    <w:rsid w:val="1C512E16"/>
    <w:rsid w:val="1C533032"/>
    <w:rsid w:val="1C550B58"/>
    <w:rsid w:val="1C5A50E2"/>
    <w:rsid w:val="1C5E7925"/>
    <w:rsid w:val="1C6012AB"/>
    <w:rsid w:val="1C61254A"/>
    <w:rsid w:val="1C62208B"/>
    <w:rsid w:val="1C676ADD"/>
    <w:rsid w:val="1C6C5EA1"/>
    <w:rsid w:val="1C6F14EE"/>
    <w:rsid w:val="1C7A0F4E"/>
    <w:rsid w:val="1C7A6810"/>
    <w:rsid w:val="1C7B4A90"/>
    <w:rsid w:val="1C7C3318"/>
    <w:rsid w:val="1C7D6144"/>
    <w:rsid w:val="1C850D11"/>
    <w:rsid w:val="1C857FF6"/>
    <w:rsid w:val="1C8A7423"/>
    <w:rsid w:val="1C8B48B4"/>
    <w:rsid w:val="1C8D76F3"/>
    <w:rsid w:val="1C8E5E18"/>
    <w:rsid w:val="1C920E30"/>
    <w:rsid w:val="1C9553F8"/>
    <w:rsid w:val="1C962FE2"/>
    <w:rsid w:val="1C964CCC"/>
    <w:rsid w:val="1C9A2A0F"/>
    <w:rsid w:val="1C9D42AD"/>
    <w:rsid w:val="1CA13D9D"/>
    <w:rsid w:val="1CA4563B"/>
    <w:rsid w:val="1CA63D20"/>
    <w:rsid w:val="1CA95615"/>
    <w:rsid w:val="1CAC2742"/>
    <w:rsid w:val="1CAC629E"/>
    <w:rsid w:val="1CB11B06"/>
    <w:rsid w:val="1CB21AAA"/>
    <w:rsid w:val="1CB3587E"/>
    <w:rsid w:val="1CB56E00"/>
    <w:rsid w:val="1CBD66FD"/>
    <w:rsid w:val="1CBF7099"/>
    <w:rsid w:val="1CCC18DB"/>
    <w:rsid w:val="1CD04682"/>
    <w:rsid w:val="1CD777BF"/>
    <w:rsid w:val="1CDA105D"/>
    <w:rsid w:val="1CDC3027"/>
    <w:rsid w:val="1CDC4DD5"/>
    <w:rsid w:val="1CDD6D9F"/>
    <w:rsid w:val="1CDF21B8"/>
    <w:rsid w:val="1CE149AE"/>
    <w:rsid w:val="1CE617B0"/>
    <w:rsid w:val="1CED6FE2"/>
    <w:rsid w:val="1CF118D4"/>
    <w:rsid w:val="1CF56657"/>
    <w:rsid w:val="1CF814E3"/>
    <w:rsid w:val="1CFA34AD"/>
    <w:rsid w:val="1CFD070F"/>
    <w:rsid w:val="1CFD1B8F"/>
    <w:rsid w:val="1D04432C"/>
    <w:rsid w:val="1D077978"/>
    <w:rsid w:val="1D0B7468"/>
    <w:rsid w:val="1D102CD1"/>
    <w:rsid w:val="1D126A49"/>
    <w:rsid w:val="1D1502E7"/>
    <w:rsid w:val="1D152095"/>
    <w:rsid w:val="1D19260A"/>
    <w:rsid w:val="1D1E6063"/>
    <w:rsid w:val="1D206DD7"/>
    <w:rsid w:val="1D271DC8"/>
    <w:rsid w:val="1D293D92"/>
    <w:rsid w:val="1D2E13A9"/>
    <w:rsid w:val="1D300C7D"/>
    <w:rsid w:val="1D37025D"/>
    <w:rsid w:val="1D377BA0"/>
    <w:rsid w:val="1D3A1AFC"/>
    <w:rsid w:val="1D3A7D4E"/>
    <w:rsid w:val="1D3C1D18"/>
    <w:rsid w:val="1D3C3AC6"/>
    <w:rsid w:val="1D3E783E"/>
    <w:rsid w:val="1D4330A6"/>
    <w:rsid w:val="1D436C02"/>
    <w:rsid w:val="1D440BCC"/>
    <w:rsid w:val="1D464944"/>
    <w:rsid w:val="1D4672A6"/>
    <w:rsid w:val="1D4913BD"/>
    <w:rsid w:val="1D4B3D09"/>
    <w:rsid w:val="1D4D7A81"/>
    <w:rsid w:val="1D507571"/>
    <w:rsid w:val="1D57445C"/>
    <w:rsid w:val="1D594678"/>
    <w:rsid w:val="1D5A219E"/>
    <w:rsid w:val="1D5E4D5B"/>
    <w:rsid w:val="1D5F6196"/>
    <w:rsid w:val="1D6132A5"/>
    <w:rsid w:val="1D64438E"/>
    <w:rsid w:val="1D655C57"/>
    <w:rsid w:val="1D69418F"/>
    <w:rsid w:val="1D6B1834"/>
    <w:rsid w:val="1D7019C1"/>
    <w:rsid w:val="1D70376F"/>
    <w:rsid w:val="1D76400B"/>
    <w:rsid w:val="1D7A639C"/>
    <w:rsid w:val="1D7B2915"/>
    <w:rsid w:val="1D7C3EC2"/>
    <w:rsid w:val="1D7F1C04"/>
    <w:rsid w:val="1D807E78"/>
    <w:rsid w:val="1D8304F8"/>
    <w:rsid w:val="1D862F93"/>
    <w:rsid w:val="1D8B67FB"/>
    <w:rsid w:val="1D8E56D5"/>
    <w:rsid w:val="1D905BC0"/>
    <w:rsid w:val="1D90796E"/>
    <w:rsid w:val="1D952165"/>
    <w:rsid w:val="1D9F1E7E"/>
    <w:rsid w:val="1DA022A7"/>
    <w:rsid w:val="1DA53F15"/>
    <w:rsid w:val="1DA82F09"/>
    <w:rsid w:val="1DA84CB7"/>
    <w:rsid w:val="1DAD0520"/>
    <w:rsid w:val="1DB01DBE"/>
    <w:rsid w:val="1DB4365C"/>
    <w:rsid w:val="1DB45D52"/>
    <w:rsid w:val="1DB7314C"/>
    <w:rsid w:val="1DB773B3"/>
    <w:rsid w:val="1DB91C37"/>
    <w:rsid w:val="1DBA2C3C"/>
    <w:rsid w:val="1DC00CAC"/>
    <w:rsid w:val="1DC1221D"/>
    <w:rsid w:val="1DC35F95"/>
    <w:rsid w:val="1DC835AB"/>
    <w:rsid w:val="1DC93077"/>
    <w:rsid w:val="1DCA08C1"/>
    <w:rsid w:val="1DD106B2"/>
    <w:rsid w:val="1DD12460"/>
    <w:rsid w:val="1DD67A76"/>
    <w:rsid w:val="1DE15B9B"/>
    <w:rsid w:val="1DE53E96"/>
    <w:rsid w:val="1DE676BF"/>
    <w:rsid w:val="1DE81558"/>
    <w:rsid w:val="1DEA3522"/>
    <w:rsid w:val="1DEF6D8A"/>
    <w:rsid w:val="1DF3687A"/>
    <w:rsid w:val="1DFE521F"/>
    <w:rsid w:val="1E0563C6"/>
    <w:rsid w:val="1E070414"/>
    <w:rsid w:val="1E0740D4"/>
    <w:rsid w:val="1E0A5972"/>
    <w:rsid w:val="1E0C0D6C"/>
    <w:rsid w:val="1E0F4D36"/>
    <w:rsid w:val="1E14234D"/>
    <w:rsid w:val="1E1B36DB"/>
    <w:rsid w:val="1E1D38F7"/>
    <w:rsid w:val="1E220F0E"/>
    <w:rsid w:val="1E256308"/>
    <w:rsid w:val="1E286BEF"/>
    <w:rsid w:val="1E2A28A5"/>
    <w:rsid w:val="1E2B7E0D"/>
    <w:rsid w:val="1E2C58E8"/>
    <w:rsid w:val="1E2F362A"/>
    <w:rsid w:val="1E34479D"/>
    <w:rsid w:val="1E3B5B2B"/>
    <w:rsid w:val="1E401394"/>
    <w:rsid w:val="1E45207C"/>
    <w:rsid w:val="1E480248"/>
    <w:rsid w:val="1E4C1AE7"/>
    <w:rsid w:val="1E4F15D7"/>
    <w:rsid w:val="1E560BB7"/>
    <w:rsid w:val="1E5C74C1"/>
    <w:rsid w:val="1E676920"/>
    <w:rsid w:val="1E6A01BF"/>
    <w:rsid w:val="1E6C0104"/>
    <w:rsid w:val="1E7159F1"/>
    <w:rsid w:val="1E733517"/>
    <w:rsid w:val="1E74103D"/>
    <w:rsid w:val="1E74728F"/>
    <w:rsid w:val="1E7948A6"/>
    <w:rsid w:val="1E7A43DA"/>
    <w:rsid w:val="1E7D6144"/>
    <w:rsid w:val="1E8079E2"/>
    <w:rsid w:val="1E8E0351"/>
    <w:rsid w:val="1E937715"/>
    <w:rsid w:val="1E965458"/>
    <w:rsid w:val="1E9811D0"/>
    <w:rsid w:val="1EA01E32"/>
    <w:rsid w:val="1EBC3110"/>
    <w:rsid w:val="1EBF49AE"/>
    <w:rsid w:val="1EC3611C"/>
    <w:rsid w:val="1ECE4BF1"/>
    <w:rsid w:val="1ECF44C6"/>
    <w:rsid w:val="1ED0096A"/>
    <w:rsid w:val="1ED85A70"/>
    <w:rsid w:val="1ED8781E"/>
    <w:rsid w:val="1ED956FC"/>
    <w:rsid w:val="1EDD6BE3"/>
    <w:rsid w:val="1EE116A5"/>
    <w:rsid w:val="1EE14925"/>
    <w:rsid w:val="1EE21BD8"/>
    <w:rsid w:val="1EE44415"/>
    <w:rsid w:val="1EE61F3B"/>
    <w:rsid w:val="1EE95587"/>
    <w:rsid w:val="1EFB350D"/>
    <w:rsid w:val="1EFC175F"/>
    <w:rsid w:val="1F010B23"/>
    <w:rsid w:val="1F0337A1"/>
    <w:rsid w:val="1F06438B"/>
    <w:rsid w:val="1F0A02A3"/>
    <w:rsid w:val="1F0B19A2"/>
    <w:rsid w:val="1F0B4909"/>
    <w:rsid w:val="1F0C571A"/>
    <w:rsid w:val="1F0F1FE3"/>
    <w:rsid w:val="1F152820"/>
    <w:rsid w:val="1F1620F4"/>
    <w:rsid w:val="1F185534"/>
    <w:rsid w:val="1F1A3993"/>
    <w:rsid w:val="1F2111C5"/>
    <w:rsid w:val="1F234F3D"/>
    <w:rsid w:val="1F240CB5"/>
    <w:rsid w:val="1F2620AD"/>
    <w:rsid w:val="1F2A3A55"/>
    <w:rsid w:val="1F2B3DF2"/>
    <w:rsid w:val="1F2D681C"/>
    <w:rsid w:val="1F332CA6"/>
    <w:rsid w:val="1F345BBF"/>
    <w:rsid w:val="1F354C71"/>
    <w:rsid w:val="1F390908"/>
    <w:rsid w:val="1F3A4D26"/>
    <w:rsid w:val="1F425383"/>
    <w:rsid w:val="1F4B1344"/>
    <w:rsid w:val="1F4B4494"/>
    <w:rsid w:val="1F4D1FBA"/>
    <w:rsid w:val="1F5321E4"/>
    <w:rsid w:val="1F5E5F75"/>
    <w:rsid w:val="1F6317DE"/>
    <w:rsid w:val="1F633570"/>
    <w:rsid w:val="1F6A2B6C"/>
    <w:rsid w:val="1F6B31C7"/>
    <w:rsid w:val="1F745799"/>
    <w:rsid w:val="1F792DAF"/>
    <w:rsid w:val="1F7C289F"/>
    <w:rsid w:val="1F7D3ABF"/>
    <w:rsid w:val="1F884DA0"/>
    <w:rsid w:val="1F8A214A"/>
    <w:rsid w:val="1F8A3A14"/>
    <w:rsid w:val="1F9574BD"/>
    <w:rsid w:val="1F9F20EA"/>
    <w:rsid w:val="1FA53BA4"/>
    <w:rsid w:val="1FA745B4"/>
    <w:rsid w:val="1FB042F7"/>
    <w:rsid w:val="1FB673BE"/>
    <w:rsid w:val="1FBF278C"/>
    <w:rsid w:val="1FCF304C"/>
    <w:rsid w:val="1FD16BF6"/>
    <w:rsid w:val="1FD44489"/>
    <w:rsid w:val="1FD92525"/>
    <w:rsid w:val="1FDA4D32"/>
    <w:rsid w:val="1FE7539E"/>
    <w:rsid w:val="1FEF3071"/>
    <w:rsid w:val="1FF25EAA"/>
    <w:rsid w:val="1FF732EF"/>
    <w:rsid w:val="1FFB37C4"/>
    <w:rsid w:val="1FFD6E47"/>
    <w:rsid w:val="1FFE5062"/>
    <w:rsid w:val="20020FF7"/>
    <w:rsid w:val="200603BB"/>
    <w:rsid w:val="20085EE1"/>
    <w:rsid w:val="200D34F7"/>
    <w:rsid w:val="200F6826"/>
    <w:rsid w:val="20140D2A"/>
    <w:rsid w:val="20142AD8"/>
    <w:rsid w:val="201605FE"/>
    <w:rsid w:val="20176124"/>
    <w:rsid w:val="2017622D"/>
    <w:rsid w:val="2020147D"/>
    <w:rsid w:val="20270A5D"/>
    <w:rsid w:val="202C7E22"/>
    <w:rsid w:val="2035186F"/>
    <w:rsid w:val="203647FC"/>
    <w:rsid w:val="20427645"/>
    <w:rsid w:val="20450C95"/>
    <w:rsid w:val="204D697C"/>
    <w:rsid w:val="204D6EDE"/>
    <w:rsid w:val="205630F0"/>
    <w:rsid w:val="20580C17"/>
    <w:rsid w:val="205D622D"/>
    <w:rsid w:val="206155F1"/>
    <w:rsid w:val="20656358"/>
    <w:rsid w:val="20671BE0"/>
    <w:rsid w:val="20695D98"/>
    <w:rsid w:val="206B3938"/>
    <w:rsid w:val="206C6470"/>
    <w:rsid w:val="206E0C49"/>
    <w:rsid w:val="206F7380"/>
    <w:rsid w:val="20711CD8"/>
    <w:rsid w:val="2076109D"/>
    <w:rsid w:val="207B4905"/>
    <w:rsid w:val="207C7FAF"/>
    <w:rsid w:val="208107EA"/>
    <w:rsid w:val="20825C93"/>
    <w:rsid w:val="20833120"/>
    <w:rsid w:val="208337BA"/>
    <w:rsid w:val="208539D6"/>
    <w:rsid w:val="20857532"/>
    <w:rsid w:val="20895274"/>
    <w:rsid w:val="208D63E6"/>
    <w:rsid w:val="208E5662"/>
    <w:rsid w:val="209155CF"/>
    <w:rsid w:val="20963CB8"/>
    <w:rsid w:val="209B0085"/>
    <w:rsid w:val="209D2ACD"/>
    <w:rsid w:val="209F6845"/>
    <w:rsid w:val="20A81A1B"/>
    <w:rsid w:val="20AC3B34"/>
    <w:rsid w:val="20AF45AF"/>
    <w:rsid w:val="20B07FB6"/>
    <w:rsid w:val="20B646FB"/>
    <w:rsid w:val="20B67700"/>
    <w:rsid w:val="20B87907"/>
    <w:rsid w:val="20BB1E21"/>
    <w:rsid w:val="20BE47F2"/>
    <w:rsid w:val="20C52024"/>
    <w:rsid w:val="20C75D9C"/>
    <w:rsid w:val="20CA13E8"/>
    <w:rsid w:val="20CE2C87"/>
    <w:rsid w:val="20CE54B1"/>
    <w:rsid w:val="20D02EA3"/>
    <w:rsid w:val="20D109C9"/>
    <w:rsid w:val="20D364EF"/>
    <w:rsid w:val="20D44015"/>
    <w:rsid w:val="20D61B3B"/>
    <w:rsid w:val="20DA5ACF"/>
    <w:rsid w:val="20DE6C42"/>
    <w:rsid w:val="20E06E5E"/>
    <w:rsid w:val="20E215E3"/>
    <w:rsid w:val="20E24984"/>
    <w:rsid w:val="20E406FC"/>
    <w:rsid w:val="20E701EC"/>
    <w:rsid w:val="20E71F9A"/>
    <w:rsid w:val="20E93F65"/>
    <w:rsid w:val="20EA55E7"/>
    <w:rsid w:val="20EC3C4A"/>
    <w:rsid w:val="20F070A1"/>
    <w:rsid w:val="20FF1092"/>
    <w:rsid w:val="21020436"/>
    <w:rsid w:val="210A0A11"/>
    <w:rsid w:val="210E39CB"/>
    <w:rsid w:val="2110329F"/>
    <w:rsid w:val="211457EA"/>
    <w:rsid w:val="2116462E"/>
    <w:rsid w:val="211C60E8"/>
    <w:rsid w:val="211F1734"/>
    <w:rsid w:val="21231A1F"/>
    <w:rsid w:val="21233ED6"/>
    <w:rsid w:val="212705E9"/>
    <w:rsid w:val="21311468"/>
    <w:rsid w:val="21316D8A"/>
    <w:rsid w:val="213B74B1"/>
    <w:rsid w:val="213E04F7"/>
    <w:rsid w:val="213F386A"/>
    <w:rsid w:val="214000FD"/>
    <w:rsid w:val="21470C8B"/>
    <w:rsid w:val="21471D75"/>
    <w:rsid w:val="21494A03"/>
    <w:rsid w:val="214B42D7"/>
    <w:rsid w:val="21504639"/>
    <w:rsid w:val="215A2310"/>
    <w:rsid w:val="215A276C"/>
    <w:rsid w:val="215B25C0"/>
    <w:rsid w:val="21611D4D"/>
    <w:rsid w:val="216364D8"/>
    <w:rsid w:val="216374E1"/>
    <w:rsid w:val="216435EB"/>
    <w:rsid w:val="21667363"/>
    <w:rsid w:val="216A6083"/>
    <w:rsid w:val="216D06F2"/>
    <w:rsid w:val="216D6ACE"/>
    <w:rsid w:val="21731A80"/>
    <w:rsid w:val="217823A6"/>
    <w:rsid w:val="217E28FF"/>
    <w:rsid w:val="217F21D3"/>
    <w:rsid w:val="21800408"/>
    <w:rsid w:val="21815F4B"/>
    <w:rsid w:val="21823B8C"/>
    <w:rsid w:val="21867A05"/>
    <w:rsid w:val="218A73F3"/>
    <w:rsid w:val="218E5F13"/>
    <w:rsid w:val="2192111C"/>
    <w:rsid w:val="2192613E"/>
    <w:rsid w:val="21985824"/>
    <w:rsid w:val="21985EA8"/>
    <w:rsid w:val="219A525F"/>
    <w:rsid w:val="219C0FD7"/>
    <w:rsid w:val="219C2D85"/>
    <w:rsid w:val="219E6AFD"/>
    <w:rsid w:val="21A12149"/>
    <w:rsid w:val="21A165ED"/>
    <w:rsid w:val="21AD478D"/>
    <w:rsid w:val="21B06830"/>
    <w:rsid w:val="21B170D7"/>
    <w:rsid w:val="21B55BF5"/>
    <w:rsid w:val="21B7198F"/>
    <w:rsid w:val="21BA667E"/>
    <w:rsid w:val="21BA76AF"/>
    <w:rsid w:val="21BE19B9"/>
    <w:rsid w:val="21BE719F"/>
    <w:rsid w:val="21BF0821"/>
    <w:rsid w:val="21C26906"/>
    <w:rsid w:val="21C44E06"/>
    <w:rsid w:val="21CB71C6"/>
    <w:rsid w:val="21CD2F3E"/>
    <w:rsid w:val="21D00C81"/>
    <w:rsid w:val="21D117FD"/>
    <w:rsid w:val="21D249F9"/>
    <w:rsid w:val="21D56297"/>
    <w:rsid w:val="21DE318A"/>
    <w:rsid w:val="21DF0EC4"/>
    <w:rsid w:val="21E0234B"/>
    <w:rsid w:val="21E87D78"/>
    <w:rsid w:val="21EA7F94"/>
    <w:rsid w:val="21EB1616"/>
    <w:rsid w:val="21EB7868"/>
    <w:rsid w:val="21EF5B80"/>
    <w:rsid w:val="21F0363B"/>
    <w:rsid w:val="21F04E7F"/>
    <w:rsid w:val="21F410A8"/>
    <w:rsid w:val="21F42BC1"/>
    <w:rsid w:val="21FC1A76"/>
    <w:rsid w:val="21FC7672"/>
    <w:rsid w:val="21FD729B"/>
    <w:rsid w:val="220431C0"/>
    <w:rsid w:val="220B7F0B"/>
    <w:rsid w:val="221768AF"/>
    <w:rsid w:val="221C3EC6"/>
    <w:rsid w:val="222039B6"/>
    <w:rsid w:val="222114DC"/>
    <w:rsid w:val="222241E4"/>
    <w:rsid w:val="222D0E96"/>
    <w:rsid w:val="222D16E9"/>
    <w:rsid w:val="22325497"/>
    <w:rsid w:val="22356D36"/>
    <w:rsid w:val="22400062"/>
    <w:rsid w:val="22452FAB"/>
    <w:rsid w:val="22486A69"/>
    <w:rsid w:val="224C1000"/>
    <w:rsid w:val="22513B6F"/>
    <w:rsid w:val="22536AC3"/>
    <w:rsid w:val="2254540E"/>
    <w:rsid w:val="225639C9"/>
    <w:rsid w:val="22576990"/>
    <w:rsid w:val="225B49EE"/>
    <w:rsid w:val="225E003A"/>
    <w:rsid w:val="22600256"/>
    <w:rsid w:val="226A69DF"/>
    <w:rsid w:val="226F2247"/>
    <w:rsid w:val="22702AAD"/>
    <w:rsid w:val="22711995"/>
    <w:rsid w:val="22737BDE"/>
    <w:rsid w:val="227930C6"/>
    <w:rsid w:val="228026A7"/>
    <w:rsid w:val="22835CF3"/>
    <w:rsid w:val="2288155B"/>
    <w:rsid w:val="22884A2A"/>
    <w:rsid w:val="228C2DF9"/>
    <w:rsid w:val="228D1B59"/>
    <w:rsid w:val="22950329"/>
    <w:rsid w:val="22993768"/>
    <w:rsid w:val="229A0F8B"/>
    <w:rsid w:val="229A2E6F"/>
    <w:rsid w:val="229B303C"/>
    <w:rsid w:val="229E0D7F"/>
    <w:rsid w:val="22A7378F"/>
    <w:rsid w:val="22A90167"/>
    <w:rsid w:val="22AC0852"/>
    <w:rsid w:val="22AD2D70"/>
    <w:rsid w:val="22AE0FC2"/>
    <w:rsid w:val="22B1370A"/>
    <w:rsid w:val="22B365D8"/>
    <w:rsid w:val="22B42350"/>
    <w:rsid w:val="22B61C24"/>
    <w:rsid w:val="22BB548D"/>
    <w:rsid w:val="22BD7C4B"/>
    <w:rsid w:val="22BF01B0"/>
    <w:rsid w:val="22C478DC"/>
    <w:rsid w:val="22C77DE1"/>
    <w:rsid w:val="22C97BAA"/>
    <w:rsid w:val="22CE5712"/>
    <w:rsid w:val="22D16A5E"/>
    <w:rsid w:val="22D30A28"/>
    <w:rsid w:val="22DB5B2F"/>
    <w:rsid w:val="22DB758F"/>
    <w:rsid w:val="22DD18A7"/>
    <w:rsid w:val="22E26EBD"/>
    <w:rsid w:val="22E42C35"/>
    <w:rsid w:val="22E5248F"/>
    <w:rsid w:val="22E5250A"/>
    <w:rsid w:val="22E744D4"/>
    <w:rsid w:val="22ED5C87"/>
    <w:rsid w:val="22EE5862"/>
    <w:rsid w:val="22F13F1F"/>
    <w:rsid w:val="22F47480"/>
    <w:rsid w:val="22F56BF1"/>
    <w:rsid w:val="22F866E1"/>
    <w:rsid w:val="22FC0A35"/>
    <w:rsid w:val="22FD5AA5"/>
    <w:rsid w:val="23007343"/>
    <w:rsid w:val="23040BE2"/>
    <w:rsid w:val="23046E34"/>
    <w:rsid w:val="23052BAC"/>
    <w:rsid w:val="23056708"/>
    <w:rsid w:val="23057C2B"/>
    <w:rsid w:val="2309192D"/>
    <w:rsid w:val="230C7A96"/>
    <w:rsid w:val="23103FD0"/>
    <w:rsid w:val="231057D9"/>
    <w:rsid w:val="231173BC"/>
    <w:rsid w:val="231352C9"/>
    <w:rsid w:val="231570E3"/>
    <w:rsid w:val="231828DF"/>
    <w:rsid w:val="231F7EF6"/>
    <w:rsid w:val="23215B1D"/>
    <w:rsid w:val="2335523F"/>
    <w:rsid w:val="233A0AA7"/>
    <w:rsid w:val="233C481F"/>
    <w:rsid w:val="233F137C"/>
    <w:rsid w:val="233F1C1A"/>
    <w:rsid w:val="234378C3"/>
    <w:rsid w:val="23452FA8"/>
    <w:rsid w:val="23492A98"/>
    <w:rsid w:val="234B6811"/>
    <w:rsid w:val="234C23C0"/>
    <w:rsid w:val="23543210"/>
    <w:rsid w:val="23597F78"/>
    <w:rsid w:val="235B27CC"/>
    <w:rsid w:val="235C6C70"/>
    <w:rsid w:val="23614286"/>
    <w:rsid w:val="236817F3"/>
    <w:rsid w:val="23733FB9"/>
    <w:rsid w:val="2375388E"/>
    <w:rsid w:val="2375633F"/>
    <w:rsid w:val="23767606"/>
    <w:rsid w:val="237C2E6E"/>
    <w:rsid w:val="237F470C"/>
    <w:rsid w:val="2383244E"/>
    <w:rsid w:val="23841D23"/>
    <w:rsid w:val="23897339"/>
    <w:rsid w:val="238C6E29"/>
    <w:rsid w:val="239161EE"/>
    <w:rsid w:val="239301B8"/>
    <w:rsid w:val="23A25E3E"/>
    <w:rsid w:val="23A45F21"/>
    <w:rsid w:val="23A543B3"/>
    <w:rsid w:val="23A777BF"/>
    <w:rsid w:val="23AB5501"/>
    <w:rsid w:val="23AD74CB"/>
    <w:rsid w:val="23AE552D"/>
    <w:rsid w:val="23B0550D"/>
    <w:rsid w:val="23B4085A"/>
    <w:rsid w:val="23B45560"/>
    <w:rsid w:val="23B60ACB"/>
    <w:rsid w:val="23BE768B"/>
    <w:rsid w:val="23BF0FAD"/>
    <w:rsid w:val="23C6175B"/>
    <w:rsid w:val="23C8541B"/>
    <w:rsid w:val="23CF6E26"/>
    <w:rsid w:val="23D55D98"/>
    <w:rsid w:val="23D64CE0"/>
    <w:rsid w:val="23D700A4"/>
    <w:rsid w:val="23DC1B5F"/>
    <w:rsid w:val="23DD12E4"/>
    <w:rsid w:val="23DE1C48"/>
    <w:rsid w:val="23DF51AB"/>
    <w:rsid w:val="23E17175"/>
    <w:rsid w:val="23E32EED"/>
    <w:rsid w:val="23E46C65"/>
    <w:rsid w:val="23E97DD8"/>
    <w:rsid w:val="23ED3D6C"/>
    <w:rsid w:val="23ED5B1A"/>
    <w:rsid w:val="23ED78C8"/>
    <w:rsid w:val="23EF1892"/>
    <w:rsid w:val="23F23130"/>
    <w:rsid w:val="23F549CE"/>
    <w:rsid w:val="23F5677C"/>
    <w:rsid w:val="23FF3DF5"/>
    <w:rsid w:val="23FF75FB"/>
    <w:rsid w:val="24013373"/>
    <w:rsid w:val="24015121"/>
    <w:rsid w:val="240210CD"/>
    <w:rsid w:val="24084702"/>
    <w:rsid w:val="240879A1"/>
    <w:rsid w:val="240B41F2"/>
    <w:rsid w:val="240B5FA0"/>
    <w:rsid w:val="24133B84"/>
    <w:rsid w:val="24150BCD"/>
    <w:rsid w:val="241B6C18"/>
    <w:rsid w:val="241C01AD"/>
    <w:rsid w:val="241C1F5B"/>
    <w:rsid w:val="241C77B7"/>
    <w:rsid w:val="242074A6"/>
    <w:rsid w:val="24207C9D"/>
    <w:rsid w:val="24212C83"/>
    <w:rsid w:val="2426102C"/>
    <w:rsid w:val="242A28CA"/>
    <w:rsid w:val="242E1C8E"/>
    <w:rsid w:val="242F6132"/>
    <w:rsid w:val="24343749"/>
    <w:rsid w:val="243948BB"/>
    <w:rsid w:val="243C25FD"/>
    <w:rsid w:val="243D1030"/>
    <w:rsid w:val="243E6375"/>
    <w:rsid w:val="24443260"/>
    <w:rsid w:val="244514B2"/>
    <w:rsid w:val="2446522A"/>
    <w:rsid w:val="24480FA2"/>
    <w:rsid w:val="244871F4"/>
    <w:rsid w:val="244B2840"/>
    <w:rsid w:val="24506E1F"/>
    <w:rsid w:val="24520004"/>
    <w:rsid w:val="24572F93"/>
    <w:rsid w:val="245A2A83"/>
    <w:rsid w:val="245A57E5"/>
    <w:rsid w:val="245D1A20"/>
    <w:rsid w:val="24635540"/>
    <w:rsid w:val="246748A0"/>
    <w:rsid w:val="246F4781"/>
    <w:rsid w:val="247202CC"/>
    <w:rsid w:val="24773635"/>
    <w:rsid w:val="247D0E32"/>
    <w:rsid w:val="248024EA"/>
    <w:rsid w:val="2483647E"/>
    <w:rsid w:val="24857B00"/>
    <w:rsid w:val="248875F1"/>
    <w:rsid w:val="24911B47"/>
    <w:rsid w:val="249146F7"/>
    <w:rsid w:val="24961D0D"/>
    <w:rsid w:val="249912B8"/>
    <w:rsid w:val="249935AC"/>
    <w:rsid w:val="249D7540"/>
    <w:rsid w:val="249E5066"/>
    <w:rsid w:val="24A02B8C"/>
    <w:rsid w:val="24A24B56"/>
    <w:rsid w:val="24AC2947"/>
    <w:rsid w:val="24B228BF"/>
    <w:rsid w:val="24B324D0"/>
    <w:rsid w:val="24B67988"/>
    <w:rsid w:val="24BF09F7"/>
    <w:rsid w:val="24C34ACD"/>
    <w:rsid w:val="24C7636B"/>
    <w:rsid w:val="24C841E5"/>
    <w:rsid w:val="24CF313A"/>
    <w:rsid w:val="24D34D10"/>
    <w:rsid w:val="24D740D4"/>
    <w:rsid w:val="24D97E4C"/>
    <w:rsid w:val="24DB0B9B"/>
    <w:rsid w:val="24E32A79"/>
    <w:rsid w:val="24E567F1"/>
    <w:rsid w:val="24E72569"/>
    <w:rsid w:val="24EC4023"/>
    <w:rsid w:val="24ED38F7"/>
    <w:rsid w:val="24ED78A9"/>
    <w:rsid w:val="24FE5B05"/>
    <w:rsid w:val="25034EC9"/>
    <w:rsid w:val="2504136D"/>
    <w:rsid w:val="25096983"/>
    <w:rsid w:val="250F0D3F"/>
    <w:rsid w:val="250F1AC0"/>
    <w:rsid w:val="25113A8A"/>
    <w:rsid w:val="251C189B"/>
    <w:rsid w:val="252178FB"/>
    <w:rsid w:val="252235A1"/>
    <w:rsid w:val="25276E09"/>
    <w:rsid w:val="25293712"/>
    <w:rsid w:val="25297ADB"/>
    <w:rsid w:val="252D53FE"/>
    <w:rsid w:val="25333A00"/>
    <w:rsid w:val="253439FF"/>
    <w:rsid w:val="253B4663"/>
    <w:rsid w:val="254259F1"/>
    <w:rsid w:val="254402E0"/>
    <w:rsid w:val="25461985"/>
    <w:rsid w:val="254E12FD"/>
    <w:rsid w:val="2551263E"/>
    <w:rsid w:val="25540AF3"/>
    <w:rsid w:val="255B6AB3"/>
    <w:rsid w:val="25601F6B"/>
    <w:rsid w:val="256040C9"/>
    <w:rsid w:val="2566688E"/>
    <w:rsid w:val="256C6F12"/>
    <w:rsid w:val="257007B0"/>
    <w:rsid w:val="25714529"/>
    <w:rsid w:val="25757B75"/>
    <w:rsid w:val="25781413"/>
    <w:rsid w:val="257A162F"/>
    <w:rsid w:val="257B0F03"/>
    <w:rsid w:val="258143F7"/>
    <w:rsid w:val="25861774"/>
    <w:rsid w:val="25861BA8"/>
    <w:rsid w:val="25867FD4"/>
    <w:rsid w:val="25873D4C"/>
    <w:rsid w:val="25893620"/>
    <w:rsid w:val="2593624D"/>
    <w:rsid w:val="25943099"/>
    <w:rsid w:val="25956469"/>
    <w:rsid w:val="25965263"/>
    <w:rsid w:val="259F4BF2"/>
    <w:rsid w:val="259F78F3"/>
    <w:rsid w:val="25A16BBC"/>
    <w:rsid w:val="25A246E2"/>
    <w:rsid w:val="25A641D2"/>
    <w:rsid w:val="25AC5561"/>
    <w:rsid w:val="25AE12D9"/>
    <w:rsid w:val="25AE752B"/>
    <w:rsid w:val="25B05051"/>
    <w:rsid w:val="25B368EF"/>
    <w:rsid w:val="25B763DF"/>
    <w:rsid w:val="25BC1C48"/>
    <w:rsid w:val="25BD07D4"/>
    <w:rsid w:val="25BF0E4C"/>
    <w:rsid w:val="25C26B32"/>
    <w:rsid w:val="25C44658"/>
    <w:rsid w:val="25C7239A"/>
    <w:rsid w:val="25C97EC1"/>
    <w:rsid w:val="25CB2DFC"/>
    <w:rsid w:val="25CE54D7"/>
    <w:rsid w:val="25CF17EB"/>
    <w:rsid w:val="25D02FFD"/>
    <w:rsid w:val="25D041CF"/>
    <w:rsid w:val="25D30D3F"/>
    <w:rsid w:val="25D372EE"/>
    <w:rsid w:val="25D7082F"/>
    <w:rsid w:val="25DA20CE"/>
    <w:rsid w:val="25E24356"/>
    <w:rsid w:val="25E92311"/>
    <w:rsid w:val="25E940BF"/>
    <w:rsid w:val="25EC2D81"/>
    <w:rsid w:val="25EC3BAF"/>
    <w:rsid w:val="25EE5B79"/>
    <w:rsid w:val="25F807A6"/>
    <w:rsid w:val="25F96D50"/>
    <w:rsid w:val="2604714B"/>
    <w:rsid w:val="26055C7D"/>
    <w:rsid w:val="260809E9"/>
    <w:rsid w:val="260A0D58"/>
    <w:rsid w:val="260B04D9"/>
    <w:rsid w:val="260E1643"/>
    <w:rsid w:val="260E3B25"/>
    <w:rsid w:val="260E7FC9"/>
    <w:rsid w:val="2611159E"/>
    <w:rsid w:val="261849A4"/>
    <w:rsid w:val="261C6242"/>
    <w:rsid w:val="261F5D33"/>
    <w:rsid w:val="26220978"/>
    <w:rsid w:val="2624159B"/>
    <w:rsid w:val="26282E39"/>
    <w:rsid w:val="26284BE7"/>
    <w:rsid w:val="26292F27"/>
    <w:rsid w:val="262C51DF"/>
    <w:rsid w:val="262F241A"/>
    <w:rsid w:val="26321F0A"/>
    <w:rsid w:val="26333DFB"/>
    <w:rsid w:val="26343656"/>
    <w:rsid w:val="2635480A"/>
    <w:rsid w:val="26395046"/>
    <w:rsid w:val="264B6B28"/>
    <w:rsid w:val="264D1406"/>
    <w:rsid w:val="264D28A0"/>
    <w:rsid w:val="265408B3"/>
    <w:rsid w:val="26586B90"/>
    <w:rsid w:val="26695200"/>
    <w:rsid w:val="26720558"/>
    <w:rsid w:val="267441BC"/>
    <w:rsid w:val="267442D0"/>
    <w:rsid w:val="267964C4"/>
    <w:rsid w:val="26822C27"/>
    <w:rsid w:val="2685203A"/>
    <w:rsid w:val="26881B2A"/>
    <w:rsid w:val="269009DE"/>
    <w:rsid w:val="26962499"/>
    <w:rsid w:val="26964247"/>
    <w:rsid w:val="269E134D"/>
    <w:rsid w:val="26A00BFC"/>
    <w:rsid w:val="26A5448A"/>
    <w:rsid w:val="26A96E09"/>
    <w:rsid w:val="26AF5308"/>
    <w:rsid w:val="26B26BA7"/>
    <w:rsid w:val="26B307E8"/>
    <w:rsid w:val="26B945E4"/>
    <w:rsid w:val="26BB0F43"/>
    <w:rsid w:val="26BD5C77"/>
    <w:rsid w:val="26C2328E"/>
    <w:rsid w:val="26C32B62"/>
    <w:rsid w:val="26C80178"/>
    <w:rsid w:val="26C97351"/>
    <w:rsid w:val="26CA3EF0"/>
    <w:rsid w:val="26CC5EBA"/>
    <w:rsid w:val="26CD39E1"/>
    <w:rsid w:val="26D227E7"/>
    <w:rsid w:val="26D905D7"/>
    <w:rsid w:val="26D9501E"/>
    <w:rsid w:val="26E65158"/>
    <w:rsid w:val="26EA27E4"/>
    <w:rsid w:val="26F55A71"/>
    <w:rsid w:val="26F86CAF"/>
    <w:rsid w:val="26FE003E"/>
    <w:rsid w:val="27057302"/>
    <w:rsid w:val="27094DEC"/>
    <w:rsid w:val="270C275B"/>
    <w:rsid w:val="270C62B7"/>
    <w:rsid w:val="270D69D9"/>
    <w:rsid w:val="270F5DA7"/>
    <w:rsid w:val="27160EE4"/>
    <w:rsid w:val="271B0BF0"/>
    <w:rsid w:val="271D6716"/>
    <w:rsid w:val="272730F1"/>
    <w:rsid w:val="272950BB"/>
    <w:rsid w:val="2730304F"/>
    <w:rsid w:val="27351CB2"/>
    <w:rsid w:val="273E043A"/>
    <w:rsid w:val="273E668C"/>
    <w:rsid w:val="273F6C96"/>
    <w:rsid w:val="274243CE"/>
    <w:rsid w:val="27455C99"/>
    <w:rsid w:val="27483067"/>
    <w:rsid w:val="274C6FFB"/>
    <w:rsid w:val="2751125B"/>
    <w:rsid w:val="275646BC"/>
    <w:rsid w:val="27565784"/>
    <w:rsid w:val="275859A0"/>
    <w:rsid w:val="275E09F4"/>
    <w:rsid w:val="275F60A8"/>
    <w:rsid w:val="276460F3"/>
    <w:rsid w:val="27675BE3"/>
    <w:rsid w:val="276854B7"/>
    <w:rsid w:val="276F6846"/>
    <w:rsid w:val="276F7DA2"/>
    <w:rsid w:val="277057A2"/>
    <w:rsid w:val="27750300"/>
    <w:rsid w:val="27765E26"/>
    <w:rsid w:val="277B168E"/>
    <w:rsid w:val="277D5407"/>
    <w:rsid w:val="277E3DF7"/>
    <w:rsid w:val="277F2F2D"/>
    <w:rsid w:val="27895B59"/>
    <w:rsid w:val="278C564A"/>
    <w:rsid w:val="2791205B"/>
    <w:rsid w:val="2794531C"/>
    <w:rsid w:val="27A44741"/>
    <w:rsid w:val="27A6495D"/>
    <w:rsid w:val="27B11B79"/>
    <w:rsid w:val="27B150B0"/>
    <w:rsid w:val="27B365A9"/>
    <w:rsid w:val="27B5694E"/>
    <w:rsid w:val="27B83128"/>
    <w:rsid w:val="27BA1634"/>
    <w:rsid w:val="27BA21B7"/>
    <w:rsid w:val="27BA566D"/>
    <w:rsid w:val="27BB1A8B"/>
    <w:rsid w:val="27C2106B"/>
    <w:rsid w:val="27C748D4"/>
    <w:rsid w:val="27CB1C9E"/>
    <w:rsid w:val="27CB6172"/>
    <w:rsid w:val="27D23E71"/>
    <w:rsid w:val="27E168E7"/>
    <w:rsid w:val="27E56B08"/>
    <w:rsid w:val="27EE3C0E"/>
    <w:rsid w:val="27F01B2B"/>
    <w:rsid w:val="27F05BD9"/>
    <w:rsid w:val="27F277E0"/>
    <w:rsid w:val="27F66921"/>
    <w:rsid w:val="27FC741F"/>
    <w:rsid w:val="28082D42"/>
    <w:rsid w:val="280926D2"/>
    <w:rsid w:val="28136333"/>
    <w:rsid w:val="28137B19"/>
    <w:rsid w:val="28153891"/>
    <w:rsid w:val="28173165"/>
    <w:rsid w:val="28177609"/>
    <w:rsid w:val="28180C8B"/>
    <w:rsid w:val="281C4C20"/>
    <w:rsid w:val="28227B01"/>
    <w:rsid w:val="28235FAE"/>
    <w:rsid w:val="28252FC9"/>
    <w:rsid w:val="282835C4"/>
    <w:rsid w:val="28292E99"/>
    <w:rsid w:val="282B4E63"/>
    <w:rsid w:val="28304227"/>
    <w:rsid w:val="28321D4D"/>
    <w:rsid w:val="28335AC5"/>
    <w:rsid w:val="283755B5"/>
    <w:rsid w:val="283A50A6"/>
    <w:rsid w:val="283C2BCC"/>
    <w:rsid w:val="283E2079"/>
    <w:rsid w:val="284321AC"/>
    <w:rsid w:val="28445F24"/>
    <w:rsid w:val="28467821"/>
    <w:rsid w:val="28537F15"/>
    <w:rsid w:val="28551EE0"/>
    <w:rsid w:val="285919D0"/>
    <w:rsid w:val="285C7D55"/>
    <w:rsid w:val="286839C1"/>
    <w:rsid w:val="286914E7"/>
    <w:rsid w:val="2869714F"/>
    <w:rsid w:val="286D3F67"/>
    <w:rsid w:val="286E6AFD"/>
    <w:rsid w:val="286F2FA1"/>
    <w:rsid w:val="28722A91"/>
    <w:rsid w:val="287A1946"/>
    <w:rsid w:val="287C121A"/>
    <w:rsid w:val="287C43C9"/>
    <w:rsid w:val="287E7EE5"/>
    <w:rsid w:val="288051AE"/>
    <w:rsid w:val="28814A83"/>
    <w:rsid w:val="288325A9"/>
    <w:rsid w:val="28887BBF"/>
    <w:rsid w:val="28894FF8"/>
    <w:rsid w:val="288F53F1"/>
    <w:rsid w:val="289742A6"/>
    <w:rsid w:val="28986D80"/>
    <w:rsid w:val="28996270"/>
    <w:rsid w:val="289A7A55"/>
    <w:rsid w:val="289C497A"/>
    <w:rsid w:val="289C7B0E"/>
    <w:rsid w:val="28A11942"/>
    <w:rsid w:val="28A349F9"/>
    <w:rsid w:val="28A44C56"/>
    <w:rsid w:val="28AB1AFF"/>
    <w:rsid w:val="28AC3A70"/>
    <w:rsid w:val="28AC5FA3"/>
    <w:rsid w:val="28B210E0"/>
    <w:rsid w:val="28B72033"/>
    <w:rsid w:val="28BA7F95"/>
    <w:rsid w:val="28BE7A85"/>
    <w:rsid w:val="28C22AF5"/>
    <w:rsid w:val="28C469E4"/>
    <w:rsid w:val="28C80903"/>
    <w:rsid w:val="28CA467C"/>
    <w:rsid w:val="28CA642A"/>
    <w:rsid w:val="28CC03F4"/>
    <w:rsid w:val="28CD696D"/>
    <w:rsid w:val="28D01566"/>
    <w:rsid w:val="28D21782"/>
    <w:rsid w:val="28D375FC"/>
    <w:rsid w:val="28D9041B"/>
    <w:rsid w:val="28DA492B"/>
    <w:rsid w:val="28DB2DFB"/>
    <w:rsid w:val="28DC3F21"/>
    <w:rsid w:val="28DC43AF"/>
    <w:rsid w:val="28DE4E29"/>
    <w:rsid w:val="28E05C4D"/>
    <w:rsid w:val="28E219C5"/>
    <w:rsid w:val="28EB4FF4"/>
    <w:rsid w:val="28ED3EC6"/>
    <w:rsid w:val="28F9286B"/>
    <w:rsid w:val="28F95878"/>
    <w:rsid w:val="28FE4D09"/>
    <w:rsid w:val="29080D00"/>
    <w:rsid w:val="29097517"/>
    <w:rsid w:val="290A4A78"/>
    <w:rsid w:val="290D4568"/>
    <w:rsid w:val="2913316F"/>
    <w:rsid w:val="29143B49"/>
    <w:rsid w:val="291B6C85"/>
    <w:rsid w:val="291E0523"/>
    <w:rsid w:val="291E6775"/>
    <w:rsid w:val="29206EB8"/>
    <w:rsid w:val="292213BF"/>
    <w:rsid w:val="292362B4"/>
    <w:rsid w:val="29242073"/>
    <w:rsid w:val="29253EF7"/>
    <w:rsid w:val="292A7A44"/>
    <w:rsid w:val="292D0766"/>
    <w:rsid w:val="29332221"/>
    <w:rsid w:val="29363ABF"/>
    <w:rsid w:val="2938125A"/>
    <w:rsid w:val="293B10D5"/>
    <w:rsid w:val="293B2135"/>
    <w:rsid w:val="293D4E4D"/>
    <w:rsid w:val="2940049A"/>
    <w:rsid w:val="29404B83"/>
    <w:rsid w:val="294361DC"/>
    <w:rsid w:val="29450BC1"/>
    <w:rsid w:val="294B5A99"/>
    <w:rsid w:val="294E0E09"/>
    <w:rsid w:val="294F2C10"/>
    <w:rsid w:val="29521CEB"/>
    <w:rsid w:val="29560760"/>
    <w:rsid w:val="29564161"/>
    <w:rsid w:val="29581C87"/>
    <w:rsid w:val="29595666"/>
    <w:rsid w:val="295959FF"/>
    <w:rsid w:val="295977AD"/>
    <w:rsid w:val="295B3526"/>
    <w:rsid w:val="296F5223"/>
    <w:rsid w:val="296F5ED9"/>
    <w:rsid w:val="2973261D"/>
    <w:rsid w:val="297671DC"/>
    <w:rsid w:val="297D349C"/>
    <w:rsid w:val="297D524A"/>
    <w:rsid w:val="298011DE"/>
    <w:rsid w:val="29824F56"/>
    <w:rsid w:val="29826D04"/>
    <w:rsid w:val="298365D8"/>
    <w:rsid w:val="29874881"/>
    <w:rsid w:val="29882F9E"/>
    <w:rsid w:val="29891E41"/>
    <w:rsid w:val="298962E5"/>
    <w:rsid w:val="29903BEE"/>
    <w:rsid w:val="299802D6"/>
    <w:rsid w:val="299A22A0"/>
    <w:rsid w:val="299D58EC"/>
    <w:rsid w:val="299F1664"/>
    <w:rsid w:val="29A21154"/>
    <w:rsid w:val="29A51AB9"/>
    <w:rsid w:val="29A51F1F"/>
    <w:rsid w:val="29A547A1"/>
    <w:rsid w:val="29B449E4"/>
    <w:rsid w:val="29B457DB"/>
    <w:rsid w:val="29B6075C"/>
    <w:rsid w:val="29B761F4"/>
    <w:rsid w:val="29B82726"/>
    <w:rsid w:val="29BB3FC4"/>
    <w:rsid w:val="29C279C5"/>
    <w:rsid w:val="29CB06AB"/>
    <w:rsid w:val="29CD1076"/>
    <w:rsid w:val="29CD2F46"/>
    <w:rsid w:val="29CE3CF8"/>
    <w:rsid w:val="29D05CC2"/>
    <w:rsid w:val="29D07A70"/>
    <w:rsid w:val="29D15596"/>
    <w:rsid w:val="29D701ED"/>
    <w:rsid w:val="29DB4666"/>
    <w:rsid w:val="29E22B8D"/>
    <w:rsid w:val="29E325E0"/>
    <w:rsid w:val="29E4051F"/>
    <w:rsid w:val="29E51041"/>
    <w:rsid w:val="29EC132F"/>
    <w:rsid w:val="29EE439A"/>
    <w:rsid w:val="29EE6148"/>
    <w:rsid w:val="29F00112"/>
    <w:rsid w:val="29F01EC0"/>
    <w:rsid w:val="29F15C38"/>
    <w:rsid w:val="29F93844"/>
    <w:rsid w:val="29FB2613"/>
    <w:rsid w:val="2A063176"/>
    <w:rsid w:val="2A071261"/>
    <w:rsid w:val="2A0E1B30"/>
    <w:rsid w:val="2A1060BE"/>
    <w:rsid w:val="2A1F4553"/>
    <w:rsid w:val="2A2E2822"/>
    <w:rsid w:val="2A377AEF"/>
    <w:rsid w:val="2A3C3357"/>
    <w:rsid w:val="2A406756"/>
    <w:rsid w:val="2A4346E5"/>
    <w:rsid w:val="2A452503"/>
    <w:rsid w:val="2A455F31"/>
    <w:rsid w:val="2A475858"/>
    <w:rsid w:val="2A4E7AC9"/>
    <w:rsid w:val="2A531160"/>
    <w:rsid w:val="2A566E5D"/>
    <w:rsid w:val="2A5734B2"/>
    <w:rsid w:val="2A587A65"/>
    <w:rsid w:val="2A5C2F1E"/>
    <w:rsid w:val="2A6308E4"/>
    <w:rsid w:val="2A663F30"/>
    <w:rsid w:val="2A697EC4"/>
    <w:rsid w:val="2A73664D"/>
    <w:rsid w:val="2A757056"/>
    <w:rsid w:val="2A7A6258"/>
    <w:rsid w:val="2A810D6A"/>
    <w:rsid w:val="2A81612B"/>
    <w:rsid w:val="2A8B3997"/>
    <w:rsid w:val="2A922F77"/>
    <w:rsid w:val="2A932E09"/>
    <w:rsid w:val="2A994305"/>
    <w:rsid w:val="2A9C2048"/>
    <w:rsid w:val="2A9D36CA"/>
    <w:rsid w:val="2A9D41C3"/>
    <w:rsid w:val="2AA1557D"/>
    <w:rsid w:val="2AA50EFC"/>
    <w:rsid w:val="2AA52955"/>
    <w:rsid w:val="2AA66A22"/>
    <w:rsid w:val="2AA8279A"/>
    <w:rsid w:val="2AAB5DE7"/>
    <w:rsid w:val="2AAD6003"/>
    <w:rsid w:val="2AAE265D"/>
    <w:rsid w:val="2AAF31A7"/>
    <w:rsid w:val="2AB4113F"/>
    <w:rsid w:val="2AB54EB7"/>
    <w:rsid w:val="2AB96756"/>
    <w:rsid w:val="2ABA24CE"/>
    <w:rsid w:val="2AC1385C"/>
    <w:rsid w:val="2AC60E73"/>
    <w:rsid w:val="2AC6485E"/>
    <w:rsid w:val="2ACD02F1"/>
    <w:rsid w:val="2AD27817"/>
    <w:rsid w:val="2AD51070"/>
    <w:rsid w:val="2AD92954"/>
    <w:rsid w:val="2ADC2444"/>
    <w:rsid w:val="2AE144DD"/>
    <w:rsid w:val="2AE61515"/>
    <w:rsid w:val="2AE91872"/>
    <w:rsid w:val="2AE9690F"/>
    <w:rsid w:val="2AEA324F"/>
    <w:rsid w:val="2AEF3F25"/>
    <w:rsid w:val="2AF43C32"/>
    <w:rsid w:val="2AF61758"/>
    <w:rsid w:val="2AF7102C"/>
    <w:rsid w:val="2AFA28CA"/>
    <w:rsid w:val="2B030FB6"/>
    <w:rsid w:val="2B0B2D29"/>
    <w:rsid w:val="2B0D4CF3"/>
    <w:rsid w:val="2B141BDE"/>
    <w:rsid w:val="2B1428E5"/>
    <w:rsid w:val="2B1517CD"/>
    <w:rsid w:val="2B161BD2"/>
    <w:rsid w:val="2B165956"/>
    <w:rsid w:val="2B177920"/>
    <w:rsid w:val="2B1B11BE"/>
    <w:rsid w:val="2B1C4F36"/>
    <w:rsid w:val="2B204A27"/>
    <w:rsid w:val="2B2142FB"/>
    <w:rsid w:val="2B322BEE"/>
    <w:rsid w:val="2B365FF8"/>
    <w:rsid w:val="2B373B1E"/>
    <w:rsid w:val="2B394F4E"/>
    <w:rsid w:val="2B395AE8"/>
    <w:rsid w:val="2B3C2072"/>
    <w:rsid w:val="2B3C3BE4"/>
    <w:rsid w:val="2B41036D"/>
    <w:rsid w:val="2B415343"/>
    <w:rsid w:val="2B481888"/>
    <w:rsid w:val="2B4E1E06"/>
    <w:rsid w:val="2B5446D0"/>
    <w:rsid w:val="2B5A33D9"/>
    <w:rsid w:val="2B5B5A5F"/>
    <w:rsid w:val="2B6B4E3F"/>
    <w:rsid w:val="2B6C1A1A"/>
    <w:rsid w:val="2B6C7C6C"/>
    <w:rsid w:val="2B6E5792"/>
    <w:rsid w:val="2B6F32B8"/>
    <w:rsid w:val="2B70165D"/>
    <w:rsid w:val="2B743D36"/>
    <w:rsid w:val="2B746B21"/>
    <w:rsid w:val="2B77216D"/>
    <w:rsid w:val="2B786611"/>
    <w:rsid w:val="2B7920E9"/>
    <w:rsid w:val="2B7D203A"/>
    <w:rsid w:val="2B7D7783"/>
    <w:rsid w:val="2B7E28BD"/>
    <w:rsid w:val="2B88437A"/>
    <w:rsid w:val="2B8855E7"/>
    <w:rsid w:val="2B8C79C6"/>
    <w:rsid w:val="2B8E4219"/>
    <w:rsid w:val="2B911481"/>
    <w:rsid w:val="2B91322F"/>
    <w:rsid w:val="2B940F71"/>
    <w:rsid w:val="2B964CE9"/>
    <w:rsid w:val="2B980A61"/>
    <w:rsid w:val="2B983E5B"/>
    <w:rsid w:val="2BA63487"/>
    <w:rsid w:val="2BA936A8"/>
    <w:rsid w:val="2BAA42F0"/>
    <w:rsid w:val="2BAC7B3A"/>
    <w:rsid w:val="2BAF7B59"/>
    <w:rsid w:val="2BB138D1"/>
    <w:rsid w:val="2BB313F7"/>
    <w:rsid w:val="2BB60EE7"/>
    <w:rsid w:val="2BBB474F"/>
    <w:rsid w:val="2BC45765"/>
    <w:rsid w:val="2BC52ED8"/>
    <w:rsid w:val="2BCC24B9"/>
    <w:rsid w:val="2BCC4267"/>
    <w:rsid w:val="2BCE7FDF"/>
    <w:rsid w:val="2BCF4B74"/>
    <w:rsid w:val="2BD203FE"/>
    <w:rsid w:val="2BD37501"/>
    <w:rsid w:val="2BD650E5"/>
    <w:rsid w:val="2BD77ACC"/>
    <w:rsid w:val="2BDB094E"/>
    <w:rsid w:val="2BDC5A69"/>
    <w:rsid w:val="2BE315B0"/>
    <w:rsid w:val="2BE45A54"/>
    <w:rsid w:val="2BE538ED"/>
    <w:rsid w:val="2BE9306B"/>
    <w:rsid w:val="2BEC3741"/>
    <w:rsid w:val="2BED6A56"/>
    <w:rsid w:val="2BEF4D47"/>
    <w:rsid w:val="2BF10171"/>
    <w:rsid w:val="2BFF463C"/>
    <w:rsid w:val="2C0003B4"/>
    <w:rsid w:val="2C043A01"/>
    <w:rsid w:val="2C0900E6"/>
    <w:rsid w:val="2C0952B5"/>
    <w:rsid w:val="2C104D19"/>
    <w:rsid w:val="2C1635C8"/>
    <w:rsid w:val="2C167BD8"/>
    <w:rsid w:val="2C1B6F9C"/>
    <w:rsid w:val="2C2220D9"/>
    <w:rsid w:val="2C22352A"/>
    <w:rsid w:val="2C271DE5"/>
    <w:rsid w:val="2C2D606D"/>
    <w:rsid w:val="2C302A48"/>
    <w:rsid w:val="2C315A5A"/>
    <w:rsid w:val="2C340A76"/>
    <w:rsid w:val="2C3863FA"/>
    <w:rsid w:val="2C4209CD"/>
    <w:rsid w:val="2C424529"/>
    <w:rsid w:val="2C491D5B"/>
    <w:rsid w:val="2C4B0854"/>
    <w:rsid w:val="2C4B1C25"/>
    <w:rsid w:val="2C4B5AD3"/>
    <w:rsid w:val="2C4C5671"/>
    <w:rsid w:val="2C4E7372"/>
    <w:rsid w:val="2C534988"/>
    <w:rsid w:val="2C536736"/>
    <w:rsid w:val="2C5524AE"/>
    <w:rsid w:val="2C5541D9"/>
    <w:rsid w:val="2C565BF0"/>
    <w:rsid w:val="2C5A1105"/>
    <w:rsid w:val="2C5C383D"/>
    <w:rsid w:val="2C60709C"/>
    <w:rsid w:val="2C6170A5"/>
    <w:rsid w:val="2C6A4325"/>
    <w:rsid w:val="2C6E3570"/>
    <w:rsid w:val="2C70392E"/>
    <w:rsid w:val="2C7212B2"/>
    <w:rsid w:val="2C7566AC"/>
    <w:rsid w:val="2C7843EE"/>
    <w:rsid w:val="2C797F91"/>
    <w:rsid w:val="2C7E7C57"/>
    <w:rsid w:val="2C7F56C9"/>
    <w:rsid w:val="2C8132A3"/>
    <w:rsid w:val="2C866B0B"/>
    <w:rsid w:val="2C8D7985"/>
    <w:rsid w:val="2C8E5424"/>
    <w:rsid w:val="2C8E776E"/>
    <w:rsid w:val="2C90798A"/>
    <w:rsid w:val="2C950AFD"/>
    <w:rsid w:val="2C9B7A28"/>
    <w:rsid w:val="2CA4032A"/>
    <w:rsid w:val="2CA86A82"/>
    <w:rsid w:val="2CA927FA"/>
    <w:rsid w:val="2CA945A8"/>
    <w:rsid w:val="2CAD5E46"/>
    <w:rsid w:val="2CB216AE"/>
    <w:rsid w:val="2CB2345D"/>
    <w:rsid w:val="2CB335C8"/>
    <w:rsid w:val="2CB573F1"/>
    <w:rsid w:val="2CBD0053"/>
    <w:rsid w:val="2CC66F08"/>
    <w:rsid w:val="2CC87124"/>
    <w:rsid w:val="2CD00729"/>
    <w:rsid w:val="2CD14A85"/>
    <w:rsid w:val="2CD47877"/>
    <w:rsid w:val="2CD864F9"/>
    <w:rsid w:val="2CDF7FCA"/>
    <w:rsid w:val="2CE33F5E"/>
    <w:rsid w:val="2CE46681"/>
    <w:rsid w:val="2CF03F85"/>
    <w:rsid w:val="2CF47F19"/>
    <w:rsid w:val="2CF64517"/>
    <w:rsid w:val="2CF73565"/>
    <w:rsid w:val="2CFC0B7C"/>
    <w:rsid w:val="2CFE66A2"/>
    <w:rsid w:val="2D084693"/>
    <w:rsid w:val="2D0A14EA"/>
    <w:rsid w:val="2D0D2D89"/>
    <w:rsid w:val="2D0D4B37"/>
    <w:rsid w:val="2D0E7771"/>
    <w:rsid w:val="2D1005BF"/>
    <w:rsid w:val="2D12039F"/>
    <w:rsid w:val="2D12214D"/>
    <w:rsid w:val="2D1557A0"/>
    <w:rsid w:val="2D19172E"/>
    <w:rsid w:val="2D2A393B"/>
    <w:rsid w:val="2D2F0F51"/>
    <w:rsid w:val="2D302CEA"/>
    <w:rsid w:val="2D314CC9"/>
    <w:rsid w:val="2D340315"/>
    <w:rsid w:val="2D344160"/>
    <w:rsid w:val="2D3465E1"/>
    <w:rsid w:val="2D355E3C"/>
    <w:rsid w:val="2D3628C4"/>
    <w:rsid w:val="2D3C366E"/>
    <w:rsid w:val="2D3E7CFB"/>
    <w:rsid w:val="2D46629B"/>
    <w:rsid w:val="2D4D3B60"/>
    <w:rsid w:val="2D561543"/>
    <w:rsid w:val="2D5664DE"/>
    <w:rsid w:val="2D5C786C"/>
    <w:rsid w:val="2D5E5392"/>
    <w:rsid w:val="2D621327"/>
    <w:rsid w:val="2D6329A9"/>
    <w:rsid w:val="2D6333A1"/>
    <w:rsid w:val="2D636006"/>
    <w:rsid w:val="2D687FBF"/>
    <w:rsid w:val="2D690CCF"/>
    <w:rsid w:val="2D691D23"/>
    <w:rsid w:val="2D6B4704"/>
    <w:rsid w:val="2D713318"/>
    <w:rsid w:val="2D7A3AF5"/>
    <w:rsid w:val="2D7B7CF2"/>
    <w:rsid w:val="2D80355B"/>
    <w:rsid w:val="2D816D41"/>
    <w:rsid w:val="2D88240F"/>
    <w:rsid w:val="2D9214E0"/>
    <w:rsid w:val="2D92328E"/>
    <w:rsid w:val="2D945258"/>
    <w:rsid w:val="2D960FD0"/>
    <w:rsid w:val="2D99286E"/>
    <w:rsid w:val="2D9B2143"/>
    <w:rsid w:val="2D9D235F"/>
    <w:rsid w:val="2D9D410D"/>
    <w:rsid w:val="2D9E56F5"/>
    <w:rsid w:val="2D9E66A8"/>
    <w:rsid w:val="2D9F1BA0"/>
    <w:rsid w:val="2DA51213"/>
    <w:rsid w:val="2DA84860"/>
    <w:rsid w:val="2DAA4A7C"/>
    <w:rsid w:val="2DAA682A"/>
    <w:rsid w:val="2DAE12C2"/>
    <w:rsid w:val="2DB35ED0"/>
    <w:rsid w:val="2DBB0A37"/>
    <w:rsid w:val="2DC0604D"/>
    <w:rsid w:val="2DC124C8"/>
    <w:rsid w:val="2DC43E7F"/>
    <w:rsid w:val="2DCB6DDE"/>
    <w:rsid w:val="2DCF0DA2"/>
    <w:rsid w:val="2DD12008"/>
    <w:rsid w:val="2DD567E6"/>
    <w:rsid w:val="2DD97B51"/>
    <w:rsid w:val="2DDB2E87"/>
    <w:rsid w:val="2DDF57D9"/>
    <w:rsid w:val="2DE0049D"/>
    <w:rsid w:val="2DE24215"/>
    <w:rsid w:val="2DE46B18"/>
    <w:rsid w:val="2DE92FC9"/>
    <w:rsid w:val="2DEC0BF0"/>
    <w:rsid w:val="2DF126AA"/>
    <w:rsid w:val="2DF12E9C"/>
    <w:rsid w:val="2DF47AA5"/>
    <w:rsid w:val="2DF86A5D"/>
    <w:rsid w:val="2DF9330D"/>
    <w:rsid w:val="2DFC1209"/>
    <w:rsid w:val="2DFD4BAB"/>
    <w:rsid w:val="2DFE0923"/>
    <w:rsid w:val="2E00644A"/>
    <w:rsid w:val="2E0423DE"/>
    <w:rsid w:val="2E0A0E72"/>
    <w:rsid w:val="2E0E0B66"/>
    <w:rsid w:val="2E0E500A"/>
    <w:rsid w:val="2E1343CF"/>
    <w:rsid w:val="2E163911"/>
    <w:rsid w:val="2E167193"/>
    <w:rsid w:val="2E1A39AF"/>
    <w:rsid w:val="2E1B251B"/>
    <w:rsid w:val="2E1B7727"/>
    <w:rsid w:val="2E1D7322"/>
    <w:rsid w:val="2E1F0FC6"/>
    <w:rsid w:val="2E24038A"/>
    <w:rsid w:val="2E2760CC"/>
    <w:rsid w:val="2E291E44"/>
    <w:rsid w:val="2E2A1718"/>
    <w:rsid w:val="2E2E2FB7"/>
    <w:rsid w:val="2E33681F"/>
    <w:rsid w:val="2E351701"/>
    <w:rsid w:val="2E351C22"/>
    <w:rsid w:val="2E36630F"/>
    <w:rsid w:val="2E372A60"/>
    <w:rsid w:val="2E3920B9"/>
    <w:rsid w:val="2E3B3926"/>
    <w:rsid w:val="2E3F51C4"/>
    <w:rsid w:val="2E41718E"/>
    <w:rsid w:val="2E440A2C"/>
    <w:rsid w:val="2E472015"/>
    <w:rsid w:val="2E474078"/>
    <w:rsid w:val="2E4A4A48"/>
    <w:rsid w:val="2E4B1DBB"/>
    <w:rsid w:val="2E536EC1"/>
    <w:rsid w:val="2E5642BC"/>
    <w:rsid w:val="2E59496A"/>
    <w:rsid w:val="2E5A3DAC"/>
    <w:rsid w:val="2E5D7936"/>
    <w:rsid w:val="2E642E7C"/>
    <w:rsid w:val="2E652F92"/>
    <w:rsid w:val="2E661843"/>
    <w:rsid w:val="2E666BF4"/>
    <w:rsid w:val="2E667F96"/>
    <w:rsid w:val="2E6B420B"/>
    <w:rsid w:val="2E6E575F"/>
    <w:rsid w:val="2E6E74F1"/>
    <w:rsid w:val="2E7035CF"/>
    <w:rsid w:val="2E725599"/>
    <w:rsid w:val="2E7C6373"/>
    <w:rsid w:val="2E8226AB"/>
    <w:rsid w:val="2E825AD2"/>
    <w:rsid w:val="2E884DBD"/>
    <w:rsid w:val="2E8C5F2F"/>
    <w:rsid w:val="2E905A1F"/>
    <w:rsid w:val="2E913546"/>
    <w:rsid w:val="2E933762"/>
    <w:rsid w:val="2E9372BE"/>
    <w:rsid w:val="2E9F2F97"/>
    <w:rsid w:val="2EA43279"/>
    <w:rsid w:val="2EA66FF1"/>
    <w:rsid w:val="2EA9088F"/>
    <w:rsid w:val="2EAB3743"/>
    <w:rsid w:val="2EAD4823"/>
    <w:rsid w:val="2EAD65D1"/>
    <w:rsid w:val="2EAE40F8"/>
    <w:rsid w:val="2EB1369B"/>
    <w:rsid w:val="2EB84F76"/>
    <w:rsid w:val="2EBE0959"/>
    <w:rsid w:val="2EC27BA3"/>
    <w:rsid w:val="2EC648FE"/>
    <w:rsid w:val="2EC90F31"/>
    <w:rsid w:val="2EC97634"/>
    <w:rsid w:val="2ECD0A22"/>
    <w:rsid w:val="2ECE02F6"/>
    <w:rsid w:val="2ECE479A"/>
    <w:rsid w:val="2ED43748"/>
    <w:rsid w:val="2EE14449"/>
    <w:rsid w:val="2EE1627B"/>
    <w:rsid w:val="2EE83FFA"/>
    <w:rsid w:val="2EE87609"/>
    <w:rsid w:val="2EEE2746"/>
    <w:rsid w:val="2EEF6BEA"/>
    <w:rsid w:val="2EF07FD9"/>
    <w:rsid w:val="2EF53AD4"/>
    <w:rsid w:val="2EF75A9F"/>
    <w:rsid w:val="2EF7784D"/>
    <w:rsid w:val="2F043068"/>
    <w:rsid w:val="2F044E5F"/>
    <w:rsid w:val="2F065CE2"/>
    <w:rsid w:val="2F083808"/>
    <w:rsid w:val="2F087CAC"/>
    <w:rsid w:val="2F0B32F8"/>
    <w:rsid w:val="2F0F103A"/>
    <w:rsid w:val="2F1228D8"/>
    <w:rsid w:val="2F1C1962"/>
    <w:rsid w:val="2F1C7B6E"/>
    <w:rsid w:val="2F1E5FD5"/>
    <w:rsid w:val="2F224853"/>
    <w:rsid w:val="2F2257D4"/>
    <w:rsid w:val="2F2D07B2"/>
    <w:rsid w:val="2F2D7712"/>
    <w:rsid w:val="2F324D29"/>
    <w:rsid w:val="2F387745"/>
    <w:rsid w:val="2F3939B4"/>
    <w:rsid w:val="2F3E56A0"/>
    <w:rsid w:val="2F4131BE"/>
    <w:rsid w:val="2F430CE4"/>
    <w:rsid w:val="2F436F36"/>
    <w:rsid w:val="2F4D1B62"/>
    <w:rsid w:val="2F503918"/>
    <w:rsid w:val="2F522CD5"/>
    <w:rsid w:val="2F5A02CD"/>
    <w:rsid w:val="2F5A16DE"/>
    <w:rsid w:val="2F5E78CC"/>
    <w:rsid w:val="2F6243A8"/>
    <w:rsid w:val="2F690B8B"/>
    <w:rsid w:val="2F6E0FBC"/>
    <w:rsid w:val="2F7215C9"/>
    <w:rsid w:val="2F73601B"/>
    <w:rsid w:val="2F745341"/>
    <w:rsid w:val="2F754C15"/>
    <w:rsid w:val="2F776BDF"/>
    <w:rsid w:val="2F7964B4"/>
    <w:rsid w:val="2F7A0ED5"/>
    <w:rsid w:val="2F7B047E"/>
    <w:rsid w:val="2F7E1D1C"/>
    <w:rsid w:val="2F8512FC"/>
    <w:rsid w:val="2F8530AA"/>
    <w:rsid w:val="2F870466"/>
    <w:rsid w:val="2F875074"/>
    <w:rsid w:val="2F8D1F5F"/>
    <w:rsid w:val="2F9037FD"/>
    <w:rsid w:val="2F94153F"/>
    <w:rsid w:val="2F967065"/>
    <w:rsid w:val="2F994A6D"/>
    <w:rsid w:val="2FA103F5"/>
    <w:rsid w:val="2FA13583"/>
    <w:rsid w:val="2FA71273"/>
    <w:rsid w:val="2FAC6889"/>
    <w:rsid w:val="2FAD694E"/>
    <w:rsid w:val="2FB4573E"/>
    <w:rsid w:val="2FB614B6"/>
    <w:rsid w:val="2FBB7B31"/>
    <w:rsid w:val="2FBD0A96"/>
    <w:rsid w:val="2FBE4C84"/>
    <w:rsid w:val="2FC31E25"/>
    <w:rsid w:val="2FC736C3"/>
    <w:rsid w:val="2FC8743B"/>
    <w:rsid w:val="2FCF2577"/>
    <w:rsid w:val="2FD04AFC"/>
    <w:rsid w:val="2FD065E6"/>
    <w:rsid w:val="2FD656B4"/>
    <w:rsid w:val="2FD951A4"/>
    <w:rsid w:val="2FD96870"/>
    <w:rsid w:val="2FDA2DB1"/>
    <w:rsid w:val="2FDA5341"/>
    <w:rsid w:val="2FE31A87"/>
    <w:rsid w:val="2FE75B13"/>
    <w:rsid w:val="2FE977B3"/>
    <w:rsid w:val="2FEA1CB7"/>
    <w:rsid w:val="2FF26266"/>
    <w:rsid w:val="2FF65D56"/>
    <w:rsid w:val="2FF67B04"/>
    <w:rsid w:val="2FF975F4"/>
    <w:rsid w:val="2FFF7EF3"/>
    <w:rsid w:val="30071119"/>
    <w:rsid w:val="300930AE"/>
    <w:rsid w:val="300C37CC"/>
    <w:rsid w:val="300C557A"/>
    <w:rsid w:val="3015101D"/>
    <w:rsid w:val="301601A6"/>
    <w:rsid w:val="301937F3"/>
    <w:rsid w:val="301B57BD"/>
    <w:rsid w:val="302A1EA4"/>
    <w:rsid w:val="30313232"/>
    <w:rsid w:val="303F594F"/>
    <w:rsid w:val="30403EC1"/>
    <w:rsid w:val="30444D13"/>
    <w:rsid w:val="304F36B8"/>
    <w:rsid w:val="304F5466"/>
    <w:rsid w:val="30510579"/>
    <w:rsid w:val="30562C99"/>
    <w:rsid w:val="305807BF"/>
    <w:rsid w:val="30580BC9"/>
    <w:rsid w:val="305B205D"/>
    <w:rsid w:val="305C236B"/>
    <w:rsid w:val="305C2BB0"/>
    <w:rsid w:val="305D4027"/>
    <w:rsid w:val="30647164"/>
    <w:rsid w:val="306A0F4A"/>
    <w:rsid w:val="306B04F2"/>
    <w:rsid w:val="306B46F8"/>
    <w:rsid w:val="30721CE3"/>
    <w:rsid w:val="307355F9"/>
    <w:rsid w:val="30782C0F"/>
    <w:rsid w:val="307849BD"/>
    <w:rsid w:val="30797C15"/>
    <w:rsid w:val="307A4666"/>
    <w:rsid w:val="307A6987"/>
    <w:rsid w:val="307F5D4C"/>
    <w:rsid w:val="30803872"/>
    <w:rsid w:val="3082583C"/>
    <w:rsid w:val="30847806"/>
    <w:rsid w:val="30870E19"/>
    <w:rsid w:val="308710A4"/>
    <w:rsid w:val="30890978"/>
    <w:rsid w:val="30891124"/>
    <w:rsid w:val="30907F59"/>
    <w:rsid w:val="30913CD1"/>
    <w:rsid w:val="309761B9"/>
    <w:rsid w:val="309A3FE2"/>
    <w:rsid w:val="309D14D3"/>
    <w:rsid w:val="309F3DF3"/>
    <w:rsid w:val="30A752A2"/>
    <w:rsid w:val="30AE4883"/>
    <w:rsid w:val="30B04157"/>
    <w:rsid w:val="30B17ECF"/>
    <w:rsid w:val="30B359F5"/>
    <w:rsid w:val="30B5176D"/>
    <w:rsid w:val="30B73737"/>
    <w:rsid w:val="30BC4B7C"/>
    <w:rsid w:val="30BF439A"/>
    <w:rsid w:val="30C0743E"/>
    <w:rsid w:val="30C145B6"/>
    <w:rsid w:val="30C15C2C"/>
    <w:rsid w:val="30C419B0"/>
    <w:rsid w:val="30C74EC9"/>
    <w:rsid w:val="30D0646D"/>
    <w:rsid w:val="30D20571"/>
    <w:rsid w:val="30D2349F"/>
    <w:rsid w:val="30D342E9"/>
    <w:rsid w:val="30D75B88"/>
    <w:rsid w:val="30D94C8F"/>
    <w:rsid w:val="30DA3626"/>
    <w:rsid w:val="30DB023F"/>
    <w:rsid w:val="30DD0CC4"/>
    <w:rsid w:val="30DD5A2C"/>
    <w:rsid w:val="30E06EEF"/>
    <w:rsid w:val="30E87D1B"/>
    <w:rsid w:val="30F009F7"/>
    <w:rsid w:val="30F2476F"/>
    <w:rsid w:val="30F3371F"/>
    <w:rsid w:val="30F67B9A"/>
    <w:rsid w:val="30FE1366"/>
    <w:rsid w:val="31091BCD"/>
    <w:rsid w:val="310B75DF"/>
    <w:rsid w:val="311B2A6A"/>
    <w:rsid w:val="311C2969"/>
    <w:rsid w:val="311C359A"/>
    <w:rsid w:val="311E2ED7"/>
    <w:rsid w:val="311E37B6"/>
    <w:rsid w:val="311F12DD"/>
    <w:rsid w:val="311F308B"/>
    <w:rsid w:val="31274127"/>
    <w:rsid w:val="312D1D5D"/>
    <w:rsid w:val="312E32CE"/>
    <w:rsid w:val="31335748"/>
    <w:rsid w:val="313929E3"/>
    <w:rsid w:val="313B4368"/>
    <w:rsid w:val="313D4875"/>
    <w:rsid w:val="31413001"/>
    <w:rsid w:val="31440D1D"/>
    <w:rsid w:val="314B3E80"/>
    <w:rsid w:val="314D7BF8"/>
    <w:rsid w:val="314F4ECA"/>
    <w:rsid w:val="31500118"/>
    <w:rsid w:val="315327C3"/>
    <w:rsid w:val="315619EE"/>
    <w:rsid w:val="315862E3"/>
    <w:rsid w:val="315C449C"/>
    <w:rsid w:val="315C644B"/>
    <w:rsid w:val="3164658E"/>
    <w:rsid w:val="316A07AA"/>
    <w:rsid w:val="317243A2"/>
    <w:rsid w:val="31741628"/>
    <w:rsid w:val="31750EFD"/>
    <w:rsid w:val="31772EC7"/>
    <w:rsid w:val="3179279B"/>
    <w:rsid w:val="317C04DD"/>
    <w:rsid w:val="31807FCD"/>
    <w:rsid w:val="3183186B"/>
    <w:rsid w:val="31845781"/>
    <w:rsid w:val="31864EB8"/>
    <w:rsid w:val="318850D4"/>
    <w:rsid w:val="31886E82"/>
    <w:rsid w:val="31896E18"/>
    <w:rsid w:val="318C4BC4"/>
    <w:rsid w:val="318D26EA"/>
    <w:rsid w:val="318F1FBE"/>
    <w:rsid w:val="31905D36"/>
    <w:rsid w:val="31937418"/>
    <w:rsid w:val="31975317"/>
    <w:rsid w:val="31993C82"/>
    <w:rsid w:val="31994BEB"/>
    <w:rsid w:val="319C46DB"/>
    <w:rsid w:val="31AA504A"/>
    <w:rsid w:val="31AC08A7"/>
    <w:rsid w:val="31AE793C"/>
    <w:rsid w:val="31B349CA"/>
    <w:rsid w:val="31B82709"/>
    <w:rsid w:val="31B947B6"/>
    <w:rsid w:val="31BB1CA7"/>
    <w:rsid w:val="31C0486E"/>
    <w:rsid w:val="31C53C32"/>
    <w:rsid w:val="31CC4FC0"/>
    <w:rsid w:val="31D05482"/>
    <w:rsid w:val="31D1599B"/>
    <w:rsid w:val="31DE1A0B"/>
    <w:rsid w:val="31E0281A"/>
    <w:rsid w:val="31E340B8"/>
    <w:rsid w:val="31EA3699"/>
    <w:rsid w:val="31EA5447"/>
    <w:rsid w:val="31EA7C43"/>
    <w:rsid w:val="31F44517"/>
    <w:rsid w:val="31FB58A6"/>
    <w:rsid w:val="31FE0EF2"/>
    <w:rsid w:val="320133D0"/>
    <w:rsid w:val="32032617"/>
    <w:rsid w:val="320D55D9"/>
    <w:rsid w:val="320D7387"/>
    <w:rsid w:val="32116E77"/>
    <w:rsid w:val="32146967"/>
    <w:rsid w:val="321921D0"/>
    <w:rsid w:val="321A21C3"/>
    <w:rsid w:val="321B1AA4"/>
    <w:rsid w:val="321D581C"/>
    <w:rsid w:val="321E3342"/>
    <w:rsid w:val="32222CAF"/>
    <w:rsid w:val="32222E32"/>
    <w:rsid w:val="32242955"/>
    <w:rsid w:val="32270449"/>
    <w:rsid w:val="322A7F39"/>
    <w:rsid w:val="322E7A29"/>
    <w:rsid w:val="322F72FD"/>
    <w:rsid w:val="323112C7"/>
    <w:rsid w:val="3236068C"/>
    <w:rsid w:val="323668DE"/>
    <w:rsid w:val="323808A8"/>
    <w:rsid w:val="3239599B"/>
    <w:rsid w:val="323C7A62"/>
    <w:rsid w:val="32400B34"/>
    <w:rsid w:val="3240775C"/>
    <w:rsid w:val="32430FFB"/>
    <w:rsid w:val="324A05DB"/>
    <w:rsid w:val="324C2981"/>
    <w:rsid w:val="32537490"/>
    <w:rsid w:val="32566F80"/>
    <w:rsid w:val="325B6344"/>
    <w:rsid w:val="325E7BE3"/>
    <w:rsid w:val="32625925"/>
    <w:rsid w:val="326351F9"/>
    <w:rsid w:val="32676A97"/>
    <w:rsid w:val="326A6587"/>
    <w:rsid w:val="326E5D1B"/>
    <w:rsid w:val="327318E0"/>
    <w:rsid w:val="3273368E"/>
    <w:rsid w:val="32755658"/>
    <w:rsid w:val="327B0795"/>
    <w:rsid w:val="3282335B"/>
    <w:rsid w:val="32824C26"/>
    <w:rsid w:val="32843AED"/>
    <w:rsid w:val="32843C93"/>
    <w:rsid w:val="3284589B"/>
    <w:rsid w:val="328A6C2A"/>
    <w:rsid w:val="32951856"/>
    <w:rsid w:val="32957AA8"/>
    <w:rsid w:val="329B2BE5"/>
    <w:rsid w:val="329E4F5D"/>
    <w:rsid w:val="329E6876"/>
    <w:rsid w:val="329F26D5"/>
    <w:rsid w:val="32A221C5"/>
    <w:rsid w:val="32A23F73"/>
    <w:rsid w:val="32A25D21"/>
    <w:rsid w:val="32A45F3D"/>
    <w:rsid w:val="32A7158A"/>
    <w:rsid w:val="32A777DC"/>
    <w:rsid w:val="32AC3044"/>
    <w:rsid w:val="32B20603"/>
    <w:rsid w:val="32BA12BD"/>
    <w:rsid w:val="32BF4419"/>
    <w:rsid w:val="32C24615"/>
    <w:rsid w:val="32C57C62"/>
    <w:rsid w:val="32CB171C"/>
    <w:rsid w:val="32CC48E2"/>
    <w:rsid w:val="32CC60DF"/>
    <w:rsid w:val="32CD6857"/>
    <w:rsid w:val="32CE7618"/>
    <w:rsid w:val="32CF3C2F"/>
    <w:rsid w:val="32D305D1"/>
    <w:rsid w:val="32D82802"/>
    <w:rsid w:val="32DB5F38"/>
    <w:rsid w:val="32DC55BA"/>
    <w:rsid w:val="32E75E2A"/>
    <w:rsid w:val="32EB3B6C"/>
    <w:rsid w:val="32EC3440"/>
    <w:rsid w:val="32EF34A0"/>
    <w:rsid w:val="32F04CDF"/>
    <w:rsid w:val="32F6606D"/>
    <w:rsid w:val="32FA790B"/>
    <w:rsid w:val="32FD7C6E"/>
    <w:rsid w:val="33022C64"/>
    <w:rsid w:val="33025375"/>
    <w:rsid w:val="33062754"/>
    <w:rsid w:val="33093FF2"/>
    <w:rsid w:val="330A50FD"/>
    <w:rsid w:val="330B7C14"/>
    <w:rsid w:val="330E6522"/>
    <w:rsid w:val="331035D3"/>
    <w:rsid w:val="331737B8"/>
    <w:rsid w:val="331C1F78"/>
    <w:rsid w:val="331C3D26"/>
    <w:rsid w:val="331D184C"/>
    <w:rsid w:val="331F55C4"/>
    <w:rsid w:val="331F7372"/>
    <w:rsid w:val="3321545F"/>
    <w:rsid w:val="3324727F"/>
    <w:rsid w:val="33274478"/>
    <w:rsid w:val="332B57A9"/>
    <w:rsid w:val="332D7CE1"/>
    <w:rsid w:val="333015F2"/>
    <w:rsid w:val="333077D1"/>
    <w:rsid w:val="33353887"/>
    <w:rsid w:val="333C17DF"/>
    <w:rsid w:val="333D5A4A"/>
    <w:rsid w:val="333F7A14"/>
    <w:rsid w:val="33435756"/>
    <w:rsid w:val="3344327C"/>
    <w:rsid w:val="33456A52"/>
    <w:rsid w:val="334B5EC7"/>
    <w:rsid w:val="334B6320"/>
    <w:rsid w:val="33501C21"/>
    <w:rsid w:val="33553DC7"/>
    <w:rsid w:val="3355548A"/>
    <w:rsid w:val="33566B1D"/>
    <w:rsid w:val="335C58B4"/>
    <w:rsid w:val="336143E6"/>
    <w:rsid w:val="33645A78"/>
    <w:rsid w:val="336631F3"/>
    <w:rsid w:val="33680D19"/>
    <w:rsid w:val="337116EC"/>
    <w:rsid w:val="33745910"/>
    <w:rsid w:val="337771AE"/>
    <w:rsid w:val="33863895"/>
    <w:rsid w:val="33890C8F"/>
    <w:rsid w:val="3392223A"/>
    <w:rsid w:val="33923FE8"/>
    <w:rsid w:val="33947D60"/>
    <w:rsid w:val="33977850"/>
    <w:rsid w:val="339E473B"/>
    <w:rsid w:val="33A1422B"/>
    <w:rsid w:val="33A61841"/>
    <w:rsid w:val="33A65CE5"/>
    <w:rsid w:val="33AB5282"/>
    <w:rsid w:val="33B00CB4"/>
    <w:rsid w:val="33B26438"/>
    <w:rsid w:val="33B4018B"/>
    <w:rsid w:val="33C341A1"/>
    <w:rsid w:val="33C543BD"/>
    <w:rsid w:val="33C85C5B"/>
    <w:rsid w:val="33CA276E"/>
    <w:rsid w:val="33D30B5A"/>
    <w:rsid w:val="33D3760F"/>
    <w:rsid w:val="33D463AE"/>
    <w:rsid w:val="33D556E6"/>
    <w:rsid w:val="33D934D4"/>
    <w:rsid w:val="33DB773D"/>
    <w:rsid w:val="33DE722D"/>
    <w:rsid w:val="33E55E8F"/>
    <w:rsid w:val="33E5680D"/>
    <w:rsid w:val="33E829AE"/>
    <w:rsid w:val="33F20F2A"/>
    <w:rsid w:val="33F3569D"/>
    <w:rsid w:val="33FB1B8D"/>
    <w:rsid w:val="33FE2F6A"/>
    <w:rsid w:val="33FE78CF"/>
    <w:rsid w:val="340071A3"/>
    <w:rsid w:val="3407590D"/>
    <w:rsid w:val="3409619C"/>
    <w:rsid w:val="340E07E5"/>
    <w:rsid w:val="340F388A"/>
    <w:rsid w:val="340F5D34"/>
    <w:rsid w:val="34125129"/>
    <w:rsid w:val="34140EA1"/>
    <w:rsid w:val="341449FD"/>
    <w:rsid w:val="341744ED"/>
    <w:rsid w:val="341E6044"/>
    <w:rsid w:val="341F1AE9"/>
    <w:rsid w:val="34210E80"/>
    <w:rsid w:val="3421711A"/>
    <w:rsid w:val="34230879"/>
    <w:rsid w:val="3423303B"/>
    <w:rsid w:val="34235BF7"/>
    <w:rsid w:val="3425052C"/>
    <w:rsid w:val="34270BD4"/>
    <w:rsid w:val="342A4220"/>
    <w:rsid w:val="342C61EA"/>
    <w:rsid w:val="34367069"/>
    <w:rsid w:val="343919A7"/>
    <w:rsid w:val="343B668D"/>
    <w:rsid w:val="343E1A7A"/>
    <w:rsid w:val="34416D41"/>
    <w:rsid w:val="34423EB7"/>
    <w:rsid w:val="34491DD2"/>
    <w:rsid w:val="34496D9C"/>
    <w:rsid w:val="344B7676"/>
    <w:rsid w:val="3454129D"/>
    <w:rsid w:val="345E211C"/>
    <w:rsid w:val="34607C42"/>
    <w:rsid w:val="3461446D"/>
    <w:rsid w:val="34627E5E"/>
    <w:rsid w:val="346516FC"/>
    <w:rsid w:val="346702DF"/>
    <w:rsid w:val="346A0AC1"/>
    <w:rsid w:val="346B3F92"/>
    <w:rsid w:val="346F7255"/>
    <w:rsid w:val="34733E19"/>
    <w:rsid w:val="34787375"/>
    <w:rsid w:val="34790D04"/>
    <w:rsid w:val="34797350"/>
    <w:rsid w:val="34831B82"/>
    <w:rsid w:val="34853B4C"/>
    <w:rsid w:val="3489363D"/>
    <w:rsid w:val="348953EB"/>
    <w:rsid w:val="348E47AF"/>
    <w:rsid w:val="3496754B"/>
    <w:rsid w:val="349A13A6"/>
    <w:rsid w:val="349B6ECC"/>
    <w:rsid w:val="349F4C0E"/>
    <w:rsid w:val="34A35D81"/>
    <w:rsid w:val="34A43FD3"/>
    <w:rsid w:val="34A83397"/>
    <w:rsid w:val="34A9783B"/>
    <w:rsid w:val="34AA67BA"/>
    <w:rsid w:val="34B34216"/>
    <w:rsid w:val="34B63D06"/>
    <w:rsid w:val="34B72631"/>
    <w:rsid w:val="34BA1786"/>
    <w:rsid w:val="34BC0FB4"/>
    <w:rsid w:val="34BE4CD3"/>
    <w:rsid w:val="34C06223"/>
    <w:rsid w:val="34C06933"/>
    <w:rsid w:val="34C401D1"/>
    <w:rsid w:val="34CF242C"/>
    <w:rsid w:val="34D16D92"/>
    <w:rsid w:val="34D643A8"/>
    <w:rsid w:val="34DB088F"/>
    <w:rsid w:val="34DD74E5"/>
    <w:rsid w:val="34E13AF4"/>
    <w:rsid w:val="34E50CCC"/>
    <w:rsid w:val="34E56399"/>
    <w:rsid w:val="34E70363"/>
    <w:rsid w:val="34E72111"/>
    <w:rsid w:val="34E73EBF"/>
    <w:rsid w:val="34EB2755"/>
    <w:rsid w:val="34EB7E53"/>
    <w:rsid w:val="34EC597A"/>
    <w:rsid w:val="34EC7728"/>
    <w:rsid w:val="34ED71D7"/>
    <w:rsid w:val="34EE16F2"/>
    <w:rsid w:val="34EF0FC6"/>
    <w:rsid w:val="35020CF9"/>
    <w:rsid w:val="350360CB"/>
    <w:rsid w:val="350607E9"/>
    <w:rsid w:val="35064C8D"/>
    <w:rsid w:val="350727B3"/>
    <w:rsid w:val="3507716A"/>
    <w:rsid w:val="350C1B78"/>
    <w:rsid w:val="35131158"/>
    <w:rsid w:val="351A3253"/>
    <w:rsid w:val="352A5EEF"/>
    <w:rsid w:val="352B46F4"/>
    <w:rsid w:val="352C5D76"/>
    <w:rsid w:val="35333CDE"/>
    <w:rsid w:val="3538471B"/>
    <w:rsid w:val="3538602B"/>
    <w:rsid w:val="353C06AF"/>
    <w:rsid w:val="353C420B"/>
    <w:rsid w:val="353E3789"/>
    <w:rsid w:val="35415CC5"/>
    <w:rsid w:val="35441312"/>
    <w:rsid w:val="354B444E"/>
    <w:rsid w:val="354C01C6"/>
    <w:rsid w:val="354E2190"/>
    <w:rsid w:val="35551771"/>
    <w:rsid w:val="35586B6B"/>
    <w:rsid w:val="355A28E3"/>
    <w:rsid w:val="35611EC4"/>
    <w:rsid w:val="35635C3C"/>
    <w:rsid w:val="3569521C"/>
    <w:rsid w:val="356C2617"/>
    <w:rsid w:val="356D0868"/>
    <w:rsid w:val="356D6ABA"/>
    <w:rsid w:val="357240D1"/>
    <w:rsid w:val="357716E7"/>
    <w:rsid w:val="35775243"/>
    <w:rsid w:val="35777939"/>
    <w:rsid w:val="35780FBB"/>
    <w:rsid w:val="357A4D33"/>
    <w:rsid w:val="357B256B"/>
    <w:rsid w:val="357B5D91"/>
    <w:rsid w:val="35867B7C"/>
    <w:rsid w:val="358755A4"/>
    <w:rsid w:val="35876C0D"/>
    <w:rsid w:val="35897D2E"/>
    <w:rsid w:val="358C5FA8"/>
    <w:rsid w:val="358D4A67"/>
    <w:rsid w:val="358F1EEB"/>
    <w:rsid w:val="35973B37"/>
    <w:rsid w:val="35995A10"/>
    <w:rsid w:val="359C73A0"/>
    <w:rsid w:val="359C74CB"/>
    <w:rsid w:val="35A554CC"/>
    <w:rsid w:val="35AA25DF"/>
    <w:rsid w:val="35AD6EB7"/>
    <w:rsid w:val="35B00EA9"/>
    <w:rsid w:val="35B222E9"/>
    <w:rsid w:val="35B53FBD"/>
    <w:rsid w:val="35B93AAE"/>
    <w:rsid w:val="35B9585C"/>
    <w:rsid w:val="35BE10C4"/>
    <w:rsid w:val="35BE7316"/>
    <w:rsid w:val="35C12962"/>
    <w:rsid w:val="35C15DF1"/>
    <w:rsid w:val="35C27548"/>
    <w:rsid w:val="35C70361"/>
    <w:rsid w:val="35C83CF1"/>
    <w:rsid w:val="35CE44E9"/>
    <w:rsid w:val="35D408E8"/>
    <w:rsid w:val="35D42696"/>
    <w:rsid w:val="35D703D8"/>
    <w:rsid w:val="35DA1C76"/>
    <w:rsid w:val="35DA54F8"/>
    <w:rsid w:val="35DE4219"/>
    <w:rsid w:val="35E60BD2"/>
    <w:rsid w:val="35ED0E4A"/>
    <w:rsid w:val="35ED3757"/>
    <w:rsid w:val="35EE5151"/>
    <w:rsid w:val="35F363F2"/>
    <w:rsid w:val="35F66AB0"/>
    <w:rsid w:val="35FE7713"/>
    <w:rsid w:val="36055C36"/>
    <w:rsid w:val="36074A7F"/>
    <w:rsid w:val="3608233F"/>
    <w:rsid w:val="360A03EE"/>
    <w:rsid w:val="360A6217"/>
    <w:rsid w:val="360D5BA8"/>
    <w:rsid w:val="360F1920"/>
    <w:rsid w:val="36116DAA"/>
    <w:rsid w:val="36174C78"/>
    <w:rsid w:val="36192715"/>
    <w:rsid w:val="3620540F"/>
    <w:rsid w:val="362178A5"/>
    <w:rsid w:val="36246370"/>
    <w:rsid w:val="36257395"/>
    <w:rsid w:val="36260A17"/>
    <w:rsid w:val="362829E1"/>
    <w:rsid w:val="362C0724"/>
    <w:rsid w:val="362D7271"/>
    <w:rsid w:val="362D7FF8"/>
    <w:rsid w:val="36301896"/>
    <w:rsid w:val="36304EC1"/>
    <w:rsid w:val="36314ACE"/>
    <w:rsid w:val="36317AE8"/>
    <w:rsid w:val="36341386"/>
    <w:rsid w:val="363870C8"/>
    <w:rsid w:val="363D4937"/>
    <w:rsid w:val="363E3FB3"/>
    <w:rsid w:val="36457293"/>
    <w:rsid w:val="36463828"/>
    <w:rsid w:val="364E4CF4"/>
    <w:rsid w:val="3651018A"/>
    <w:rsid w:val="36511F38"/>
    <w:rsid w:val="365437D6"/>
    <w:rsid w:val="3656754F"/>
    <w:rsid w:val="36590DED"/>
    <w:rsid w:val="36604D01"/>
    <w:rsid w:val="36613D32"/>
    <w:rsid w:val="36626903"/>
    <w:rsid w:val="36657792"/>
    <w:rsid w:val="366642A9"/>
    <w:rsid w:val="366A0B09"/>
    <w:rsid w:val="36743E79"/>
    <w:rsid w:val="367714D5"/>
    <w:rsid w:val="367873E8"/>
    <w:rsid w:val="367B48D9"/>
    <w:rsid w:val="367D2D2D"/>
    <w:rsid w:val="367F61DE"/>
    <w:rsid w:val="368220F2"/>
    <w:rsid w:val="36851BE2"/>
    <w:rsid w:val="36882C9B"/>
    <w:rsid w:val="368E6630"/>
    <w:rsid w:val="368F0CB2"/>
    <w:rsid w:val="369060BC"/>
    <w:rsid w:val="36923549"/>
    <w:rsid w:val="369342FF"/>
    <w:rsid w:val="36962041"/>
    <w:rsid w:val="36981915"/>
    <w:rsid w:val="3699743B"/>
    <w:rsid w:val="369D33CF"/>
    <w:rsid w:val="369E4A52"/>
    <w:rsid w:val="36A858D0"/>
    <w:rsid w:val="36AC53C0"/>
    <w:rsid w:val="36AF4EB1"/>
    <w:rsid w:val="36AF6C5F"/>
    <w:rsid w:val="36B75FBF"/>
    <w:rsid w:val="36B77ECB"/>
    <w:rsid w:val="36B90F68"/>
    <w:rsid w:val="36B973A6"/>
    <w:rsid w:val="36BD0C45"/>
    <w:rsid w:val="36BD5820"/>
    <w:rsid w:val="36BD75CE"/>
    <w:rsid w:val="36BE1E2E"/>
    <w:rsid w:val="36BE6EA2"/>
    <w:rsid w:val="36C05BDE"/>
    <w:rsid w:val="36C36E1E"/>
    <w:rsid w:val="36C4095C"/>
    <w:rsid w:val="36C82C47"/>
    <w:rsid w:val="36C85441"/>
    <w:rsid w:val="36C957EF"/>
    <w:rsid w:val="36CC7811"/>
    <w:rsid w:val="36D466C5"/>
    <w:rsid w:val="36D52B69"/>
    <w:rsid w:val="36D668E1"/>
    <w:rsid w:val="36D84407"/>
    <w:rsid w:val="36D87F64"/>
    <w:rsid w:val="36DA0180"/>
    <w:rsid w:val="36DE2D9E"/>
    <w:rsid w:val="36E556BA"/>
    <w:rsid w:val="36E7464B"/>
    <w:rsid w:val="36E96615"/>
    <w:rsid w:val="36EB413B"/>
    <w:rsid w:val="36F154C9"/>
    <w:rsid w:val="36FA5915"/>
    <w:rsid w:val="3700570C"/>
    <w:rsid w:val="37012AE2"/>
    <w:rsid w:val="3701395E"/>
    <w:rsid w:val="37054AD1"/>
    <w:rsid w:val="370E42C5"/>
    <w:rsid w:val="371116C7"/>
    <w:rsid w:val="37182A56"/>
    <w:rsid w:val="371A5DF2"/>
    <w:rsid w:val="371A67CE"/>
    <w:rsid w:val="371C0798"/>
    <w:rsid w:val="371E3099"/>
    <w:rsid w:val="37212E1E"/>
    <w:rsid w:val="37215DAE"/>
    <w:rsid w:val="3727713D"/>
    <w:rsid w:val="372876AC"/>
    <w:rsid w:val="372E04CB"/>
    <w:rsid w:val="372E18EB"/>
    <w:rsid w:val="372F04E9"/>
    <w:rsid w:val="37311742"/>
    <w:rsid w:val="37362EDC"/>
    <w:rsid w:val="37377380"/>
    <w:rsid w:val="373D426B"/>
    <w:rsid w:val="37425D25"/>
    <w:rsid w:val="374750E9"/>
    <w:rsid w:val="37476E97"/>
    <w:rsid w:val="374B2E2B"/>
    <w:rsid w:val="374C55D7"/>
    <w:rsid w:val="374E0226"/>
    <w:rsid w:val="374F2686"/>
    <w:rsid w:val="37500442"/>
    <w:rsid w:val="37557806"/>
    <w:rsid w:val="375D2B5F"/>
    <w:rsid w:val="375D66BB"/>
    <w:rsid w:val="376143FD"/>
    <w:rsid w:val="376848E9"/>
    <w:rsid w:val="3768578B"/>
    <w:rsid w:val="376DF452"/>
    <w:rsid w:val="376E7A95"/>
    <w:rsid w:val="37704640"/>
    <w:rsid w:val="37734130"/>
    <w:rsid w:val="377759CE"/>
    <w:rsid w:val="377C4D93"/>
    <w:rsid w:val="377D0B0B"/>
    <w:rsid w:val="378679C0"/>
    <w:rsid w:val="378C09B2"/>
    <w:rsid w:val="378E2D18"/>
    <w:rsid w:val="378F5335"/>
    <w:rsid w:val="379105D4"/>
    <w:rsid w:val="37920A5A"/>
    <w:rsid w:val="37932920"/>
    <w:rsid w:val="37955E55"/>
    <w:rsid w:val="379C3687"/>
    <w:rsid w:val="379E11AD"/>
    <w:rsid w:val="37A20571"/>
    <w:rsid w:val="37A34A15"/>
    <w:rsid w:val="37A662B4"/>
    <w:rsid w:val="37A75B88"/>
    <w:rsid w:val="37A91900"/>
    <w:rsid w:val="37AA0AE6"/>
    <w:rsid w:val="37AB1B1C"/>
    <w:rsid w:val="37B00EE0"/>
    <w:rsid w:val="37B207B5"/>
    <w:rsid w:val="37B240F6"/>
    <w:rsid w:val="37B409D1"/>
    <w:rsid w:val="37B5792C"/>
    <w:rsid w:val="37BB6274"/>
    <w:rsid w:val="37C16C4A"/>
    <w:rsid w:val="37C30C14"/>
    <w:rsid w:val="37C40308"/>
    <w:rsid w:val="37C60704"/>
    <w:rsid w:val="37C815BB"/>
    <w:rsid w:val="37CA01F4"/>
    <w:rsid w:val="37D01583"/>
    <w:rsid w:val="37D310E2"/>
    <w:rsid w:val="37D44BCF"/>
    <w:rsid w:val="37D746BF"/>
    <w:rsid w:val="37DA41AF"/>
    <w:rsid w:val="37DB64D3"/>
    <w:rsid w:val="37DE77FC"/>
    <w:rsid w:val="37E00298"/>
    <w:rsid w:val="37E312B6"/>
    <w:rsid w:val="37E34E12"/>
    <w:rsid w:val="37E37CCF"/>
    <w:rsid w:val="37E5630E"/>
    <w:rsid w:val="37E56DDC"/>
    <w:rsid w:val="37E57D37"/>
    <w:rsid w:val="37E96867"/>
    <w:rsid w:val="37ED5C91"/>
    <w:rsid w:val="37EF2A04"/>
    <w:rsid w:val="37F00FC5"/>
    <w:rsid w:val="37F44D97"/>
    <w:rsid w:val="37F45271"/>
    <w:rsid w:val="37FF59C4"/>
    <w:rsid w:val="38060B00"/>
    <w:rsid w:val="38064FA4"/>
    <w:rsid w:val="380A136E"/>
    <w:rsid w:val="380D1E8F"/>
    <w:rsid w:val="3814321D"/>
    <w:rsid w:val="3816278E"/>
    <w:rsid w:val="38190834"/>
    <w:rsid w:val="38194C17"/>
    <w:rsid w:val="381B5E1E"/>
    <w:rsid w:val="381C0324"/>
    <w:rsid w:val="381C20D2"/>
    <w:rsid w:val="381C47A0"/>
    <w:rsid w:val="38213B8C"/>
    <w:rsid w:val="38220E97"/>
    <w:rsid w:val="382611A3"/>
    <w:rsid w:val="38284F1B"/>
    <w:rsid w:val="38295CCA"/>
    <w:rsid w:val="382F44FB"/>
    <w:rsid w:val="38376F0C"/>
    <w:rsid w:val="38402264"/>
    <w:rsid w:val="38411686"/>
    <w:rsid w:val="38417D8A"/>
    <w:rsid w:val="3842527F"/>
    <w:rsid w:val="38440A9B"/>
    <w:rsid w:val="38482EC7"/>
    <w:rsid w:val="384855BD"/>
    <w:rsid w:val="384A30E3"/>
    <w:rsid w:val="384A4E91"/>
    <w:rsid w:val="384F0EE0"/>
    <w:rsid w:val="38543F62"/>
    <w:rsid w:val="38547ABE"/>
    <w:rsid w:val="38561A88"/>
    <w:rsid w:val="385D5CCC"/>
    <w:rsid w:val="3861716A"/>
    <w:rsid w:val="3862042D"/>
    <w:rsid w:val="38673C95"/>
    <w:rsid w:val="386D6CE9"/>
    <w:rsid w:val="386D6DD1"/>
    <w:rsid w:val="38712619"/>
    <w:rsid w:val="38726196"/>
    <w:rsid w:val="38741F0E"/>
    <w:rsid w:val="387463B2"/>
    <w:rsid w:val="3875032D"/>
    <w:rsid w:val="38763ED8"/>
    <w:rsid w:val="387E0FDF"/>
    <w:rsid w:val="388022F9"/>
    <w:rsid w:val="388163D9"/>
    <w:rsid w:val="3882287D"/>
    <w:rsid w:val="388429A8"/>
    <w:rsid w:val="388C36FB"/>
    <w:rsid w:val="388C7E77"/>
    <w:rsid w:val="388D2FD0"/>
    <w:rsid w:val="388E0F99"/>
    <w:rsid w:val="388E7474"/>
    <w:rsid w:val="38910D12"/>
    <w:rsid w:val="38926838"/>
    <w:rsid w:val="38987EEA"/>
    <w:rsid w:val="389B393F"/>
    <w:rsid w:val="389C5B17"/>
    <w:rsid w:val="389F470E"/>
    <w:rsid w:val="38A04AB1"/>
    <w:rsid w:val="38AD702E"/>
    <w:rsid w:val="38AE5B5B"/>
    <w:rsid w:val="38B302F9"/>
    <w:rsid w:val="38B50391"/>
    <w:rsid w:val="38B844F1"/>
    <w:rsid w:val="38B8629F"/>
    <w:rsid w:val="38B95B73"/>
    <w:rsid w:val="38BB5D8F"/>
    <w:rsid w:val="38BB7B3D"/>
    <w:rsid w:val="38BE762D"/>
    <w:rsid w:val="38C24E23"/>
    <w:rsid w:val="38C56C0D"/>
    <w:rsid w:val="38C57E86"/>
    <w:rsid w:val="38C962D6"/>
    <w:rsid w:val="38CA4224"/>
    <w:rsid w:val="38CF3C02"/>
    <w:rsid w:val="38D17360"/>
    <w:rsid w:val="38D46E50"/>
    <w:rsid w:val="38D66725"/>
    <w:rsid w:val="38D94467"/>
    <w:rsid w:val="38DE55D9"/>
    <w:rsid w:val="38E057F5"/>
    <w:rsid w:val="38E44585"/>
    <w:rsid w:val="38E47094"/>
    <w:rsid w:val="38EA6674"/>
    <w:rsid w:val="38EC419A"/>
    <w:rsid w:val="38ED3A6E"/>
    <w:rsid w:val="38EF3C8A"/>
    <w:rsid w:val="38F12CD3"/>
    <w:rsid w:val="38F44DFD"/>
    <w:rsid w:val="38F45B4D"/>
    <w:rsid w:val="38F60D64"/>
    <w:rsid w:val="38F80D91"/>
    <w:rsid w:val="38F924F1"/>
    <w:rsid w:val="38F94775"/>
    <w:rsid w:val="38FE4EB2"/>
    <w:rsid w:val="390028DF"/>
    <w:rsid w:val="390414E4"/>
    <w:rsid w:val="390667A8"/>
    <w:rsid w:val="39070FD4"/>
    <w:rsid w:val="390729FA"/>
    <w:rsid w:val="390E2362"/>
    <w:rsid w:val="390E5EBF"/>
    <w:rsid w:val="39113C01"/>
    <w:rsid w:val="391334D5"/>
    <w:rsid w:val="39162FC5"/>
    <w:rsid w:val="391B05DB"/>
    <w:rsid w:val="391F631E"/>
    <w:rsid w:val="3921693D"/>
    <w:rsid w:val="39241B86"/>
    <w:rsid w:val="39273424"/>
    <w:rsid w:val="392971ED"/>
    <w:rsid w:val="392C0A3B"/>
    <w:rsid w:val="392C27E9"/>
    <w:rsid w:val="392C7108"/>
    <w:rsid w:val="39325651"/>
    <w:rsid w:val="393671C3"/>
    <w:rsid w:val="393A7846"/>
    <w:rsid w:val="393B0C7E"/>
    <w:rsid w:val="393D2C48"/>
    <w:rsid w:val="394144E6"/>
    <w:rsid w:val="39447B32"/>
    <w:rsid w:val="394915ED"/>
    <w:rsid w:val="394D0F3D"/>
    <w:rsid w:val="394E6C03"/>
    <w:rsid w:val="394F0285"/>
    <w:rsid w:val="39510D4E"/>
    <w:rsid w:val="39557F91"/>
    <w:rsid w:val="395C3290"/>
    <w:rsid w:val="397001E5"/>
    <w:rsid w:val="39737051"/>
    <w:rsid w:val="39745863"/>
    <w:rsid w:val="39783C80"/>
    <w:rsid w:val="397F4EBE"/>
    <w:rsid w:val="397F500E"/>
    <w:rsid w:val="3987255E"/>
    <w:rsid w:val="39900FC9"/>
    <w:rsid w:val="399565E0"/>
    <w:rsid w:val="39967482"/>
    <w:rsid w:val="399A59A4"/>
    <w:rsid w:val="399B0698"/>
    <w:rsid w:val="399F551B"/>
    <w:rsid w:val="39A24859"/>
    <w:rsid w:val="39A871C1"/>
    <w:rsid w:val="39AB195F"/>
    <w:rsid w:val="39B567E6"/>
    <w:rsid w:val="39B90520"/>
    <w:rsid w:val="39C11183"/>
    <w:rsid w:val="39C15472"/>
    <w:rsid w:val="39C173D5"/>
    <w:rsid w:val="39C21009"/>
    <w:rsid w:val="39C72511"/>
    <w:rsid w:val="39C944DB"/>
    <w:rsid w:val="39CD30F0"/>
    <w:rsid w:val="39D07618"/>
    <w:rsid w:val="39D11C60"/>
    <w:rsid w:val="39D4728C"/>
    <w:rsid w:val="39D92970"/>
    <w:rsid w:val="39DA2245"/>
    <w:rsid w:val="39E11825"/>
    <w:rsid w:val="39E41315"/>
    <w:rsid w:val="39E60BE9"/>
    <w:rsid w:val="39E6508D"/>
    <w:rsid w:val="39ED170C"/>
    <w:rsid w:val="39EE7A9E"/>
    <w:rsid w:val="39F96B6F"/>
    <w:rsid w:val="39FA4695"/>
    <w:rsid w:val="39FD5F33"/>
    <w:rsid w:val="3A004FB1"/>
    <w:rsid w:val="3A00541A"/>
    <w:rsid w:val="3A0A0D7C"/>
    <w:rsid w:val="3A0B5BA4"/>
    <w:rsid w:val="3A103EB8"/>
    <w:rsid w:val="3A124B0A"/>
    <w:rsid w:val="3A127C30"/>
    <w:rsid w:val="3A173499"/>
    <w:rsid w:val="3A1A52C0"/>
    <w:rsid w:val="3A1E65D5"/>
    <w:rsid w:val="3A1F40FB"/>
    <w:rsid w:val="3A1F5EA9"/>
    <w:rsid w:val="3A2160C5"/>
    <w:rsid w:val="3A217E73"/>
    <w:rsid w:val="3A230F6F"/>
    <w:rsid w:val="3A2317FB"/>
    <w:rsid w:val="3A241712"/>
    <w:rsid w:val="3A281202"/>
    <w:rsid w:val="3A287454"/>
    <w:rsid w:val="3A2A67D1"/>
    <w:rsid w:val="3A2F6D7D"/>
    <w:rsid w:val="3A331955"/>
    <w:rsid w:val="3A35391F"/>
    <w:rsid w:val="3A3F654C"/>
    <w:rsid w:val="3A410516"/>
    <w:rsid w:val="3A4D2A17"/>
    <w:rsid w:val="3A4F7E7B"/>
    <w:rsid w:val="3A5007F7"/>
    <w:rsid w:val="3A5105D8"/>
    <w:rsid w:val="3A557B1D"/>
    <w:rsid w:val="3A56389A"/>
    <w:rsid w:val="3A571AE7"/>
    <w:rsid w:val="3A5E2E76"/>
    <w:rsid w:val="3A5E74CA"/>
    <w:rsid w:val="3A614714"/>
    <w:rsid w:val="3A661D2A"/>
    <w:rsid w:val="3A6D4691"/>
    <w:rsid w:val="3A726921"/>
    <w:rsid w:val="3A726E4E"/>
    <w:rsid w:val="3A791A5E"/>
    <w:rsid w:val="3A7A4415"/>
    <w:rsid w:val="3A7B4EF4"/>
    <w:rsid w:val="3A7E52C6"/>
    <w:rsid w:val="3A817073"/>
    <w:rsid w:val="3A823C3D"/>
    <w:rsid w:val="3A8521B0"/>
    <w:rsid w:val="3A865F28"/>
    <w:rsid w:val="3A8723CC"/>
    <w:rsid w:val="3A872856"/>
    <w:rsid w:val="3A8B06D0"/>
    <w:rsid w:val="3A9C399E"/>
    <w:rsid w:val="3A9C74FA"/>
    <w:rsid w:val="3AA0523C"/>
    <w:rsid w:val="3AA50AA5"/>
    <w:rsid w:val="3AA971BF"/>
    <w:rsid w:val="3AAD1707"/>
    <w:rsid w:val="3AAD5BAB"/>
    <w:rsid w:val="3AAF36D1"/>
    <w:rsid w:val="3AB02FA5"/>
    <w:rsid w:val="3AB119B5"/>
    <w:rsid w:val="3AB21AFF"/>
    <w:rsid w:val="3AB94550"/>
    <w:rsid w:val="3ABE1B66"/>
    <w:rsid w:val="3AC30F2B"/>
    <w:rsid w:val="3AC52EF5"/>
    <w:rsid w:val="3AC86541"/>
    <w:rsid w:val="3AC869F4"/>
    <w:rsid w:val="3ACC330C"/>
    <w:rsid w:val="3ACF1C8D"/>
    <w:rsid w:val="3AD66EB0"/>
    <w:rsid w:val="3AD82C28"/>
    <w:rsid w:val="3ADF0D1D"/>
    <w:rsid w:val="3ADF6BB1"/>
    <w:rsid w:val="3AE10910"/>
    <w:rsid w:val="3AE147F8"/>
    <w:rsid w:val="3AE3337B"/>
    <w:rsid w:val="3AE50EA1"/>
    <w:rsid w:val="3AE96BE3"/>
    <w:rsid w:val="3AEA6A92"/>
    <w:rsid w:val="3AEE41FA"/>
    <w:rsid w:val="3AEF1D20"/>
    <w:rsid w:val="3AEF7F72"/>
    <w:rsid w:val="3AF13CEA"/>
    <w:rsid w:val="3AF47336"/>
    <w:rsid w:val="3AFD3C5D"/>
    <w:rsid w:val="3AFD61EB"/>
    <w:rsid w:val="3B0F23C2"/>
    <w:rsid w:val="3B117EE8"/>
    <w:rsid w:val="3B133C60"/>
    <w:rsid w:val="3B1654FE"/>
    <w:rsid w:val="3B1D688D"/>
    <w:rsid w:val="3B1F6C15"/>
    <w:rsid w:val="3B252B5B"/>
    <w:rsid w:val="3B2766E9"/>
    <w:rsid w:val="3B2969CB"/>
    <w:rsid w:val="3B2A174E"/>
    <w:rsid w:val="3B312338"/>
    <w:rsid w:val="3B3763D1"/>
    <w:rsid w:val="3B464036"/>
    <w:rsid w:val="3B4C0F20"/>
    <w:rsid w:val="3B5129DA"/>
    <w:rsid w:val="3B5B69D7"/>
    <w:rsid w:val="3B5E12EE"/>
    <w:rsid w:val="3B602C1D"/>
    <w:rsid w:val="3B64270E"/>
    <w:rsid w:val="3B6444BC"/>
    <w:rsid w:val="3B651FE2"/>
    <w:rsid w:val="3B677B08"/>
    <w:rsid w:val="3B6B584A"/>
    <w:rsid w:val="3B6B7BB0"/>
    <w:rsid w:val="3B6C3370"/>
    <w:rsid w:val="3B704FBC"/>
    <w:rsid w:val="3B712735"/>
    <w:rsid w:val="3B781D15"/>
    <w:rsid w:val="3B7F30A4"/>
    <w:rsid w:val="3B800BCA"/>
    <w:rsid w:val="3B81506E"/>
    <w:rsid w:val="3B820DE6"/>
    <w:rsid w:val="3B896E09"/>
    <w:rsid w:val="3B8C195C"/>
    <w:rsid w:val="3B9052B1"/>
    <w:rsid w:val="3B90705F"/>
    <w:rsid w:val="3B9528C7"/>
    <w:rsid w:val="3B9B5A04"/>
    <w:rsid w:val="3B9C1A70"/>
    <w:rsid w:val="3B9F72A2"/>
    <w:rsid w:val="3BA15C6B"/>
    <w:rsid w:val="3BAC19BF"/>
    <w:rsid w:val="3BAD5F86"/>
    <w:rsid w:val="3BB32D4D"/>
    <w:rsid w:val="3BB645EB"/>
    <w:rsid w:val="3BB64BF1"/>
    <w:rsid w:val="3BB76081"/>
    <w:rsid w:val="3BBB7E54"/>
    <w:rsid w:val="3BBF20AC"/>
    <w:rsid w:val="3BC46D08"/>
    <w:rsid w:val="3BC5739B"/>
    <w:rsid w:val="3BCC3E0F"/>
    <w:rsid w:val="3BCF57F3"/>
    <w:rsid w:val="3BD50F16"/>
    <w:rsid w:val="3BD57167"/>
    <w:rsid w:val="3BDA29D0"/>
    <w:rsid w:val="3BDD426E"/>
    <w:rsid w:val="3BDD7DCA"/>
    <w:rsid w:val="3BE525AB"/>
    <w:rsid w:val="3BE63123"/>
    <w:rsid w:val="3BE90615"/>
    <w:rsid w:val="3BE9676F"/>
    <w:rsid w:val="3BEC4C83"/>
    <w:rsid w:val="3BF07657"/>
    <w:rsid w:val="3BF375EE"/>
    <w:rsid w:val="3BF53366"/>
    <w:rsid w:val="3BFC46F4"/>
    <w:rsid w:val="3BFF2436"/>
    <w:rsid w:val="3C0161AE"/>
    <w:rsid w:val="3C017F5D"/>
    <w:rsid w:val="3C047258"/>
    <w:rsid w:val="3C0E2679"/>
    <w:rsid w:val="3C1001A0"/>
    <w:rsid w:val="3C153A08"/>
    <w:rsid w:val="3C1557B6"/>
    <w:rsid w:val="3C1A2DCC"/>
    <w:rsid w:val="3C1E28BD"/>
    <w:rsid w:val="3C1F3408"/>
    <w:rsid w:val="3C21415B"/>
    <w:rsid w:val="3C2679C3"/>
    <w:rsid w:val="3C286B8B"/>
    <w:rsid w:val="3C2B322B"/>
    <w:rsid w:val="3C2D38FE"/>
    <w:rsid w:val="3C2F6E1E"/>
    <w:rsid w:val="3C300842"/>
    <w:rsid w:val="3C333E8E"/>
    <w:rsid w:val="3C342025"/>
    <w:rsid w:val="3C3C0F95"/>
    <w:rsid w:val="3C3F7138"/>
    <w:rsid w:val="3C4165AB"/>
    <w:rsid w:val="3C44609B"/>
    <w:rsid w:val="3C495460"/>
    <w:rsid w:val="3C4A1903"/>
    <w:rsid w:val="3C4A3C26"/>
    <w:rsid w:val="3C4D31A2"/>
    <w:rsid w:val="3C4F64BA"/>
    <w:rsid w:val="3C550306"/>
    <w:rsid w:val="3C5928B0"/>
    <w:rsid w:val="3C597D99"/>
    <w:rsid w:val="3C5B34B7"/>
    <w:rsid w:val="3C612AC2"/>
    <w:rsid w:val="3C616C4D"/>
    <w:rsid w:val="3C687FDC"/>
    <w:rsid w:val="3C722C08"/>
    <w:rsid w:val="3C7249B6"/>
    <w:rsid w:val="3C733C90"/>
    <w:rsid w:val="3C795D45"/>
    <w:rsid w:val="3C797AF3"/>
    <w:rsid w:val="3C85541D"/>
    <w:rsid w:val="3C860462"/>
    <w:rsid w:val="3C8B6ACE"/>
    <w:rsid w:val="3C8C1F1C"/>
    <w:rsid w:val="3C8F7316"/>
    <w:rsid w:val="3C920BB5"/>
    <w:rsid w:val="3C925059"/>
    <w:rsid w:val="3C933607"/>
    <w:rsid w:val="3C94492D"/>
    <w:rsid w:val="3C9B0E4C"/>
    <w:rsid w:val="3C9C7C85"/>
    <w:rsid w:val="3CA223F1"/>
    <w:rsid w:val="3CA2271E"/>
    <w:rsid w:val="3CA228E3"/>
    <w:rsid w:val="3CA31014"/>
    <w:rsid w:val="3CA54D8C"/>
    <w:rsid w:val="3CA628B2"/>
    <w:rsid w:val="3CA803D8"/>
    <w:rsid w:val="3CA8487C"/>
    <w:rsid w:val="3CAF1767"/>
    <w:rsid w:val="3CB13731"/>
    <w:rsid w:val="3CB46D7D"/>
    <w:rsid w:val="3CB52AF5"/>
    <w:rsid w:val="3CB66F99"/>
    <w:rsid w:val="3CB82E16"/>
    <w:rsid w:val="3CB925E5"/>
    <w:rsid w:val="3CBB0D95"/>
    <w:rsid w:val="3CBE48A4"/>
    <w:rsid w:val="3CBF57BA"/>
    <w:rsid w:val="3CC01BC6"/>
    <w:rsid w:val="3CC35212"/>
    <w:rsid w:val="3CC44440"/>
    <w:rsid w:val="3CCB0A1D"/>
    <w:rsid w:val="3CCE69AE"/>
    <w:rsid w:val="3CD70CBD"/>
    <w:rsid w:val="3CDA245A"/>
    <w:rsid w:val="3CDA2586"/>
    <w:rsid w:val="3CDC62D4"/>
    <w:rsid w:val="3CE05DC4"/>
    <w:rsid w:val="3CE129B6"/>
    <w:rsid w:val="3CE533DA"/>
    <w:rsid w:val="3CE60F00"/>
    <w:rsid w:val="3CE72762"/>
    <w:rsid w:val="3CEC29BB"/>
    <w:rsid w:val="3CED228F"/>
    <w:rsid w:val="3CF4186F"/>
    <w:rsid w:val="3CF46D1B"/>
    <w:rsid w:val="3CF70E32"/>
    <w:rsid w:val="3CF950D8"/>
    <w:rsid w:val="3CFB0E50"/>
    <w:rsid w:val="3CFB2BFE"/>
    <w:rsid w:val="3D023F8C"/>
    <w:rsid w:val="3D031AB2"/>
    <w:rsid w:val="3D0A1093"/>
    <w:rsid w:val="3D0D46DF"/>
    <w:rsid w:val="3D0F66A9"/>
    <w:rsid w:val="3D18555E"/>
    <w:rsid w:val="3D1E06B7"/>
    <w:rsid w:val="3D210DFB"/>
    <w:rsid w:val="3D251A29"/>
    <w:rsid w:val="3D2959BD"/>
    <w:rsid w:val="3D2D6B2F"/>
    <w:rsid w:val="3D2E4D81"/>
    <w:rsid w:val="3D314871"/>
    <w:rsid w:val="3D353B6C"/>
    <w:rsid w:val="3D361E88"/>
    <w:rsid w:val="3D3B2FFA"/>
    <w:rsid w:val="3D407C8F"/>
    <w:rsid w:val="3D453E79"/>
    <w:rsid w:val="3D491BBB"/>
    <w:rsid w:val="3D4C0B3C"/>
    <w:rsid w:val="3D5347E8"/>
    <w:rsid w:val="3D536AB5"/>
    <w:rsid w:val="3D5A3DC8"/>
    <w:rsid w:val="3D5D7415"/>
    <w:rsid w:val="3D675B8B"/>
    <w:rsid w:val="3D6F0EF6"/>
    <w:rsid w:val="3D766728"/>
    <w:rsid w:val="3D776294"/>
    <w:rsid w:val="3D793B23"/>
    <w:rsid w:val="3D7A7FC6"/>
    <w:rsid w:val="3D7E6B41"/>
    <w:rsid w:val="3D7F55DD"/>
    <w:rsid w:val="3D801355"/>
    <w:rsid w:val="3D803103"/>
    <w:rsid w:val="3D807F9A"/>
    <w:rsid w:val="3D837ABB"/>
    <w:rsid w:val="3D8726E3"/>
    <w:rsid w:val="3D8B21D4"/>
    <w:rsid w:val="3D8C1249"/>
    <w:rsid w:val="3D8C5F4C"/>
    <w:rsid w:val="3D9062FC"/>
    <w:rsid w:val="3D915310"/>
    <w:rsid w:val="3D9655B0"/>
    <w:rsid w:val="3D9A76FB"/>
    <w:rsid w:val="3D9B1A74"/>
    <w:rsid w:val="3D9C33D4"/>
    <w:rsid w:val="3D9D5A63"/>
    <w:rsid w:val="3D9F5C7F"/>
    <w:rsid w:val="3DA4145A"/>
    <w:rsid w:val="3DA45043"/>
    <w:rsid w:val="3DA474D0"/>
    <w:rsid w:val="3DAB63D2"/>
    <w:rsid w:val="3DAC5CA6"/>
    <w:rsid w:val="3DB557CE"/>
    <w:rsid w:val="3DB80AEF"/>
    <w:rsid w:val="3DC00139"/>
    <w:rsid w:val="3DC17F05"/>
    <w:rsid w:val="3DCE0312"/>
    <w:rsid w:val="3DD05E38"/>
    <w:rsid w:val="3DD27647"/>
    <w:rsid w:val="3DD77E16"/>
    <w:rsid w:val="3DD84CED"/>
    <w:rsid w:val="3DDA0A65"/>
    <w:rsid w:val="3DDF42CD"/>
    <w:rsid w:val="3DE11DF4"/>
    <w:rsid w:val="3DE25B6C"/>
    <w:rsid w:val="3DE96EFA"/>
    <w:rsid w:val="3DEA1C65"/>
    <w:rsid w:val="3DEE62BF"/>
    <w:rsid w:val="3DF75248"/>
    <w:rsid w:val="3DF80EEB"/>
    <w:rsid w:val="3DF8538F"/>
    <w:rsid w:val="3DFD6502"/>
    <w:rsid w:val="3DFF7274"/>
    <w:rsid w:val="3E067AAC"/>
    <w:rsid w:val="3E0934EC"/>
    <w:rsid w:val="3E1026D9"/>
    <w:rsid w:val="3E155F41"/>
    <w:rsid w:val="3E1877DF"/>
    <w:rsid w:val="3E1D6BA4"/>
    <w:rsid w:val="3E1F46CA"/>
    <w:rsid w:val="3E20259A"/>
    <w:rsid w:val="3E261EFC"/>
    <w:rsid w:val="3E287A22"/>
    <w:rsid w:val="3E2B6BFA"/>
    <w:rsid w:val="3E2B6F65"/>
    <w:rsid w:val="3E2F0898"/>
    <w:rsid w:val="3E3143FD"/>
    <w:rsid w:val="3E3363C7"/>
    <w:rsid w:val="3E35213F"/>
    <w:rsid w:val="3E382184"/>
    <w:rsid w:val="3E41473A"/>
    <w:rsid w:val="3E46434D"/>
    <w:rsid w:val="3E483C21"/>
    <w:rsid w:val="3E4E3201"/>
    <w:rsid w:val="3E501B24"/>
    <w:rsid w:val="3E512764"/>
    <w:rsid w:val="3E524A9F"/>
    <w:rsid w:val="3E5A32A2"/>
    <w:rsid w:val="3E5C04C3"/>
    <w:rsid w:val="3E5C147A"/>
    <w:rsid w:val="3E5F71BC"/>
    <w:rsid w:val="3E612F34"/>
    <w:rsid w:val="3E636CAD"/>
    <w:rsid w:val="3E66054B"/>
    <w:rsid w:val="3E682515"/>
    <w:rsid w:val="3E691DE9"/>
    <w:rsid w:val="3E6E73FF"/>
    <w:rsid w:val="3E704F26"/>
    <w:rsid w:val="3E742C68"/>
    <w:rsid w:val="3E74351A"/>
    <w:rsid w:val="3E7569E0"/>
    <w:rsid w:val="3E78129B"/>
    <w:rsid w:val="3E817133"/>
    <w:rsid w:val="3E832EAB"/>
    <w:rsid w:val="3E921340"/>
    <w:rsid w:val="3E927592"/>
    <w:rsid w:val="3E946E66"/>
    <w:rsid w:val="3E970704"/>
    <w:rsid w:val="3E974BA8"/>
    <w:rsid w:val="3E9926CE"/>
    <w:rsid w:val="3E99447C"/>
    <w:rsid w:val="3EAB0654"/>
    <w:rsid w:val="3EAE4C84"/>
    <w:rsid w:val="3EB05C6A"/>
    <w:rsid w:val="3EB64945"/>
    <w:rsid w:val="3EBC460F"/>
    <w:rsid w:val="3EC11C25"/>
    <w:rsid w:val="3EC312CE"/>
    <w:rsid w:val="3EC34ABA"/>
    <w:rsid w:val="3EC60FE9"/>
    <w:rsid w:val="3ECB6600"/>
    <w:rsid w:val="3ECD05CA"/>
    <w:rsid w:val="3ED03C16"/>
    <w:rsid w:val="3ED41958"/>
    <w:rsid w:val="3ED74FA5"/>
    <w:rsid w:val="3EDA0523"/>
    <w:rsid w:val="3EDA4ED4"/>
    <w:rsid w:val="3EE020AB"/>
    <w:rsid w:val="3EE33949"/>
    <w:rsid w:val="3EEA4CD8"/>
    <w:rsid w:val="3EEB1A81"/>
    <w:rsid w:val="3EED2ADA"/>
    <w:rsid w:val="3EF142B8"/>
    <w:rsid w:val="3EF21DDE"/>
    <w:rsid w:val="3EF30213"/>
    <w:rsid w:val="3EF416A3"/>
    <w:rsid w:val="3EF73899"/>
    <w:rsid w:val="3EFB5137"/>
    <w:rsid w:val="3EFE4C27"/>
    <w:rsid w:val="3F0062A9"/>
    <w:rsid w:val="3F021A95"/>
    <w:rsid w:val="3F0A35CC"/>
    <w:rsid w:val="3F0D4E6A"/>
    <w:rsid w:val="3F1222C3"/>
    <w:rsid w:val="3F14769B"/>
    <w:rsid w:val="3F147FA7"/>
    <w:rsid w:val="3F163D1F"/>
    <w:rsid w:val="3F177A97"/>
    <w:rsid w:val="3F1B7587"/>
    <w:rsid w:val="3F20694C"/>
    <w:rsid w:val="3F2301EA"/>
    <w:rsid w:val="3F2A465B"/>
    <w:rsid w:val="3F2A5A1C"/>
    <w:rsid w:val="3F2D3F03"/>
    <w:rsid w:val="3F2F6B8F"/>
    <w:rsid w:val="3F340649"/>
    <w:rsid w:val="3F3B26F7"/>
    <w:rsid w:val="3F3D5750"/>
    <w:rsid w:val="3F3D74FE"/>
    <w:rsid w:val="3F3E6DD2"/>
    <w:rsid w:val="3F40536C"/>
    <w:rsid w:val="3F4211EE"/>
    <w:rsid w:val="3F473ED8"/>
    <w:rsid w:val="3F4D4044"/>
    <w:rsid w:val="3F4E55F8"/>
    <w:rsid w:val="3F4F0FDF"/>
    <w:rsid w:val="3F5605BF"/>
    <w:rsid w:val="3F571ED0"/>
    <w:rsid w:val="3F5B4F7D"/>
    <w:rsid w:val="3F6103DE"/>
    <w:rsid w:val="3F626F64"/>
    <w:rsid w:val="3F650802"/>
    <w:rsid w:val="3F6EC64A"/>
    <w:rsid w:val="3F6F51DD"/>
    <w:rsid w:val="3F7171A7"/>
    <w:rsid w:val="3F7614BA"/>
    <w:rsid w:val="3F7D78FA"/>
    <w:rsid w:val="3F827606"/>
    <w:rsid w:val="3F8637AB"/>
    <w:rsid w:val="3F8663DE"/>
    <w:rsid w:val="3F8769CB"/>
    <w:rsid w:val="3F8F587F"/>
    <w:rsid w:val="3F9609BC"/>
    <w:rsid w:val="3F977363"/>
    <w:rsid w:val="3F9D7F9C"/>
    <w:rsid w:val="3FA73C06"/>
    <w:rsid w:val="3FA76546"/>
    <w:rsid w:val="3FAA4467"/>
    <w:rsid w:val="3FAE21A9"/>
    <w:rsid w:val="3FB11C9A"/>
    <w:rsid w:val="3FB35A12"/>
    <w:rsid w:val="3FB5178A"/>
    <w:rsid w:val="3FC10FC0"/>
    <w:rsid w:val="3FC25C55"/>
    <w:rsid w:val="3FC574F3"/>
    <w:rsid w:val="3FC62130"/>
    <w:rsid w:val="3FC63871"/>
    <w:rsid w:val="3FC75CCB"/>
    <w:rsid w:val="3FCD3EFC"/>
    <w:rsid w:val="3FD17C46"/>
    <w:rsid w:val="3FD634AE"/>
    <w:rsid w:val="3FDA4D4C"/>
    <w:rsid w:val="3FDB918E"/>
    <w:rsid w:val="3FDF05B5"/>
    <w:rsid w:val="3FE037A4"/>
    <w:rsid w:val="3FEB6F5A"/>
    <w:rsid w:val="3FFD0A3B"/>
    <w:rsid w:val="3FFDBA2E"/>
    <w:rsid w:val="3FFF0C57"/>
    <w:rsid w:val="40026051"/>
    <w:rsid w:val="40094AB4"/>
    <w:rsid w:val="400C5122"/>
    <w:rsid w:val="4010076E"/>
    <w:rsid w:val="401144E6"/>
    <w:rsid w:val="4013025E"/>
    <w:rsid w:val="4013289B"/>
    <w:rsid w:val="40152228"/>
    <w:rsid w:val="401A15ED"/>
    <w:rsid w:val="401A339B"/>
    <w:rsid w:val="401C5365"/>
    <w:rsid w:val="401F09B1"/>
    <w:rsid w:val="401F4E55"/>
    <w:rsid w:val="401F6C03"/>
    <w:rsid w:val="402045D7"/>
    <w:rsid w:val="40271F5C"/>
    <w:rsid w:val="4028409E"/>
    <w:rsid w:val="40295CD4"/>
    <w:rsid w:val="402D2248"/>
    <w:rsid w:val="402E32EA"/>
    <w:rsid w:val="40322DDA"/>
    <w:rsid w:val="40330901"/>
    <w:rsid w:val="403326AF"/>
    <w:rsid w:val="4033445D"/>
    <w:rsid w:val="40362C79"/>
    <w:rsid w:val="40362FE4"/>
    <w:rsid w:val="40384169"/>
    <w:rsid w:val="4043546C"/>
    <w:rsid w:val="40477F08"/>
    <w:rsid w:val="404E573A"/>
    <w:rsid w:val="40534AFF"/>
    <w:rsid w:val="40546B1B"/>
    <w:rsid w:val="40617DFC"/>
    <w:rsid w:val="40642868"/>
    <w:rsid w:val="406867FC"/>
    <w:rsid w:val="406A1BCA"/>
    <w:rsid w:val="406B6464"/>
    <w:rsid w:val="406C6770"/>
    <w:rsid w:val="406D5BC1"/>
    <w:rsid w:val="40742122"/>
    <w:rsid w:val="40796351"/>
    <w:rsid w:val="407A6407"/>
    <w:rsid w:val="407B78CA"/>
    <w:rsid w:val="407C22A8"/>
    <w:rsid w:val="407D1B7C"/>
    <w:rsid w:val="407F76A2"/>
    <w:rsid w:val="40827192"/>
    <w:rsid w:val="40837F81"/>
    <w:rsid w:val="40884444"/>
    <w:rsid w:val="408B24EB"/>
    <w:rsid w:val="409475F1"/>
    <w:rsid w:val="40955117"/>
    <w:rsid w:val="40972C3D"/>
    <w:rsid w:val="409969B6"/>
    <w:rsid w:val="409C70EC"/>
    <w:rsid w:val="409F1AF2"/>
    <w:rsid w:val="409F5F96"/>
    <w:rsid w:val="40A35A86"/>
    <w:rsid w:val="40A47A7F"/>
    <w:rsid w:val="40A62E81"/>
    <w:rsid w:val="40A8032A"/>
    <w:rsid w:val="40A96C03"/>
    <w:rsid w:val="40AB2127"/>
    <w:rsid w:val="40B0088E"/>
    <w:rsid w:val="40B7533C"/>
    <w:rsid w:val="40BE641C"/>
    <w:rsid w:val="40D21EC7"/>
    <w:rsid w:val="40D7128C"/>
    <w:rsid w:val="40D75730"/>
    <w:rsid w:val="40D914A8"/>
    <w:rsid w:val="40DE6ABE"/>
    <w:rsid w:val="40E47938"/>
    <w:rsid w:val="40F06097"/>
    <w:rsid w:val="40F5588E"/>
    <w:rsid w:val="40F63E08"/>
    <w:rsid w:val="40FB5959"/>
    <w:rsid w:val="40FE4A6B"/>
    <w:rsid w:val="41032081"/>
    <w:rsid w:val="410905BE"/>
    <w:rsid w:val="410F0A26"/>
    <w:rsid w:val="411C2E5F"/>
    <w:rsid w:val="41230975"/>
    <w:rsid w:val="412344D1"/>
    <w:rsid w:val="412511BE"/>
    <w:rsid w:val="41265D6F"/>
    <w:rsid w:val="412D5350"/>
    <w:rsid w:val="41362456"/>
    <w:rsid w:val="413B5CBF"/>
    <w:rsid w:val="413C51C4"/>
    <w:rsid w:val="413E57AF"/>
    <w:rsid w:val="41410DFB"/>
    <w:rsid w:val="4142704D"/>
    <w:rsid w:val="414D59F2"/>
    <w:rsid w:val="415154E2"/>
    <w:rsid w:val="41605725"/>
    <w:rsid w:val="416074D3"/>
    <w:rsid w:val="41614FF9"/>
    <w:rsid w:val="4162324B"/>
    <w:rsid w:val="41650F8E"/>
    <w:rsid w:val="416833D5"/>
    <w:rsid w:val="41686D85"/>
    <w:rsid w:val="416949B2"/>
    <w:rsid w:val="416A0352"/>
    <w:rsid w:val="416E7E42"/>
    <w:rsid w:val="41774C8D"/>
    <w:rsid w:val="417B255F"/>
    <w:rsid w:val="417E5BAB"/>
    <w:rsid w:val="41814045"/>
    <w:rsid w:val="418238EE"/>
    <w:rsid w:val="419C7450"/>
    <w:rsid w:val="41A46002"/>
    <w:rsid w:val="41A73354"/>
    <w:rsid w:val="41A82C28"/>
    <w:rsid w:val="41B15F81"/>
    <w:rsid w:val="41B166E0"/>
    <w:rsid w:val="41B34253"/>
    <w:rsid w:val="41B71AC5"/>
    <w:rsid w:val="41C061C4"/>
    <w:rsid w:val="41C51A2C"/>
    <w:rsid w:val="41C72E85"/>
    <w:rsid w:val="41C77552"/>
    <w:rsid w:val="41CC6917"/>
    <w:rsid w:val="41CE6B33"/>
    <w:rsid w:val="41D028AB"/>
    <w:rsid w:val="41D1217F"/>
    <w:rsid w:val="41D214FA"/>
    <w:rsid w:val="41D57EC1"/>
    <w:rsid w:val="41DE4C7E"/>
    <w:rsid w:val="41E9571B"/>
    <w:rsid w:val="41F23423"/>
    <w:rsid w:val="41F52311"/>
    <w:rsid w:val="41FA08E5"/>
    <w:rsid w:val="41FA16D6"/>
    <w:rsid w:val="42002A64"/>
    <w:rsid w:val="42003016"/>
    <w:rsid w:val="4200449D"/>
    <w:rsid w:val="42004812"/>
    <w:rsid w:val="42024A2E"/>
    <w:rsid w:val="42032408"/>
    <w:rsid w:val="42075BA1"/>
    <w:rsid w:val="42091919"/>
    <w:rsid w:val="42097B6B"/>
    <w:rsid w:val="420E5181"/>
    <w:rsid w:val="420E6F2F"/>
    <w:rsid w:val="421309EA"/>
    <w:rsid w:val="4214291C"/>
    <w:rsid w:val="4215200D"/>
    <w:rsid w:val="42156510"/>
    <w:rsid w:val="4219272D"/>
    <w:rsid w:val="421A1D78"/>
    <w:rsid w:val="421B789E"/>
    <w:rsid w:val="421F738E"/>
    <w:rsid w:val="42224789"/>
    <w:rsid w:val="422406F0"/>
    <w:rsid w:val="422A188F"/>
    <w:rsid w:val="422E137F"/>
    <w:rsid w:val="422E5823"/>
    <w:rsid w:val="423105CF"/>
    <w:rsid w:val="42312C1E"/>
    <w:rsid w:val="423618CA"/>
    <w:rsid w:val="42366486"/>
    <w:rsid w:val="423A3BCC"/>
    <w:rsid w:val="423A41C8"/>
    <w:rsid w:val="423A5D78"/>
    <w:rsid w:val="423A7D24"/>
    <w:rsid w:val="423D5A66"/>
    <w:rsid w:val="424B2098"/>
    <w:rsid w:val="424D161D"/>
    <w:rsid w:val="424E57D2"/>
    <w:rsid w:val="42511AB0"/>
    <w:rsid w:val="42641188"/>
    <w:rsid w:val="4267663F"/>
    <w:rsid w:val="426F05EA"/>
    <w:rsid w:val="426F4D10"/>
    <w:rsid w:val="427402EE"/>
    <w:rsid w:val="42764AD5"/>
    <w:rsid w:val="42815953"/>
    <w:rsid w:val="42862F6A"/>
    <w:rsid w:val="42873FC2"/>
    <w:rsid w:val="42876CE2"/>
    <w:rsid w:val="42892A5A"/>
    <w:rsid w:val="428B1739"/>
    <w:rsid w:val="428D254A"/>
    <w:rsid w:val="4292190E"/>
    <w:rsid w:val="42925DB2"/>
    <w:rsid w:val="42933A16"/>
    <w:rsid w:val="42935686"/>
    <w:rsid w:val="42967273"/>
    <w:rsid w:val="42975177"/>
    <w:rsid w:val="42A11B51"/>
    <w:rsid w:val="42A17DA3"/>
    <w:rsid w:val="42A6360C"/>
    <w:rsid w:val="42A71E54"/>
    <w:rsid w:val="42AA5C01"/>
    <w:rsid w:val="42AB6724"/>
    <w:rsid w:val="42AF01B5"/>
    <w:rsid w:val="42AF7E87"/>
    <w:rsid w:val="42B07FE6"/>
    <w:rsid w:val="42B26C49"/>
    <w:rsid w:val="42B26FF9"/>
    <w:rsid w:val="42B75819"/>
    <w:rsid w:val="42B775C7"/>
    <w:rsid w:val="42BC698B"/>
    <w:rsid w:val="42C02DCF"/>
    <w:rsid w:val="42C27D1A"/>
    <w:rsid w:val="42C61BE0"/>
    <w:rsid w:val="42C817D4"/>
    <w:rsid w:val="42D261AF"/>
    <w:rsid w:val="42D60722"/>
    <w:rsid w:val="42D75573"/>
    <w:rsid w:val="42DA32B5"/>
    <w:rsid w:val="42DD4DF7"/>
    <w:rsid w:val="42DE0FF8"/>
    <w:rsid w:val="42E303BC"/>
    <w:rsid w:val="42E3660E"/>
    <w:rsid w:val="42E47C90"/>
    <w:rsid w:val="42E876B7"/>
    <w:rsid w:val="42F02E45"/>
    <w:rsid w:val="42F56341"/>
    <w:rsid w:val="42F73E67"/>
    <w:rsid w:val="42FB31B0"/>
    <w:rsid w:val="42FF23C7"/>
    <w:rsid w:val="43002ED1"/>
    <w:rsid w:val="43034564"/>
    <w:rsid w:val="430567FD"/>
    <w:rsid w:val="43087E22"/>
    <w:rsid w:val="430976F7"/>
    <w:rsid w:val="430A1DED"/>
    <w:rsid w:val="430D5439"/>
    <w:rsid w:val="430E3B7E"/>
    <w:rsid w:val="43140869"/>
    <w:rsid w:val="43175059"/>
    <w:rsid w:val="43192030"/>
    <w:rsid w:val="431A7B56"/>
    <w:rsid w:val="432033BE"/>
    <w:rsid w:val="4320516C"/>
    <w:rsid w:val="43217136"/>
    <w:rsid w:val="432B321D"/>
    <w:rsid w:val="433248AC"/>
    <w:rsid w:val="43340C18"/>
    <w:rsid w:val="43342860"/>
    <w:rsid w:val="43382492"/>
    <w:rsid w:val="433A6FE6"/>
    <w:rsid w:val="43454BD3"/>
    <w:rsid w:val="43456981"/>
    <w:rsid w:val="43480868"/>
    <w:rsid w:val="434E3BCE"/>
    <w:rsid w:val="434F5A51"/>
    <w:rsid w:val="4350713C"/>
    <w:rsid w:val="43513F91"/>
    <w:rsid w:val="4352109E"/>
    <w:rsid w:val="43544FFA"/>
    <w:rsid w:val="4356711C"/>
    <w:rsid w:val="435766B4"/>
    <w:rsid w:val="43593652"/>
    <w:rsid w:val="435E5C94"/>
    <w:rsid w:val="43617533"/>
    <w:rsid w:val="436653E0"/>
    <w:rsid w:val="43737646"/>
    <w:rsid w:val="43741A13"/>
    <w:rsid w:val="43747266"/>
    <w:rsid w:val="43761230"/>
    <w:rsid w:val="43811FD9"/>
    <w:rsid w:val="438356FB"/>
    <w:rsid w:val="43850656"/>
    <w:rsid w:val="43881319"/>
    <w:rsid w:val="438B3352"/>
    <w:rsid w:val="438D0AD9"/>
    <w:rsid w:val="439148A0"/>
    <w:rsid w:val="4392593E"/>
    <w:rsid w:val="43957EDD"/>
    <w:rsid w:val="43996CCD"/>
    <w:rsid w:val="43A22025"/>
    <w:rsid w:val="43A23DD3"/>
    <w:rsid w:val="43A55671"/>
    <w:rsid w:val="43A713E9"/>
    <w:rsid w:val="43A7763B"/>
    <w:rsid w:val="43A833A7"/>
    <w:rsid w:val="43AA2C88"/>
    <w:rsid w:val="43AE09CA"/>
    <w:rsid w:val="43B136C5"/>
    <w:rsid w:val="43B35FE0"/>
    <w:rsid w:val="43B55CF6"/>
    <w:rsid w:val="43B90147"/>
    <w:rsid w:val="43B9111D"/>
    <w:rsid w:val="43BC73CC"/>
    <w:rsid w:val="43C27FD1"/>
    <w:rsid w:val="43C4431A"/>
    <w:rsid w:val="43C95804"/>
    <w:rsid w:val="43CE2E1A"/>
    <w:rsid w:val="43D052C3"/>
    <w:rsid w:val="43D13C70"/>
    <w:rsid w:val="43D146B8"/>
    <w:rsid w:val="43DF729C"/>
    <w:rsid w:val="43E4263E"/>
    <w:rsid w:val="43E443EC"/>
    <w:rsid w:val="43E77A38"/>
    <w:rsid w:val="43E96A97"/>
    <w:rsid w:val="43E97C54"/>
    <w:rsid w:val="43EF3098"/>
    <w:rsid w:val="43F16B09"/>
    <w:rsid w:val="43F403A7"/>
    <w:rsid w:val="43FD725B"/>
    <w:rsid w:val="44020D16"/>
    <w:rsid w:val="44044A8E"/>
    <w:rsid w:val="44071E88"/>
    <w:rsid w:val="4409050C"/>
    <w:rsid w:val="44095C00"/>
    <w:rsid w:val="440E1469"/>
    <w:rsid w:val="440E3217"/>
    <w:rsid w:val="440F51E1"/>
    <w:rsid w:val="44163D42"/>
    <w:rsid w:val="441822E7"/>
    <w:rsid w:val="441B20B5"/>
    <w:rsid w:val="442B201A"/>
    <w:rsid w:val="443133A9"/>
    <w:rsid w:val="44333F20"/>
    <w:rsid w:val="443B7D84"/>
    <w:rsid w:val="443C791C"/>
    <w:rsid w:val="443D3AFC"/>
    <w:rsid w:val="443F7874"/>
    <w:rsid w:val="44415E48"/>
    <w:rsid w:val="44507CD3"/>
    <w:rsid w:val="445157F9"/>
    <w:rsid w:val="44550E45"/>
    <w:rsid w:val="445552E9"/>
    <w:rsid w:val="44557097"/>
    <w:rsid w:val="44562E10"/>
    <w:rsid w:val="445D2C4C"/>
    <w:rsid w:val="445D419E"/>
    <w:rsid w:val="446077EA"/>
    <w:rsid w:val="446472DA"/>
    <w:rsid w:val="4467501D"/>
    <w:rsid w:val="446E41DB"/>
    <w:rsid w:val="44784B34"/>
    <w:rsid w:val="447B6CBF"/>
    <w:rsid w:val="447D3140"/>
    <w:rsid w:val="447D65EE"/>
    <w:rsid w:val="44823C05"/>
    <w:rsid w:val="44833F45"/>
    <w:rsid w:val="4484797D"/>
    <w:rsid w:val="44883994"/>
    <w:rsid w:val="44954BE2"/>
    <w:rsid w:val="449776B0"/>
    <w:rsid w:val="449A2CFC"/>
    <w:rsid w:val="449C6A74"/>
    <w:rsid w:val="44A4014A"/>
    <w:rsid w:val="44A818BD"/>
    <w:rsid w:val="44AD0C81"/>
    <w:rsid w:val="44AF063D"/>
    <w:rsid w:val="44B042CE"/>
    <w:rsid w:val="44B322EB"/>
    <w:rsid w:val="44B33682"/>
    <w:rsid w:val="44B71B00"/>
    <w:rsid w:val="44B951CC"/>
    <w:rsid w:val="44BA6EFA"/>
    <w:rsid w:val="44BD4C3D"/>
    <w:rsid w:val="44C22253"/>
    <w:rsid w:val="44C61D43"/>
    <w:rsid w:val="44CD14E0"/>
    <w:rsid w:val="44D3620E"/>
    <w:rsid w:val="44D97794"/>
    <w:rsid w:val="44E16B7D"/>
    <w:rsid w:val="44EF214B"/>
    <w:rsid w:val="44F20B0B"/>
    <w:rsid w:val="44F22B38"/>
    <w:rsid w:val="44F52A14"/>
    <w:rsid w:val="44F763A1"/>
    <w:rsid w:val="44F85C75"/>
    <w:rsid w:val="44FD328B"/>
    <w:rsid w:val="44FD4E49"/>
    <w:rsid w:val="44FE01D0"/>
    <w:rsid w:val="45014B29"/>
    <w:rsid w:val="45091180"/>
    <w:rsid w:val="450A60D4"/>
    <w:rsid w:val="450D34CE"/>
    <w:rsid w:val="450D7972"/>
    <w:rsid w:val="45104875"/>
    <w:rsid w:val="451505D5"/>
    <w:rsid w:val="45156827"/>
    <w:rsid w:val="4517259F"/>
    <w:rsid w:val="452456FB"/>
    <w:rsid w:val="452457E1"/>
    <w:rsid w:val="45260A34"/>
    <w:rsid w:val="4527538D"/>
    <w:rsid w:val="45281299"/>
    <w:rsid w:val="45282D3D"/>
    <w:rsid w:val="45283F0A"/>
    <w:rsid w:val="452934C8"/>
    <w:rsid w:val="452A22D2"/>
    <w:rsid w:val="452E1696"/>
    <w:rsid w:val="452E5F4C"/>
    <w:rsid w:val="452F5B3A"/>
    <w:rsid w:val="45341762"/>
    <w:rsid w:val="453749EF"/>
    <w:rsid w:val="45392515"/>
    <w:rsid w:val="453B6E23"/>
    <w:rsid w:val="453C0257"/>
    <w:rsid w:val="453E73B1"/>
    <w:rsid w:val="454150D7"/>
    <w:rsid w:val="45430D6A"/>
    <w:rsid w:val="454772C6"/>
    <w:rsid w:val="454B1957"/>
    <w:rsid w:val="454D5FC1"/>
    <w:rsid w:val="4550160D"/>
    <w:rsid w:val="455530C7"/>
    <w:rsid w:val="45561319"/>
    <w:rsid w:val="45605CF4"/>
    <w:rsid w:val="45612018"/>
    <w:rsid w:val="45630354"/>
    <w:rsid w:val="456417E4"/>
    <w:rsid w:val="45682DFA"/>
    <w:rsid w:val="456A6AE6"/>
    <w:rsid w:val="45736A5E"/>
    <w:rsid w:val="457479F1"/>
    <w:rsid w:val="45765517"/>
    <w:rsid w:val="457E43CC"/>
    <w:rsid w:val="45800144"/>
    <w:rsid w:val="45806396"/>
    <w:rsid w:val="45835E86"/>
    <w:rsid w:val="45837C34"/>
    <w:rsid w:val="45842EF3"/>
    <w:rsid w:val="4588349D"/>
    <w:rsid w:val="458946E9"/>
    <w:rsid w:val="458A2D71"/>
    <w:rsid w:val="458A4B1F"/>
    <w:rsid w:val="458F0387"/>
    <w:rsid w:val="45907773"/>
    <w:rsid w:val="4597548E"/>
    <w:rsid w:val="4597723C"/>
    <w:rsid w:val="45977B3E"/>
    <w:rsid w:val="459B4F7E"/>
    <w:rsid w:val="45A1630C"/>
    <w:rsid w:val="45A47C0E"/>
    <w:rsid w:val="45A57BAB"/>
    <w:rsid w:val="45A71B75"/>
    <w:rsid w:val="45A948BD"/>
    <w:rsid w:val="45AB2901"/>
    <w:rsid w:val="45B15BFD"/>
    <w:rsid w:val="45B778DE"/>
    <w:rsid w:val="45B846D6"/>
    <w:rsid w:val="45B85B30"/>
    <w:rsid w:val="45B93C95"/>
    <w:rsid w:val="45BB117C"/>
    <w:rsid w:val="45BC4EF4"/>
    <w:rsid w:val="45BD3146"/>
    <w:rsid w:val="45BD6059"/>
    <w:rsid w:val="45BD781E"/>
    <w:rsid w:val="45BE2A1A"/>
    <w:rsid w:val="45C049E4"/>
    <w:rsid w:val="45C06DCD"/>
    <w:rsid w:val="45C33B2E"/>
    <w:rsid w:val="45C5024D"/>
    <w:rsid w:val="45C76B48"/>
    <w:rsid w:val="45C94ACE"/>
    <w:rsid w:val="45CA7611"/>
    <w:rsid w:val="45D67D64"/>
    <w:rsid w:val="45D75738"/>
    <w:rsid w:val="45DD5596"/>
    <w:rsid w:val="45E26EE2"/>
    <w:rsid w:val="45E52BA0"/>
    <w:rsid w:val="45E65F8C"/>
    <w:rsid w:val="45E701C3"/>
    <w:rsid w:val="45EA6BA0"/>
    <w:rsid w:val="45ED3300"/>
    <w:rsid w:val="45EE5D4A"/>
    <w:rsid w:val="45F27B2F"/>
    <w:rsid w:val="45FB5A1D"/>
    <w:rsid w:val="46004DE1"/>
    <w:rsid w:val="46032BDA"/>
    <w:rsid w:val="460348D1"/>
    <w:rsid w:val="460F3619"/>
    <w:rsid w:val="461314FA"/>
    <w:rsid w:val="46170428"/>
    <w:rsid w:val="46184820"/>
    <w:rsid w:val="46206CE3"/>
    <w:rsid w:val="462431C5"/>
    <w:rsid w:val="463333B8"/>
    <w:rsid w:val="46357180"/>
    <w:rsid w:val="46362EF9"/>
    <w:rsid w:val="46377DB5"/>
    <w:rsid w:val="463827CD"/>
    <w:rsid w:val="4638782E"/>
    <w:rsid w:val="463902F3"/>
    <w:rsid w:val="46392332"/>
    <w:rsid w:val="463C0D22"/>
    <w:rsid w:val="463D4287"/>
    <w:rsid w:val="464367F4"/>
    <w:rsid w:val="46472A10"/>
    <w:rsid w:val="464A0752"/>
    <w:rsid w:val="464D6B93"/>
    <w:rsid w:val="464E1FF0"/>
    <w:rsid w:val="46541B0B"/>
    <w:rsid w:val="46577FD6"/>
    <w:rsid w:val="465869CB"/>
    <w:rsid w:val="46592743"/>
    <w:rsid w:val="465A0995"/>
    <w:rsid w:val="46682A68"/>
    <w:rsid w:val="46687C2D"/>
    <w:rsid w:val="467849A8"/>
    <w:rsid w:val="467A1037"/>
    <w:rsid w:val="467A2DE5"/>
    <w:rsid w:val="46845B8C"/>
    <w:rsid w:val="4685178A"/>
    <w:rsid w:val="46853ACF"/>
    <w:rsid w:val="468C0D6B"/>
    <w:rsid w:val="468C2B19"/>
    <w:rsid w:val="468C48C7"/>
    <w:rsid w:val="469320F9"/>
    <w:rsid w:val="469556B5"/>
    <w:rsid w:val="469618BE"/>
    <w:rsid w:val="469A3487"/>
    <w:rsid w:val="469A5235"/>
    <w:rsid w:val="469F284C"/>
    <w:rsid w:val="46B207D1"/>
    <w:rsid w:val="46B9427F"/>
    <w:rsid w:val="46BA1434"/>
    <w:rsid w:val="46BD0F24"/>
    <w:rsid w:val="46BD7176"/>
    <w:rsid w:val="46C459CB"/>
    <w:rsid w:val="46C91677"/>
    <w:rsid w:val="46CD0AAD"/>
    <w:rsid w:val="46CF1F1B"/>
    <w:rsid w:val="46D52711"/>
    <w:rsid w:val="46D5626E"/>
    <w:rsid w:val="46D85D5E"/>
    <w:rsid w:val="46D955A7"/>
    <w:rsid w:val="46DC2BC3"/>
    <w:rsid w:val="46DE46FC"/>
    <w:rsid w:val="46E110B6"/>
    <w:rsid w:val="46E14A18"/>
    <w:rsid w:val="46E44703"/>
    <w:rsid w:val="46E62229"/>
    <w:rsid w:val="46ED2A16"/>
    <w:rsid w:val="46EE732F"/>
    <w:rsid w:val="46F10183"/>
    <w:rsid w:val="46F32B98"/>
    <w:rsid w:val="46F661E4"/>
    <w:rsid w:val="46F96400"/>
    <w:rsid w:val="470628CB"/>
    <w:rsid w:val="4707219F"/>
    <w:rsid w:val="47107CA8"/>
    <w:rsid w:val="47123CBB"/>
    <w:rsid w:val="47133957"/>
    <w:rsid w:val="471425D5"/>
    <w:rsid w:val="471A45C8"/>
    <w:rsid w:val="471D319C"/>
    <w:rsid w:val="47226FD9"/>
    <w:rsid w:val="47262F6D"/>
    <w:rsid w:val="47266AC9"/>
    <w:rsid w:val="47280D7A"/>
    <w:rsid w:val="472B0583"/>
    <w:rsid w:val="472D6C38"/>
    <w:rsid w:val="473311D8"/>
    <w:rsid w:val="47332F94"/>
    <w:rsid w:val="47347438"/>
    <w:rsid w:val="473867FC"/>
    <w:rsid w:val="473A07C7"/>
    <w:rsid w:val="473C453F"/>
    <w:rsid w:val="47462CC7"/>
    <w:rsid w:val="474A6C5C"/>
    <w:rsid w:val="474D6E84"/>
    <w:rsid w:val="475950F1"/>
    <w:rsid w:val="475E0317"/>
    <w:rsid w:val="47637D1D"/>
    <w:rsid w:val="47653A95"/>
    <w:rsid w:val="4766336A"/>
    <w:rsid w:val="476B0980"/>
    <w:rsid w:val="476B4E24"/>
    <w:rsid w:val="47723ABC"/>
    <w:rsid w:val="47766090"/>
    <w:rsid w:val="477C493B"/>
    <w:rsid w:val="477D3257"/>
    <w:rsid w:val="477E4B57"/>
    <w:rsid w:val="477F442B"/>
    <w:rsid w:val="478236BD"/>
    <w:rsid w:val="478A52AA"/>
    <w:rsid w:val="478D3B1B"/>
    <w:rsid w:val="478D4D9A"/>
    <w:rsid w:val="47946129"/>
    <w:rsid w:val="47951C32"/>
    <w:rsid w:val="479954ED"/>
    <w:rsid w:val="479E6FA7"/>
    <w:rsid w:val="47A07E0C"/>
    <w:rsid w:val="47A9327A"/>
    <w:rsid w:val="47AB6FCE"/>
    <w:rsid w:val="47AD2D46"/>
    <w:rsid w:val="47B440D5"/>
    <w:rsid w:val="47B642F1"/>
    <w:rsid w:val="47B6609F"/>
    <w:rsid w:val="47B70069"/>
    <w:rsid w:val="47B916EB"/>
    <w:rsid w:val="47BB13E2"/>
    <w:rsid w:val="47BB3BD1"/>
    <w:rsid w:val="47BE31A6"/>
    <w:rsid w:val="47BE41C3"/>
    <w:rsid w:val="47C41755"/>
    <w:rsid w:val="47C81D20"/>
    <w:rsid w:val="47C85858"/>
    <w:rsid w:val="47CA56A6"/>
    <w:rsid w:val="47CB7671"/>
    <w:rsid w:val="47CD163B"/>
    <w:rsid w:val="47CD33E9"/>
    <w:rsid w:val="47D049EE"/>
    <w:rsid w:val="47D215BA"/>
    <w:rsid w:val="47D46AAB"/>
    <w:rsid w:val="47E50732"/>
    <w:rsid w:val="47EF335F"/>
    <w:rsid w:val="47F24BFD"/>
    <w:rsid w:val="47FB61A8"/>
    <w:rsid w:val="47FC5A7C"/>
    <w:rsid w:val="47FD4456"/>
    <w:rsid w:val="48027536"/>
    <w:rsid w:val="48036E0A"/>
    <w:rsid w:val="480908C5"/>
    <w:rsid w:val="480D2FE1"/>
    <w:rsid w:val="48116925"/>
    <w:rsid w:val="48137627"/>
    <w:rsid w:val="481E1E96"/>
    <w:rsid w:val="481E3EC7"/>
    <w:rsid w:val="48233009"/>
    <w:rsid w:val="482640F1"/>
    <w:rsid w:val="48314C29"/>
    <w:rsid w:val="483446AC"/>
    <w:rsid w:val="483920A2"/>
    <w:rsid w:val="483E35A8"/>
    <w:rsid w:val="48450A26"/>
    <w:rsid w:val="48451656"/>
    <w:rsid w:val="48455675"/>
    <w:rsid w:val="484C6A03"/>
    <w:rsid w:val="484F02A2"/>
    <w:rsid w:val="48541414"/>
    <w:rsid w:val="48552861"/>
    <w:rsid w:val="485D476D"/>
    <w:rsid w:val="48677399"/>
    <w:rsid w:val="486B40A6"/>
    <w:rsid w:val="486E0728"/>
    <w:rsid w:val="4870272E"/>
    <w:rsid w:val="48710218"/>
    <w:rsid w:val="487321E2"/>
    <w:rsid w:val="48790E7B"/>
    <w:rsid w:val="487D096B"/>
    <w:rsid w:val="4882187E"/>
    <w:rsid w:val="4884619D"/>
    <w:rsid w:val="488937B4"/>
    <w:rsid w:val="488A3088"/>
    <w:rsid w:val="488C5052"/>
    <w:rsid w:val="489363E0"/>
    <w:rsid w:val="48967C7F"/>
    <w:rsid w:val="489839F7"/>
    <w:rsid w:val="489B5295"/>
    <w:rsid w:val="48A018E9"/>
    <w:rsid w:val="48A44149"/>
    <w:rsid w:val="48A64365"/>
    <w:rsid w:val="48A650E5"/>
    <w:rsid w:val="48AE3D5B"/>
    <w:rsid w:val="48AE3F11"/>
    <w:rsid w:val="48AE418F"/>
    <w:rsid w:val="48AE4FC8"/>
    <w:rsid w:val="48AE6D76"/>
    <w:rsid w:val="48B325DE"/>
    <w:rsid w:val="48B766CE"/>
    <w:rsid w:val="48BA396D"/>
    <w:rsid w:val="48BD6383"/>
    <w:rsid w:val="48C06AA9"/>
    <w:rsid w:val="48C20A74"/>
    <w:rsid w:val="48C540C0"/>
    <w:rsid w:val="48C7608A"/>
    <w:rsid w:val="48CE11C6"/>
    <w:rsid w:val="48CF2302"/>
    <w:rsid w:val="48D569F9"/>
    <w:rsid w:val="48D934F2"/>
    <w:rsid w:val="48DA400F"/>
    <w:rsid w:val="48DD765B"/>
    <w:rsid w:val="48DF33D4"/>
    <w:rsid w:val="48DF3E68"/>
    <w:rsid w:val="48E00EFA"/>
    <w:rsid w:val="48E376BD"/>
    <w:rsid w:val="48E409EA"/>
    <w:rsid w:val="48E56510"/>
    <w:rsid w:val="48EA3B26"/>
    <w:rsid w:val="48EC5AF0"/>
    <w:rsid w:val="48F03833"/>
    <w:rsid w:val="48F14EB5"/>
    <w:rsid w:val="48F549A5"/>
    <w:rsid w:val="48F75C9D"/>
    <w:rsid w:val="48FA1FBB"/>
    <w:rsid w:val="48FD7704"/>
    <w:rsid w:val="49003680"/>
    <w:rsid w:val="49057F53"/>
    <w:rsid w:val="490E1F0B"/>
    <w:rsid w:val="49105C83"/>
    <w:rsid w:val="491868E5"/>
    <w:rsid w:val="491A265E"/>
    <w:rsid w:val="491D3EFC"/>
    <w:rsid w:val="491D5CAA"/>
    <w:rsid w:val="491F1A22"/>
    <w:rsid w:val="49210164"/>
    <w:rsid w:val="492139EC"/>
    <w:rsid w:val="49247038"/>
    <w:rsid w:val="49296D45"/>
    <w:rsid w:val="49301F00"/>
    <w:rsid w:val="49373210"/>
    <w:rsid w:val="49415E3C"/>
    <w:rsid w:val="494616A5"/>
    <w:rsid w:val="49492F43"/>
    <w:rsid w:val="494B45BD"/>
    <w:rsid w:val="494D2A33"/>
    <w:rsid w:val="494D47E1"/>
    <w:rsid w:val="49553367"/>
    <w:rsid w:val="495F0B5E"/>
    <w:rsid w:val="495F2766"/>
    <w:rsid w:val="49663AF5"/>
    <w:rsid w:val="496658A3"/>
    <w:rsid w:val="496E6505"/>
    <w:rsid w:val="49706721"/>
    <w:rsid w:val="4972249A"/>
    <w:rsid w:val="49746212"/>
    <w:rsid w:val="49777AB0"/>
    <w:rsid w:val="497A4025"/>
    <w:rsid w:val="497F6965"/>
    <w:rsid w:val="49831FB1"/>
    <w:rsid w:val="498872D5"/>
    <w:rsid w:val="4989333F"/>
    <w:rsid w:val="498B70B7"/>
    <w:rsid w:val="498B765A"/>
    <w:rsid w:val="498D72D3"/>
    <w:rsid w:val="498F64FC"/>
    <w:rsid w:val="49957F36"/>
    <w:rsid w:val="49995C78"/>
    <w:rsid w:val="499B35D6"/>
    <w:rsid w:val="49AD4CB7"/>
    <w:rsid w:val="49AF43A5"/>
    <w:rsid w:val="49AF724A"/>
    <w:rsid w:val="49B06B1E"/>
    <w:rsid w:val="49B26D3A"/>
    <w:rsid w:val="49B35B03"/>
    <w:rsid w:val="49B605D8"/>
    <w:rsid w:val="49C10D2B"/>
    <w:rsid w:val="49C1417A"/>
    <w:rsid w:val="49C83E68"/>
    <w:rsid w:val="49CD711E"/>
    <w:rsid w:val="49D22F38"/>
    <w:rsid w:val="49D4280C"/>
    <w:rsid w:val="49D60664"/>
    <w:rsid w:val="49D767A1"/>
    <w:rsid w:val="49DA3B9B"/>
    <w:rsid w:val="49DC3DB7"/>
    <w:rsid w:val="49DC5B65"/>
    <w:rsid w:val="49DC7715"/>
    <w:rsid w:val="49DD6CEF"/>
    <w:rsid w:val="49E50796"/>
    <w:rsid w:val="49E54A1A"/>
    <w:rsid w:val="49EC3FFA"/>
    <w:rsid w:val="49ED38CE"/>
    <w:rsid w:val="49ED7D72"/>
    <w:rsid w:val="49EF3AEA"/>
    <w:rsid w:val="49F25388"/>
    <w:rsid w:val="49F2A5D1"/>
    <w:rsid w:val="49F80645"/>
    <w:rsid w:val="49FC1B85"/>
    <w:rsid w:val="4A023139"/>
    <w:rsid w:val="4A027CAE"/>
    <w:rsid w:val="4A0C796C"/>
    <w:rsid w:val="4A0F7CE8"/>
    <w:rsid w:val="4A11580F"/>
    <w:rsid w:val="4A1452FF"/>
    <w:rsid w:val="4A1470AD"/>
    <w:rsid w:val="4A166124"/>
    <w:rsid w:val="4A1A7619"/>
    <w:rsid w:val="4A1E3B7D"/>
    <w:rsid w:val="4A205A52"/>
    <w:rsid w:val="4A2117CA"/>
    <w:rsid w:val="4A2512BA"/>
    <w:rsid w:val="4A286FFC"/>
    <w:rsid w:val="4A2D63C1"/>
    <w:rsid w:val="4A2E583B"/>
    <w:rsid w:val="4A2F6CCB"/>
    <w:rsid w:val="4A317C5F"/>
    <w:rsid w:val="4A325785"/>
    <w:rsid w:val="4A331C29"/>
    <w:rsid w:val="4A3418FC"/>
    <w:rsid w:val="4A353DE2"/>
    <w:rsid w:val="4A365275"/>
    <w:rsid w:val="4A377BCE"/>
    <w:rsid w:val="4A39294E"/>
    <w:rsid w:val="4A3B288C"/>
    <w:rsid w:val="4A3C6604"/>
    <w:rsid w:val="4A3D4856"/>
    <w:rsid w:val="4A3E672A"/>
    <w:rsid w:val="4A503FC5"/>
    <w:rsid w:val="4A565917"/>
    <w:rsid w:val="4A5A1C87"/>
    <w:rsid w:val="4A5A209F"/>
    <w:rsid w:val="4A69389D"/>
    <w:rsid w:val="4A696166"/>
    <w:rsid w:val="4A6E0EB3"/>
    <w:rsid w:val="4A722025"/>
    <w:rsid w:val="4A7B576F"/>
    <w:rsid w:val="4A7E7653"/>
    <w:rsid w:val="4A8561FD"/>
    <w:rsid w:val="4A871F75"/>
    <w:rsid w:val="4A881849"/>
    <w:rsid w:val="4A8E0642"/>
    <w:rsid w:val="4A8E50B1"/>
    <w:rsid w:val="4A916094"/>
    <w:rsid w:val="4A934476"/>
    <w:rsid w:val="4A9621B8"/>
    <w:rsid w:val="4A965D14"/>
    <w:rsid w:val="4A995804"/>
    <w:rsid w:val="4A9B25E6"/>
    <w:rsid w:val="4A9D70A2"/>
    <w:rsid w:val="4A9F106C"/>
    <w:rsid w:val="4AA20B5D"/>
    <w:rsid w:val="4AA67AEA"/>
    <w:rsid w:val="4AA70E9B"/>
    <w:rsid w:val="4AA743C5"/>
    <w:rsid w:val="4AA8337A"/>
    <w:rsid w:val="4AAA7A11"/>
    <w:rsid w:val="4AAD2C76"/>
    <w:rsid w:val="4AB03279"/>
    <w:rsid w:val="4AB12B4E"/>
    <w:rsid w:val="4AB2387D"/>
    <w:rsid w:val="4AB34B18"/>
    <w:rsid w:val="4AB4263E"/>
    <w:rsid w:val="4AB50890"/>
    <w:rsid w:val="4AB60164"/>
    <w:rsid w:val="4ABA5EA6"/>
    <w:rsid w:val="4ABB39CC"/>
    <w:rsid w:val="4ABE2A8F"/>
    <w:rsid w:val="4AC82401"/>
    <w:rsid w:val="4AD351BA"/>
    <w:rsid w:val="4AD646BD"/>
    <w:rsid w:val="4ADD7DE7"/>
    <w:rsid w:val="4ADF3B5F"/>
    <w:rsid w:val="4AEC1C86"/>
    <w:rsid w:val="4AEC6043"/>
    <w:rsid w:val="4AEE3DA2"/>
    <w:rsid w:val="4AF313B8"/>
    <w:rsid w:val="4AF55130"/>
    <w:rsid w:val="4AF561A9"/>
    <w:rsid w:val="4B0215FB"/>
    <w:rsid w:val="4B0233A9"/>
    <w:rsid w:val="4B096611"/>
    <w:rsid w:val="4B0B4954"/>
    <w:rsid w:val="4B125CE2"/>
    <w:rsid w:val="4B137364"/>
    <w:rsid w:val="4B155BCD"/>
    <w:rsid w:val="4B217090"/>
    <w:rsid w:val="4B221912"/>
    <w:rsid w:val="4B223A4B"/>
    <w:rsid w:val="4B241572"/>
    <w:rsid w:val="4B2477C4"/>
    <w:rsid w:val="4B26353C"/>
    <w:rsid w:val="4B2B2900"/>
    <w:rsid w:val="4B2B6DA4"/>
    <w:rsid w:val="4B2F1727"/>
    <w:rsid w:val="4B332D80"/>
    <w:rsid w:val="4B3612A5"/>
    <w:rsid w:val="4B425E9C"/>
    <w:rsid w:val="4B465A28"/>
    <w:rsid w:val="4B4D50DC"/>
    <w:rsid w:val="4B531E57"/>
    <w:rsid w:val="4B5D6832"/>
    <w:rsid w:val="4B5F25AA"/>
    <w:rsid w:val="4B663938"/>
    <w:rsid w:val="4B66673A"/>
    <w:rsid w:val="4B683B54"/>
    <w:rsid w:val="4B6B5E13"/>
    <w:rsid w:val="4B700C5B"/>
    <w:rsid w:val="4B770C78"/>
    <w:rsid w:val="4B774B7B"/>
    <w:rsid w:val="4B8169C4"/>
    <w:rsid w:val="4B842C03"/>
    <w:rsid w:val="4B865D88"/>
    <w:rsid w:val="4B8E6AC5"/>
    <w:rsid w:val="4B906C07"/>
    <w:rsid w:val="4B92472D"/>
    <w:rsid w:val="4B967315"/>
    <w:rsid w:val="4B9A7A86"/>
    <w:rsid w:val="4B9C55AC"/>
    <w:rsid w:val="4BA10E14"/>
    <w:rsid w:val="4BA32DDE"/>
    <w:rsid w:val="4BA45417"/>
    <w:rsid w:val="4BA601D9"/>
    <w:rsid w:val="4BA95F1B"/>
    <w:rsid w:val="4BAF3531"/>
    <w:rsid w:val="4BB52B12"/>
    <w:rsid w:val="4BB5666E"/>
    <w:rsid w:val="4BB74194"/>
    <w:rsid w:val="4BBE31C1"/>
    <w:rsid w:val="4BC45398"/>
    <w:rsid w:val="4BC6087B"/>
    <w:rsid w:val="4BCA0873"/>
    <w:rsid w:val="4BCB3A93"/>
    <w:rsid w:val="4BCB7C3F"/>
    <w:rsid w:val="4BCC2EC1"/>
    <w:rsid w:val="4BCE0CA6"/>
    <w:rsid w:val="4BCF5981"/>
    <w:rsid w:val="4BD27220"/>
    <w:rsid w:val="4BD765E4"/>
    <w:rsid w:val="4BD846DB"/>
    <w:rsid w:val="4BD9235C"/>
    <w:rsid w:val="4BE156B5"/>
    <w:rsid w:val="4BE56F53"/>
    <w:rsid w:val="4BE8259F"/>
    <w:rsid w:val="4BED4059"/>
    <w:rsid w:val="4BED5E07"/>
    <w:rsid w:val="4BF0258E"/>
    <w:rsid w:val="4BF6376F"/>
    <w:rsid w:val="4BFA22D2"/>
    <w:rsid w:val="4BFB1538"/>
    <w:rsid w:val="4BFB49C8"/>
    <w:rsid w:val="4BFD0008"/>
    <w:rsid w:val="4BFE1DC3"/>
    <w:rsid w:val="4C0118B3"/>
    <w:rsid w:val="4C04492D"/>
    <w:rsid w:val="4C067384"/>
    <w:rsid w:val="4C120A00"/>
    <w:rsid w:val="4C121D12"/>
    <w:rsid w:val="4C123AC0"/>
    <w:rsid w:val="4C15535E"/>
    <w:rsid w:val="4C15710C"/>
    <w:rsid w:val="4C172E84"/>
    <w:rsid w:val="4C1B4ECE"/>
    <w:rsid w:val="4C1B6C8A"/>
    <w:rsid w:val="4C1C66ED"/>
    <w:rsid w:val="4C2555A1"/>
    <w:rsid w:val="4C261319"/>
    <w:rsid w:val="4C2849DE"/>
    <w:rsid w:val="4C2856A9"/>
    <w:rsid w:val="4C2D08FA"/>
    <w:rsid w:val="4C325F10"/>
    <w:rsid w:val="4C343A36"/>
    <w:rsid w:val="4C3457E4"/>
    <w:rsid w:val="4C3677AE"/>
    <w:rsid w:val="4C4A0649"/>
    <w:rsid w:val="4C523EBC"/>
    <w:rsid w:val="4C583BC9"/>
    <w:rsid w:val="4C5900BC"/>
    <w:rsid w:val="4C593E5F"/>
    <w:rsid w:val="4C59524B"/>
    <w:rsid w:val="4C5E4F57"/>
    <w:rsid w:val="4C5F3F2E"/>
    <w:rsid w:val="4C63431C"/>
    <w:rsid w:val="4C6644FE"/>
    <w:rsid w:val="4C6F0F12"/>
    <w:rsid w:val="4C72630D"/>
    <w:rsid w:val="4C7327B1"/>
    <w:rsid w:val="4C7A3C5B"/>
    <w:rsid w:val="4C7D74B7"/>
    <w:rsid w:val="4C7E5ECA"/>
    <w:rsid w:val="4C7F0276"/>
    <w:rsid w:val="4C8449BE"/>
    <w:rsid w:val="4C866811"/>
    <w:rsid w:val="4C876AA5"/>
    <w:rsid w:val="4C885B30"/>
    <w:rsid w:val="4C891FD4"/>
    <w:rsid w:val="4C8A5D4C"/>
    <w:rsid w:val="4C8A7AFA"/>
    <w:rsid w:val="4C9036F0"/>
    <w:rsid w:val="4C944F10"/>
    <w:rsid w:val="4C9878A8"/>
    <w:rsid w:val="4C9D55D0"/>
    <w:rsid w:val="4CA13CE1"/>
    <w:rsid w:val="4CA24E44"/>
    <w:rsid w:val="4CA666C3"/>
    <w:rsid w:val="4CAA3CF8"/>
    <w:rsid w:val="4CAC181F"/>
    <w:rsid w:val="4CAF57B3"/>
    <w:rsid w:val="4CAF7775"/>
    <w:rsid w:val="4CB44B77"/>
    <w:rsid w:val="4CBC34BA"/>
    <w:rsid w:val="4CC27294"/>
    <w:rsid w:val="4CCA6149"/>
    <w:rsid w:val="4CCC3C6F"/>
    <w:rsid w:val="4CCE1B34"/>
    <w:rsid w:val="4CD15729"/>
    <w:rsid w:val="4CD6689C"/>
    <w:rsid w:val="4CDE39A2"/>
    <w:rsid w:val="4CDF7E46"/>
    <w:rsid w:val="4CE033AA"/>
    <w:rsid w:val="4CE0596C"/>
    <w:rsid w:val="4CE4545C"/>
    <w:rsid w:val="4CE4720A"/>
    <w:rsid w:val="4CE92A73"/>
    <w:rsid w:val="4CEA2347"/>
    <w:rsid w:val="4CEE4672"/>
    <w:rsid w:val="4CEE62DB"/>
    <w:rsid w:val="4CF379D6"/>
    <w:rsid w:val="4CF431C6"/>
    <w:rsid w:val="4CF65190"/>
    <w:rsid w:val="4D016BBA"/>
    <w:rsid w:val="4D021D86"/>
    <w:rsid w:val="4D023B34"/>
    <w:rsid w:val="4D0E00FB"/>
    <w:rsid w:val="4D0E72DC"/>
    <w:rsid w:val="4D176606"/>
    <w:rsid w:val="4D1B0752"/>
    <w:rsid w:val="4D1B2795"/>
    <w:rsid w:val="4D1C24AA"/>
    <w:rsid w:val="4D1D096E"/>
    <w:rsid w:val="4D203FBB"/>
    <w:rsid w:val="4D211BAD"/>
    <w:rsid w:val="4D225F85"/>
    <w:rsid w:val="4D245859"/>
    <w:rsid w:val="4D247C5E"/>
    <w:rsid w:val="4D294E0A"/>
    <w:rsid w:val="4D3637DE"/>
    <w:rsid w:val="4D36558C"/>
    <w:rsid w:val="4D3D2DBF"/>
    <w:rsid w:val="4D3D7270"/>
    <w:rsid w:val="4D412B24"/>
    <w:rsid w:val="4D447CA9"/>
    <w:rsid w:val="4D461C73"/>
    <w:rsid w:val="4D4E0B28"/>
    <w:rsid w:val="4D507F44"/>
    <w:rsid w:val="4D526B76"/>
    <w:rsid w:val="4D551EB6"/>
    <w:rsid w:val="4D5723F4"/>
    <w:rsid w:val="4D5C4B32"/>
    <w:rsid w:val="4D5F4AE3"/>
    <w:rsid w:val="4D6400CB"/>
    <w:rsid w:val="4D640BE2"/>
    <w:rsid w:val="4D6420F9"/>
    <w:rsid w:val="4D6B16DA"/>
    <w:rsid w:val="4D6B3488"/>
    <w:rsid w:val="4D6EBBA1"/>
    <w:rsid w:val="4D77007F"/>
    <w:rsid w:val="4D78714F"/>
    <w:rsid w:val="4D7B7443"/>
    <w:rsid w:val="4D7D34EC"/>
    <w:rsid w:val="4D7E765F"/>
    <w:rsid w:val="4D7F0CE1"/>
    <w:rsid w:val="4D810EFD"/>
    <w:rsid w:val="4D8207D1"/>
    <w:rsid w:val="4D834C75"/>
    <w:rsid w:val="4D87403A"/>
    <w:rsid w:val="4D8A2B2D"/>
    <w:rsid w:val="4D8A3126"/>
    <w:rsid w:val="4D8B1D7C"/>
    <w:rsid w:val="4D8D78A2"/>
    <w:rsid w:val="4D9046D4"/>
    <w:rsid w:val="4D924EB8"/>
    <w:rsid w:val="4D994499"/>
    <w:rsid w:val="4D9A3D6D"/>
    <w:rsid w:val="4D9C652B"/>
    <w:rsid w:val="4D9F6990"/>
    <w:rsid w:val="4DA370C6"/>
    <w:rsid w:val="4DA44BEC"/>
    <w:rsid w:val="4DA4699A"/>
    <w:rsid w:val="4DA60964"/>
    <w:rsid w:val="4DA62712"/>
    <w:rsid w:val="4DAB7D28"/>
    <w:rsid w:val="4DAD3AA0"/>
    <w:rsid w:val="4DB72B71"/>
    <w:rsid w:val="4DB7491F"/>
    <w:rsid w:val="4DB80270"/>
    <w:rsid w:val="4DB841F3"/>
    <w:rsid w:val="4DBC0187"/>
    <w:rsid w:val="4DBF1A26"/>
    <w:rsid w:val="4DBF37D4"/>
    <w:rsid w:val="4DBF5582"/>
    <w:rsid w:val="4DC332C4"/>
    <w:rsid w:val="4DC74CFA"/>
    <w:rsid w:val="4DCB2F70"/>
    <w:rsid w:val="4DCD5EF0"/>
    <w:rsid w:val="4DCE3A17"/>
    <w:rsid w:val="4DD566FC"/>
    <w:rsid w:val="4DD70268"/>
    <w:rsid w:val="4DD85F43"/>
    <w:rsid w:val="4DD94358"/>
    <w:rsid w:val="4DDD1B63"/>
    <w:rsid w:val="4DE218F6"/>
    <w:rsid w:val="4DE35714"/>
    <w:rsid w:val="4DEB45C9"/>
    <w:rsid w:val="4DEC4FB0"/>
    <w:rsid w:val="4DF65655"/>
    <w:rsid w:val="4DF70635"/>
    <w:rsid w:val="4DF711BF"/>
    <w:rsid w:val="4DF74D1B"/>
    <w:rsid w:val="4DFC67D6"/>
    <w:rsid w:val="4DFE60AA"/>
    <w:rsid w:val="4E0472EF"/>
    <w:rsid w:val="4E07507F"/>
    <w:rsid w:val="4E075D8A"/>
    <w:rsid w:val="4E086F29"/>
    <w:rsid w:val="4E092CA1"/>
    <w:rsid w:val="4E0C42A4"/>
    <w:rsid w:val="4E0D453F"/>
    <w:rsid w:val="4E125FF9"/>
    <w:rsid w:val="4E127DA7"/>
    <w:rsid w:val="4E173610"/>
    <w:rsid w:val="4E1C41B2"/>
    <w:rsid w:val="4E1C6E78"/>
    <w:rsid w:val="4E1E65C0"/>
    <w:rsid w:val="4E21448E"/>
    <w:rsid w:val="4E21623C"/>
    <w:rsid w:val="4E233CA5"/>
    <w:rsid w:val="4E26582F"/>
    <w:rsid w:val="4E296E9F"/>
    <w:rsid w:val="4E317D64"/>
    <w:rsid w:val="4E3B44DF"/>
    <w:rsid w:val="4E3E294A"/>
    <w:rsid w:val="4E47368F"/>
    <w:rsid w:val="4E4C27ED"/>
    <w:rsid w:val="4E51661F"/>
    <w:rsid w:val="4E54216E"/>
    <w:rsid w:val="4E5959D6"/>
    <w:rsid w:val="4E636855"/>
    <w:rsid w:val="4E6600F3"/>
    <w:rsid w:val="4E7505EB"/>
    <w:rsid w:val="4E7C114D"/>
    <w:rsid w:val="4E7C16C5"/>
    <w:rsid w:val="4E802420"/>
    <w:rsid w:val="4E832A53"/>
    <w:rsid w:val="4E8547F9"/>
    <w:rsid w:val="4E854A1D"/>
    <w:rsid w:val="4E872543"/>
    <w:rsid w:val="4E8F13F8"/>
    <w:rsid w:val="4E8F31A6"/>
    <w:rsid w:val="4E962786"/>
    <w:rsid w:val="4E9764FE"/>
    <w:rsid w:val="4E9B7300"/>
    <w:rsid w:val="4E9C0BC5"/>
    <w:rsid w:val="4E9D1D67"/>
    <w:rsid w:val="4EA01857"/>
    <w:rsid w:val="4EA76741"/>
    <w:rsid w:val="4EAD157E"/>
    <w:rsid w:val="4EAF703B"/>
    <w:rsid w:val="4EB1309C"/>
    <w:rsid w:val="4EBB043F"/>
    <w:rsid w:val="4EC00FAD"/>
    <w:rsid w:val="4EC46D8D"/>
    <w:rsid w:val="4ECA2430"/>
    <w:rsid w:val="4ECD1F20"/>
    <w:rsid w:val="4ED50D56"/>
    <w:rsid w:val="4ED67027"/>
    <w:rsid w:val="4ED82D9F"/>
    <w:rsid w:val="4EDA6255"/>
    <w:rsid w:val="4EDD3F5D"/>
    <w:rsid w:val="4EE007EF"/>
    <w:rsid w:val="4EE554BC"/>
    <w:rsid w:val="4EE80B08"/>
    <w:rsid w:val="4EE96D5A"/>
    <w:rsid w:val="4EEA0D24"/>
    <w:rsid w:val="4EEE2E16"/>
    <w:rsid w:val="4EF37BD9"/>
    <w:rsid w:val="4EF604CF"/>
    <w:rsid w:val="4EFE032C"/>
    <w:rsid w:val="4F0022F6"/>
    <w:rsid w:val="4F092B74"/>
    <w:rsid w:val="4F0C0C9A"/>
    <w:rsid w:val="4F2002A2"/>
    <w:rsid w:val="4F274ED7"/>
    <w:rsid w:val="4F27585B"/>
    <w:rsid w:val="4F2A7373"/>
    <w:rsid w:val="4F2E2C8D"/>
    <w:rsid w:val="4F2F6737"/>
    <w:rsid w:val="4F304989"/>
    <w:rsid w:val="4F334479"/>
    <w:rsid w:val="4F3B50DC"/>
    <w:rsid w:val="4F3C2AD4"/>
    <w:rsid w:val="4F413D75"/>
    <w:rsid w:val="4F4246BC"/>
    <w:rsid w:val="4F505963"/>
    <w:rsid w:val="4F5307A9"/>
    <w:rsid w:val="4F560168"/>
    <w:rsid w:val="4F585C8E"/>
    <w:rsid w:val="4F626B0C"/>
    <w:rsid w:val="4F663216"/>
    <w:rsid w:val="4F684F1B"/>
    <w:rsid w:val="4F6F4D85"/>
    <w:rsid w:val="4F701229"/>
    <w:rsid w:val="4F7505EE"/>
    <w:rsid w:val="4F7815E6"/>
    <w:rsid w:val="4F781E8C"/>
    <w:rsid w:val="4F7B372A"/>
    <w:rsid w:val="4F7C5E20"/>
    <w:rsid w:val="4F7D0D46"/>
    <w:rsid w:val="4F7F146C"/>
    <w:rsid w:val="4F806F93"/>
    <w:rsid w:val="4F8A3D9F"/>
    <w:rsid w:val="4F936CC6"/>
    <w:rsid w:val="4F960564"/>
    <w:rsid w:val="4F9843DC"/>
    <w:rsid w:val="4F984C2A"/>
    <w:rsid w:val="4F9D7B44"/>
    <w:rsid w:val="4F9F1B0F"/>
    <w:rsid w:val="4FA233AD"/>
    <w:rsid w:val="4FA669F9"/>
    <w:rsid w:val="4FAB400F"/>
    <w:rsid w:val="4FAC7653"/>
    <w:rsid w:val="4FB07878"/>
    <w:rsid w:val="4FBA1015"/>
    <w:rsid w:val="4FBA4253"/>
    <w:rsid w:val="4FC62A8C"/>
    <w:rsid w:val="4FCD667C"/>
    <w:rsid w:val="4FCE5F50"/>
    <w:rsid w:val="4FCF1275"/>
    <w:rsid w:val="4FD23C92"/>
    <w:rsid w:val="4FD23D59"/>
    <w:rsid w:val="4FD23E66"/>
    <w:rsid w:val="4FD277EE"/>
    <w:rsid w:val="4FD33566"/>
    <w:rsid w:val="4FD5108C"/>
    <w:rsid w:val="4FD86DCF"/>
    <w:rsid w:val="4FE20F0D"/>
    <w:rsid w:val="4FE319FB"/>
    <w:rsid w:val="4FE439C5"/>
    <w:rsid w:val="4FE45773"/>
    <w:rsid w:val="4FE51552"/>
    <w:rsid w:val="4FE65048"/>
    <w:rsid w:val="4FE87012"/>
    <w:rsid w:val="4FEB7C28"/>
    <w:rsid w:val="4FF082F6"/>
    <w:rsid w:val="4FF3ECCC"/>
    <w:rsid w:val="4FF4200C"/>
    <w:rsid w:val="4FF65EC5"/>
    <w:rsid w:val="4FF82FCD"/>
    <w:rsid w:val="4FF84D7B"/>
    <w:rsid w:val="4FFC2ABD"/>
    <w:rsid w:val="4FFD151C"/>
    <w:rsid w:val="4FFF7BD2"/>
    <w:rsid w:val="5003209D"/>
    <w:rsid w:val="50081462"/>
    <w:rsid w:val="5008221B"/>
    <w:rsid w:val="50086BD8"/>
    <w:rsid w:val="500876B4"/>
    <w:rsid w:val="500B0F52"/>
    <w:rsid w:val="5012408F"/>
    <w:rsid w:val="50124A84"/>
    <w:rsid w:val="50137E07"/>
    <w:rsid w:val="50151DD1"/>
    <w:rsid w:val="50153B7F"/>
    <w:rsid w:val="501871CB"/>
    <w:rsid w:val="501C0736"/>
    <w:rsid w:val="501C274F"/>
    <w:rsid w:val="501C6CBB"/>
    <w:rsid w:val="501E0C85"/>
    <w:rsid w:val="501E2A33"/>
    <w:rsid w:val="5023629C"/>
    <w:rsid w:val="502913D8"/>
    <w:rsid w:val="502D3DF8"/>
    <w:rsid w:val="50334005"/>
    <w:rsid w:val="50357D7D"/>
    <w:rsid w:val="503E1024"/>
    <w:rsid w:val="503F4889"/>
    <w:rsid w:val="50406E4E"/>
    <w:rsid w:val="504A1A7A"/>
    <w:rsid w:val="504F7091"/>
    <w:rsid w:val="50504C4B"/>
    <w:rsid w:val="50516725"/>
    <w:rsid w:val="50526524"/>
    <w:rsid w:val="50526B81"/>
    <w:rsid w:val="505428F9"/>
    <w:rsid w:val="5055041F"/>
    <w:rsid w:val="505A4AE2"/>
    <w:rsid w:val="505C7A00"/>
    <w:rsid w:val="506170C6"/>
    <w:rsid w:val="50680277"/>
    <w:rsid w:val="506A5C79"/>
    <w:rsid w:val="506F328F"/>
    <w:rsid w:val="507408A5"/>
    <w:rsid w:val="5075461D"/>
    <w:rsid w:val="5076286F"/>
    <w:rsid w:val="507F03F4"/>
    <w:rsid w:val="50827466"/>
    <w:rsid w:val="5083613E"/>
    <w:rsid w:val="50842312"/>
    <w:rsid w:val="508C0995"/>
    <w:rsid w:val="508F1B83"/>
    <w:rsid w:val="509139D5"/>
    <w:rsid w:val="50930868"/>
    <w:rsid w:val="50943307"/>
    <w:rsid w:val="50972065"/>
    <w:rsid w:val="5099030C"/>
    <w:rsid w:val="509C6E7C"/>
    <w:rsid w:val="509F1491"/>
    <w:rsid w:val="50A10F71"/>
    <w:rsid w:val="50A20EC8"/>
    <w:rsid w:val="50AD2009"/>
    <w:rsid w:val="50AF18DD"/>
    <w:rsid w:val="50AF7B2F"/>
    <w:rsid w:val="50B060E2"/>
    <w:rsid w:val="50B50871"/>
    <w:rsid w:val="50B769E4"/>
    <w:rsid w:val="50B821E1"/>
    <w:rsid w:val="50BC224C"/>
    <w:rsid w:val="50C07F8E"/>
    <w:rsid w:val="50C23D07"/>
    <w:rsid w:val="50C3182D"/>
    <w:rsid w:val="50C45C59"/>
    <w:rsid w:val="50C64757"/>
    <w:rsid w:val="50C64E79"/>
    <w:rsid w:val="50C8299F"/>
    <w:rsid w:val="50CC248F"/>
    <w:rsid w:val="50CC2528"/>
    <w:rsid w:val="50CE219C"/>
    <w:rsid w:val="50CF01D2"/>
    <w:rsid w:val="50CF7772"/>
    <w:rsid w:val="50D21A70"/>
    <w:rsid w:val="50D41344"/>
    <w:rsid w:val="50D61560"/>
    <w:rsid w:val="50D852D8"/>
    <w:rsid w:val="50DD28EE"/>
    <w:rsid w:val="50DE21C3"/>
    <w:rsid w:val="50E104DF"/>
    <w:rsid w:val="50E21CB3"/>
    <w:rsid w:val="50E27F05"/>
    <w:rsid w:val="50EC0D83"/>
    <w:rsid w:val="50EF2622"/>
    <w:rsid w:val="50F47C38"/>
    <w:rsid w:val="50F814D6"/>
    <w:rsid w:val="50FB5F32"/>
    <w:rsid w:val="51025EB1"/>
    <w:rsid w:val="510460CD"/>
    <w:rsid w:val="51053BF3"/>
    <w:rsid w:val="510936E3"/>
    <w:rsid w:val="510A2FB8"/>
    <w:rsid w:val="51165E00"/>
    <w:rsid w:val="511856D5"/>
    <w:rsid w:val="5119769F"/>
    <w:rsid w:val="511B6F73"/>
    <w:rsid w:val="511D718F"/>
    <w:rsid w:val="511E4CB5"/>
    <w:rsid w:val="51220E83"/>
    <w:rsid w:val="51246D02"/>
    <w:rsid w:val="512B1415"/>
    <w:rsid w:val="513A1AEF"/>
    <w:rsid w:val="513D15DF"/>
    <w:rsid w:val="513D4752"/>
    <w:rsid w:val="51404C2B"/>
    <w:rsid w:val="51450494"/>
    <w:rsid w:val="51453FF0"/>
    <w:rsid w:val="51497F84"/>
    <w:rsid w:val="514C1822"/>
    <w:rsid w:val="51527191"/>
    <w:rsid w:val="515406D7"/>
    <w:rsid w:val="51556A05"/>
    <w:rsid w:val="51597A9B"/>
    <w:rsid w:val="515A3F3F"/>
    <w:rsid w:val="515B3813"/>
    <w:rsid w:val="515C58D1"/>
    <w:rsid w:val="5160707C"/>
    <w:rsid w:val="5162104E"/>
    <w:rsid w:val="51635A7E"/>
    <w:rsid w:val="51652A36"/>
    <w:rsid w:val="516721B8"/>
    <w:rsid w:val="516923D4"/>
    <w:rsid w:val="516A1CA8"/>
    <w:rsid w:val="516B614C"/>
    <w:rsid w:val="516C5A20"/>
    <w:rsid w:val="516F0998"/>
    <w:rsid w:val="51704067"/>
    <w:rsid w:val="517174DB"/>
    <w:rsid w:val="51735001"/>
    <w:rsid w:val="517843C5"/>
    <w:rsid w:val="51791EEB"/>
    <w:rsid w:val="51844B18"/>
    <w:rsid w:val="5188781F"/>
    <w:rsid w:val="519B6F0C"/>
    <w:rsid w:val="519C4558"/>
    <w:rsid w:val="519E2162"/>
    <w:rsid w:val="51A13FDC"/>
    <w:rsid w:val="51AC406F"/>
    <w:rsid w:val="51B15B29"/>
    <w:rsid w:val="51BC4751"/>
    <w:rsid w:val="51BD44CE"/>
    <w:rsid w:val="51BF1FF4"/>
    <w:rsid w:val="51C41D11"/>
    <w:rsid w:val="51C770FB"/>
    <w:rsid w:val="51C94C21"/>
    <w:rsid w:val="51CB2747"/>
    <w:rsid w:val="51CD2963"/>
    <w:rsid w:val="51CE0489"/>
    <w:rsid w:val="51CE2237"/>
    <w:rsid w:val="51D610EC"/>
    <w:rsid w:val="51D615F6"/>
    <w:rsid w:val="51DC0DF8"/>
    <w:rsid w:val="51E11F6A"/>
    <w:rsid w:val="51E25CE3"/>
    <w:rsid w:val="51E27A91"/>
    <w:rsid w:val="51E63101"/>
    <w:rsid w:val="51E732F9"/>
    <w:rsid w:val="51E9259B"/>
    <w:rsid w:val="51ED4DB3"/>
    <w:rsid w:val="51F12145"/>
    <w:rsid w:val="51F25BDA"/>
    <w:rsid w:val="51FC1166"/>
    <w:rsid w:val="51FD2B1C"/>
    <w:rsid w:val="51FE5822"/>
    <w:rsid w:val="51FF4215"/>
    <w:rsid w:val="5201085F"/>
    <w:rsid w:val="52020133"/>
    <w:rsid w:val="520619D1"/>
    <w:rsid w:val="52081BED"/>
    <w:rsid w:val="520F45B6"/>
    <w:rsid w:val="52100AA2"/>
    <w:rsid w:val="52120376"/>
    <w:rsid w:val="52151C14"/>
    <w:rsid w:val="52285DEB"/>
    <w:rsid w:val="522925FF"/>
    <w:rsid w:val="522A2655"/>
    <w:rsid w:val="522F68D9"/>
    <w:rsid w:val="52302EF2"/>
    <w:rsid w:val="52320A18"/>
    <w:rsid w:val="523227C6"/>
    <w:rsid w:val="523429E2"/>
    <w:rsid w:val="52350508"/>
    <w:rsid w:val="523C1897"/>
    <w:rsid w:val="523F0494"/>
    <w:rsid w:val="52410C5B"/>
    <w:rsid w:val="524D5852"/>
    <w:rsid w:val="524D7600"/>
    <w:rsid w:val="524F53BA"/>
    <w:rsid w:val="525070F0"/>
    <w:rsid w:val="525145E8"/>
    <w:rsid w:val="52522E68"/>
    <w:rsid w:val="52552958"/>
    <w:rsid w:val="52555CE7"/>
    <w:rsid w:val="52576539"/>
    <w:rsid w:val="52592449"/>
    <w:rsid w:val="52595FA5"/>
    <w:rsid w:val="525A3ACB"/>
    <w:rsid w:val="525C5A95"/>
    <w:rsid w:val="525C7843"/>
    <w:rsid w:val="525E180D"/>
    <w:rsid w:val="525E2CE4"/>
    <w:rsid w:val="525E7DAE"/>
    <w:rsid w:val="52636E23"/>
    <w:rsid w:val="526D37FE"/>
    <w:rsid w:val="52730B24"/>
    <w:rsid w:val="52750905"/>
    <w:rsid w:val="5276096C"/>
    <w:rsid w:val="5277467D"/>
    <w:rsid w:val="527A416D"/>
    <w:rsid w:val="527C6137"/>
    <w:rsid w:val="52860D64"/>
    <w:rsid w:val="52900819"/>
    <w:rsid w:val="52927709"/>
    <w:rsid w:val="52952D55"/>
    <w:rsid w:val="52976ACD"/>
    <w:rsid w:val="52992845"/>
    <w:rsid w:val="529D410E"/>
    <w:rsid w:val="52A03BD4"/>
    <w:rsid w:val="52A15B9E"/>
    <w:rsid w:val="52A25CFA"/>
    <w:rsid w:val="52A64F62"/>
    <w:rsid w:val="52A66D10"/>
    <w:rsid w:val="52A86F2C"/>
    <w:rsid w:val="52AF02BB"/>
    <w:rsid w:val="52AFB9E4"/>
    <w:rsid w:val="52B07B8F"/>
    <w:rsid w:val="52B61649"/>
    <w:rsid w:val="52BC6534"/>
    <w:rsid w:val="52C059AC"/>
    <w:rsid w:val="52C35B14"/>
    <w:rsid w:val="52C84ED8"/>
    <w:rsid w:val="52CB6777"/>
    <w:rsid w:val="52D9459F"/>
    <w:rsid w:val="52DF64CE"/>
    <w:rsid w:val="52E00CE4"/>
    <w:rsid w:val="52E720EE"/>
    <w:rsid w:val="52E773DC"/>
    <w:rsid w:val="52EA69DE"/>
    <w:rsid w:val="52ED287F"/>
    <w:rsid w:val="52F16125"/>
    <w:rsid w:val="52F65EE9"/>
    <w:rsid w:val="52FE6B4C"/>
    <w:rsid w:val="52FF1389"/>
    <w:rsid w:val="530028C4"/>
    <w:rsid w:val="53057EDB"/>
    <w:rsid w:val="53071EA5"/>
    <w:rsid w:val="5309527B"/>
    <w:rsid w:val="530E461A"/>
    <w:rsid w:val="5312678F"/>
    <w:rsid w:val="531445C2"/>
    <w:rsid w:val="53146370"/>
    <w:rsid w:val="53147604"/>
    <w:rsid w:val="532540D9"/>
    <w:rsid w:val="53260A03"/>
    <w:rsid w:val="53281E1B"/>
    <w:rsid w:val="532D6F35"/>
    <w:rsid w:val="533A2A88"/>
    <w:rsid w:val="533D7674"/>
    <w:rsid w:val="533E33EC"/>
    <w:rsid w:val="533F163E"/>
    <w:rsid w:val="5345477B"/>
    <w:rsid w:val="534A18B1"/>
    <w:rsid w:val="534A1D91"/>
    <w:rsid w:val="534C0C02"/>
    <w:rsid w:val="534F55FA"/>
    <w:rsid w:val="534F6994"/>
    <w:rsid w:val="534F73A8"/>
    <w:rsid w:val="535A6678"/>
    <w:rsid w:val="535B5D4C"/>
    <w:rsid w:val="535D3873"/>
    <w:rsid w:val="535F3A8F"/>
    <w:rsid w:val="53605111"/>
    <w:rsid w:val="5361780D"/>
    <w:rsid w:val="5362558A"/>
    <w:rsid w:val="53634C01"/>
    <w:rsid w:val="53672943"/>
    <w:rsid w:val="536A2433"/>
    <w:rsid w:val="537806AC"/>
    <w:rsid w:val="53784B50"/>
    <w:rsid w:val="537A4860"/>
    <w:rsid w:val="537F7C8D"/>
    <w:rsid w:val="53807561"/>
    <w:rsid w:val="53822F54"/>
    <w:rsid w:val="539052B7"/>
    <w:rsid w:val="53911318"/>
    <w:rsid w:val="53963CFA"/>
    <w:rsid w:val="539B572C"/>
    <w:rsid w:val="53A039CC"/>
    <w:rsid w:val="53A1505A"/>
    <w:rsid w:val="53A15B43"/>
    <w:rsid w:val="53A3456B"/>
    <w:rsid w:val="53A771E4"/>
    <w:rsid w:val="53AC47FA"/>
    <w:rsid w:val="53B34F90"/>
    <w:rsid w:val="53B37937"/>
    <w:rsid w:val="53B45F49"/>
    <w:rsid w:val="53B460FE"/>
    <w:rsid w:val="53C7459A"/>
    <w:rsid w:val="53CA0019"/>
    <w:rsid w:val="53CC09F8"/>
    <w:rsid w:val="53D374C2"/>
    <w:rsid w:val="53D63625"/>
    <w:rsid w:val="53DC50DF"/>
    <w:rsid w:val="53DD2C05"/>
    <w:rsid w:val="53DF24DA"/>
    <w:rsid w:val="53E06252"/>
    <w:rsid w:val="53E2646E"/>
    <w:rsid w:val="53E27730"/>
    <w:rsid w:val="53E421E6"/>
    <w:rsid w:val="53E775E0"/>
    <w:rsid w:val="53EC2E48"/>
    <w:rsid w:val="53ED2917"/>
    <w:rsid w:val="53F02939"/>
    <w:rsid w:val="53F24654"/>
    <w:rsid w:val="53F97408"/>
    <w:rsid w:val="53FD5056"/>
    <w:rsid w:val="54063E08"/>
    <w:rsid w:val="540C7047"/>
    <w:rsid w:val="540F50FB"/>
    <w:rsid w:val="54185E47"/>
    <w:rsid w:val="541D74A6"/>
    <w:rsid w:val="541E79BE"/>
    <w:rsid w:val="5426635A"/>
    <w:rsid w:val="542B571F"/>
    <w:rsid w:val="542C1497"/>
    <w:rsid w:val="542E520F"/>
    <w:rsid w:val="54307F6A"/>
    <w:rsid w:val="54316AAD"/>
    <w:rsid w:val="54324CFF"/>
    <w:rsid w:val="543437E8"/>
    <w:rsid w:val="5435659E"/>
    <w:rsid w:val="543575AA"/>
    <w:rsid w:val="543737B7"/>
    <w:rsid w:val="54384218"/>
    <w:rsid w:val="54387E3C"/>
    <w:rsid w:val="543B5C6F"/>
    <w:rsid w:val="543C792C"/>
    <w:rsid w:val="543E68E8"/>
    <w:rsid w:val="5440376B"/>
    <w:rsid w:val="54420CBA"/>
    <w:rsid w:val="54484523"/>
    <w:rsid w:val="54505185"/>
    <w:rsid w:val="545110D1"/>
    <w:rsid w:val="5455656F"/>
    <w:rsid w:val="545729B8"/>
    <w:rsid w:val="54574766"/>
    <w:rsid w:val="5458228C"/>
    <w:rsid w:val="545A0CF3"/>
    <w:rsid w:val="54617393"/>
    <w:rsid w:val="546651E2"/>
    <w:rsid w:val="54696247"/>
    <w:rsid w:val="546A58FC"/>
    <w:rsid w:val="546B498A"/>
    <w:rsid w:val="54703A7A"/>
    <w:rsid w:val="54704F4A"/>
    <w:rsid w:val="54724115"/>
    <w:rsid w:val="54753B65"/>
    <w:rsid w:val="547C6635"/>
    <w:rsid w:val="547F1F0F"/>
    <w:rsid w:val="548668F6"/>
    <w:rsid w:val="54890697"/>
    <w:rsid w:val="54905ECA"/>
    <w:rsid w:val="549239F0"/>
    <w:rsid w:val="549534E0"/>
    <w:rsid w:val="549A28A4"/>
    <w:rsid w:val="549D2D3D"/>
    <w:rsid w:val="54A35BFD"/>
    <w:rsid w:val="54A92AE8"/>
    <w:rsid w:val="54AA6F8B"/>
    <w:rsid w:val="54AB58A7"/>
    <w:rsid w:val="54AF45A2"/>
    <w:rsid w:val="54B34260"/>
    <w:rsid w:val="54B5148C"/>
    <w:rsid w:val="54B97ADB"/>
    <w:rsid w:val="54BC467E"/>
    <w:rsid w:val="54BE6A5E"/>
    <w:rsid w:val="54C53DC5"/>
    <w:rsid w:val="54C618EB"/>
    <w:rsid w:val="54C72003"/>
    <w:rsid w:val="54C85664"/>
    <w:rsid w:val="54CF3934"/>
    <w:rsid w:val="54D47B64"/>
    <w:rsid w:val="54DA7145"/>
    <w:rsid w:val="54DE6C35"/>
    <w:rsid w:val="54E028B3"/>
    <w:rsid w:val="54E104D3"/>
    <w:rsid w:val="54E63D3C"/>
    <w:rsid w:val="54E74E95"/>
    <w:rsid w:val="54F40EBF"/>
    <w:rsid w:val="54F72DDC"/>
    <w:rsid w:val="54F73313"/>
    <w:rsid w:val="54F80955"/>
    <w:rsid w:val="54FB4092"/>
    <w:rsid w:val="54FC70BB"/>
    <w:rsid w:val="54FE1085"/>
    <w:rsid w:val="54FE2E33"/>
    <w:rsid w:val="54FE4BE1"/>
    <w:rsid w:val="54FF095A"/>
    <w:rsid w:val="54FF6366"/>
    <w:rsid w:val="55006BAB"/>
    <w:rsid w:val="550652BB"/>
    <w:rsid w:val="550815AF"/>
    <w:rsid w:val="55083CB2"/>
    <w:rsid w:val="550D751A"/>
    <w:rsid w:val="55164621"/>
    <w:rsid w:val="551E1403"/>
    <w:rsid w:val="55200FFC"/>
    <w:rsid w:val="55216B22"/>
    <w:rsid w:val="5527238A"/>
    <w:rsid w:val="552C79A0"/>
    <w:rsid w:val="552E67FE"/>
    <w:rsid w:val="55314FB7"/>
    <w:rsid w:val="55376345"/>
    <w:rsid w:val="553920BD"/>
    <w:rsid w:val="553B5E36"/>
    <w:rsid w:val="553B7BE4"/>
    <w:rsid w:val="553C395C"/>
    <w:rsid w:val="553D4A19"/>
    <w:rsid w:val="5543118E"/>
    <w:rsid w:val="55447B21"/>
    <w:rsid w:val="55452810"/>
    <w:rsid w:val="55452F55"/>
    <w:rsid w:val="554742DF"/>
    <w:rsid w:val="55480552"/>
    <w:rsid w:val="554A1847"/>
    <w:rsid w:val="554B3953"/>
    <w:rsid w:val="554C696B"/>
    <w:rsid w:val="554D7917"/>
    <w:rsid w:val="554E608A"/>
    <w:rsid w:val="554F18E1"/>
    <w:rsid w:val="555016E8"/>
    <w:rsid w:val="555170A7"/>
    <w:rsid w:val="5552317F"/>
    <w:rsid w:val="55545149"/>
    <w:rsid w:val="55560EC1"/>
    <w:rsid w:val="555667CB"/>
    <w:rsid w:val="555869E7"/>
    <w:rsid w:val="555A5315"/>
    <w:rsid w:val="555B0286"/>
    <w:rsid w:val="555B2034"/>
    <w:rsid w:val="555E7D76"/>
    <w:rsid w:val="55621614"/>
    <w:rsid w:val="556233C2"/>
    <w:rsid w:val="556A671B"/>
    <w:rsid w:val="556F1F83"/>
    <w:rsid w:val="557B0928"/>
    <w:rsid w:val="557E5D22"/>
    <w:rsid w:val="55874F5B"/>
    <w:rsid w:val="5587536D"/>
    <w:rsid w:val="558772CD"/>
    <w:rsid w:val="55896582"/>
    <w:rsid w:val="558A2919"/>
    <w:rsid w:val="558D41B7"/>
    <w:rsid w:val="559519EA"/>
    <w:rsid w:val="559572D8"/>
    <w:rsid w:val="5596730D"/>
    <w:rsid w:val="55971D20"/>
    <w:rsid w:val="55985036"/>
    <w:rsid w:val="55990DAE"/>
    <w:rsid w:val="55997370"/>
    <w:rsid w:val="559A7000"/>
    <w:rsid w:val="559B174B"/>
    <w:rsid w:val="559B2D78"/>
    <w:rsid w:val="559D089E"/>
    <w:rsid w:val="559E63C4"/>
    <w:rsid w:val="55A25EB5"/>
    <w:rsid w:val="55A57753"/>
    <w:rsid w:val="55A64C78"/>
    <w:rsid w:val="55AA2FBB"/>
    <w:rsid w:val="55AA4D69"/>
    <w:rsid w:val="55AD03B6"/>
    <w:rsid w:val="55AF2380"/>
    <w:rsid w:val="55B00C6D"/>
    <w:rsid w:val="55B33C1E"/>
    <w:rsid w:val="55B61271"/>
    <w:rsid w:val="55B6370E"/>
    <w:rsid w:val="55BA1450"/>
    <w:rsid w:val="55BD2CEE"/>
    <w:rsid w:val="55BE25C3"/>
    <w:rsid w:val="55C776C9"/>
    <w:rsid w:val="55CC4CE0"/>
    <w:rsid w:val="55CE0CF4"/>
    <w:rsid w:val="55D219FA"/>
    <w:rsid w:val="55D41DE6"/>
    <w:rsid w:val="55D43B94"/>
    <w:rsid w:val="55D50038"/>
    <w:rsid w:val="55D633F1"/>
    <w:rsid w:val="55D63DB0"/>
    <w:rsid w:val="55D65B5E"/>
    <w:rsid w:val="55D911AB"/>
    <w:rsid w:val="55DA564E"/>
    <w:rsid w:val="55DA73FC"/>
    <w:rsid w:val="55DD7BC8"/>
    <w:rsid w:val="55E464CD"/>
    <w:rsid w:val="55E81B1C"/>
    <w:rsid w:val="55EA7902"/>
    <w:rsid w:val="55F3226C"/>
    <w:rsid w:val="55F52488"/>
    <w:rsid w:val="55F81F79"/>
    <w:rsid w:val="55FF3307"/>
    <w:rsid w:val="56044479"/>
    <w:rsid w:val="56097382"/>
    <w:rsid w:val="56130B60"/>
    <w:rsid w:val="56150744"/>
    <w:rsid w:val="561A3C9D"/>
    <w:rsid w:val="561B661D"/>
    <w:rsid w:val="561F12B3"/>
    <w:rsid w:val="562156F5"/>
    <w:rsid w:val="56244B1C"/>
    <w:rsid w:val="5626534E"/>
    <w:rsid w:val="5629004A"/>
    <w:rsid w:val="56292132"/>
    <w:rsid w:val="562E514C"/>
    <w:rsid w:val="562E599A"/>
    <w:rsid w:val="56312D95"/>
    <w:rsid w:val="56321BBE"/>
    <w:rsid w:val="5636524F"/>
    <w:rsid w:val="56384123"/>
    <w:rsid w:val="563A60ED"/>
    <w:rsid w:val="563D3E2F"/>
    <w:rsid w:val="563D6E78"/>
    <w:rsid w:val="563D798B"/>
    <w:rsid w:val="5640122A"/>
    <w:rsid w:val="5642624B"/>
    <w:rsid w:val="564451BE"/>
    <w:rsid w:val="56446F6C"/>
    <w:rsid w:val="56462FEC"/>
    <w:rsid w:val="564927D4"/>
    <w:rsid w:val="564D4072"/>
    <w:rsid w:val="56505911"/>
    <w:rsid w:val="5655719F"/>
    <w:rsid w:val="565847C5"/>
    <w:rsid w:val="565A053D"/>
    <w:rsid w:val="565F3711"/>
    <w:rsid w:val="566118CC"/>
    <w:rsid w:val="56674A08"/>
    <w:rsid w:val="56680EAC"/>
    <w:rsid w:val="5668527E"/>
    <w:rsid w:val="566B153D"/>
    <w:rsid w:val="566C201F"/>
    <w:rsid w:val="566E54D7"/>
    <w:rsid w:val="56723AD9"/>
    <w:rsid w:val="567333AD"/>
    <w:rsid w:val="567C04B4"/>
    <w:rsid w:val="567C4958"/>
    <w:rsid w:val="567D7625"/>
    <w:rsid w:val="567FC21A"/>
    <w:rsid w:val="56821F80"/>
    <w:rsid w:val="56837A94"/>
    <w:rsid w:val="5689739A"/>
    <w:rsid w:val="5691060A"/>
    <w:rsid w:val="5697353F"/>
    <w:rsid w:val="569A22A0"/>
    <w:rsid w:val="569C6DA8"/>
    <w:rsid w:val="569E48CE"/>
    <w:rsid w:val="56A33C92"/>
    <w:rsid w:val="56A45C5C"/>
    <w:rsid w:val="56A619D5"/>
    <w:rsid w:val="56A77B69"/>
    <w:rsid w:val="56AB2B47"/>
    <w:rsid w:val="56B22A9C"/>
    <w:rsid w:val="56B7773E"/>
    <w:rsid w:val="56BE6D1E"/>
    <w:rsid w:val="56C0560B"/>
    <w:rsid w:val="56C9121F"/>
    <w:rsid w:val="56CA56C3"/>
    <w:rsid w:val="56D24578"/>
    <w:rsid w:val="56D26326"/>
    <w:rsid w:val="56D402F0"/>
    <w:rsid w:val="56D55E16"/>
    <w:rsid w:val="56DB4BDE"/>
    <w:rsid w:val="56DE2F1C"/>
    <w:rsid w:val="56DE4CCA"/>
    <w:rsid w:val="56E12A0D"/>
    <w:rsid w:val="56E524FD"/>
    <w:rsid w:val="56E85B49"/>
    <w:rsid w:val="56EA50BD"/>
    <w:rsid w:val="56F05B4A"/>
    <w:rsid w:val="56F3629C"/>
    <w:rsid w:val="56FC01B8"/>
    <w:rsid w:val="57007C70"/>
    <w:rsid w:val="570120E9"/>
    <w:rsid w:val="570263F2"/>
    <w:rsid w:val="570404A9"/>
    <w:rsid w:val="57064221"/>
    <w:rsid w:val="570C248C"/>
    <w:rsid w:val="570E6E8F"/>
    <w:rsid w:val="57105B96"/>
    <w:rsid w:val="5712706A"/>
    <w:rsid w:val="5714693E"/>
    <w:rsid w:val="57154464"/>
    <w:rsid w:val="571903F8"/>
    <w:rsid w:val="571B7CCD"/>
    <w:rsid w:val="57236B81"/>
    <w:rsid w:val="5726041F"/>
    <w:rsid w:val="572A6162"/>
    <w:rsid w:val="572F709E"/>
    <w:rsid w:val="57323268"/>
    <w:rsid w:val="57325016"/>
    <w:rsid w:val="573269C1"/>
    <w:rsid w:val="573568B4"/>
    <w:rsid w:val="57395586"/>
    <w:rsid w:val="573E2536"/>
    <w:rsid w:val="573E32C4"/>
    <w:rsid w:val="573E7698"/>
    <w:rsid w:val="574436E3"/>
    <w:rsid w:val="5749487F"/>
    <w:rsid w:val="574A2360"/>
    <w:rsid w:val="575061EC"/>
    <w:rsid w:val="57544F8D"/>
    <w:rsid w:val="575651A9"/>
    <w:rsid w:val="57580F21"/>
    <w:rsid w:val="575A63E5"/>
    <w:rsid w:val="575E7CE2"/>
    <w:rsid w:val="57607DD5"/>
    <w:rsid w:val="57686C8A"/>
    <w:rsid w:val="576B22D6"/>
    <w:rsid w:val="576F0018"/>
    <w:rsid w:val="576F1DC6"/>
    <w:rsid w:val="576F626A"/>
    <w:rsid w:val="57730B67"/>
    <w:rsid w:val="577613A7"/>
    <w:rsid w:val="57770C7B"/>
    <w:rsid w:val="577B076B"/>
    <w:rsid w:val="577F3A3E"/>
    <w:rsid w:val="5780422F"/>
    <w:rsid w:val="57830B6F"/>
    <w:rsid w:val="578A1A61"/>
    <w:rsid w:val="57915A8E"/>
    <w:rsid w:val="57923D07"/>
    <w:rsid w:val="5797316D"/>
    <w:rsid w:val="57A06424"/>
    <w:rsid w:val="57A53A3A"/>
    <w:rsid w:val="57AB4A01"/>
    <w:rsid w:val="57AC301B"/>
    <w:rsid w:val="57B123DF"/>
    <w:rsid w:val="57B36157"/>
    <w:rsid w:val="57B50DDE"/>
    <w:rsid w:val="57B63E99"/>
    <w:rsid w:val="57B679F5"/>
    <w:rsid w:val="57B72A76"/>
    <w:rsid w:val="57B8376D"/>
    <w:rsid w:val="57BF2D4E"/>
    <w:rsid w:val="57BF4950"/>
    <w:rsid w:val="57C02622"/>
    <w:rsid w:val="57C15C9A"/>
    <w:rsid w:val="57C3426C"/>
    <w:rsid w:val="57CA16F3"/>
    <w:rsid w:val="57CE1F93"/>
    <w:rsid w:val="57CF0AB7"/>
    <w:rsid w:val="57D04F5B"/>
    <w:rsid w:val="57D460CD"/>
    <w:rsid w:val="57D52571"/>
    <w:rsid w:val="57DB56AE"/>
    <w:rsid w:val="57E00F16"/>
    <w:rsid w:val="57E74053"/>
    <w:rsid w:val="57E8410D"/>
    <w:rsid w:val="57EB7584"/>
    <w:rsid w:val="57EC78BB"/>
    <w:rsid w:val="57EE3633"/>
    <w:rsid w:val="57EE718F"/>
    <w:rsid w:val="57F66044"/>
    <w:rsid w:val="580764A3"/>
    <w:rsid w:val="580B5F93"/>
    <w:rsid w:val="580C3AB9"/>
    <w:rsid w:val="580F7106"/>
    <w:rsid w:val="581001F8"/>
    <w:rsid w:val="58117322"/>
    <w:rsid w:val="5818245E"/>
    <w:rsid w:val="581949DE"/>
    <w:rsid w:val="581D136C"/>
    <w:rsid w:val="58254B7B"/>
    <w:rsid w:val="58262DCD"/>
    <w:rsid w:val="58270F01"/>
    <w:rsid w:val="58276B45"/>
    <w:rsid w:val="582901C7"/>
    <w:rsid w:val="582E1C82"/>
    <w:rsid w:val="582F1556"/>
    <w:rsid w:val="5830715F"/>
    <w:rsid w:val="58353010"/>
    <w:rsid w:val="58355079"/>
    <w:rsid w:val="583B140A"/>
    <w:rsid w:val="584E40D2"/>
    <w:rsid w:val="584E5E80"/>
    <w:rsid w:val="584E7C2E"/>
    <w:rsid w:val="58550FBC"/>
    <w:rsid w:val="585711D8"/>
    <w:rsid w:val="58580AAD"/>
    <w:rsid w:val="585E7D84"/>
    <w:rsid w:val="585F62DF"/>
    <w:rsid w:val="586438F5"/>
    <w:rsid w:val="586456A3"/>
    <w:rsid w:val="58653472"/>
    <w:rsid w:val="586A0E03"/>
    <w:rsid w:val="586B4C84"/>
    <w:rsid w:val="586B4D4E"/>
    <w:rsid w:val="586C54AF"/>
    <w:rsid w:val="586D0BCF"/>
    <w:rsid w:val="586D4D87"/>
    <w:rsid w:val="58705DF6"/>
    <w:rsid w:val="58727DC0"/>
    <w:rsid w:val="58733B38"/>
    <w:rsid w:val="58743095"/>
    <w:rsid w:val="587873A1"/>
    <w:rsid w:val="587A4EC7"/>
    <w:rsid w:val="58836DD9"/>
    <w:rsid w:val="58857DB1"/>
    <w:rsid w:val="58861056"/>
    <w:rsid w:val="588743D1"/>
    <w:rsid w:val="5887701A"/>
    <w:rsid w:val="588875E4"/>
    <w:rsid w:val="588E44CE"/>
    <w:rsid w:val="58906B0C"/>
    <w:rsid w:val="5895585D"/>
    <w:rsid w:val="58966990"/>
    <w:rsid w:val="589706AA"/>
    <w:rsid w:val="589A7013"/>
    <w:rsid w:val="589A7317"/>
    <w:rsid w:val="58A67A6A"/>
    <w:rsid w:val="58B24661"/>
    <w:rsid w:val="58B94DD1"/>
    <w:rsid w:val="58BC728D"/>
    <w:rsid w:val="58C76329"/>
    <w:rsid w:val="58CE0D6F"/>
    <w:rsid w:val="58D26AB1"/>
    <w:rsid w:val="58D33D61"/>
    <w:rsid w:val="58D75E75"/>
    <w:rsid w:val="58D77C23"/>
    <w:rsid w:val="58DC28DE"/>
    <w:rsid w:val="58DE5456"/>
    <w:rsid w:val="58EA204C"/>
    <w:rsid w:val="58ED38EB"/>
    <w:rsid w:val="58EE31BF"/>
    <w:rsid w:val="58F24A5D"/>
    <w:rsid w:val="58F7337D"/>
    <w:rsid w:val="58F9403E"/>
    <w:rsid w:val="58FC58DC"/>
    <w:rsid w:val="58FF53CC"/>
    <w:rsid w:val="59011144"/>
    <w:rsid w:val="590C6EA8"/>
    <w:rsid w:val="59172716"/>
    <w:rsid w:val="591761E1"/>
    <w:rsid w:val="591C1ADA"/>
    <w:rsid w:val="591E1CF6"/>
    <w:rsid w:val="591F781C"/>
    <w:rsid w:val="59254E33"/>
    <w:rsid w:val="592A2449"/>
    <w:rsid w:val="592B204C"/>
    <w:rsid w:val="592E10B1"/>
    <w:rsid w:val="592E4385"/>
    <w:rsid w:val="5933709C"/>
    <w:rsid w:val="5934151A"/>
    <w:rsid w:val="5943350B"/>
    <w:rsid w:val="594B0611"/>
    <w:rsid w:val="594D4389"/>
    <w:rsid w:val="59534B16"/>
    <w:rsid w:val="59581BA0"/>
    <w:rsid w:val="5959701E"/>
    <w:rsid w:val="595A2602"/>
    <w:rsid w:val="595B6AA6"/>
    <w:rsid w:val="595C281E"/>
    <w:rsid w:val="5960230F"/>
    <w:rsid w:val="59611BE3"/>
    <w:rsid w:val="59650A9B"/>
    <w:rsid w:val="596C0CB3"/>
    <w:rsid w:val="596D0588"/>
    <w:rsid w:val="597436C4"/>
    <w:rsid w:val="5976568E"/>
    <w:rsid w:val="59767DFB"/>
    <w:rsid w:val="59771BAB"/>
    <w:rsid w:val="5979517E"/>
    <w:rsid w:val="59835FFD"/>
    <w:rsid w:val="5985208F"/>
    <w:rsid w:val="598558D1"/>
    <w:rsid w:val="59861649"/>
    <w:rsid w:val="59875AED"/>
    <w:rsid w:val="59883E35"/>
    <w:rsid w:val="598A7071"/>
    <w:rsid w:val="598A738C"/>
    <w:rsid w:val="5991071A"/>
    <w:rsid w:val="599A71A9"/>
    <w:rsid w:val="599B50F5"/>
    <w:rsid w:val="59A0270B"/>
    <w:rsid w:val="59A3044D"/>
    <w:rsid w:val="59B166C6"/>
    <w:rsid w:val="59B63CDD"/>
    <w:rsid w:val="59BC506B"/>
    <w:rsid w:val="59BD2311"/>
    <w:rsid w:val="59BD4E0B"/>
    <w:rsid w:val="59BD7BEB"/>
    <w:rsid w:val="59C02DAD"/>
    <w:rsid w:val="59C0439F"/>
    <w:rsid w:val="59C503C4"/>
    <w:rsid w:val="59C52172"/>
    <w:rsid w:val="59C74B1F"/>
    <w:rsid w:val="59C77C98"/>
    <w:rsid w:val="59CD1026"/>
    <w:rsid w:val="59CF2FF0"/>
    <w:rsid w:val="59D86349"/>
    <w:rsid w:val="59E3312A"/>
    <w:rsid w:val="59F34F35"/>
    <w:rsid w:val="59F45BFB"/>
    <w:rsid w:val="59F667CF"/>
    <w:rsid w:val="59FA190E"/>
    <w:rsid w:val="59FA62BF"/>
    <w:rsid w:val="59FB3DE5"/>
    <w:rsid w:val="5A032C9A"/>
    <w:rsid w:val="5A0709DC"/>
    <w:rsid w:val="5A0802B0"/>
    <w:rsid w:val="5A0A04CC"/>
    <w:rsid w:val="5A0B29AA"/>
    <w:rsid w:val="5A0E328D"/>
    <w:rsid w:val="5A113609"/>
    <w:rsid w:val="5A144EA7"/>
    <w:rsid w:val="5A15315D"/>
    <w:rsid w:val="5A1D5B0A"/>
    <w:rsid w:val="5A201A9E"/>
    <w:rsid w:val="5A272E2C"/>
    <w:rsid w:val="5A2971D5"/>
    <w:rsid w:val="5A2E5F69"/>
    <w:rsid w:val="5A33357F"/>
    <w:rsid w:val="5A3612C1"/>
    <w:rsid w:val="5A36306F"/>
    <w:rsid w:val="5A3B68D8"/>
    <w:rsid w:val="5A3F1F24"/>
    <w:rsid w:val="5A4237C2"/>
    <w:rsid w:val="5A4259AF"/>
    <w:rsid w:val="5A427D7C"/>
    <w:rsid w:val="5A4418D7"/>
    <w:rsid w:val="5A4729F6"/>
    <w:rsid w:val="5A492DA3"/>
    <w:rsid w:val="5A4B1AD4"/>
    <w:rsid w:val="5A4C2893"/>
    <w:rsid w:val="5A4E660B"/>
    <w:rsid w:val="5A4E6713"/>
    <w:rsid w:val="5A542191"/>
    <w:rsid w:val="5A544481"/>
    <w:rsid w:val="5A5534F6"/>
    <w:rsid w:val="5A557999"/>
    <w:rsid w:val="5A56726E"/>
    <w:rsid w:val="5A5A5963"/>
    <w:rsid w:val="5A5A6D5E"/>
    <w:rsid w:val="5A5B4884"/>
    <w:rsid w:val="5A5D05FC"/>
    <w:rsid w:val="5A5F4374"/>
    <w:rsid w:val="5A69150A"/>
    <w:rsid w:val="5A697A69"/>
    <w:rsid w:val="5A6C637A"/>
    <w:rsid w:val="5A6E0A5B"/>
    <w:rsid w:val="5A6E45B7"/>
    <w:rsid w:val="5A6E4874"/>
    <w:rsid w:val="5A737E20"/>
    <w:rsid w:val="5A783688"/>
    <w:rsid w:val="5A7A55ED"/>
    <w:rsid w:val="5A7B6CD4"/>
    <w:rsid w:val="5A8131C8"/>
    <w:rsid w:val="5A8C2C8F"/>
    <w:rsid w:val="5A8E6A07"/>
    <w:rsid w:val="5A9304C2"/>
    <w:rsid w:val="5A9658BC"/>
    <w:rsid w:val="5A965EC8"/>
    <w:rsid w:val="5A971D60"/>
    <w:rsid w:val="5A9B2ED2"/>
    <w:rsid w:val="5A9B315A"/>
    <w:rsid w:val="5A9C7376"/>
    <w:rsid w:val="5A9E30EF"/>
    <w:rsid w:val="5AA038A2"/>
    <w:rsid w:val="5AA1498D"/>
    <w:rsid w:val="5AAE234B"/>
    <w:rsid w:val="5AB04BD0"/>
    <w:rsid w:val="5AB346C0"/>
    <w:rsid w:val="5ABB4ED7"/>
    <w:rsid w:val="5ABB5323"/>
    <w:rsid w:val="5ABC1DF0"/>
    <w:rsid w:val="5ABE2233"/>
    <w:rsid w:val="5ABE7E1B"/>
    <w:rsid w:val="5ABF4E13"/>
    <w:rsid w:val="5AC4067B"/>
    <w:rsid w:val="5AC715D3"/>
    <w:rsid w:val="5ACC12DE"/>
    <w:rsid w:val="5ACE32A8"/>
    <w:rsid w:val="5AD52888"/>
    <w:rsid w:val="5AD54636"/>
    <w:rsid w:val="5AD57687"/>
    <w:rsid w:val="5AD7215D"/>
    <w:rsid w:val="5AD85ED5"/>
    <w:rsid w:val="5ADB29FA"/>
    <w:rsid w:val="5ADB48B4"/>
    <w:rsid w:val="5ADC379C"/>
    <w:rsid w:val="5ADC7773"/>
    <w:rsid w:val="5ADD2164"/>
    <w:rsid w:val="5ADF3707"/>
    <w:rsid w:val="5AE26D53"/>
    <w:rsid w:val="5AE30232"/>
    <w:rsid w:val="5AE374F3"/>
    <w:rsid w:val="5AE44879"/>
    <w:rsid w:val="5AEB3E5A"/>
    <w:rsid w:val="5AF0571F"/>
    <w:rsid w:val="5AF50835"/>
    <w:rsid w:val="5AF727FF"/>
    <w:rsid w:val="5AF947C9"/>
    <w:rsid w:val="5AFA531F"/>
    <w:rsid w:val="5AFC70DD"/>
    <w:rsid w:val="5AFE65E2"/>
    <w:rsid w:val="5B01367D"/>
    <w:rsid w:val="5B0311A3"/>
    <w:rsid w:val="5B04316E"/>
    <w:rsid w:val="5B070568"/>
    <w:rsid w:val="5B084A0C"/>
    <w:rsid w:val="5B0B1E06"/>
    <w:rsid w:val="5B0B44FC"/>
    <w:rsid w:val="5B0D4BD2"/>
    <w:rsid w:val="5B116FF1"/>
    <w:rsid w:val="5B13515F"/>
    <w:rsid w:val="5B182775"/>
    <w:rsid w:val="5B1A5339"/>
    <w:rsid w:val="5B1B42A8"/>
    <w:rsid w:val="5B1F2BC6"/>
    <w:rsid w:val="5B21787C"/>
    <w:rsid w:val="5B2335F4"/>
    <w:rsid w:val="5B235C95"/>
    <w:rsid w:val="5B286E5C"/>
    <w:rsid w:val="5B2D6220"/>
    <w:rsid w:val="5B2D7AB3"/>
    <w:rsid w:val="5B2E3D47"/>
    <w:rsid w:val="5B353327"/>
    <w:rsid w:val="5B394BC5"/>
    <w:rsid w:val="5B3A6B8F"/>
    <w:rsid w:val="5B3E21DC"/>
    <w:rsid w:val="5B3E6680"/>
    <w:rsid w:val="5B42714A"/>
    <w:rsid w:val="5B435A44"/>
    <w:rsid w:val="5B44356A"/>
    <w:rsid w:val="5B465534"/>
    <w:rsid w:val="5B4B2214"/>
    <w:rsid w:val="5B526448"/>
    <w:rsid w:val="5B5419FF"/>
    <w:rsid w:val="5B5437AD"/>
    <w:rsid w:val="5B5639C9"/>
    <w:rsid w:val="5B572E88"/>
    <w:rsid w:val="5B59550C"/>
    <w:rsid w:val="5B5F660E"/>
    <w:rsid w:val="5B6065F6"/>
    <w:rsid w:val="5B6836FC"/>
    <w:rsid w:val="5B6A2FD1"/>
    <w:rsid w:val="5B6B51CC"/>
    <w:rsid w:val="5B710D6D"/>
    <w:rsid w:val="5B7200D7"/>
    <w:rsid w:val="5B745285"/>
    <w:rsid w:val="5B766430"/>
    <w:rsid w:val="5B77749C"/>
    <w:rsid w:val="5B791466"/>
    <w:rsid w:val="5B7C46CC"/>
    <w:rsid w:val="5B7E3CFD"/>
    <w:rsid w:val="5B857E0A"/>
    <w:rsid w:val="5B8878FB"/>
    <w:rsid w:val="5B8B1199"/>
    <w:rsid w:val="5B8B2F47"/>
    <w:rsid w:val="5B8F2A37"/>
    <w:rsid w:val="5B8F47E5"/>
    <w:rsid w:val="5B9067AF"/>
    <w:rsid w:val="5B920779"/>
    <w:rsid w:val="5B9242D5"/>
    <w:rsid w:val="5B975D90"/>
    <w:rsid w:val="5B977B3E"/>
    <w:rsid w:val="5B9E0ECC"/>
    <w:rsid w:val="5B9E41CC"/>
    <w:rsid w:val="5BA26C0E"/>
    <w:rsid w:val="5BA364E3"/>
    <w:rsid w:val="5BA504AD"/>
    <w:rsid w:val="5BA849AE"/>
    <w:rsid w:val="5BAC35E9"/>
    <w:rsid w:val="5BAD110F"/>
    <w:rsid w:val="5BB66216"/>
    <w:rsid w:val="5BBC3F26"/>
    <w:rsid w:val="5BC023FC"/>
    <w:rsid w:val="5BC052E6"/>
    <w:rsid w:val="5BC546AB"/>
    <w:rsid w:val="5BC6762F"/>
    <w:rsid w:val="5BCE5F7B"/>
    <w:rsid w:val="5BCE7A03"/>
    <w:rsid w:val="5BD26DC8"/>
    <w:rsid w:val="5BD62414"/>
    <w:rsid w:val="5BD7618C"/>
    <w:rsid w:val="5BDE23D4"/>
    <w:rsid w:val="5BDE576D"/>
    <w:rsid w:val="5BDF5D95"/>
    <w:rsid w:val="5BE27833"/>
    <w:rsid w:val="5BE508A9"/>
    <w:rsid w:val="5BE54D4D"/>
    <w:rsid w:val="5BE70178"/>
    <w:rsid w:val="5BE70AC5"/>
    <w:rsid w:val="5BED3C02"/>
    <w:rsid w:val="5BED775E"/>
    <w:rsid w:val="5BF84A80"/>
    <w:rsid w:val="5BF8682E"/>
    <w:rsid w:val="5BFE7528"/>
    <w:rsid w:val="5BFF75DA"/>
    <w:rsid w:val="5C013209"/>
    <w:rsid w:val="5C05719D"/>
    <w:rsid w:val="5C0C052C"/>
    <w:rsid w:val="5C0E5A5C"/>
    <w:rsid w:val="5C0E6052"/>
    <w:rsid w:val="5C0F5926"/>
    <w:rsid w:val="5C1178F0"/>
    <w:rsid w:val="5C125416"/>
    <w:rsid w:val="5C14118E"/>
    <w:rsid w:val="5C151583"/>
    <w:rsid w:val="5C164F06"/>
    <w:rsid w:val="5C191B77"/>
    <w:rsid w:val="5C1B251D"/>
    <w:rsid w:val="5C1B3AD5"/>
    <w:rsid w:val="5C1D1988"/>
    <w:rsid w:val="5C1D44E7"/>
    <w:rsid w:val="5C1D674E"/>
    <w:rsid w:val="5C25339C"/>
    <w:rsid w:val="5C2905EC"/>
    <w:rsid w:val="5C2A09B2"/>
    <w:rsid w:val="5C2B7F8E"/>
    <w:rsid w:val="5C2C2A22"/>
    <w:rsid w:val="5C2F7D76"/>
    <w:rsid w:val="5C384E7D"/>
    <w:rsid w:val="5C3B2E32"/>
    <w:rsid w:val="5C3E620B"/>
    <w:rsid w:val="5C3E7830"/>
    <w:rsid w:val="5C4001D5"/>
    <w:rsid w:val="5C451348"/>
    <w:rsid w:val="5C45759A"/>
    <w:rsid w:val="5C473312"/>
    <w:rsid w:val="5C497514"/>
    <w:rsid w:val="5C4A2E02"/>
    <w:rsid w:val="5C4E28F2"/>
    <w:rsid w:val="5C4E4940"/>
    <w:rsid w:val="5C4F21C6"/>
    <w:rsid w:val="5C514191"/>
    <w:rsid w:val="5C5617A7"/>
    <w:rsid w:val="5C58551F"/>
    <w:rsid w:val="5C593045"/>
    <w:rsid w:val="5C5D2B35"/>
    <w:rsid w:val="5C626C2B"/>
    <w:rsid w:val="5C633385"/>
    <w:rsid w:val="5C642116"/>
    <w:rsid w:val="5C6555AC"/>
    <w:rsid w:val="5C69772C"/>
    <w:rsid w:val="5C6C7397"/>
    <w:rsid w:val="5C6E089F"/>
    <w:rsid w:val="5C700CA7"/>
    <w:rsid w:val="5C776F19"/>
    <w:rsid w:val="5C7D4904"/>
    <w:rsid w:val="5C8005D2"/>
    <w:rsid w:val="5C8400C2"/>
    <w:rsid w:val="5C853E3A"/>
    <w:rsid w:val="5C8907F0"/>
    <w:rsid w:val="5C895B69"/>
    <w:rsid w:val="5C935A59"/>
    <w:rsid w:val="5C9516AC"/>
    <w:rsid w:val="5CA40764"/>
    <w:rsid w:val="5CA42512"/>
    <w:rsid w:val="5CA442C0"/>
    <w:rsid w:val="5CAA1E95"/>
    <w:rsid w:val="5CAC7619"/>
    <w:rsid w:val="5CAE513F"/>
    <w:rsid w:val="5CB14C2F"/>
    <w:rsid w:val="5CB5471F"/>
    <w:rsid w:val="5CB9464E"/>
    <w:rsid w:val="5CBC1B3E"/>
    <w:rsid w:val="5CCB1B89"/>
    <w:rsid w:val="5CCB7A9F"/>
    <w:rsid w:val="5CCE1C4B"/>
    <w:rsid w:val="5CCE758F"/>
    <w:rsid w:val="5CD00077"/>
    <w:rsid w:val="5CD01559"/>
    <w:rsid w:val="5CDD5A24"/>
    <w:rsid w:val="5CE729A6"/>
    <w:rsid w:val="5CE84AF5"/>
    <w:rsid w:val="5CEB0141"/>
    <w:rsid w:val="5CED3EB9"/>
    <w:rsid w:val="5CEE19DF"/>
    <w:rsid w:val="5CF0438B"/>
    <w:rsid w:val="5CF1327E"/>
    <w:rsid w:val="5CF214D0"/>
    <w:rsid w:val="5CF60894"/>
    <w:rsid w:val="5CFF1E3E"/>
    <w:rsid w:val="5D031922"/>
    <w:rsid w:val="5D041203"/>
    <w:rsid w:val="5D042FB1"/>
    <w:rsid w:val="5D072AA1"/>
    <w:rsid w:val="5D07686F"/>
    <w:rsid w:val="5D094A6B"/>
    <w:rsid w:val="5D0B701C"/>
    <w:rsid w:val="5D0C00B7"/>
    <w:rsid w:val="5D135E9A"/>
    <w:rsid w:val="5D1364F8"/>
    <w:rsid w:val="5D184CAE"/>
    <w:rsid w:val="5D186A5C"/>
    <w:rsid w:val="5D192F00"/>
    <w:rsid w:val="5D1A27D4"/>
    <w:rsid w:val="5D1C02FB"/>
    <w:rsid w:val="5D1C654D"/>
    <w:rsid w:val="5D1F603D"/>
    <w:rsid w:val="5D2378DB"/>
    <w:rsid w:val="5D243653"/>
    <w:rsid w:val="5D290C69"/>
    <w:rsid w:val="5D2A6606"/>
    <w:rsid w:val="5D301FF8"/>
    <w:rsid w:val="5D373386"/>
    <w:rsid w:val="5D380EAD"/>
    <w:rsid w:val="5D39303D"/>
    <w:rsid w:val="5D3E4715"/>
    <w:rsid w:val="5D42293B"/>
    <w:rsid w:val="5D4810F0"/>
    <w:rsid w:val="5D485594"/>
    <w:rsid w:val="5D4A130C"/>
    <w:rsid w:val="5D4B0BE0"/>
    <w:rsid w:val="5D4D6706"/>
    <w:rsid w:val="5D4D7217"/>
    <w:rsid w:val="5D4F6922"/>
    <w:rsid w:val="5D514643"/>
    <w:rsid w:val="5D595B2D"/>
    <w:rsid w:val="5D595CDE"/>
    <w:rsid w:val="5D5A2CC2"/>
    <w:rsid w:val="5D63417B"/>
    <w:rsid w:val="5D656145"/>
    <w:rsid w:val="5D660BE7"/>
    <w:rsid w:val="5D6855F1"/>
    <w:rsid w:val="5D704AEA"/>
    <w:rsid w:val="5D706898"/>
    <w:rsid w:val="5D720862"/>
    <w:rsid w:val="5D72616D"/>
    <w:rsid w:val="5D7719D5"/>
    <w:rsid w:val="5D777C27"/>
    <w:rsid w:val="5D7A7717"/>
    <w:rsid w:val="5D7C6FEB"/>
    <w:rsid w:val="5D7D7BFC"/>
    <w:rsid w:val="5D7E7207"/>
    <w:rsid w:val="5D812854"/>
    <w:rsid w:val="5D8D528C"/>
    <w:rsid w:val="5D944335"/>
    <w:rsid w:val="5D983F46"/>
    <w:rsid w:val="5D9B1B67"/>
    <w:rsid w:val="5D9D1FEC"/>
    <w:rsid w:val="5DA04697"/>
    <w:rsid w:val="5DA402F0"/>
    <w:rsid w:val="5DA926B7"/>
    <w:rsid w:val="5DAA1DAA"/>
    <w:rsid w:val="5DAA7FFC"/>
    <w:rsid w:val="5DB5631F"/>
    <w:rsid w:val="5DB93D9B"/>
    <w:rsid w:val="5DBB5D65"/>
    <w:rsid w:val="5DBC7D30"/>
    <w:rsid w:val="5DBE203A"/>
    <w:rsid w:val="5DC42740"/>
    <w:rsid w:val="5DCC283C"/>
    <w:rsid w:val="5DCC2FAA"/>
    <w:rsid w:val="5DD21301"/>
    <w:rsid w:val="5DD40BD5"/>
    <w:rsid w:val="5DDA4310"/>
    <w:rsid w:val="5DDD1290"/>
    <w:rsid w:val="5DDE3802"/>
    <w:rsid w:val="5DE11544"/>
    <w:rsid w:val="5DE93431"/>
    <w:rsid w:val="5DEB4C7D"/>
    <w:rsid w:val="5DED1C97"/>
    <w:rsid w:val="5DF44720"/>
    <w:rsid w:val="5DF94AE0"/>
    <w:rsid w:val="5E033269"/>
    <w:rsid w:val="5E070FAB"/>
    <w:rsid w:val="5E08087F"/>
    <w:rsid w:val="5E086AD1"/>
    <w:rsid w:val="5E0963CE"/>
    <w:rsid w:val="5E096739"/>
    <w:rsid w:val="5E0C4813"/>
    <w:rsid w:val="5E0F60B1"/>
    <w:rsid w:val="5E1216FE"/>
    <w:rsid w:val="5E162F9C"/>
    <w:rsid w:val="5E1A3A26"/>
    <w:rsid w:val="5E1B2CA8"/>
    <w:rsid w:val="5E1C432A"/>
    <w:rsid w:val="5E231B5D"/>
    <w:rsid w:val="5E2467F1"/>
    <w:rsid w:val="5E2725DC"/>
    <w:rsid w:val="5E2E21D2"/>
    <w:rsid w:val="5E2F0501"/>
    <w:rsid w:val="5E321FE3"/>
    <w:rsid w:val="5E323B4E"/>
    <w:rsid w:val="5E371164"/>
    <w:rsid w:val="5E3D2C1E"/>
    <w:rsid w:val="5E40270F"/>
    <w:rsid w:val="5E41648D"/>
    <w:rsid w:val="5E4C4C10"/>
    <w:rsid w:val="5E581806"/>
    <w:rsid w:val="5E587A58"/>
    <w:rsid w:val="5E5A6936"/>
    <w:rsid w:val="5E5B12F6"/>
    <w:rsid w:val="5E5B4E53"/>
    <w:rsid w:val="5E623282"/>
    <w:rsid w:val="5E624433"/>
    <w:rsid w:val="5E652175"/>
    <w:rsid w:val="5E6C3504"/>
    <w:rsid w:val="5E6D1E4A"/>
    <w:rsid w:val="5E6F6B50"/>
    <w:rsid w:val="5E734892"/>
    <w:rsid w:val="5E785A05"/>
    <w:rsid w:val="5E7B3747"/>
    <w:rsid w:val="5E7B7023"/>
    <w:rsid w:val="5E7D150A"/>
    <w:rsid w:val="5E7D4589"/>
    <w:rsid w:val="5E7F3237"/>
    <w:rsid w:val="5E7F4FE5"/>
    <w:rsid w:val="5E8343A9"/>
    <w:rsid w:val="5E84084D"/>
    <w:rsid w:val="5E856373"/>
    <w:rsid w:val="5E8819C0"/>
    <w:rsid w:val="5E8B0F7E"/>
    <w:rsid w:val="5E8E6FD6"/>
    <w:rsid w:val="5E9465B6"/>
    <w:rsid w:val="5E96232F"/>
    <w:rsid w:val="5E987E55"/>
    <w:rsid w:val="5E99597B"/>
    <w:rsid w:val="5E9A5DEE"/>
    <w:rsid w:val="5EA04F5B"/>
    <w:rsid w:val="5EAC3900"/>
    <w:rsid w:val="5EB02500"/>
    <w:rsid w:val="5EB6477F"/>
    <w:rsid w:val="5EB772EB"/>
    <w:rsid w:val="5EB91D07"/>
    <w:rsid w:val="5EBB7FE7"/>
    <w:rsid w:val="5EBC1680"/>
    <w:rsid w:val="5EBF1885"/>
    <w:rsid w:val="5EC155FD"/>
    <w:rsid w:val="5EC200EC"/>
    <w:rsid w:val="5EC60596"/>
    <w:rsid w:val="5ECA1FD8"/>
    <w:rsid w:val="5ECC3FA2"/>
    <w:rsid w:val="5ECC7AFE"/>
    <w:rsid w:val="5ED115B9"/>
    <w:rsid w:val="5ED5642E"/>
    <w:rsid w:val="5ED74E21"/>
    <w:rsid w:val="5ED82947"/>
    <w:rsid w:val="5EDA2E9D"/>
    <w:rsid w:val="5EDD1BAD"/>
    <w:rsid w:val="5EE13A22"/>
    <w:rsid w:val="5EE17A4E"/>
    <w:rsid w:val="5EE27322"/>
    <w:rsid w:val="5EE31255"/>
    <w:rsid w:val="5EE4309A"/>
    <w:rsid w:val="5EE4753E"/>
    <w:rsid w:val="5EE83548"/>
    <w:rsid w:val="5EEA5110"/>
    <w:rsid w:val="5EEB4428"/>
    <w:rsid w:val="5EF332DD"/>
    <w:rsid w:val="5EF64B7B"/>
    <w:rsid w:val="5EFB03E4"/>
    <w:rsid w:val="5EFE2E50"/>
    <w:rsid w:val="5F031561"/>
    <w:rsid w:val="5F0454EA"/>
    <w:rsid w:val="5F096FA4"/>
    <w:rsid w:val="5F0D3DD3"/>
    <w:rsid w:val="5F0F069E"/>
    <w:rsid w:val="5F131BD1"/>
    <w:rsid w:val="5F143E83"/>
    <w:rsid w:val="5F156001"/>
    <w:rsid w:val="5F1762C7"/>
    <w:rsid w:val="5F1A2B43"/>
    <w:rsid w:val="5F1D47FE"/>
    <w:rsid w:val="5F1E25EF"/>
    <w:rsid w:val="5F1F2324"/>
    <w:rsid w:val="5F2003BF"/>
    <w:rsid w:val="5F223BC2"/>
    <w:rsid w:val="5F2C4F82"/>
    <w:rsid w:val="5F2E2D52"/>
    <w:rsid w:val="5F343A03"/>
    <w:rsid w:val="5F3538F6"/>
    <w:rsid w:val="5F3A0F0C"/>
    <w:rsid w:val="5F3B5591"/>
    <w:rsid w:val="5F3C5085"/>
    <w:rsid w:val="5F3D09FC"/>
    <w:rsid w:val="5F3F3148"/>
    <w:rsid w:val="5F50072F"/>
    <w:rsid w:val="5F546472"/>
    <w:rsid w:val="5F571ABE"/>
    <w:rsid w:val="5F5C1096"/>
    <w:rsid w:val="5F5C7C79"/>
    <w:rsid w:val="5F6917F1"/>
    <w:rsid w:val="5F6B37BB"/>
    <w:rsid w:val="5F6D12E1"/>
    <w:rsid w:val="5F702B80"/>
    <w:rsid w:val="5F7206A6"/>
    <w:rsid w:val="5F7268F8"/>
    <w:rsid w:val="5F750196"/>
    <w:rsid w:val="5F795ED8"/>
    <w:rsid w:val="5F7E529D"/>
    <w:rsid w:val="5F812FDF"/>
    <w:rsid w:val="5F8605F5"/>
    <w:rsid w:val="5F891DBB"/>
    <w:rsid w:val="5F8D3732"/>
    <w:rsid w:val="5F93497E"/>
    <w:rsid w:val="5F93616B"/>
    <w:rsid w:val="5F97010C"/>
    <w:rsid w:val="5F990328"/>
    <w:rsid w:val="5F9E149B"/>
    <w:rsid w:val="5F9E172B"/>
    <w:rsid w:val="5FA173BB"/>
    <w:rsid w:val="5FA6034F"/>
    <w:rsid w:val="5FA71834"/>
    <w:rsid w:val="5FB24F46"/>
    <w:rsid w:val="5FB40CBE"/>
    <w:rsid w:val="5FB41298"/>
    <w:rsid w:val="5FB4378E"/>
    <w:rsid w:val="5FB52C88"/>
    <w:rsid w:val="5FB837BB"/>
    <w:rsid w:val="5FB85ADB"/>
    <w:rsid w:val="5FBE1B3D"/>
    <w:rsid w:val="5FBE7D8F"/>
    <w:rsid w:val="5FBF15B7"/>
    <w:rsid w:val="5FBF4FF7"/>
    <w:rsid w:val="5FBF6C63"/>
    <w:rsid w:val="5FC058B5"/>
    <w:rsid w:val="5FC501E9"/>
    <w:rsid w:val="5FCA3AC9"/>
    <w:rsid w:val="5FCD3B2E"/>
    <w:rsid w:val="5FD15BC7"/>
    <w:rsid w:val="5FD27396"/>
    <w:rsid w:val="5FD60138"/>
    <w:rsid w:val="5FD72BFF"/>
    <w:rsid w:val="5FD90725"/>
    <w:rsid w:val="5FDB1689"/>
    <w:rsid w:val="5FDC1FC3"/>
    <w:rsid w:val="5FDE3F8D"/>
    <w:rsid w:val="5FE13DD4"/>
    <w:rsid w:val="5FE175D9"/>
    <w:rsid w:val="5FE252DE"/>
    <w:rsid w:val="5FE33D96"/>
    <w:rsid w:val="5FE570CA"/>
    <w:rsid w:val="5FE64BF0"/>
    <w:rsid w:val="5FEC05A4"/>
    <w:rsid w:val="5FF10884"/>
    <w:rsid w:val="5FF13CC0"/>
    <w:rsid w:val="5FF53085"/>
    <w:rsid w:val="5FFA3939"/>
    <w:rsid w:val="5FFC4413"/>
    <w:rsid w:val="5FFC4B26"/>
    <w:rsid w:val="60067C70"/>
    <w:rsid w:val="600A2FD4"/>
    <w:rsid w:val="600B28A8"/>
    <w:rsid w:val="60121E89"/>
    <w:rsid w:val="60146E28"/>
    <w:rsid w:val="60196D73"/>
    <w:rsid w:val="602045A6"/>
    <w:rsid w:val="60215D53"/>
    <w:rsid w:val="60251BBC"/>
    <w:rsid w:val="602F47E9"/>
    <w:rsid w:val="603040BD"/>
    <w:rsid w:val="60327E35"/>
    <w:rsid w:val="60397415"/>
    <w:rsid w:val="603C20A0"/>
    <w:rsid w:val="603F3EAD"/>
    <w:rsid w:val="604255B0"/>
    <w:rsid w:val="60457DBC"/>
    <w:rsid w:val="60477D84"/>
    <w:rsid w:val="6048574E"/>
    <w:rsid w:val="604858AA"/>
    <w:rsid w:val="604916B7"/>
    <w:rsid w:val="604A33D1"/>
    <w:rsid w:val="604C0EF7"/>
    <w:rsid w:val="6054424F"/>
    <w:rsid w:val="60547801"/>
    <w:rsid w:val="60563B24"/>
    <w:rsid w:val="60594FB8"/>
    <w:rsid w:val="605E4B7F"/>
    <w:rsid w:val="606049A2"/>
    <w:rsid w:val="60634CC8"/>
    <w:rsid w:val="6065020A"/>
    <w:rsid w:val="6065645C"/>
    <w:rsid w:val="60695F4D"/>
    <w:rsid w:val="606D5311"/>
    <w:rsid w:val="607B5C80"/>
    <w:rsid w:val="607D37A6"/>
    <w:rsid w:val="607E751E"/>
    <w:rsid w:val="60805044"/>
    <w:rsid w:val="60806DF2"/>
    <w:rsid w:val="608508AD"/>
    <w:rsid w:val="608869FD"/>
    <w:rsid w:val="6089214B"/>
    <w:rsid w:val="60964868"/>
    <w:rsid w:val="609778D8"/>
    <w:rsid w:val="60980A56"/>
    <w:rsid w:val="609868E2"/>
    <w:rsid w:val="609B3C2C"/>
    <w:rsid w:val="609D0327"/>
    <w:rsid w:val="609E54CA"/>
    <w:rsid w:val="60A44A07"/>
    <w:rsid w:val="60AD3D52"/>
    <w:rsid w:val="60AD570E"/>
    <w:rsid w:val="60B42F40"/>
    <w:rsid w:val="60B46A9C"/>
    <w:rsid w:val="60B8658C"/>
    <w:rsid w:val="60BA67A8"/>
    <w:rsid w:val="60C153B2"/>
    <w:rsid w:val="60C2206A"/>
    <w:rsid w:val="60C70EC5"/>
    <w:rsid w:val="60CC00C7"/>
    <w:rsid w:val="60CC405A"/>
    <w:rsid w:val="60CC64DC"/>
    <w:rsid w:val="60D75A06"/>
    <w:rsid w:val="60DA0BF8"/>
    <w:rsid w:val="60E04CD0"/>
    <w:rsid w:val="60E31987"/>
    <w:rsid w:val="60EA0710"/>
    <w:rsid w:val="60EC092C"/>
    <w:rsid w:val="60EC6236"/>
    <w:rsid w:val="60F0638A"/>
    <w:rsid w:val="60F15600"/>
    <w:rsid w:val="60F26736"/>
    <w:rsid w:val="60F65306"/>
    <w:rsid w:val="60F872D1"/>
    <w:rsid w:val="60F92651"/>
    <w:rsid w:val="60FA4DF7"/>
    <w:rsid w:val="60FB291D"/>
    <w:rsid w:val="61016185"/>
    <w:rsid w:val="61021EFD"/>
    <w:rsid w:val="61047A23"/>
    <w:rsid w:val="610572F8"/>
    <w:rsid w:val="610C16B3"/>
    <w:rsid w:val="6110461A"/>
    <w:rsid w:val="611539DF"/>
    <w:rsid w:val="611F660B"/>
    <w:rsid w:val="61204131"/>
    <w:rsid w:val="61291238"/>
    <w:rsid w:val="612E2CF2"/>
    <w:rsid w:val="612E4AA0"/>
    <w:rsid w:val="61327F96"/>
    <w:rsid w:val="613320B7"/>
    <w:rsid w:val="61371BA7"/>
    <w:rsid w:val="61390939"/>
    <w:rsid w:val="613964C0"/>
    <w:rsid w:val="613D1187"/>
    <w:rsid w:val="613F70D4"/>
    <w:rsid w:val="6141185E"/>
    <w:rsid w:val="61453480"/>
    <w:rsid w:val="614D13CA"/>
    <w:rsid w:val="61581B1D"/>
    <w:rsid w:val="61587D6F"/>
    <w:rsid w:val="615C33BC"/>
    <w:rsid w:val="616109D2"/>
    <w:rsid w:val="61652290"/>
    <w:rsid w:val="61671D60"/>
    <w:rsid w:val="61677FB2"/>
    <w:rsid w:val="61693D2A"/>
    <w:rsid w:val="617050B9"/>
    <w:rsid w:val="61734BA9"/>
    <w:rsid w:val="61736957"/>
    <w:rsid w:val="617526CF"/>
    <w:rsid w:val="617541EC"/>
    <w:rsid w:val="61787CD1"/>
    <w:rsid w:val="617A768C"/>
    <w:rsid w:val="617E3754"/>
    <w:rsid w:val="617F70AA"/>
    <w:rsid w:val="61880654"/>
    <w:rsid w:val="61881C02"/>
    <w:rsid w:val="61882403"/>
    <w:rsid w:val="618F19E3"/>
    <w:rsid w:val="61972646"/>
    <w:rsid w:val="61994610"/>
    <w:rsid w:val="619A0388"/>
    <w:rsid w:val="619A0F68"/>
    <w:rsid w:val="619F22FA"/>
    <w:rsid w:val="619F599E"/>
    <w:rsid w:val="61A27D6A"/>
    <w:rsid w:val="61A81485"/>
    <w:rsid w:val="61AB7E06"/>
    <w:rsid w:val="61AB7E9F"/>
    <w:rsid w:val="61AD00BB"/>
    <w:rsid w:val="61AD3C17"/>
    <w:rsid w:val="61AE3E32"/>
    <w:rsid w:val="61AE798F"/>
    <w:rsid w:val="61B03707"/>
    <w:rsid w:val="61B23F4D"/>
    <w:rsid w:val="61B73C23"/>
    <w:rsid w:val="61BE4076"/>
    <w:rsid w:val="61C15914"/>
    <w:rsid w:val="61C50446"/>
    <w:rsid w:val="61C7162B"/>
    <w:rsid w:val="61CA5A48"/>
    <w:rsid w:val="61CB22EF"/>
    <w:rsid w:val="61CD1868"/>
    <w:rsid w:val="61D13262"/>
    <w:rsid w:val="61D513C0"/>
    <w:rsid w:val="61D70B00"/>
    <w:rsid w:val="61D90EB0"/>
    <w:rsid w:val="61D97CC0"/>
    <w:rsid w:val="61E138C1"/>
    <w:rsid w:val="61E15FB7"/>
    <w:rsid w:val="61E215D8"/>
    <w:rsid w:val="61E433B1"/>
    <w:rsid w:val="61EA4E6B"/>
    <w:rsid w:val="61EB473F"/>
    <w:rsid w:val="61ED495B"/>
    <w:rsid w:val="61ED6709"/>
    <w:rsid w:val="61EE5FDE"/>
    <w:rsid w:val="61F01D56"/>
    <w:rsid w:val="61F07FA8"/>
    <w:rsid w:val="61F335F4"/>
    <w:rsid w:val="6200602F"/>
    <w:rsid w:val="62045801"/>
    <w:rsid w:val="620D6DAC"/>
    <w:rsid w:val="620E028B"/>
    <w:rsid w:val="62195750"/>
    <w:rsid w:val="621B3277"/>
    <w:rsid w:val="621B3775"/>
    <w:rsid w:val="622C5484"/>
    <w:rsid w:val="622D3B09"/>
    <w:rsid w:val="622D6B06"/>
    <w:rsid w:val="6232236E"/>
    <w:rsid w:val="623375C8"/>
    <w:rsid w:val="62364782"/>
    <w:rsid w:val="6239194F"/>
    <w:rsid w:val="623C4F9B"/>
    <w:rsid w:val="623E0D13"/>
    <w:rsid w:val="624438CC"/>
    <w:rsid w:val="624E19F8"/>
    <w:rsid w:val="624E2AD0"/>
    <w:rsid w:val="62507C9B"/>
    <w:rsid w:val="62546789"/>
    <w:rsid w:val="62555876"/>
    <w:rsid w:val="6257335C"/>
    <w:rsid w:val="625B18C5"/>
    <w:rsid w:val="62602AAB"/>
    <w:rsid w:val="626764BC"/>
    <w:rsid w:val="626C3AD2"/>
    <w:rsid w:val="626C5880"/>
    <w:rsid w:val="626D15F8"/>
    <w:rsid w:val="626F5370"/>
    <w:rsid w:val="626F711E"/>
    <w:rsid w:val="62712E97"/>
    <w:rsid w:val="62724104"/>
    <w:rsid w:val="62740BD9"/>
    <w:rsid w:val="62760E15"/>
    <w:rsid w:val="62764951"/>
    <w:rsid w:val="62856942"/>
    <w:rsid w:val="6287090C"/>
    <w:rsid w:val="62917095"/>
    <w:rsid w:val="629806CC"/>
    <w:rsid w:val="6299419B"/>
    <w:rsid w:val="629D770A"/>
    <w:rsid w:val="629E1711"/>
    <w:rsid w:val="629E5C56"/>
    <w:rsid w:val="62A0377C"/>
    <w:rsid w:val="62A50D92"/>
    <w:rsid w:val="62A611DF"/>
    <w:rsid w:val="62A768B8"/>
    <w:rsid w:val="62AA63A9"/>
    <w:rsid w:val="62AE40EB"/>
    <w:rsid w:val="62B15989"/>
    <w:rsid w:val="62B31701"/>
    <w:rsid w:val="62B37719"/>
    <w:rsid w:val="62B42F0E"/>
    <w:rsid w:val="62B93A82"/>
    <w:rsid w:val="62BE1E54"/>
    <w:rsid w:val="62C51434"/>
    <w:rsid w:val="62CF1CB5"/>
    <w:rsid w:val="62D376AD"/>
    <w:rsid w:val="62D94C2E"/>
    <w:rsid w:val="62DB2A06"/>
    <w:rsid w:val="62DD052C"/>
    <w:rsid w:val="62DD677E"/>
    <w:rsid w:val="62E25B42"/>
    <w:rsid w:val="62E56756"/>
    <w:rsid w:val="62E96ED1"/>
    <w:rsid w:val="62EC5F9A"/>
    <w:rsid w:val="62EF64B1"/>
    <w:rsid w:val="62F117D2"/>
    <w:rsid w:val="62F13FD7"/>
    <w:rsid w:val="62FA2859"/>
    <w:rsid w:val="62FA7D96"/>
    <w:rsid w:val="62FB09B2"/>
    <w:rsid w:val="62FF66F4"/>
    <w:rsid w:val="63041F5D"/>
    <w:rsid w:val="63096857"/>
    <w:rsid w:val="63097573"/>
    <w:rsid w:val="630C7063"/>
    <w:rsid w:val="630F26B0"/>
    <w:rsid w:val="630F4965"/>
    <w:rsid w:val="63100901"/>
    <w:rsid w:val="63145016"/>
    <w:rsid w:val="63182FEF"/>
    <w:rsid w:val="631C3978"/>
    <w:rsid w:val="631D1468"/>
    <w:rsid w:val="631E3C32"/>
    <w:rsid w:val="631E5B99"/>
    <w:rsid w:val="63224191"/>
    <w:rsid w:val="63247F09"/>
    <w:rsid w:val="63293771"/>
    <w:rsid w:val="632F68AE"/>
    <w:rsid w:val="63343CFF"/>
    <w:rsid w:val="6335193F"/>
    <w:rsid w:val="63352116"/>
    <w:rsid w:val="63381C06"/>
    <w:rsid w:val="63387E58"/>
    <w:rsid w:val="633B5253"/>
    <w:rsid w:val="633C28F4"/>
    <w:rsid w:val="633D0FCB"/>
    <w:rsid w:val="633E7923"/>
    <w:rsid w:val="63402869"/>
    <w:rsid w:val="63414F5F"/>
    <w:rsid w:val="634560D1"/>
    <w:rsid w:val="63462575"/>
    <w:rsid w:val="634B193A"/>
    <w:rsid w:val="634C5820"/>
    <w:rsid w:val="634E142A"/>
    <w:rsid w:val="6353259C"/>
    <w:rsid w:val="63554566"/>
    <w:rsid w:val="635D78BF"/>
    <w:rsid w:val="635F7193"/>
    <w:rsid w:val="636104DF"/>
    <w:rsid w:val="6361115D"/>
    <w:rsid w:val="63640C4D"/>
    <w:rsid w:val="636429FB"/>
    <w:rsid w:val="63676048"/>
    <w:rsid w:val="636C18B0"/>
    <w:rsid w:val="63750765"/>
    <w:rsid w:val="6377272F"/>
    <w:rsid w:val="637F7835"/>
    <w:rsid w:val="63861A11"/>
    <w:rsid w:val="638906B4"/>
    <w:rsid w:val="638C2CB2"/>
    <w:rsid w:val="63925B8B"/>
    <w:rsid w:val="6394356A"/>
    <w:rsid w:val="63950E07"/>
    <w:rsid w:val="639A6054"/>
    <w:rsid w:val="639C03E7"/>
    <w:rsid w:val="639F1C85"/>
    <w:rsid w:val="63A4729C"/>
    <w:rsid w:val="63A65BE7"/>
    <w:rsid w:val="63AB687C"/>
    <w:rsid w:val="63AC081F"/>
    <w:rsid w:val="63AE2361"/>
    <w:rsid w:val="63B3128D"/>
    <w:rsid w:val="63BA086D"/>
    <w:rsid w:val="63BA261B"/>
    <w:rsid w:val="63BC6393"/>
    <w:rsid w:val="63BE65AF"/>
    <w:rsid w:val="63BF5E84"/>
    <w:rsid w:val="63C230E7"/>
    <w:rsid w:val="63C33BC6"/>
    <w:rsid w:val="63C61B2C"/>
    <w:rsid w:val="63C67212"/>
    <w:rsid w:val="63C811DC"/>
    <w:rsid w:val="63C90AB0"/>
    <w:rsid w:val="63D23E09"/>
    <w:rsid w:val="63D3458D"/>
    <w:rsid w:val="63D40BE9"/>
    <w:rsid w:val="63DA2CBD"/>
    <w:rsid w:val="63E31B72"/>
    <w:rsid w:val="63E43B3C"/>
    <w:rsid w:val="63E458EA"/>
    <w:rsid w:val="63E47698"/>
    <w:rsid w:val="63E50CEC"/>
    <w:rsid w:val="63E61254"/>
    <w:rsid w:val="63E6217C"/>
    <w:rsid w:val="63E94CAF"/>
    <w:rsid w:val="63EA2C08"/>
    <w:rsid w:val="63F145B7"/>
    <w:rsid w:val="63F27828"/>
    <w:rsid w:val="63F84591"/>
    <w:rsid w:val="63FC2C34"/>
    <w:rsid w:val="63FC7103"/>
    <w:rsid w:val="63FFBE85"/>
    <w:rsid w:val="64005F33"/>
    <w:rsid w:val="6401649C"/>
    <w:rsid w:val="64033FC2"/>
    <w:rsid w:val="64041AE8"/>
    <w:rsid w:val="64055F8C"/>
    <w:rsid w:val="6408782B"/>
    <w:rsid w:val="64102431"/>
    <w:rsid w:val="64151F48"/>
    <w:rsid w:val="641A130C"/>
    <w:rsid w:val="64203D44"/>
    <w:rsid w:val="64246747"/>
    <w:rsid w:val="64287ECD"/>
    <w:rsid w:val="642A1C4A"/>
    <w:rsid w:val="642A59F3"/>
    <w:rsid w:val="642E5DA1"/>
    <w:rsid w:val="64300B2F"/>
    <w:rsid w:val="64337DCC"/>
    <w:rsid w:val="64346872"/>
    <w:rsid w:val="64384866"/>
    <w:rsid w:val="64391487"/>
    <w:rsid w:val="64393E88"/>
    <w:rsid w:val="643C430D"/>
    <w:rsid w:val="64410F8F"/>
    <w:rsid w:val="64422EE1"/>
    <w:rsid w:val="644442D9"/>
    <w:rsid w:val="64460353"/>
    <w:rsid w:val="644A1323"/>
    <w:rsid w:val="644C3C24"/>
    <w:rsid w:val="644D16E1"/>
    <w:rsid w:val="644E49FD"/>
    <w:rsid w:val="644F2F98"/>
    <w:rsid w:val="64515E31"/>
    <w:rsid w:val="6457430E"/>
    <w:rsid w:val="645760BC"/>
    <w:rsid w:val="645C60CA"/>
    <w:rsid w:val="645E4E80"/>
    <w:rsid w:val="646B7DB9"/>
    <w:rsid w:val="646D1D84"/>
    <w:rsid w:val="646F7295"/>
    <w:rsid w:val="64721148"/>
    <w:rsid w:val="64722EF6"/>
    <w:rsid w:val="6477675E"/>
    <w:rsid w:val="64793051"/>
    <w:rsid w:val="647B3F47"/>
    <w:rsid w:val="647B4B09"/>
    <w:rsid w:val="647B624F"/>
    <w:rsid w:val="64833355"/>
    <w:rsid w:val="64836EB1"/>
    <w:rsid w:val="648B3FB8"/>
    <w:rsid w:val="649317EA"/>
    <w:rsid w:val="649410BE"/>
    <w:rsid w:val="64986E00"/>
    <w:rsid w:val="649D4417"/>
    <w:rsid w:val="64A01811"/>
    <w:rsid w:val="64A15589"/>
    <w:rsid w:val="64A5151D"/>
    <w:rsid w:val="64A5243A"/>
    <w:rsid w:val="64A841EE"/>
    <w:rsid w:val="64AE37F7"/>
    <w:rsid w:val="64B11C70"/>
    <w:rsid w:val="64B21544"/>
    <w:rsid w:val="64C323E4"/>
    <w:rsid w:val="64D03BCB"/>
    <w:rsid w:val="64D10039"/>
    <w:rsid w:val="64D21BE7"/>
    <w:rsid w:val="64D25170"/>
    <w:rsid w:val="64D616D7"/>
    <w:rsid w:val="64DB3EFD"/>
    <w:rsid w:val="64E04304"/>
    <w:rsid w:val="64E13556"/>
    <w:rsid w:val="64E57B6C"/>
    <w:rsid w:val="64EA33D4"/>
    <w:rsid w:val="64EC2CA8"/>
    <w:rsid w:val="64EE258A"/>
    <w:rsid w:val="64F120BA"/>
    <w:rsid w:val="64F34037"/>
    <w:rsid w:val="64F52921"/>
    <w:rsid w:val="64F531DE"/>
    <w:rsid w:val="64F90F01"/>
    <w:rsid w:val="64F93617"/>
    <w:rsid w:val="64FB6666"/>
    <w:rsid w:val="64FD6C64"/>
    <w:rsid w:val="65031DA0"/>
    <w:rsid w:val="650A5824"/>
    <w:rsid w:val="650C0277"/>
    <w:rsid w:val="650C334B"/>
    <w:rsid w:val="650D2C1F"/>
    <w:rsid w:val="650E70C3"/>
    <w:rsid w:val="65122382"/>
    <w:rsid w:val="65150451"/>
    <w:rsid w:val="65165479"/>
    <w:rsid w:val="65181CEF"/>
    <w:rsid w:val="65183A9D"/>
    <w:rsid w:val="651A5A67"/>
    <w:rsid w:val="651B17E0"/>
    <w:rsid w:val="651D2E62"/>
    <w:rsid w:val="65222B6E"/>
    <w:rsid w:val="65231CE2"/>
    <w:rsid w:val="652B5716"/>
    <w:rsid w:val="65312DB1"/>
    <w:rsid w:val="653308D7"/>
    <w:rsid w:val="65373578"/>
    <w:rsid w:val="6546685C"/>
    <w:rsid w:val="654E74BF"/>
    <w:rsid w:val="65515201"/>
    <w:rsid w:val="655215A0"/>
    <w:rsid w:val="6553566A"/>
    <w:rsid w:val="655A5E64"/>
    <w:rsid w:val="655D5954"/>
    <w:rsid w:val="655F0592"/>
    <w:rsid w:val="655F16CC"/>
    <w:rsid w:val="655F347A"/>
    <w:rsid w:val="655F54A3"/>
    <w:rsid w:val="65621EDC"/>
    <w:rsid w:val="65640B55"/>
    <w:rsid w:val="656839B7"/>
    <w:rsid w:val="656E7B61"/>
    <w:rsid w:val="656F7435"/>
    <w:rsid w:val="65736F26"/>
    <w:rsid w:val="65750EF0"/>
    <w:rsid w:val="657A02B4"/>
    <w:rsid w:val="657B0426"/>
    <w:rsid w:val="657B402C"/>
    <w:rsid w:val="657C51E1"/>
    <w:rsid w:val="657D71A1"/>
    <w:rsid w:val="657D7DA4"/>
    <w:rsid w:val="65800672"/>
    <w:rsid w:val="65801643"/>
    <w:rsid w:val="65801E39"/>
    <w:rsid w:val="658729D1"/>
    <w:rsid w:val="658A426F"/>
    <w:rsid w:val="658C6239"/>
    <w:rsid w:val="658C6274"/>
    <w:rsid w:val="658D70FE"/>
    <w:rsid w:val="65901886"/>
    <w:rsid w:val="65921444"/>
    <w:rsid w:val="65931376"/>
    <w:rsid w:val="6595496B"/>
    <w:rsid w:val="659720FE"/>
    <w:rsid w:val="65A645AF"/>
    <w:rsid w:val="65A672FB"/>
    <w:rsid w:val="65AC2C83"/>
    <w:rsid w:val="65AD7581"/>
    <w:rsid w:val="65B0017A"/>
    <w:rsid w:val="65B01F28"/>
    <w:rsid w:val="65B25CA0"/>
    <w:rsid w:val="65B337C6"/>
    <w:rsid w:val="65BD2897"/>
    <w:rsid w:val="65CE23AE"/>
    <w:rsid w:val="65CF6F6D"/>
    <w:rsid w:val="65D33363"/>
    <w:rsid w:val="65D774B5"/>
    <w:rsid w:val="65D8322D"/>
    <w:rsid w:val="65D97752"/>
    <w:rsid w:val="65DD0843"/>
    <w:rsid w:val="65E1271C"/>
    <w:rsid w:val="65E16447"/>
    <w:rsid w:val="65E25E59"/>
    <w:rsid w:val="65E9368C"/>
    <w:rsid w:val="65EB11B2"/>
    <w:rsid w:val="65EB2F60"/>
    <w:rsid w:val="65F17570"/>
    <w:rsid w:val="65F22BB6"/>
    <w:rsid w:val="65F52031"/>
    <w:rsid w:val="65F71905"/>
    <w:rsid w:val="65F75DA9"/>
    <w:rsid w:val="65F91B21"/>
    <w:rsid w:val="65FA63BD"/>
    <w:rsid w:val="65FC33BF"/>
    <w:rsid w:val="66042274"/>
    <w:rsid w:val="66060B8A"/>
    <w:rsid w:val="66067D9A"/>
    <w:rsid w:val="66083B12"/>
    <w:rsid w:val="6608615F"/>
    <w:rsid w:val="6609788A"/>
    <w:rsid w:val="660A60F8"/>
    <w:rsid w:val="660B53B0"/>
    <w:rsid w:val="66140709"/>
    <w:rsid w:val="66175A05"/>
    <w:rsid w:val="6618540C"/>
    <w:rsid w:val="661E1587"/>
    <w:rsid w:val="66214BD4"/>
    <w:rsid w:val="662326FA"/>
    <w:rsid w:val="66252916"/>
    <w:rsid w:val="662841B4"/>
    <w:rsid w:val="662A7440"/>
    <w:rsid w:val="662B5A52"/>
    <w:rsid w:val="663220D5"/>
    <w:rsid w:val="6635067F"/>
    <w:rsid w:val="663516C3"/>
    <w:rsid w:val="66372649"/>
    <w:rsid w:val="663761A5"/>
    <w:rsid w:val="663A2BAA"/>
    <w:rsid w:val="663A3EE7"/>
    <w:rsid w:val="663F2455"/>
    <w:rsid w:val="663F32AC"/>
    <w:rsid w:val="66430FEE"/>
    <w:rsid w:val="66434B4A"/>
    <w:rsid w:val="664408C2"/>
    <w:rsid w:val="664561D7"/>
    <w:rsid w:val="6646288C"/>
    <w:rsid w:val="66462A4A"/>
    <w:rsid w:val="66476E91"/>
    <w:rsid w:val="664803B2"/>
    <w:rsid w:val="664A237C"/>
    <w:rsid w:val="664B39FF"/>
    <w:rsid w:val="664B7EA3"/>
    <w:rsid w:val="664C1D1E"/>
    <w:rsid w:val="664D10C7"/>
    <w:rsid w:val="664E60E1"/>
    <w:rsid w:val="664F1741"/>
    <w:rsid w:val="66524A62"/>
    <w:rsid w:val="66524D8D"/>
    <w:rsid w:val="66535B51"/>
    <w:rsid w:val="66541D94"/>
    <w:rsid w:val="66560910"/>
    <w:rsid w:val="665A1E94"/>
    <w:rsid w:val="66652D12"/>
    <w:rsid w:val="66664CDC"/>
    <w:rsid w:val="66682803"/>
    <w:rsid w:val="666B5609"/>
    <w:rsid w:val="667016B7"/>
    <w:rsid w:val="667165ED"/>
    <w:rsid w:val="6679056C"/>
    <w:rsid w:val="66797786"/>
    <w:rsid w:val="66807B4C"/>
    <w:rsid w:val="66817EF2"/>
    <w:rsid w:val="66882EA5"/>
    <w:rsid w:val="668A09CB"/>
    <w:rsid w:val="6691226C"/>
    <w:rsid w:val="66952ECC"/>
    <w:rsid w:val="669804FD"/>
    <w:rsid w:val="669B4986"/>
    <w:rsid w:val="669F7F7B"/>
    <w:rsid w:val="66A202A8"/>
    <w:rsid w:val="66A51361"/>
    <w:rsid w:val="66A575B3"/>
    <w:rsid w:val="66AF3939"/>
    <w:rsid w:val="66AF407A"/>
    <w:rsid w:val="66B0201E"/>
    <w:rsid w:val="66B1631A"/>
    <w:rsid w:val="66B6356E"/>
    <w:rsid w:val="66B75538"/>
    <w:rsid w:val="66BE68C6"/>
    <w:rsid w:val="66C93395"/>
    <w:rsid w:val="66CA526B"/>
    <w:rsid w:val="66D0175B"/>
    <w:rsid w:val="66D6776C"/>
    <w:rsid w:val="66D71736"/>
    <w:rsid w:val="66D734E4"/>
    <w:rsid w:val="66D87988"/>
    <w:rsid w:val="66D954AE"/>
    <w:rsid w:val="66DA4886"/>
    <w:rsid w:val="66DE462C"/>
    <w:rsid w:val="66E749E0"/>
    <w:rsid w:val="66EB4CB7"/>
    <w:rsid w:val="66ED2023"/>
    <w:rsid w:val="66F83B86"/>
    <w:rsid w:val="66F95B50"/>
    <w:rsid w:val="66FB71D3"/>
    <w:rsid w:val="66FE2DEF"/>
    <w:rsid w:val="66FE4F15"/>
    <w:rsid w:val="67002A3B"/>
    <w:rsid w:val="670047E9"/>
    <w:rsid w:val="67006EDF"/>
    <w:rsid w:val="6703252B"/>
    <w:rsid w:val="670544F5"/>
    <w:rsid w:val="670818F0"/>
    <w:rsid w:val="670A6088"/>
    <w:rsid w:val="670C13E0"/>
    <w:rsid w:val="670C7C8D"/>
    <w:rsid w:val="67112E9A"/>
    <w:rsid w:val="67140294"/>
    <w:rsid w:val="671464E6"/>
    <w:rsid w:val="671571E5"/>
    <w:rsid w:val="671604B0"/>
    <w:rsid w:val="671D552C"/>
    <w:rsid w:val="671F124A"/>
    <w:rsid w:val="671F55B7"/>
    <w:rsid w:val="67206C39"/>
    <w:rsid w:val="672229B1"/>
    <w:rsid w:val="67262027"/>
    <w:rsid w:val="6727621A"/>
    <w:rsid w:val="672A3F5C"/>
    <w:rsid w:val="672C55DE"/>
    <w:rsid w:val="67310E46"/>
    <w:rsid w:val="67312ABA"/>
    <w:rsid w:val="673708DA"/>
    <w:rsid w:val="673750A5"/>
    <w:rsid w:val="673821D5"/>
    <w:rsid w:val="673B7F17"/>
    <w:rsid w:val="673F7A07"/>
    <w:rsid w:val="67403F85"/>
    <w:rsid w:val="67437875"/>
    <w:rsid w:val="67446DCC"/>
    <w:rsid w:val="674943E2"/>
    <w:rsid w:val="67513297"/>
    <w:rsid w:val="67535261"/>
    <w:rsid w:val="6759039D"/>
    <w:rsid w:val="675B18CF"/>
    <w:rsid w:val="675B5EC3"/>
    <w:rsid w:val="676034DA"/>
    <w:rsid w:val="67642FCA"/>
    <w:rsid w:val="676821EE"/>
    <w:rsid w:val="67683ED3"/>
    <w:rsid w:val="67696832"/>
    <w:rsid w:val="6779459B"/>
    <w:rsid w:val="677A27ED"/>
    <w:rsid w:val="677A33C6"/>
    <w:rsid w:val="677F6056"/>
    <w:rsid w:val="677F7E04"/>
    <w:rsid w:val="67804547"/>
    <w:rsid w:val="67821F31"/>
    <w:rsid w:val="678B49FB"/>
    <w:rsid w:val="679376A9"/>
    <w:rsid w:val="679B4BE4"/>
    <w:rsid w:val="67A05FCC"/>
    <w:rsid w:val="67A45ABC"/>
    <w:rsid w:val="67AB0BF9"/>
    <w:rsid w:val="67AE2497"/>
    <w:rsid w:val="67B0300D"/>
    <w:rsid w:val="67B05D79"/>
    <w:rsid w:val="67B61117"/>
    <w:rsid w:val="67B82F76"/>
    <w:rsid w:val="67B850C4"/>
    <w:rsid w:val="67BF5E9C"/>
    <w:rsid w:val="67C1041C"/>
    <w:rsid w:val="67C63C85"/>
    <w:rsid w:val="67CE2B39"/>
    <w:rsid w:val="67D0240D"/>
    <w:rsid w:val="67D16185"/>
    <w:rsid w:val="67D31EFE"/>
    <w:rsid w:val="67D46CDA"/>
    <w:rsid w:val="67D57A24"/>
    <w:rsid w:val="67D619EE"/>
    <w:rsid w:val="67D6379C"/>
    <w:rsid w:val="67DB7004"/>
    <w:rsid w:val="67E0517D"/>
    <w:rsid w:val="67E10ABE"/>
    <w:rsid w:val="67EC1211"/>
    <w:rsid w:val="67FA56DC"/>
    <w:rsid w:val="67FD29F7"/>
    <w:rsid w:val="67FF35EF"/>
    <w:rsid w:val="680227E3"/>
    <w:rsid w:val="68061F0F"/>
    <w:rsid w:val="680A37B2"/>
    <w:rsid w:val="680A5F81"/>
    <w:rsid w:val="680C5410"/>
    <w:rsid w:val="680E6F0D"/>
    <w:rsid w:val="68106CAE"/>
    <w:rsid w:val="6813679E"/>
    <w:rsid w:val="6815075C"/>
    <w:rsid w:val="681F6961"/>
    <w:rsid w:val="68213248"/>
    <w:rsid w:val="682251A0"/>
    <w:rsid w:val="68235B25"/>
    <w:rsid w:val="6826679A"/>
    <w:rsid w:val="682C4391"/>
    <w:rsid w:val="682D4D6B"/>
    <w:rsid w:val="682E35D8"/>
    <w:rsid w:val="68370C8B"/>
    <w:rsid w:val="68386205"/>
    <w:rsid w:val="68420E31"/>
    <w:rsid w:val="6844104D"/>
    <w:rsid w:val="684626D0"/>
    <w:rsid w:val="68525518"/>
    <w:rsid w:val="68580655"/>
    <w:rsid w:val="685A1A1D"/>
    <w:rsid w:val="685C7E89"/>
    <w:rsid w:val="685F19E3"/>
    <w:rsid w:val="685F5DE8"/>
    <w:rsid w:val="68610A2F"/>
    <w:rsid w:val="68664B20"/>
    <w:rsid w:val="686D4100"/>
    <w:rsid w:val="686E384F"/>
    <w:rsid w:val="68725BBA"/>
    <w:rsid w:val="68774BB2"/>
    <w:rsid w:val="68774F7F"/>
    <w:rsid w:val="68792AA5"/>
    <w:rsid w:val="687F7CA5"/>
    <w:rsid w:val="68805514"/>
    <w:rsid w:val="6884144A"/>
    <w:rsid w:val="688E2417"/>
    <w:rsid w:val="688F051A"/>
    <w:rsid w:val="68903394"/>
    <w:rsid w:val="68925915"/>
    <w:rsid w:val="68936099"/>
    <w:rsid w:val="6897117D"/>
    <w:rsid w:val="68975621"/>
    <w:rsid w:val="689E42BA"/>
    <w:rsid w:val="689F6284"/>
    <w:rsid w:val="68A67612"/>
    <w:rsid w:val="68A74402"/>
    <w:rsid w:val="68AD4542"/>
    <w:rsid w:val="68AE634B"/>
    <w:rsid w:val="68B27D65"/>
    <w:rsid w:val="68B65AA7"/>
    <w:rsid w:val="68BC0BE4"/>
    <w:rsid w:val="68BE2BAE"/>
    <w:rsid w:val="68C06926"/>
    <w:rsid w:val="68C31F72"/>
    <w:rsid w:val="68C36416"/>
    <w:rsid w:val="68C77CB4"/>
    <w:rsid w:val="68CC52CB"/>
    <w:rsid w:val="68D00FC0"/>
    <w:rsid w:val="68D979E8"/>
    <w:rsid w:val="68DDD1E1"/>
    <w:rsid w:val="68E433F0"/>
    <w:rsid w:val="68EC14C9"/>
    <w:rsid w:val="68EE5063"/>
    <w:rsid w:val="68F23B23"/>
    <w:rsid w:val="68F465CF"/>
    <w:rsid w:val="68F760C0"/>
    <w:rsid w:val="68F77E6E"/>
    <w:rsid w:val="68F87B91"/>
    <w:rsid w:val="68FB795E"/>
    <w:rsid w:val="68FE11FC"/>
    <w:rsid w:val="68FE51D1"/>
    <w:rsid w:val="69020CEC"/>
    <w:rsid w:val="69026F3E"/>
    <w:rsid w:val="690305C1"/>
    <w:rsid w:val="690600B1"/>
    <w:rsid w:val="690A7BA1"/>
    <w:rsid w:val="69110F2F"/>
    <w:rsid w:val="69132EFA"/>
    <w:rsid w:val="6917406C"/>
    <w:rsid w:val="691B3B5C"/>
    <w:rsid w:val="691D5B26"/>
    <w:rsid w:val="69216C99"/>
    <w:rsid w:val="69252C2D"/>
    <w:rsid w:val="692C7B17"/>
    <w:rsid w:val="692D1AE1"/>
    <w:rsid w:val="692D388F"/>
    <w:rsid w:val="692F54EF"/>
    <w:rsid w:val="69316E2F"/>
    <w:rsid w:val="69324B69"/>
    <w:rsid w:val="693448A9"/>
    <w:rsid w:val="69360472"/>
    <w:rsid w:val="69366BE8"/>
    <w:rsid w:val="693F5889"/>
    <w:rsid w:val="69495084"/>
    <w:rsid w:val="694A4441"/>
    <w:rsid w:val="694B4271"/>
    <w:rsid w:val="694E2071"/>
    <w:rsid w:val="694E3F32"/>
    <w:rsid w:val="69561384"/>
    <w:rsid w:val="69584DB0"/>
    <w:rsid w:val="696279DD"/>
    <w:rsid w:val="696574CD"/>
    <w:rsid w:val="696848C8"/>
    <w:rsid w:val="696C042A"/>
    <w:rsid w:val="696F5C56"/>
    <w:rsid w:val="69733998"/>
    <w:rsid w:val="6974326C"/>
    <w:rsid w:val="69744561"/>
    <w:rsid w:val="69766163"/>
    <w:rsid w:val="69790883"/>
    <w:rsid w:val="697A3B33"/>
    <w:rsid w:val="697D65C5"/>
    <w:rsid w:val="697E0F8A"/>
    <w:rsid w:val="698A0CE2"/>
    <w:rsid w:val="698D28D9"/>
    <w:rsid w:val="69961435"/>
    <w:rsid w:val="69981651"/>
    <w:rsid w:val="699C32E1"/>
    <w:rsid w:val="69A2427D"/>
    <w:rsid w:val="69A41529"/>
    <w:rsid w:val="69A51678"/>
    <w:rsid w:val="69AA1A66"/>
    <w:rsid w:val="69B8584F"/>
    <w:rsid w:val="69BB533F"/>
    <w:rsid w:val="69BE2739"/>
    <w:rsid w:val="69C50153"/>
    <w:rsid w:val="69C53861"/>
    <w:rsid w:val="69C97395"/>
    <w:rsid w:val="69CD06BB"/>
    <w:rsid w:val="69CD079E"/>
    <w:rsid w:val="69CE6E20"/>
    <w:rsid w:val="69D16911"/>
    <w:rsid w:val="69D44760"/>
    <w:rsid w:val="69DB32EB"/>
    <w:rsid w:val="69DD3507"/>
    <w:rsid w:val="69DF4B8A"/>
    <w:rsid w:val="69E623BC"/>
    <w:rsid w:val="69EB1780"/>
    <w:rsid w:val="69EB79D2"/>
    <w:rsid w:val="69EC72A7"/>
    <w:rsid w:val="69F10D61"/>
    <w:rsid w:val="69F331D1"/>
    <w:rsid w:val="69F4232D"/>
    <w:rsid w:val="69F66377"/>
    <w:rsid w:val="69FC398E"/>
    <w:rsid w:val="6A0171F6"/>
    <w:rsid w:val="6A0774B7"/>
    <w:rsid w:val="6A0C7949"/>
    <w:rsid w:val="6A10568B"/>
    <w:rsid w:val="6A116D0D"/>
    <w:rsid w:val="6A1707C7"/>
    <w:rsid w:val="6A211646"/>
    <w:rsid w:val="6A22716C"/>
    <w:rsid w:val="6A2276DF"/>
    <w:rsid w:val="6A2A7FC3"/>
    <w:rsid w:val="6A334ED5"/>
    <w:rsid w:val="6A3422D9"/>
    <w:rsid w:val="6A3823D3"/>
    <w:rsid w:val="6A3A44B6"/>
    <w:rsid w:val="6A4838D4"/>
    <w:rsid w:val="6A484E25"/>
    <w:rsid w:val="6A4A4AB9"/>
    <w:rsid w:val="6A4B0471"/>
    <w:rsid w:val="6A4B7B26"/>
    <w:rsid w:val="6A520EC7"/>
    <w:rsid w:val="6A5C61DA"/>
    <w:rsid w:val="6A5D1F52"/>
    <w:rsid w:val="6A633A0D"/>
    <w:rsid w:val="6A6B28C1"/>
    <w:rsid w:val="6A726139"/>
    <w:rsid w:val="6A745C1A"/>
    <w:rsid w:val="6A773014"/>
    <w:rsid w:val="6A8120E5"/>
    <w:rsid w:val="6A841BD5"/>
    <w:rsid w:val="6A8739D3"/>
    <w:rsid w:val="6A8A41D9"/>
    <w:rsid w:val="6A8D0A8A"/>
    <w:rsid w:val="6A8D6CDC"/>
    <w:rsid w:val="6A8D7765"/>
    <w:rsid w:val="6A9029D7"/>
    <w:rsid w:val="6A9164AF"/>
    <w:rsid w:val="6A955B90"/>
    <w:rsid w:val="6A99742E"/>
    <w:rsid w:val="6AA60986"/>
    <w:rsid w:val="6AA61B4B"/>
    <w:rsid w:val="6AA81420"/>
    <w:rsid w:val="6AAD4C88"/>
    <w:rsid w:val="6AAD541B"/>
    <w:rsid w:val="6AAF6C9F"/>
    <w:rsid w:val="6AB02EC8"/>
    <w:rsid w:val="6AB204F0"/>
    <w:rsid w:val="6AB31E7B"/>
    <w:rsid w:val="6AB53B3C"/>
    <w:rsid w:val="6AB57FE0"/>
    <w:rsid w:val="6AB75B07"/>
    <w:rsid w:val="6ABE08EB"/>
    <w:rsid w:val="6AC33B77"/>
    <w:rsid w:val="6AC77D2A"/>
    <w:rsid w:val="6ACA583A"/>
    <w:rsid w:val="6AD00976"/>
    <w:rsid w:val="6AD14E1A"/>
    <w:rsid w:val="6AD22940"/>
    <w:rsid w:val="6AD40FE2"/>
    <w:rsid w:val="6AD83814"/>
    <w:rsid w:val="6ADB7A47"/>
    <w:rsid w:val="6AE663EC"/>
    <w:rsid w:val="6AE93058"/>
    <w:rsid w:val="6AEC6501"/>
    <w:rsid w:val="6AED32D6"/>
    <w:rsid w:val="6AF44665"/>
    <w:rsid w:val="6AF47095"/>
    <w:rsid w:val="6AF87E20"/>
    <w:rsid w:val="6AF9611F"/>
    <w:rsid w:val="6AFB3188"/>
    <w:rsid w:val="6AFD409F"/>
    <w:rsid w:val="6B071C5C"/>
    <w:rsid w:val="6B113469"/>
    <w:rsid w:val="6B160A7F"/>
    <w:rsid w:val="6B166CD1"/>
    <w:rsid w:val="6B1E5B86"/>
    <w:rsid w:val="6B22492A"/>
    <w:rsid w:val="6B2B45F0"/>
    <w:rsid w:val="6B3057ED"/>
    <w:rsid w:val="6B317F95"/>
    <w:rsid w:val="6B322639"/>
    <w:rsid w:val="6B3233DF"/>
    <w:rsid w:val="6B32518D"/>
    <w:rsid w:val="6B346827"/>
    <w:rsid w:val="6B347157"/>
    <w:rsid w:val="6B361916"/>
    <w:rsid w:val="6B374F2E"/>
    <w:rsid w:val="6B3E3B32"/>
    <w:rsid w:val="6B411343"/>
    <w:rsid w:val="6B480E55"/>
    <w:rsid w:val="6B513865"/>
    <w:rsid w:val="6B51614A"/>
    <w:rsid w:val="6B52026F"/>
    <w:rsid w:val="6B57CEFC"/>
    <w:rsid w:val="6B590C05"/>
    <w:rsid w:val="6B596BBE"/>
    <w:rsid w:val="6B6410AC"/>
    <w:rsid w:val="6B67752D"/>
    <w:rsid w:val="6B680BAF"/>
    <w:rsid w:val="6B6B2EC7"/>
    <w:rsid w:val="6B6F4633"/>
    <w:rsid w:val="6B731EAA"/>
    <w:rsid w:val="6B76151E"/>
    <w:rsid w:val="6B781BDB"/>
    <w:rsid w:val="6B7E4876"/>
    <w:rsid w:val="6B824366"/>
    <w:rsid w:val="6B827EC3"/>
    <w:rsid w:val="6B864AC6"/>
    <w:rsid w:val="6B885505"/>
    <w:rsid w:val="6B8F0831"/>
    <w:rsid w:val="6B923E7E"/>
    <w:rsid w:val="6B96396E"/>
    <w:rsid w:val="6B9D4CFC"/>
    <w:rsid w:val="6BA240C1"/>
    <w:rsid w:val="6BA3608B"/>
    <w:rsid w:val="6BA37E39"/>
    <w:rsid w:val="6BA77929"/>
    <w:rsid w:val="6BA936A1"/>
    <w:rsid w:val="6BAE64BE"/>
    <w:rsid w:val="6BB34520"/>
    <w:rsid w:val="6BBD03E6"/>
    <w:rsid w:val="6BBD0EFB"/>
    <w:rsid w:val="6BC06C3D"/>
    <w:rsid w:val="6BCC3834"/>
    <w:rsid w:val="6BCD71EF"/>
    <w:rsid w:val="6BCE3638"/>
    <w:rsid w:val="6BCE6C7A"/>
    <w:rsid w:val="6BD11C59"/>
    <w:rsid w:val="6BD421AC"/>
    <w:rsid w:val="6BDA5EAA"/>
    <w:rsid w:val="6BDA5F51"/>
    <w:rsid w:val="6BDFE776"/>
    <w:rsid w:val="6BE02E3B"/>
    <w:rsid w:val="6BE24E05"/>
    <w:rsid w:val="6BE648F5"/>
    <w:rsid w:val="6BEE6D1C"/>
    <w:rsid w:val="6BEF307E"/>
    <w:rsid w:val="6BF27EC6"/>
    <w:rsid w:val="6BF568E6"/>
    <w:rsid w:val="6BF76FC7"/>
    <w:rsid w:val="6BF8051D"/>
    <w:rsid w:val="6BFB5EC7"/>
    <w:rsid w:val="6BFF1513"/>
    <w:rsid w:val="6BFF5A02"/>
    <w:rsid w:val="6BFF7765"/>
    <w:rsid w:val="6BFFA3C2"/>
    <w:rsid w:val="6C02535B"/>
    <w:rsid w:val="6C025E26"/>
    <w:rsid w:val="6C040682"/>
    <w:rsid w:val="6C042FCD"/>
    <w:rsid w:val="6C054650"/>
    <w:rsid w:val="6C162F66"/>
    <w:rsid w:val="6C186F7E"/>
    <w:rsid w:val="6C1F6FDB"/>
    <w:rsid w:val="6C20148A"/>
    <w:rsid w:val="6C225202"/>
    <w:rsid w:val="6C270A6A"/>
    <w:rsid w:val="6C296590"/>
    <w:rsid w:val="6C2B2308"/>
    <w:rsid w:val="6C2E3BA6"/>
    <w:rsid w:val="6C301280"/>
    <w:rsid w:val="6C30791F"/>
    <w:rsid w:val="6C315445"/>
    <w:rsid w:val="6C3367E9"/>
    <w:rsid w:val="6C3513D9"/>
    <w:rsid w:val="6C3A254B"/>
    <w:rsid w:val="6C3C4515"/>
    <w:rsid w:val="6C467142"/>
    <w:rsid w:val="6C472EBA"/>
    <w:rsid w:val="6C4F4F04"/>
    <w:rsid w:val="6C523D39"/>
    <w:rsid w:val="6C53185F"/>
    <w:rsid w:val="6C557385"/>
    <w:rsid w:val="6C5630FD"/>
    <w:rsid w:val="6C5D26DE"/>
    <w:rsid w:val="6C5D448C"/>
    <w:rsid w:val="6C5F6456"/>
    <w:rsid w:val="6C615D2A"/>
    <w:rsid w:val="6C624FD1"/>
    <w:rsid w:val="6C636C38"/>
    <w:rsid w:val="6C645930"/>
    <w:rsid w:val="6C681E3D"/>
    <w:rsid w:val="6C694F49"/>
    <w:rsid w:val="6C696A4F"/>
    <w:rsid w:val="6C6972D4"/>
    <w:rsid w:val="6C783074"/>
    <w:rsid w:val="6C787517"/>
    <w:rsid w:val="6C7D068A"/>
    <w:rsid w:val="6C832144"/>
    <w:rsid w:val="6C837F96"/>
    <w:rsid w:val="6C865790"/>
    <w:rsid w:val="6C8A2C85"/>
    <w:rsid w:val="6C8C10E3"/>
    <w:rsid w:val="6C90660F"/>
    <w:rsid w:val="6C9360FF"/>
    <w:rsid w:val="6C943AB3"/>
    <w:rsid w:val="6C963990"/>
    <w:rsid w:val="6C981D1B"/>
    <w:rsid w:val="6C983716"/>
    <w:rsid w:val="6C991968"/>
    <w:rsid w:val="6C9E1B9E"/>
    <w:rsid w:val="6CA87DFD"/>
    <w:rsid w:val="6CA95923"/>
    <w:rsid w:val="6CAA73DF"/>
    <w:rsid w:val="6CAB3449"/>
    <w:rsid w:val="6CAB5B17"/>
    <w:rsid w:val="6CAF32C0"/>
    <w:rsid w:val="6CAF5739"/>
    <w:rsid w:val="6CB71DEE"/>
    <w:rsid w:val="6CC4275D"/>
    <w:rsid w:val="6CC60283"/>
    <w:rsid w:val="6CC83FFB"/>
    <w:rsid w:val="6CC87B57"/>
    <w:rsid w:val="6CCE030A"/>
    <w:rsid w:val="6CCE28A2"/>
    <w:rsid w:val="6CCE55B8"/>
    <w:rsid w:val="6CD02EB0"/>
    <w:rsid w:val="6CD36E24"/>
    <w:rsid w:val="6CD504C6"/>
    <w:rsid w:val="6CD521A0"/>
    <w:rsid w:val="6CD94D88"/>
    <w:rsid w:val="6CDE737B"/>
    <w:rsid w:val="6CDF30F3"/>
    <w:rsid w:val="6CDF75D7"/>
    <w:rsid w:val="6CE067D8"/>
    <w:rsid w:val="6CE10C19"/>
    <w:rsid w:val="6CE30E35"/>
    <w:rsid w:val="6CE34991"/>
    <w:rsid w:val="6CE4695B"/>
    <w:rsid w:val="6CE626D3"/>
    <w:rsid w:val="6CEB1A97"/>
    <w:rsid w:val="6CED3A62"/>
    <w:rsid w:val="6CED5810"/>
    <w:rsid w:val="6CEE5300"/>
    <w:rsid w:val="6CEF1588"/>
    <w:rsid w:val="6CF64A51"/>
    <w:rsid w:val="6CF748E0"/>
    <w:rsid w:val="6CF90658"/>
    <w:rsid w:val="6CF94E2F"/>
    <w:rsid w:val="6D013069"/>
    <w:rsid w:val="6D024C06"/>
    <w:rsid w:val="6D033285"/>
    <w:rsid w:val="6D0C3AC7"/>
    <w:rsid w:val="6D0F1C2A"/>
    <w:rsid w:val="6D1014FE"/>
    <w:rsid w:val="6D107750"/>
    <w:rsid w:val="6D1169F8"/>
    <w:rsid w:val="6D1234C8"/>
    <w:rsid w:val="6D154D66"/>
    <w:rsid w:val="6D185650"/>
    <w:rsid w:val="6D1E1F6C"/>
    <w:rsid w:val="6D2154B9"/>
    <w:rsid w:val="6D24429C"/>
    <w:rsid w:val="6D2A0812"/>
    <w:rsid w:val="6D2D3E5E"/>
    <w:rsid w:val="6D325918"/>
    <w:rsid w:val="6D365409"/>
    <w:rsid w:val="6D3703DA"/>
    <w:rsid w:val="6D433682"/>
    <w:rsid w:val="6D437B25"/>
    <w:rsid w:val="6D48513C"/>
    <w:rsid w:val="6D4D392E"/>
    <w:rsid w:val="6D513FF0"/>
    <w:rsid w:val="6D561607"/>
    <w:rsid w:val="6D5E0131"/>
    <w:rsid w:val="6D635AD2"/>
    <w:rsid w:val="6D673814"/>
    <w:rsid w:val="6D6A3304"/>
    <w:rsid w:val="6D6F091A"/>
    <w:rsid w:val="6D747729"/>
    <w:rsid w:val="6D761CA9"/>
    <w:rsid w:val="6D763A57"/>
    <w:rsid w:val="6D765805"/>
    <w:rsid w:val="6D7A7229"/>
    <w:rsid w:val="6D7B72BF"/>
    <w:rsid w:val="6D7D3037"/>
    <w:rsid w:val="6D7D5FAF"/>
    <w:rsid w:val="6D7E0B5E"/>
    <w:rsid w:val="6D8617C0"/>
    <w:rsid w:val="6D8713D2"/>
    <w:rsid w:val="6D885538"/>
    <w:rsid w:val="6D8C327A"/>
    <w:rsid w:val="6D8F5C65"/>
    <w:rsid w:val="6D934609"/>
    <w:rsid w:val="6DA253D5"/>
    <w:rsid w:val="6DA265FA"/>
    <w:rsid w:val="6DA314CD"/>
    <w:rsid w:val="6DA85746"/>
    <w:rsid w:val="6DAA1953"/>
    <w:rsid w:val="6DAC7479"/>
    <w:rsid w:val="6DB14A8F"/>
    <w:rsid w:val="6DB15765"/>
    <w:rsid w:val="6DB34098"/>
    <w:rsid w:val="6DB545B6"/>
    <w:rsid w:val="6DB620A5"/>
    <w:rsid w:val="6DB77BCC"/>
    <w:rsid w:val="6DB85E1E"/>
    <w:rsid w:val="6DB91B96"/>
    <w:rsid w:val="6DBF513E"/>
    <w:rsid w:val="6DC02F24"/>
    <w:rsid w:val="6DC13296"/>
    <w:rsid w:val="6DC20A4A"/>
    <w:rsid w:val="6DC24EEE"/>
    <w:rsid w:val="6DC347C2"/>
    <w:rsid w:val="6DC9002B"/>
    <w:rsid w:val="6DCA3DA3"/>
    <w:rsid w:val="6DCF381C"/>
    <w:rsid w:val="6DD10452"/>
    <w:rsid w:val="6DD10C8D"/>
    <w:rsid w:val="6DD46624"/>
    <w:rsid w:val="6DD662A4"/>
    <w:rsid w:val="6DD93FE6"/>
    <w:rsid w:val="6DDB5FB0"/>
    <w:rsid w:val="6DE02FB4"/>
    <w:rsid w:val="6DE2733E"/>
    <w:rsid w:val="6DEE7A91"/>
    <w:rsid w:val="6DF1132F"/>
    <w:rsid w:val="6DF350A8"/>
    <w:rsid w:val="6DF36E56"/>
    <w:rsid w:val="6DF66946"/>
    <w:rsid w:val="6DF70F3D"/>
    <w:rsid w:val="6DFB10C5"/>
    <w:rsid w:val="6DFE2388"/>
    <w:rsid w:val="6DFF1C9E"/>
    <w:rsid w:val="6E0332E1"/>
    <w:rsid w:val="6E102DA5"/>
    <w:rsid w:val="6E1176AC"/>
    <w:rsid w:val="6E123718"/>
    <w:rsid w:val="6E160F07"/>
    <w:rsid w:val="6E18287A"/>
    <w:rsid w:val="6E182D60"/>
    <w:rsid w:val="6E1B015A"/>
    <w:rsid w:val="6E26FF87"/>
    <w:rsid w:val="6E274D51"/>
    <w:rsid w:val="6E2C2368"/>
    <w:rsid w:val="6E301E58"/>
    <w:rsid w:val="6E34121C"/>
    <w:rsid w:val="6E35359F"/>
    <w:rsid w:val="6E3556C0"/>
    <w:rsid w:val="6E3B3CE2"/>
    <w:rsid w:val="6E3D6323"/>
    <w:rsid w:val="6E423939"/>
    <w:rsid w:val="6E46167B"/>
    <w:rsid w:val="6E4678CD"/>
    <w:rsid w:val="6E494CC8"/>
    <w:rsid w:val="6E4B4EE4"/>
    <w:rsid w:val="6E4C0C5C"/>
    <w:rsid w:val="6E4E22DE"/>
    <w:rsid w:val="6E4E638A"/>
    <w:rsid w:val="6E4F35A0"/>
    <w:rsid w:val="6E4F6056"/>
    <w:rsid w:val="6E510020"/>
    <w:rsid w:val="6E514CED"/>
    <w:rsid w:val="6E526272"/>
    <w:rsid w:val="6E55366C"/>
    <w:rsid w:val="6E58077C"/>
    <w:rsid w:val="6E6164B5"/>
    <w:rsid w:val="6E641B01"/>
    <w:rsid w:val="6E66347A"/>
    <w:rsid w:val="6E66362F"/>
    <w:rsid w:val="6E6B10E2"/>
    <w:rsid w:val="6E712470"/>
    <w:rsid w:val="6E7647D3"/>
    <w:rsid w:val="6E781A51"/>
    <w:rsid w:val="6E7855AD"/>
    <w:rsid w:val="6E7C54A0"/>
    <w:rsid w:val="6E7D599A"/>
    <w:rsid w:val="6E8126B3"/>
    <w:rsid w:val="6E82467D"/>
    <w:rsid w:val="6E8837F6"/>
    <w:rsid w:val="6E8D6CB9"/>
    <w:rsid w:val="6E922385"/>
    <w:rsid w:val="6E9248C1"/>
    <w:rsid w:val="6E931422"/>
    <w:rsid w:val="6E970129"/>
    <w:rsid w:val="6E98550D"/>
    <w:rsid w:val="6E9A13FD"/>
    <w:rsid w:val="6EA12D56"/>
    <w:rsid w:val="6EA168B2"/>
    <w:rsid w:val="6EA445F4"/>
    <w:rsid w:val="6EA76461"/>
    <w:rsid w:val="6EAB42A8"/>
    <w:rsid w:val="6EAD16FA"/>
    <w:rsid w:val="6EB13F1A"/>
    <w:rsid w:val="6EB36B66"/>
    <w:rsid w:val="6EB563D5"/>
    <w:rsid w:val="6EB760D5"/>
    <w:rsid w:val="6EBA0BC2"/>
    <w:rsid w:val="6EBE166D"/>
    <w:rsid w:val="6EC15924"/>
    <w:rsid w:val="6ECD58F9"/>
    <w:rsid w:val="6ECE5F81"/>
    <w:rsid w:val="6ED0363B"/>
    <w:rsid w:val="6ED70525"/>
    <w:rsid w:val="6ED76777"/>
    <w:rsid w:val="6ED924EF"/>
    <w:rsid w:val="6ED92677"/>
    <w:rsid w:val="6EDC5B3C"/>
    <w:rsid w:val="6EDD3662"/>
    <w:rsid w:val="6EE64C0C"/>
    <w:rsid w:val="6EE92007"/>
    <w:rsid w:val="6EEC5580"/>
    <w:rsid w:val="6EED5F9B"/>
    <w:rsid w:val="6EEE3485"/>
    <w:rsid w:val="6EEE3AC1"/>
    <w:rsid w:val="6EF70BC7"/>
    <w:rsid w:val="6EFC61F3"/>
    <w:rsid w:val="6F046E40"/>
    <w:rsid w:val="6F094457"/>
    <w:rsid w:val="6F0F3EFF"/>
    <w:rsid w:val="6F1057E5"/>
    <w:rsid w:val="6F1564AF"/>
    <w:rsid w:val="6F174CC1"/>
    <w:rsid w:val="6F174DC6"/>
    <w:rsid w:val="6F1E43A6"/>
    <w:rsid w:val="6F225983"/>
    <w:rsid w:val="6F2A2D4B"/>
    <w:rsid w:val="6F2C5FF8"/>
    <w:rsid w:val="6F3040D9"/>
    <w:rsid w:val="6F305E87"/>
    <w:rsid w:val="6F370FC4"/>
    <w:rsid w:val="6F39716C"/>
    <w:rsid w:val="6F4247C4"/>
    <w:rsid w:val="6F4413E7"/>
    <w:rsid w:val="6F445B16"/>
    <w:rsid w:val="6F475DA0"/>
    <w:rsid w:val="6F4D4C8B"/>
    <w:rsid w:val="6F4F27B2"/>
    <w:rsid w:val="6F502086"/>
    <w:rsid w:val="6F55769C"/>
    <w:rsid w:val="6F5778B8"/>
    <w:rsid w:val="6F583B84"/>
    <w:rsid w:val="6F601138"/>
    <w:rsid w:val="6F6077DA"/>
    <w:rsid w:val="6F614293"/>
    <w:rsid w:val="6F675D4D"/>
    <w:rsid w:val="6F6F4C02"/>
    <w:rsid w:val="6F6F90C7"/>
    <w:rsid w:val="6F7044D6"/>
    <w:rsid w:val="6F706503"/>
    <w:rsid w:val="6F745D74"/>
    <w:rsid w:val="6F751AEC"/>
    <w:rsid w:val="6F767D3E"/>
    <w:rsid w:val="6F795A80"/>
    <w:rsid w:val="6F7B35A7"/>
    <w:rsid w:val="6F7D50FF"/>
    <w:rsid w:val="6F7F09D8"/>
    <w:rsid w:val="6F863CF9"/>
    <w:rsid w:val="6F8C4D58"/>
    <w:rsid w:val="6F8F0E00"/>
    <w:rsid w:val="6F92269E"/>
    <w:rsid w:val="6F931D8A"/>
    <w:rsid w:val="6F97437D"/>
    <w:rsid w:val="6F978189"/>
    <w:rsid w:val="6F991C7F"/>
    <w:rsid w:val="6F9E7295"/>
    <w:rsid w:val="6FA32AFD"/>
    <w:rsid w:val="6FA67EF8"/>
    <w:rsid w:val="6FA83582"/>
    <w:rsid w:val="6FAA3E8C"/>
    <w:rsid w:val="6FAB550E"/>
    <w:rsid w:val="6FB10C62"/>
    <w:rsid w:val="6FB50061"/>
    <w:rsid w:val="6FBD68AC"/>
    <w:rsid w:val="6FBE3493"/>
    <w:rsid w:val="6FC0720B"/>
    <w:rsid w:val="6FC860C0"/>
    <w:rsid w:val="6FCA1E38"/>
    <w:rsid w:val="6FCF3CB7"/>
    <w:rsid w:val="6FD1766A"/>
    <w:rsid w:val="6FD42CB7"/>
    <w:rsid w:val="6FD44A65"/>
    <w:rsid w:val="6FDD600F"/>
    <w:rsid w:val="6FE00FA4"/>
    <w:rsid w:val="6FE078AE"/>
    <w:rsid w:val="6FE27182"/>
    <w:rsid w:val="6FE70C3C"/>
    <w:rsid w:val="6FE86762"/>
    <w:rsid w:val="6FF11ABB"/>
    <w:rsid w:val="6FF1A12F"/>
    <w:rsid w:val="6FF70753"/>
    <w:rsid w:val="6FF84BF7"/>
    <w:rsid w:val="6FFB6495"/>
    <w:rsid w:val="6FFC5590"/>
    <w:rsid w:val="6FFE5F86"/>
    <w:rsid w:val="7000585A"/>
    <w:rsid w:val="700D1C68"/>
    <w:rsid w:val="7010543C"/>
    <w:rsid w:val="701337DF"/>
    <w:rsid w:val="70194B6E"/>
    <w:rsid w:val="701B025E"/>
    <w:rsid w:val="701D01BA"/>
    <w:rsid w:val="70293003"/>
    <w:rsid w:val="703419A7"/>
    <w:rsid w:val="70370356"/>
    <w:rsid w:val="70375FC5"/>
    <w:rsid w:val="704716DB"/>
    <w:rsid w:val="704936A5"/>
    <w:rsid w:val="704B475D"/>
    <w:rsid w:val="704C651B"/>
    <w:rsid w:val="704E2A69"/>
    <w:rsid w:val="704F058F"/>
    <w:rsid w:val="704F588B"/>
    <w:rsid w:val="705067E1"/>
    <w:rsid w:val="7053007F"/>
    <w:rsid w:val="705638DF"/>
    <w:rsid w:val="7060240E"/>
    <w:rsid w:val="7060279C"/>
    <w:rsid w:val="70640E38"/>
    <w:rsid w:val="70643377"/>
    <w:rsid w:val="70685CF4"/>
    <w:rsid w:val="706A7177"/>
    <w:rsid w:val="706B1809"/>
    <w:rsid w:val="706D1DD0"/>
    <w:rsid w:val="70700C31"/>
    <w:rsid w:val="70733469"/>
    <w:rsid w:val="70761FC0"/>
    <w:rsid w:val="707A1DB6"/>
    <w:rsid w:val="707A560C"/>
    <w:rsid w:val="707B1CB9"/>
    <w:rsid w:val="70814BED"/>
    <w:rsid w:val="70840239"/>
    <w:rsid w:val="708446DD"/>
    <w:rsid w:val="7084695D"/>
    <w:rsid w:val="70856B87"/>
    <w:rsid w:val="70860351"/>
    <w:rsid w:val="70871AD7"/>
    <w:rsid w:val="708F31E5"/>
    <w:rsid w:val="70903082"/>
    <w:rsid w:val="7091168B"/>
    <w:rsid w:val="70924B9B"/>
    <w:rsid w:val="70952446"/>
    <w:rsid w:val="709D0814"/>
    <w:rsid w:val="70A25EE2"/>
    <w:rsid w:val="70A703CB"/>
    <w:rsid w:val="70A712A8"/>
    <w:rsid w:val="70A95EF1"/>
    <w:rsid w:val="70B0102E"/>
    <w:rsid w:val="70B07280"/>
    <w:rsid w:val="70B35EBA"/>
    <w:rsid w:val="70B52AE8"/>
    <w:rsid w:val="70B623BC"/>
    <w:rsid w:val="70BD180A"/>
    <w:rsid w:val="70C64CF5"/>
    <w:rsid w:val="70CF7324"/>
    <w:rsid w:val="70D0347E"/>
    <w:rsid w:val="70D35225"/>
    <w:rsid w:val="70D527EE"/>
    <w:rsid w:val="70D54F38"/>
    <w:rsid w:val="70D64ACC"/>
    <w:rsid w:val="70DA60AB"/>
    <w:rsid w:val="70DC0B34"/>
    <w:rsid w:val="70DC1E23"/>
    <w:rsid w:val="70DC4F11"/>
    <w:rsid w:val="70DC62C7"/>
    <w:rsid w:val="70E1568B"/>
    <w:rsid w:val="70E21403"/>
    <w:rsid w:val="70E46F2A"/>
    <w:rsid w:val="70E707C8"/>
    <w:rsid w:val="70EC5DDE"/>
    <w:rsid w:val="70ED18BA"/>
    <w:rsid w:val="70F215B8"/>
    <w:rsid w:val="70F25AEA"/>
    <w:rsid w:val="70F34365"/>
    <w:rsid w:val="70F62BE1"/>
    <w:rsid w:val="70F73101"/>
    <w:rsid w:val="70FD7FEB"/>
    <w:rsid w:val="71031AA6"/>
    <w:rsid w:val="71033854"/>
    <w:rsid w:val="7104137A"/>
    <w:rsid w:val="710D0A82"/>
    <w:rsid w:val="710E3FA6"/>
    <w:rsid w:val="710F542D"/>
    <w:rsid w:val="71125845"/>
    <w:rsid w:val="71167772"/>
    <w:rsid w:val="711A0B42"/>
    <w:rsid w:val="711D243B"/>
    <w:rsid w:val="71213CDA"/>
    <w:rsid w:val="71233EF6"/>
    <w:rsid w:val="71235CA4"/>
    <w:rsid w:val="71237A52"/>
    <w:rsid w:val="712C417C"/>
    <w:rsid w:val="712D0961"/>
    <w:rsid w:val="712D6B22"/>
    <w:rsid w:val="712F289B"/>
    <w:rsid w:val="7130216F"/>
    <w:rsid w:val="71304114"/>
    <w:rsid w:val="7130419E"/>
    <w:rsid w:val="713131B1"/>
    <w:rsid w:val="71355EA8"/>
    <w:rsid w:val="713855A1"/>
    <w:rsid w:val="713E2ADE"/>
    <w:rsid w:val="713E68F1"/>
    <w:rsid w:val="7142662B"/>
    <w:rsid w:val="714326B4"/>
    <w:rsid w:val="71463740"/>
    <w:rsid w:val="714874B8"/>
    <w:rsid w:val="71493231"/>
    <w:rsid w:val="71494FDF"/>
    <w:rsid w:val="714A76D4"/>
    <w:rsid w:val="71551BD5"/>
    <w:rsid w:val="71566079"/>
    <w:rsid w:val="71573B9F"/>
    <w:rsid w:val="715B5300"/>
    <w:rsid w:val="715E0A55"/>
    <w:rsid w:val="71645191"/>
    <w:rsid w:val="71662034"/>
    <w:rsid w:val="716A38D3"/>
    <w:rsid w:val="716B764B"/>
    <w:rsid w:val="716D5171"/>
    <w:rsid w:val="716F0EE9"/>
    <w:rsid w:val="71702BF6"/>
    <w:rsid w:val="71704C61"/>
    <w:rsid w:val="71722787"/>
    <w:rsid w:val="717A163C"/>
    <w:rsid w:val="7185070D"/>
    <w:rsid w:val="718524BB"/>
    <w:rsid w:val="71857445"/>
    <w:rsid w:val="71872601"/>
    <w:rsid w:val="7187524D"/>
    <w:rsid w:val="71883D59"/>
    <w:rsid w:val="718B55F7"/>
    <w:rsid w:val="718D5813"/>
    <w:rsid w:val="718F6E95"/>
    <w:rsid w:val="71902C0D"/>
    <w:rsid w:val="71995F66"/>
    <w:rsid w:val="71A072F4"/>
    <w:rsid w:val="71A41A51"/>
    <w:rsid w:val="71A87F57"/>
    <w:rsid w:val="71AF3E21"/>
    <w:rsid w:val="71B12B1A"/>
    <w:rsid w:val="71B7198C"/>
    <w:rsid w:val="71B903B6"/>
    <w:rsid w:val="71BD7A27"/>
    <w:rsid w:val="71BE2E29"/>
    <w:rsid w:val="71C01745"/>
    <w:rsid w:val="71C04575"/>
    <w:rsid w:val="71C54FAD"/>
    <w:rsid w:val="71C65024"/>
    <w:rsid w:val="71CB1E97"/>
    <w:rsid w:val="71CB202B"/>
    <w:rsid w:val="71CC34BB"/>
    <w:rsid w:val="71CC633B"/>
    <w:rsid w:val="71D21478"/>
    <w:rsid w:val="71D23226"/>
    <w:rsid w:val="71D255C2"/>
    <w:rsid w:val="71D27F8A"/>
    <w:rsid w:val="71D30F66"/>
    <w:rsid w:val="71D40D4C"/>
    <w:rsid w:val="71DB4C11"/>
    <w:rsid w:val="71E60D95"/>
    <w:rsid w:val="71E63F20"/>
    <w:rsid w:val="71EF3DD8"/>
    <w:rsid w:val="71F254CD"/>
    <w:rsid w:val="71F80EDE"/>
    <w:rsid w:val="71F907B3"/>
    <w:rsid w:val="71FA110A"/>
    <w:rsid w:val="72071122"/>
    <w:rsid w:val="720B10BF"/>
    <w:rsid w:val="720F23F1"/>
    <w:rsid w:val="72111FA0"/>
    <w:rsid w:val="72161365"/>
    <w:rsid w:val="721750DD"/>
    <w:rsid w:val="72175B71"/>
    <w:rsid w:val="721E46BD"/>
    <w:rsid w:val="721E646B"/>
    <w:rsid w:val="721F290F"/>
    <w:rsid w:val="722647FD"/>
    <w:rsid w:val="72270DF8"/>
    <w:rsid w:val="72294D4D"/>
    <w:rsid w:val="72323CC5"/>
    <w:rsid w:val="72347A3D"/>
    <w:rsid w:val="723569B5"/>
    <w:rsid w:val="723E68A6"/>
    <w:rsid w:val="724063E2"/>
    <w:rsid w:val="724265FE"/>
    <w:rsid w:val="72442376"/>
    <w:rsid w:val="724718C2"/>
    <w:rsid w:val="724C4D86"/>
    <w:rsid w:val="724F4877"/>
    <w:rsid w:val="724F5A4A"/>
    <w:rsid w:val="7251239D"/>
    <w:rsid w:val="72532286"/>
    <w:rsid w:val="72553024"/>
    <w:rsid w:val="72577EF4"/>
    <w:rsid w:val="72583514"/>
    <w:rsid w:val="725B76BF"/>
    <w:rsid w:val="72640322"/>
    <w:rsid w:val="7265409A"/>
    <w:rsid w:val="72693B8A"/>
    <w:rsid w:val="726C367A"/>
    <w:rsid w:val="726E73F3"/>
    <w:rsid w:val="72712A3F"/>
    <w:rsid w:val="727147ED"/>
    <w:rsid w:val="7274320D"/>
    <w:rsid w:val="72760055"/>
    <w:rsid w:val="728704B4"/>
    <w:rsid w:val="72897D89"/>
    <w:rsid w:val="728D1092"/>
    <w:rsid w:val="72930C07"/>
    <w:rsid w:val="729A3D44"/>
    <w:rsid w:val="729B4ADF"/>
    <w:rsid w:val="729D57F0"/>
    <w:rsid w:val="72A2006A"/>
    <w:rsid w:val="72A32AE6"/>
    <w:rsid w:val="72A42E14"/>
    <w:rsid w:val="72A44BC2"/>
    <w:rsid w:val="72A76461"/>
    <w:rsid w:val="72A801AB"/>
    <w:rsid w:val="72AB5F51"/>
    <w:rsid w:val="72B35C7E"/>
    <w:rsid w:val="72B405C3"/>
    <w:rsid w:val="72B50B7E"/>
    <w:rsid w:val="72B5273A"/>
    <w:rsid w:val="72B56DCF"/>
    <w:rsid w:val="72B62B48"/>
    <w:rsid w:val="72B666A4"/>
    <w:rsid w:val="72B868C0"/>
    <w:rsid w:val="72C139C6"/>
    <w:rsid w:val="72CF3C88"/>
    <w:rsid w:val="72CF66BC"/>
    <w:rsid w:val="72D74F98"/>
    <w:rsid w:val="72D8187A"/>
    <w:rsid w:val="72D923EE"/>
    <w:rsid w:val="72DD00D4"/>
    <w:rsid w:val="72DD1E82"/>
    <w:rsid w:val="72E041B6"/>
    <w:rsid w:val="72E23ECB"/>
    <w:rsid w:val="72E4080C"/>
    <w:rsid w:val="72E562B9"/>
    <w:rsid w:val="72E871A5"/>
    <w:rsid w:val="72EA5047"/>
    <w:rsid w:val="72EF7E69"/>
    <w:rsid w:val="72F1592E"/>
    <w:rsid w:val="72F24482"/>
    <w:rsid w:val="72F773E8"/>
    <w:rsid w:val="72F9258D"/>
    <w:rsid w:val="72FA2764"/>
    <w:rsid w:val="72FA2A34"/>
    <w:rsid w:val="72FB0166"/>
    <w:rsid w:val="72FB533C"/>
    <w:rsid w:val="730D4025"/>
    <w:rsid w:val="730E64E0"/>
    <w:rsid w:val="73102258"/>
    <w:rsid w:val="73122968"/>
    <w:rsid w:val="731C6E4F"/>
    <w:rsid w:val="731F5D5E"/>
    <w:rsid w:val="731F693F"/>
    <w:rsid w:val="7329331A"/>
    <w:rsid w:val="732B6ACD"/>
    <w:rsid w:val="732C4748"/>
    <w:rsid w:val="732C5183"/>
    <w:rsid w:val="732C57ED"/>
    <w:rsid w:val="732E26DE"/>
    <w:rsid w:val="732E46E8"/>
    <w:rsid w:val="73351CBE"/>
    <w:rsid w:val="733D31FE"/>
    <w:rsid w:val="73465C7A"/>
    <w:rsid w:val="734A1F2E"/>
    <w:rsid w:val="73517F54"/>
    <w:rsid w:val="735754B8"/>
    <w:rsid w:val="735937A8"/>
    <w:rsid w:val="735A1725"/>
    <w:rsid w:val="735C724B"/>
    <w:rsid w:val="736008A7"/>
    <w:rsid w:val="736667A4"/>
    <w:rsid w:val="736A4AB0"/>
    <w:rsid w:val="736B748E"/>
    <w:rsid w:val="736D014D"/>
    <w:rsid w:val="736E6D0B"/>
    <w:rsid w:val="73797DFD"/>
    <w:rsid w:val="737A3B75"/>
    <w:rsid w:val="737C169B"/>
    <w:rsid w:val="737C5B3F"/>
    <w:rsid w:val="737F4EE8"/>
    <w:rsid w:val="739764D5"/>
    <w:rsid w:val="73A155A6"/>
    <w:rsid w:val="73A239B1"/>
    <w:rsid w:val="73A618C9"/>
    <w:rsid w:val="73A62BBC"/>
    <w:rsid w:val="73AA26AC"/>
    <w:rsid w:val="73AC5827"/>
    <w:rsid w:val="73AE399F"/>
    <w:rsid w:val="73AE71CC"/>
    <w:rsid w:val="73AF3F96"/>
    <w:rsid w:val="73B47087"/>
    <w:rsid w:val="73BC6D60"/>
    <w:rsid w:val="73BD58F6"/>
    <w:rsid w:val="73C179F6"/>
    <w:rsid w:val="73C51AD5"/>
    <w:rsid w:val="73CA68AB"/>
    <w:rsid w:val="73D239B1"/>
    <w:rsid w:val="73DA0AC2"/>
    <w:rsid w:val="73DC183C"/>
    <w:rsid w:val="73E334C8"/>
    <w:rsid w:val="73E57241"/>
    <w:rsid w:val="73E610C9"/>
    <w:rsid w:val="73E70752"/>
    <w:rsid w:val="73E84F83"/>
    <w:rsid w:val="73ED07EB"/>
    <w:rsid w:val="73ED4607"/>
    <w:rsid w:val="73F15E32"/>
    <w:rsid w:val="73F41B79"/>
    <w:rsid w:val="73F676A0"/>
    <w:rsid w:val="73F92CEC"/>
    <w:rsid w:val="73FB4BB7"/>
    <w:rsid w:val="73FB56EC"/>
    <w:rsid w:val="73FD03F1"/>
    <w:rsid w:val="73FE5BA1"/>
    <w:rsid w:val="73FF07E0"/>
    <w:rsid w:val="7400051E"/>
    <w:rsid w:val="74026044"/>
    <w:rsid w:val="74033B6B"/>
    <w:rsid w:val="7407365B"/>
    <w:rsid w:val="740F250F"/>
    <w:rsid w:val="74123DAE"/>
    <w:rsid w:val="741714DC"/>
    <w:rsid w:val="74182CF8"/>
    <w:rsid w:val="741A1562"/>
    <w:rsid w:val="741C4C2C"/>
    <w:rsid w:val="741E19F2"/>
    <w:rsid w:val="741E72DF"/>
    <w:rsid w:val="741E793C"/>
    <w:rsid w:val="7420296E"/>
    <w:rsid w:val="7420471D"/>
    <w:rsid w:val="74260E53"/>
    <w:rsid w:val="74275AAB"/>
    <w:rsid w:val="742B55EC"/>
    <w:rsid w:val="742C1313"/>
    <w:rsid w:val="742D74FD"/>
    <w:rsid w:val="7431692A"/>
    <w:rsid w:val="74324450"/>
    <w:rsid w:val="74336ED8"/>
    <w:rsid w:val="74364910"/>
    <w:rsid w:val="74387CB8"/>
    <w:rsid w:val="743C0782"/>
    <w:rsid w:val="74406B6D"/>
    <w:rsid w:val="744523D5"/>
    <w:rsid w:val="744645AA"/>
    <w:rsid w:val="74485A21"/>
    <w:rsid w:val="744A3547"/>
    <w:rsid w:val="74542618"/>
    <w:rsid w:val="74561EEC"/>
    <w:rsid w:val="7457323E"/>
    <w:rsid w:val="745E3944"/>
    <w:rsid w:val="745F3497"/>
    <w:rsid w:val="74600FBD"/>
    <w:rsid w:val="74654825"/>
    <w:rsid w:val="74660CE6"/>
    <w:rsid w:val="7467234B"/>
    <w:rsid w:val="746D05CC"/>
    <w:rsid w:val="74736F42"/>
    <w:rsid w:val="747763CA"/>
    <w:rsid w:val="747B5DF7"/>
    <w:rsid w:val="7480340D"/>
    <w:rsid w:val="74820346"/>
    <w:rsid w:val="74842EFD"/>
    <w:rsid w:val="74844CAB"/>
    <w:rsid w:val="74866F5F"/>
    <w:rsid w:val="748F3650"/>
    <w:rsid w:val="74904B6C"/>
    <w:rsid w:val="74922A74"/>
    <w:rsid w:val="749C3ABE"/>
    <w:rsid w:val="74A0760B"/>
    <w:rsid w:val="74A215D5"/>
    <w:rsid w:val="74B135C7"/>
    <w:rsid w:val="74B26768"/>
    <w:rsid w:val="74B27319"/>
    <w:rsid w:val="74B65081"/>
    <w:rsid w:val="74BF5CE3"/>
    <w:rsid w:val="74C01A5C"/>
    <w:rsid w:val="74C257D4"/>
    <w:rsid w:val="74C432FA"/>
    <w:rsid w:val="74C5107D"/>
    <w:rsid w:val="74C57072"/>
    <w:rsid w:val="74C96B62"/>
    <w:rsid w:val="74CA4688"/>
    <w:rsid w:val="74D252CE"/>
    <w:rsid w:val="74D6302D"/>
    <w:rsid w:val="74DD260E"/>
    <w:rsid w:val="74DE4685"/>
    <w:rsid w:val="74DF0134"/>
    <w:rsid w:val="74E4574A"/>
    <w:rsid w:val="74EB6AD9"/>
    <w:rsid w:val="74F43CFE"/>
    <w:rsid w:val="74F8799A"/>
    <w:rsid w:val="74FF07D6"/>
    <w:rsid w:val="74FF0827"/>
    <w:rsid w:val="74FF2584"/>
    <w:rsid w:val="75023E22"/>
    <w:rsid w:val="75045DEC"/>
    <w:rsid w:val="7507768A"/>
    <w:rsid w:val="750E27C7"/>
    <w:rsid w:val="750E6C6B"/>
    <w:rsid w:val="75153B55"/>
    <w:rsid w:val="75157C52"/>
    <w:rsid w:val="75197FA4"/>
    <w:rsid w:val="751D0C5C"/>
    <w:rsid w:val="75220020"/>
    <w:rsid w:val="75267B11"/>
    <w:rsid w:val="752975C2"/>
    <w:rsid w:val="752B5127"/>
    <w:rsid w:val="7533222E"/>
    <w:rsid w:val="753649D0"/>
    <w:rsid w:val="75377F70"/>
    <w:rsid w:val="753C7334"/>
    <w:rsid w:val="753D2245"/>
    <w:rsid w:val="753D30AC"/>
    <w:rsid w:val="753D4210"/>
    <w:rsid w:val="754601B3"/>
    <w:rsid w:val="754C32EF"/>
    <w:rsid w:val="754D5211"/>
    <w:rsid w:val="75501031"/>
    <w:rsid w:val="75510906"/>
    <w:rsid w:val="7553467E"/>
    <w:rsid w:val="755503F6"/>
    <w:rsid w:val="755C1784"/>
    <w:rsid w:val="755C23E6"/>
    <w:rsid w:val="755C79D6"/>
    <w:rsid w:val="755D54FC"/>
    <w:rsid w:val="755D72AA"/>
    <w:rsid w:val="75664928"/>
    <w:rsid w:val="75671C5B"/>
    <w:rsid w:val="756D3991"/>
    <w:rsid w:val="756F3BA2"/>
    <w:rsid w:val="756F711B"/>
    <w:rsid w:val="75703482"/>
    <w:rsid w:val="75734D20"/>
    <w:rsid w:val="75742F72"/>
    <w:rsid w:val="75792336"/>
    <w:rsid w:val="757C2E60"/>
    <w:rsid w:val="757C5412"/>
    <w:rsid w:val="757E5B9F"/>
    <w:rsid w:val="758A308D"/>
    <w:rsid w:val="758B3E18"/>
    <w:rsid w:val="75931143"/>
    <w:rsid w:val="759929D8"/>
    <w:rsid w:val="759C4277"/>
    <w:rsid w:val="759D2548"/>
    <w:rsid w:val="759E1D9D"/>
    <w:rsid w:val="759F78C3"/>
    <w:rsid w:val="75A1363B"/>
    <w:rsid w:val="75A153E9"/>
    <w:rsid w:val="75A4312B"/>
    <w:rsid w:val="75A634FC"/>
    <w:rsid w:val="75A650F5"/>
    <w:rsid w:val="75A66EA3"/>
    <w:rsid w:val="75AB44BA"/>
    <w:rsid w:val="75B07D22"/>
    <w:rsid w:val="75B3511C"/>
    <w:rsid w:val="75B415C0"/>
    <w:rsid w:val="75B90985"/>
    <w:rsid w:val="75B94E29"/>
    <w:rsid w:val="75BA46FD"/>
    <w:rsid w:val="75C335B1"/>
    <w:rsid w:val="75CB06B8"/>
    <w:rsid w:val="75D25EEA"/>
    <w:rsid w:val="75D51537"/>
    <w:rsid w:val="75DC5F71"/>
    <w:rsid w:val="75DE488F"/>
    <w:rsid w:val="75E51678"/>
    <w:rsid w:val="75F0011F"/>
    <w:rsid w:val="75F220E9"/>
    <w:rsid w:val="75F23E97"/>
    <w:rsid w:val="75F2546B"/>
    <w:rsid w:val="75F406CA"/>
    <w:rsid w:val="75F536E7"/>
    <w:rsid w:val="75F55735"/>
    <w:rsid w:val="75F61BD9"/>
    <w:rsid w:val="75FB0F9D"/>
    <w:rsid w:val="75FD0ED7"/>
    <w:rsid w:val="76004806"/>
    <w:rsid w:val="7602284B"/>
    <w:rsid w:val="76031245"/>
    <w:rsid w:val="760A36E1"/>
    <w:rsid w:val="760C30F5"/>
    <w:rsid w:val="760C7A60"/>
    <w:rsid w:val="76116A13"/>
    <w:rsid w:val="76120095"/>
    <w:rsid w:val="761233EF"/>
    <w:rsid w:val="7614205F"/>
    <w:rsid w:val="76143E0D"/>
    <w:rsid w:val="761C0F14"/>
    <w:rsid w:val="761D29FD"/>
    <w:rsid w:val="762073A8"/>
    <w:rsid w:val="7621477C"/>
    <w:rsid w:val="76253251"/>
    <w:rsid w:val="76257DC8"/>
    <w:rsid w:val="762878B8"/>
    <w:rsid w:val="762D4ECF"/>
    <w:rsid w:val="763378B3"/>
    <w:rsid w:val="7634625D"/>
    <w:rsid w:val="7635099D"/>
    <w:rsid w:val="76373F9F"/>
    <w:rsid w:val="76391AC6"/>
    <w:rsid w:val="763B1755"/>
    <w:rsid w:val="763C3364"/>
    <w:rsid w:val="763C4ED3"/>
    <w:rsid w:val="76400D44"/>
    <w:rsid w:val="76402E54"/>
    <w:rsid w:val="76452218"/>
    <w:rsid w:val="764A3CD3"/>
    <w:rsid w:val="764A782F"/>
    <w:rsid w:val="764D4B3C"/>
    <w:rsid w:val="764F593B"/>
    <w:rsid w:val="765406AD"/>
    <w:rsid w:val="765608C9"/>
    <w:rsid w:val="7656207F"/>
    <w:rsid w:val="765860E0"/>
    <w:rsid w:val="76607052"/>
    <w:rsid w:val="76685F07"/>
    <w:rsid w:val="766C3C49"/>
    <w:rsid w:val="766E5C13"/>
    <w:rsid w:val="7673754E"/>
    <w:rsid w:val="7677439C"/>
    <w:rsid w:val="767B3E8C"/>
    <w:rsid w:val="767C5F83"/>
    <w:rsid w:val="76852F5D"/>
    <w:rsid w:val="768865A9"/>
    <w:rsid w:val="768D3BBF"/>
    <w:rsid w:val="769136B0"/>
    <w:rsid w:val="7691545E"/>
    <w:rsid w:val="76944F4E"/>
    <w:rsid w:val="76971BB8"/>
    <w:rsid w:val="769D02A6"/>
    <w:rsid w:val="769F401E"/>
    <w:rsid w:val="76A5715B"/>
    <w:rsid w:val="76A71125"/>
    <w:rsid w:val="76A92EA3"/>
    <w:rsid w:val="76AA651F"/>
    <w:rsid w:val="76AF43D1"/>
    <w:rsid w:val="76B455F0"/>
    <w:rsid w:val="76B52A9A"/>
    <w:rsid w:val="76BB072D"/>
    <w:rsid w:val="76BC203B"/>
    <w:rsid w:val="76BD26F7"/>
    <w:rsid w:val="76C84BF7"/>
    <w:rsid w:val="76CE66B2"/>
    <w:rsid w:val="76D42084"/>
    <w:rsid w:val="76D90BB3"/>
    <w:rsid w:val="76DB492B"/>
    <w:rsid w:val="76DD4B47"/>
    <w:rsid w:val="76E207E6"/>
    <w:rsid w:val="76E22F47"/>
    <w:rsid w:val="76EB7264"/>
    <w:rsid w:val="76EC0C5F"/>
    <w:rsid w:val="76ED69CE"/>
    <w:rsid w:val="76F36118"/>
    <w:rsid w:val="76F50ABA"/>
    <w:rsid w:val="76F65C09"/>
    <w:rsid w:val="76F93003"/>
    <w:rsid w:val="76FA1255"/>
    <w:rsid w:val="76FA74A7"/>
    <w:rsid w:val="76FB11AB"/>
    <w:rsid w:val="76FB321F"/>
    <w:rsid w:val="76FD6F97"/>
    <w:rsid w:val="76FF2D0F"/>
    <w:rsid w:val="770025E3"/>
    <w:rsid w:val="77020109"/>
    <w:rsid w:val="77075720"/>
    <w:rsid w:val="77100FB2"/>
    <w:rsid w:val="771A42A0"/>
    <w:rsid w:val="771D3195"/>
    <w:rsid w:val="771D4F43"/>
    <w:rsid w:val="771F1A59"/>
    <w:rsid w:val="771F6F0D"/>
    <w:rsid w:val="77212C85"/>
    <w:rsid w:val="77244524"/>
    <w:rsid w:val="772B3963"/>
    <w:rsid w:val="772C162A"/>
    <w:rsid w:val="772C33D8"/>
    <w:rsid w:val="772E71C3"/>
    <w:rsid w:val="772F154E"/>
    <w:rsid w:val="7730111A"/>
    <w:rsid w:val="773329B9"/>
    <w:rsid w:val="7735228D"/>
    <w:rsid w:val="773553C0"/>
    <w:rsid w:val="773629A8"/>
    <w:rsid w:val="77366005"/>
    <w:rsid w:val="77377DC7"/>
    <w:rsid w:val="77387FCF"/>
    <w:rsid w:val="773A6661"/>
    <w:rsid w:val="773D7394"/>
    <w:rsid w:val="773F310C"/>
    <w:rsid w:val="77416E84"/>
    <w:rsid w:val="774424D0"/>
    <w:rsid w:val="77444BC6"/>
    <w:rsid w:val="774730E9"/>
    <w:rsid w:val="774C2AB6"/>
    <w:rsid w:val="775748F9"/>
    <w:rsid w:val="7758241F"/>
    <w:rsid w:val="77732DB5"/>
    <w:rsid w:val="7774110E"/>
    <w:rsid w:val="77752FD1"/>
    <w:rsid w:val="77756B2D"/>
    <w:rsid w:val="77762421"/>
    <w:rsid w:val="777A2396"/>
    <w:rsid w:val="777A4144"/>
    <w:rsid w:val="777D1E86"/>
    <w:rsid w:val="7789082B"/>
    <w:rsid w:val="778921AB"/>
    <w:rsid w:val="778C0ADA"/>
    <w:rsid w:val="778C6933"/>
    <w:rsid w:val="77901BB9"/>
    <w:rsid w:val="779F1DFC"/>
    <w:rsid w:val="77A80CB1"/>
    <w:rsid w:val="77AB69F3"/>
    <w:rsid w:val="77AD4D1B"/>
    <w:rsid w:val="77AE203F"/>
    <w:rsid w:val="77B11365"/>
    <w:rsid w:val="77B56B1F"/>
    <w:rsid w:val="77B6893D"/>
    <w:rsid w:val="77B8724A"/>
    <w:rsid w:val="77BA09E4"/>
    <w:rsid w:val="77BD0095"/>
    <w:rsid w:val="77BF2228"/>
    <w:rsid w:val="77BF5FFA"/>
    <w:rsid w:val="77C33D3D"/>
    <w:rsid w:val="77C41863"/>
    <w:rsid w:val="77CF3763"/>
    <w:rsid w:val="77DC4DFE"/>
    <w:rsid w:val="77DE2925"/>
    <w:rsid w:val="77DE46D3"/>
    <w:rsid w:val="77DF3C7C"/>
    <w:rsid w:val="77DFD5CC"/>
    <w:rsid w:val="77E12415"/>
    <w:rsid w:val="77E46676"/>
    <w:rsid w:val="77E55174"/>
    <w:rsid w:val="77E65C7D"/>
    <w:rsid w:val="77EB5041"/>
    <w:rsid w:val="77EB6DF0"/>
    <w:rsid w:val="77ED0DBA"/>
    <w:rsid w:val="77F35CA4"/>
    <w:rsid w:val="77F4039A"/>
    <w:rsid w:val="77F57C6E"/>
    <w:rsid w:val="77F71C38"/>
    <w:rsid w:val="77FC724F"/>
    <w:rsid w:val="77FE339B"/>
    <w:rsid w:val="77FF1415"/>
    <w:rsid w:val="77FF4A20"/>
    <w:rsid w:val="780305DD"/>
    <w:rsid w:val="780600CD"/>
    <w:rsid w:val="78061655"/>
    <w:rsid w:val="780F09F4"/>
    <w:rsid w:val="78160310"/>
    <w:rsid w:val="78177BE5"/>
    <w:rsid w:val="78191BAF"/>
    <w:rsid w:val="78197E01"/>
    <w:rsid w:val="781D07A0"/>
    <w:rsid w:val="78202F3D"/>
    <w:rsid w:val="78223C2A"/>
    <w:rsid w:val="78224195"/>
    <w:rsid w:val="78250553"/>
    <w:rsid w:val="78252301"/>
    <w:rsid w:val="78273E8E"/>
    <w:rsid w:val="782B2F7D"/>
    <w:rsid w:val="78363A9B"/>
    <w:rsid w:val="78367C30"/>
    <w:rsid w:val="78371480"/>
    <w:rsid w:val="783B6025"/>
    <w:rsid w:val="783B7D77"/>
    <w:rsid w:val="783C589D"/>
    <w:rsid w:val="783E7867"/>
    <w:rsid w:val="78432E6C"/>
    <w:rsid w:val="784441FF"/>
    <w:rsid w:val="78484242"/>
    <w:rsid w:val="784F737E"/>
    <w:rsid w:val="785030F6"/>
    <w:rsid w:val="78524E73"/>
    <w:rsid w:val="785328FB"/>
    <w:rsid w:val="78544995"/>
    <w:rsid w:val="785726D7"/>
    <w:rsid w:val="78574485"/>
    <w:rsid w:val="785E5813"/>
    <w:rsid w:val="786077DD"/>
    <w:rsid w:val="786201ED"/>
    <w:rsid w:val="786373C8"/>
    <w:rsid w:val="78663DD9"/>
    <w:rsid w:val="786C6182"/>
    <w:rsid w:val="7872306D"/>
    <w:rsid w:val="7875635D"/>
    <w:rsid w:val="787738CD"/>
    <w:rsid w:val="788259A6"/>
    <w:rsid w:val="78872FBC"/>
    <w:rsid w:val="78887E53"/>
    <w:rsid w:val="788A2AAC"/>
    <w:rsid w:val="788B412F"/>
    <w:rsid w:val="788D434B"/>
    <w:rsid w:val="788F00C3"/>
    <w:rsid w:val="78931961"/>
    <w:rsid w:val="78947487"/>
    <w:rsid w:val="789631FF"/>
    <w:rsid w:val="78994A9D"/>
    <w:rsid w:val="789B1741"/>
    <w:rsid w:val="78A054C2"/>
    <w:rsid w:val="78A23952"/>
    <w:rsid w:val="78A551F0"/>
    <w:rsid w:val="78A84CE1"/>
    <w:rsid w:val="78A90480"/>
    <w:rsid w:val="78AA4012"/>
    <w:rsid w:val="78AF797E"/>
    <w:rsid w:val="78B0254F"/>
    <w:rsid w:val="78B2790D"/>
    <w:rsid w:val="78B673FD"/>
    <w:rsid w:val="78B74F24"/>
    <w:rsid w:val="78B76110"/>
    <w:rsid w:val="78B83176"/>
    <w:rsid w:val="78B96EEE"/>
    <w:rsid w:val="78C0202A"/>
    <w:rsid w:val="78C733B9"/>
    <w:rsid w:val="78CA2EA9"/>
    <w:rsid w:val="78CA7A0D"/>
    <w:rsid w:val="78CC09CF"/>
    <w:rsid w:val="78CC4E73"/>
    <w:rsid w:val="78CE2999"/>
    <w:rsid w:val="78CE2F07"/>
    <w:rsid w:val="78D1005C"/>
    <w:rsid w:val="78D15FE5"/>
    <w:rsid w:val="78D43D28"/>
    <w:rsid w:val="78D67AA0"/>
    <w:rsid w:val="78DC4F70"/>
    <w:rsid w:val="78E24696"/>
    <w:rsid w:val="78E51A91"/>
    <w:rsid w:val="78E57CE3"/>
    <w:rsid w:val="78E634B9"/>
    <w:rsid w:val="78EC1071"/>
    <w:rsid w:val="78F004C9"/>
    <w:rsid w:val="78F129F6"/>
    <w:rsid w:val="78F41CD4"/>
    <w:rsid w:val="78F87A16"/>
    <w:rsid w:val="78F9378E"/>
    <w:rsid w:val="78FA0A94"/>
    <w:rsid w:val="78FA1C9A"/>
    <w:rsid w:val="78FB7506"/>
    <w:rsid w:val="78FD412F"/>
    <w:rsid w:val="790068CB"/>
    <w:rsid w:val="79013E72"/>
    <w:rsid w:val="79027FE0"/>
    <w:rsid w:val="79030169"/>
    <w:rsid w:val="79050385"/>
    <w:rsid w:val="7906777D"/>
    <w:rsid w:val="79077C59"/>
    <w:rsid w:val="7908458D"/>
    <w:rsid w:val="791A5BDE"/>
    <w:rsid w:val="791A73B8"/>
    <w:rsid w:val="791B1956"/>
    <w:rsid w:val="791B3704"/>
    <w:rsid w:val="791B54B2"/>
    <w:rsid w:val="791D56CF"/>
    <w:rsid w:val="792027AF"/>
    <w:rsid w:val="79206F6D"/>
    <w:rsid w:val="7923015C"/>
    <w:rsid w:val="792408FC"/>
    <w:rsid w:val="79256331"/>
    <w:rsid w:val="792627D5"/>
    <w:rsid w:val="79272682"/>
    <w:rsid w:val="79295E21"/>
    <w:rsid w:val="792A1B99"/>
    <w:rsid w:val="792B4531"/>
    <w:rsid w:val="792E51E6"/>
    <w:rsid w:val="793420B5"/>
    <w:rsid w:val="7937686F"/>
    <w:rsid w:val="793B3DA7"/>
    <w:rsid w:val="793D7B1F"/>
    <w:rsid w:val="794013BD"/>
    <w:rsid w:val="79424DB8"/>
    <w:rsid w:val="79444A09"/>
    <w:rsid w:val="79464C25"/>
    <w:rsid w:val="7949798A"/>
    <w:rsid w:val="794B3E77"/>
    <w:rsid w:val="794C5FB4"/>
    <w:rsid w:val="79532E9E"/>
    <w:rsid w:val="795645BD"/>
    <w:rsid w:val="795804B5"/>
    <w:rsid w:val="795A247F"/>
    <w:rsid w:val="795D3415"/>
    <w:rsid w:val="795D3D1D"/>
    <w:rsid w:val="795F7A95"/>
    <w:rsid w:val="796055BB"/>
    <w:rsid w:val="7961380D"/>
    <w:rsid w:val="796D4705"/>
    <w:rsid w:val="79701CA2"/>
    <w:rsid w:val="79733540"/>
    <w:rsid w:val="797572B9"/>
    <w:rsid w:val="797A042B"/>
    <w:rsid w:val="797A48CF"/>
    <w:rsid w:val="797B41A3"/>
    <w:rsid w:val="797D7F1B"/>
    <w:rsid w:val="797F317E"/>
    <w:rsid w:val="79823784"/>
    <w:rsid w:val="7984574E"/>
    <w:rsid w:val="79872B48"/>
    <w:rsid w:val="79877C2F"/>
    <w:rsid w:val="798B075D"/>
    <w:rsid w:val="798B088A"/>
    <w:rsid w:val="799139C7"/>
    <w:rsid w:val="79974FB4"/>
    <w:rsid w:val="7997516A"/>
    <w:rsid w:val="79982FA7"/>
    <w:rsid w:val="79986B03"/>
    <w:rsid w:val="79993610"/>
    <w:rsid w:val="799A0ACD"/>
    <w:rsid w:val="799A6D1F"/>
    <w:rsid w:val="799A7C5B"/>
    <w:rsid w:val="79A079CD"/>
    <w:rsid w:val="79A4194C"/>
    <w:rsid w:val="79A62F1D"/>
    <w:rsid w:val="79A6682F"/>
    <w:rsid w:val="79B47C0F"/>
    <w:rsid w:val="79B67D3E"/>
    <w:rsid w:val="79B778D1"/>
    <w:rsid w:val="79BC3BD9"/>
    <w:rsid w:val="79C142AC"/>
    <w:rsid w:val="79C8563A"/>
    <w:rsid w:val="79CE0777"/>
    <w:rsid w:val="79D0629D"/>
    <w:rsid w:val="79D12015"/>
    <w:rsid w:val="79D20267"/>
    <w:rsid w:val="79D34CF9"/>
    <w:rsid w:val="79D7467F"/>
    <w:rsid w:val="79DA536E"/>
    <w:rsid w:val="79E87A8A"/>
    <w:rsid w:val="79E9735F"/>
    <w:rsid w:val="79EA61EA"/>
    <w:rsid w:val="79EE2BC7"/>
    <w:rsid w:val="79FD1A8F"/>
    <w:rsid w:val="79FD2E0A"/>
    <w:rsid w:val="79FF2CA1"/>
    <w:rsid w:val="79FF3026"/>
    <w:rsid w:val="7A04063C"/>
    <w:rsid w:val="7A0643B5"/>
    <w:rsid w:val="7A086679"/>
    <w:rsid w:val="7A0B19CB"/>
    <w:rsid w:val="7A0D4155"/>
    <w:rsid w:val="7A0E5D26"/>
    <w:rsid w:val="7A125AB2"/>
    <w:rsid w:val="7A15284A"/>
    <w:rsid w:val="7A1847B2"/>
    <w:rsid w:val="7A266805"/>
    <w:rsid w:val="7A2860D9"/>
    <w:rsid w:val="7A291E51"/>
    <w:rsid w:val="7A2931E5"/>
    <w:rsid w:val="7A2A17D9"/>
    <w:rsid w:val="7A2D7B93"/>
    <w:rsid w:val="7A304F8E"/>
    <w:rsid w:val="7A3525A4"/>
    <w:rsid w:val="7A364017"/>
    <w:rsid w:val="7A410F49"/>
    <w:rsid w:val="7A431165"/>
    <w:rsid w:val="7A480529"/>
    <w:rsid w:val="7A5125CD"/>
    <w:rsid w:val="7A513882"/>
    <w:rsid w:val="7A540C7C"/>
    <w:rsid w:val="7A5A025C"/>
    <w:rsid w:val="7A5C66B0"/>
    <w:rsid w:val="7A65732D"/>
    <w:rsid w:val="7A6F1F5A"/>
    <w:rsid w:val="7A70182E"/>
    <w:rsid w:val="7A717CA2"/>
    <w:rsid w:val="7A736CB1"/>
    <w:rsid w:val="7A74131E"/>
    <w:rsid w:val="7A7E035F"/>
    <w:rsid w:val="7A8265E1"/>
    <w:rsid w:val="7A884DCA"/>
    <w:rsid w:val="7A8A28F0"/>
    <w:rsid w:val="7A8A6D94"/>
    <w:rsid w:val="7A8D0632"/>
    <w:rsid w:val="7A923E9A"/>
    <w:rsid w:val="7A967A1C"/>
    <w:rsid w:val="7A990D85"/>
    <w:rsid w:val="7A9D5861"/>
    <w:rsid w:val="7A9D6321"/>
    <w:rsid w:val="7AA02113"/>
    <w:rsid w:val="7AA339B1"/>
    <w:rsid w:val="7AA716F4"/>
    <w:rsid w:val="7AA95FB1"/>
    <w:rsid w:val="7AAC4F5C"/>
    <w:rsid w:val="7AB0113D"/>
    <w:rsid w:val="7AB21E46"/>
    <w:rsid w:val="7AB4796D"/>
    <w:rsid w:val="7AC8166A"/>
    <w:rsid w:val="7ACB4CB6"/>
    <w:rsid w:val="7AD242A9"/>
    <w:rsid w:val="7AD7365B"/>
    <w:rsid w:val="7AD82A70"/>
    <w:rsid w:val="7AD93877"/>
    <w:rsid w:val="7AD95962"/>
    <w:rsid w:val="7ADD2219"/>
    <w:rsid w:val="7ADD3367"/>
    <w:rsid w:val="7AE065D8"/>
    <w:rsid w:val="7AE069B4"/>
    <w:rsid w:val="7AE804B8"/>
    <w:rsid w:val="7AE85868"/>
    <w:rsid w:val="7AE87FB7"/>
    <w:rsid w:val="7AEF6BF7"/>
    <w:rsid w:val="7AF20495"/>
    <w:rsid w:val="7AF91823"/>
    <w:rsid w:val="7AFBD928"/>
    <w:rsid w:val="7B036FEB"/>
    <w:rsid w:val="7B043FDD"/>
    <w:rsid w:val="7B080236"/>
    <w:rsid w:val="7B0A28DC"/>
    <w:rsid w:val="7B0C1557"/>
    <w:rsid w:val="7B0F1047"/>
    <w:rsid w:val="7B114DBF"/>
    <w:rsid w:val="7B167964"/>
    <w:rsid w:val="7B191EC6"/>
    <w:rsid w:val="7B1D19B6"/>
    <w:rsid w:val="7B1F572E"/>
    <w:rsid w:val="7B221D76"/>
    <w:rsid w:val="7B292EC5"/>
    <w:rsid w:val="7B2C0B40"/>
    <w:rsid w:val="7B315461"/>
    <w:rsid w:val="7B3311D9"/>
    <w:rsid w:val="7B391059"/>
    <w:rsid w:val="7B3B7F77"/>
    <w:rsid w:val="7B3D416D"/>
    <w:rsid w:val="7B4231CA"/>
    <w:rsid w:val="7B450F0D"/>
    <w:rsid w:val="7B486307"/>
    <w:rsid w:val="7B4C5DF7"/>
    <w:rsid w:val="7B51165F"/>
    <w:rsid w:val="7B52145D"/>
    <w:rsid w:val="7B533629"/>
    <w:rsid w:val="7B560A24"/>
    <w:rsid w:val="7B580C40"/>
    <w:rsid w:val="7B58479C"/>
    <w:rsid w:val="7B5B420B"/>
    <w:rsid w:val="7B5B45A3"/>
    <w:rsid w:val="7B62561B"/>
    <w:rsid w:val="7B6770D5"/>
    <w:rsid w:val="7B686D42"/>
    <w:rsid w:val="7B6A44CF"/>
    <w:rsid w:val="7B6B7FEB"/>
    <w:rsid w:val="7B6C6499"/>
    <w:rsid w:val="7B6E3F3E"/>
    <w:rsid w:val="7B6E6B0F"/>
    <w:rsid w:val="7B7535A0"/>
    <w:rsid w:val="7B75534E"/>
    <w:rsid w:val="7B783E2F"/>
    <w:rsid w:val="7B7A2964"/>
    <w:rsid w:val="7B810197"/>
    <w:rsid w:val="7B811F45"/>
    <w:rsid w:val="7B841746"/>
    <w:rsid w:val="7B91039C"/>
    <w:rsid w:val="7B915F00"/>
    <w:rsid w:val="7B9854E0"/>
    <w:rsid w:val="7B9E6DBB"/>
    <w:rsid w:val="7BA563C1"/>
    <w:rsid w:val="7BAC2D3A"/>
    <w:rsid w:val="7BAC4AE8"/>
    <w:rsid w:val="7BAE260E"/>
    <w:rsid w:val="7BAE6AB2"/>
    <w:rsid w:val="7BB045D8"/>
    <w:rsid w:val="7BB30400"/>
    <w:rsid w:val="7BB35E76"/>
    <w:rsid w:val="7BB5539B"/>
    <w:rsid w:val="7BB67714"/>
    <w:rsid w:val="7BB73BB8"/>
    <w:rsid w:val="7BBA15A2"/>
    <w:rsid w:val="7BBC11CF"/>
    <w:rsid w:val="7BBF2A6D"/>
    <w:rsid w:val="7BC34900"/>
    <w:rsid w:val="7BC40083"/>
    <w:rsid w:val="7BC65BA9"/>
    <w:rsid w:val="7BC736D0"/>
    <w:rsid w:val="7BC964A7"/>
    <w:rsid w:val="7BCE642F"/>
    <w:rsid w:val="7BD022F1"/>
    <w:rsid w:val="7BD152CC"/>
    <w:rsid w:val="7BD217F3"/>
    <w:rsid w:val="7BDC53CD"/>
    <w:rsid w:val="7BDE639C"/>
    <w:rsid w:val="7BE349AD"/>
    <w:rsid w:val="7BED0F85"/>
    <w:rsid w:val="7BEE23B2"/>
    <w:rsid w:val="7BEE6EAE"/>
    <w:rsid w:val="7BEF5539"/>
    <w:rsid w:val="7BF24BF0"/>
    <w:rsid w:val="7BF32717"/>
    <w:rsid w:val="7BF33481"/>
    <w:rsid w:val="7BF64461"/>
    <w:rsid w:val="7BF72207"/>
    <w:rsid w:val="7BFA62D9"/>
    <w:rsid w:val="7BFB34A4"/>
    <w:rsid w:val="7BFBC194"/>
    <w:rsid w:val="7BFBD0DD"/>
    <w:rsid w:val="7C077F70"/>
    <w:rsid w:val="7C0861C2"/>
    <w:rsid w:val="7C087578"/>
    <w:rsid w:val="7C1032C9"/>
    <w:rsid w:val="7C131926"/>
    <w:rsid w:val="7C174657"/>
    <w:rsid w:val="7C1903CF"/>
    <w:rsid w:val="7C211032"/>
    <w:rsid w:val="7C262AEC"/>
    <w:rsid w:val="7C280A7E"/>
    <w:rsid w:val="7C2E19A1"/>
    <w:rsid w:val="7C3116D5"/>
    <w:rsid w:val="7C324FED"/>
    <w:rsid w:val="7C3522B8"/>
    <w:rsid w:val="7C3D3992"/>
    <w:rsid w:val="7C43369E"/>
    <w:rsid w:val="7C442F72"/>
    <w:rsid w:val="7C490589"/>
    <w:rsid w:val="7C4F2043"/>
    <w:rsid w:val="7C5036C5"/>
    <w:rsid w:val="7C5238E1"/>
    <w:rsid w:val="7C573F85"/>
    <w:rsid w:val="7C596A1E"/>
    <w:rsid w:val="7C5A4544"/>
    <w:rsid w:val="7C5A5824"/>
    <w:rsid w:val="7C5E5DE2"/>
    <w:rsid w:val="7C6074B1"/>
    <w:rsid w:val="7C613B24"/>
    <w:rsid w:val="7C666E84"/>
    <w:rsid w:val="7C680320"/>
    <w:rsid w:val="7C6929D9"/>
    <w:rsid w:val="7C6C5AC7"/>
    <w:rsid w:val="7C6D24C9"/>
    <w:rsid w:val="7C704248"/>
    <w:rsid w:val="7C725D31"/>
    <w:rsid w:val="7C743857"/>
    <w:rsid w:val="7C765821"/>
    <w:rsid w:val="7C773348"/>
    <w:rsid w:val="7C776EA4"/>
    <w:rsid w:val="7C7A4BE6"/>
    <w:rsid w:val="7C7B6E99"/>
    <w:rsid w:val="7C7E03F4"/>
    <w:rsid w:val="7C813C7A"/>
    <w:rsid w:val="7C830137"/>
    <w:rsid w:val="7C843B4D"/>
    <w:rsid w:val="7C8C4D0F"/>
    <w:rsid w:val="7C8F0C60"/>
    <w:rsid w:val="7C8F68E3"/>
    <w:rsid w:val="7C9E7B12"/>
    <w:rsid w:val="7CA12173"/>
    <w:rsid w:val="7CA93A05"/>
    <w:rsid w:val="7CAA1288"/>
    <w:rsid w:val="7CAE5679"/>
    <w:rsid w:val="7CAF2AE1"/>
    <w:rsid w:val="7CB2612E"/>
    <w:rsid w:val="7CB65C1E"/>
    <w:rsid w:val="7CBE5D37"/>
    <w:rsid w:val="7CC04CEF"/>
    <w:rsid w:val="7CC13438"/>
    <w:rsid w:val="7CC320E9"/>
    <w:rsid w:val="7CC3658D"/>
    <w:rsid w:val="7CC540B3"/>
    <w:rsid w:val="7CC6544B"/>
    <w:rsid w:val="7CD10615"/>
    <w:rsid w:val="7CD150F2"/>
    <w:rsid w:val="7CD73DE6"/>
    <w:rsid w:val="7CD75B94"/>
    <w:rsid w:val="7CD97B5E"/>
    <w:rsid w:val="7CDC31AB"/>
    <w:rsid w:val="7CDD764F"/>
    <w:rsid w:val="7CE502B1"/>
    <w:rsid w:val="7CE61DCC"/>
    <w:rsid w:val="7CE65DD7"/>
    <w:rsid w:val="7CEA3B1A"/>
    <w:rsid w:val="7CEF360E"/>
    <w:rsid w:val="7CF15B8F"/>
    <w:rsid w:val="7CF16C56"/>
    <w:rsid w:val="7CF20C20"/>
    <w:rsid w:val="7CF229CE"/>
    <w:rsid w:val="7CF34035"/>
    <w:rsid w:val="7CF47170"/>
    <w:rsid w:val="7CF652D1"/>
    <w:rsid w:val="7CFB7AD5"/>
    <w:rsid w:val="7CFD215E"/>
    <w:rsid w:val="7D000D6B"/>
    <w:rsid w:val="7D00333D"/>
    <w:rsid w:val="7D0239FF"/>
    <w:rsid w:val="7D0821F2"/>
    <w:rsid w:val="7D0C7F34"/>
    <w:rsid w:val="7D0D7808"/>
    <w:rsid w:val="7D0F16C6"/>
    <w:rsid w:val="7D1105AE"/>
    <w:rsid w:val="7D1363DA"/>
    <w:rsid w:val="7D170ECC"/>
    <w:rsid w:val="7D180687"/>
    <w:rsid w:val="7D1961AD"/>
    <w:rsid w:val="7D197F5B"/>
    <w:rsid w:val="7D1A203A"/>
    <w:rsid w:val="7D2A03BA"/>
    <w:rsid w:val="7D2F142F"/>
    <w:rsid w:val="7D3354C1"/>
    <w:rsid w:val="7D366D5F"/>
    <w:rsid w:val="7D37311B"/>
    <w:rsid w:val="7D386E01"/>
    <w:rsid w:val="7D40373A"/>
    <w:rsid w:val="7D4274B2"/>
    <w:rsid w:val="7D456FA2"/>
    <w:rsid w:val="7D464AE5"/>
    <w:rsid w:val="7D474AC8"/>
    <w:rsid w:val="7D4B192B"/>
    <w:rsid w:val="7D517AE6"/>
    <w:rsid w:val="7D5316BF"/>
    <w:rsid w:val="7D550441"/>
    <w:rsid w:val="7D5A0C9F"/>
    <w:rsid w:val="7D5D44CB"/>
    <w:rsid w:val="7D5E40CD"/>
    <w:rsid w:val="7D5F040E"/>
    <w:rsid w:val="7D60202E"/>
    <w:rsid w:val="7D603DDC"/>
    <w:rsid w:val="7D63567A"/>
    <w:rsid w:val="7D6513F2"/>
    <w:rsid w:val="7D677692"/>
    <w:rsid w:val="7D6D4ABA"/>
    <w:rsid w:val="7D747887"/>
    <w:rsid w:val="7D768317"/>
    <w:rsid w:val="7D7A903F"/>
    <w:rsid w:val="7D7B29C4"/>
    <w:rsid w:val="7D7F24B4"/>
    <w:rsid w:val="7D80622C"/>
    <w:rsid w:val="7D847ACA"/>
    <w:rsid w:val="7D8728FA"/>
    <w:rsid w:val="7D8E26F7"/>
    <w:rsid w:val="7D9046C1"/>
    <w:rsid w:val="7D9D6DDE"/>
    <w:rsid w:val="7D9F168F"/>
    <w:rsid w:val="7DA0242A"/>
    <w:rsid w:val="7DA32BE1"/>
    <w:rsid w:val="7DA57A41"/>
    <w:rsid w:val="7DA737B9"/>
    <w:rsid w:val="7DA914BD"/>
    <w:rsid w:val="7DB25D11"/>
    <w:rsid w:val="7DB6179A"/>
    <w:rsid w:val="7DB859C6"/>
    <w:rsid w:val="7DBD122E"/>
    <w:rsid w:val="7DBF0B02"/>
    <w:rsid w:val="7DBF371E"/>
    <w:rsid w:val="7DC275FA"/>
    <w:rsid w:val="7DC425BD"/>
    <w:rsid w:val="7DC66335"/>
    <w:rsid w:val="7DCB56F9"/>
    <w:rsid w:val="7DCC1471"/>
    <w:rsid w:val="7DCD56F2"/>
    <w:rsid w:val="7DD32800"/>
    <w:rsid w:val="7DD547CA"/>
    <w:rsid w:val="7DD6503A"/>
    <w:rsid w:val="7DD95881"/>
    <w:rsid w:val="7DDA1304"/>
    <w:rsid w:val="7DDC1500"/>
    <w:rsid w:val="7DDC7906"/>
    <w:rsid w:val="7DDF11A4"/>
    <w:rsid w:val="7DDFFCE0"/>
    <w:rsid w:val="7DE762AB"/>
    <w:rsid w:val="7DEC1126"/>
    <w:rsid w:val="7DEE3196"/>
    <w:rsid w:val="7DF12140"/>
    <w:rsid w:val="7DF6029C"/>
    <w:rsid w:val="7DF7B3A9"/>
    <w:rsid w:val="7DFA5FDE"/>
    <w:rsid w:val="7DFC1D56"/>
    <w:rsid w:val="7DFF8DC0"/>
    <w:rsid w:val="7E030AED"/>
    <w:rsid w:val="7E040C0B"/>
    <w:rsid w:val="7E0902D0"/>
    <w:rsid w:val="7E0A791D"/>
    <w:rsid w:val="7E0B3D48"/>
    <w:rsid w:val="7E0B6ACB"/>
    <w:rsid w:val="7E0D3F64"/>
    <w:rsid w:val="7E0D5D12"/>
    <w:rsid w:val="7E0E55E6"/>
    <w:rsid w:val="7E100862"/>
    <w:rsid w:val="7E1150D6"/>
    <w:rsid w:val="7E1F3BEA"/>
    <w:rsid w:val="7E2529F7"/>
    <w:rsid w:val="7E2968C4"/>
    <w:rsid w:val="7E2E7A36"/>
    <w:rsid w:val="7E3314F0"/>
    <w:rsid w:val="7E3F39F1"/>
    <w:rsid w:val="7E4277D8"/>
    <w:rsid w:val="7E4328CE"/>
    <w:rsid w:val="7E4454AB"/>
    <w:rsid w:val="7E4703F5"/>
    <w:rsid w:val="7E471FE1"/>
    <w:rsid w:val="7E490D14"/>
    <w:rsid w:val="7E4B05E8"/>
    <w:rsid w:val="7E503E50"/>
    <w:rsid w:val="7E505BFE"/>
    <w:rsid w:val="7E521976"/>
    <w:rsid w:val="7E553215"/>
    <w:rsid w:val="7E582D05"/>
    <w:rsid w:val="7E5A082B"/>
    <w:rsid w:val="7E5F22E5"/>
    <w:rsid w:val="7E611BB9"/>
    <w:rsid w:val="7E617E0B"/>
    <w:rsid w:val="7E682F48"/>
    <w:rsid w:val="7E696CC0"/>
    <w:rsid w:val="7E6A3164"/>
    <w:rsid w:val="7E6B2A38"/>
    <w:rsid w:val="7E6E2528"/>
    <w:rsid w:val="7E710A81"/>
    <w:rsid w:val="7E71642D"/>
    <w:rsid w:val="7E717724"/>
    <w:rsid w:val="7E726A95"/>
    <w:rsid w:val="7E730A68"/>
    <w:rsid w:val="7E75366D"/>
    <w:rsid w:val="7E7A2C7B"/>
    <w:rsid w:val="7E7C69F3"/>
    <w:rsid w:val="7E7E09BD"/>
    <w:rsid w:val="7E7F0292"/>
    <w:rsid w:val="7E7F1C99"/>
    <w:rsid w:val="7E8104AE"/>
    <w:rsid w:val="7E851D4C"/>
    <w:rsid w:val="7E8835EA"/>
    <w:rsid w:val="7E8B4E88"/>
    <w:rsid w:val="7E8C722C"/>
    <w:rsid w:val="7E906943"/>
    <w:rsid w:val="7E922338"/>
    <w:rsid w:val="7E952BC4"/>
    <w:rsid w:val="7E9B156F"/>
    <w:rsid w:val="7E9B65C0"/>
    <w:rsid w:val="7EA11A13"/>
    <w:rsid w:val="7EA13C85"/>
    <w:rsid w:val="7EA2525B"/>
    <w:rsid w:val="7EAF5129"/>
    <w:rsid w:val="7EB2045E"/>
    <w:rsid w:val="7EB20667"/>
    <w:rsid w:val="7EB22415"/>
    <w:rsid w:val="7EB50B00"/>
    <w:rsid w:val="7EB663A9"/>
    <w:rsid w:val="7EBA0743"/>
    <w:rsid w:val="7EC206DA"/>
    <w:rsid w:val="7EC53858"/>
    <w:rsid w:val="7EC75AE6"/>
    <w:rsid w:val="7EDA196C"/>
    <w:rsid w:val="7EE03426"/>
    <w:rsid w:val="7EE04A9D"/>
    <w:rsid w:val="7EE051D4"/>
    <w:rsid w:val="7EE16A95"/>
    <w:rsid w:val="7EE27D62"/>
    <w:rsid w:val="7EE50A3C"/>
    <w:rsid w:val="7EEA03C2"/>
    <w:rsid w:val="7EEF3669"/>
    <w:rsid w:val="7EF618DD"/>
    <w:rsid w:val="7F001CE7"/>
    <w:rsid w:val="7F032C71"/>
    <w:rsid w:val="7F0A2251"/>
    <w:rsid w:val="7F0D1D41"/>
    <w:rsid w:val="7F111831"/>
    <w:rsid w:val="7F1135E0"/>
    <w:rsid w:val="7F1B445E"/>
    <w:rsid w:val="7F1E226E"/>
    <w:rsid w:val="7F233313"/>
    <w:rsid w:val="7F2552DD"/>
    <w:rsid w:val="7F264BB1"/>
    <w:rsid w:val="7F29749B"/>
    <w:rsid w:val="7F32561D"/>
    <w:rsid w:val="7F337F50"/>
    <w:rsid w:val="7F376DBE"/>
    <w:rsid w:val="7F3E014D"/>
    <w:rsid w:val="7F3E1EFB"/>
    <w:rsid w:val="7F3F0BEA"/>
    <w:rsid w:val="7F460DAF"/>
    <w:rsid w:val="7F4734A5"/>
    <w:rsid w:val="7F4765BD"/>
    <w:rsid w:val="7F49446D"/>
    <w:rsid w:val="7F4D0791"/>
    <w:rsid w:val="7F572FBC"/>
    <w:rsid w:val="7F590AE3"/>
    <w:rsid w:val="7F5B1A0A"/>
    <w:rsid w:val="7F643867"/>
    <w:rsid w:val="7F6478E0"/>
    <w:rsid w:val="7F670C05"/>
    <w:rsid w:val="7F671451"/>
    <w:rsid w:val="7F6851CA"/>
    <w:rsid w:val="7F6A2CF0"/>
    <w:rsid w:val="7F6C2F0C"/>
    <w:rsid w:val="7F6F0306"/>
    <w:rsid w:val="7F6F47AA"/>
    <w:rsid w:val="7F7122D0"/>
    <w:rsid w:val="7F723EDE"/>
    <w:rsid w:val="7F73429A"/>
    <w:rsid w:val="7F736048"/>
    <w:rsid w:val="7F741DC0"/>
    <w:rsid w:val="7F743B6E"/>
    <w:rsid w:val="7F7750B2"/>
    <w:rsid w:val="7F78365F"/>
    <w:rsid w:val="7F8042C1"/>
    <w:rsid w:val="7F806F63"/>
    <w:rsid w:val="7F8244DD"/>
    <w:rsid w:val="7F833DB1"/>
    <w:rsid w:val="7F840255"/>
    <w:rsid w:val="7F89586C"/>
    <w:rsid w:val="7F8B51DD"/>
    <w:rsid w:val="7F8D2652"/>
    <w:rsid w:val="7F8D387C"/>
    <w:rsid w:val="7F902396"/>
    <w:rsid w:val="7F923FF5"/>
    <w:rsid w:val="7F961D37"/>
    <w:rsid w:val="7F995383"/>
    <w:rsid w:val="7F99FBB6"/>
    <w:rsid w:val="7F9E186F"/>
    <w:rsid w:val="7F9E7C73"/>
    <w:rsid w:val="7FA3EC4A"/>
    <w:rsid w:val="7FA426A6"/>
    <w:rsid w:val="7FA60384"/>
    <w:rsid w:val="7FA62B92"/>
    <w:rsid w:val="7FAD3976"/>
    <w:rsid w:val="7FAF1490"/>
    <w:rsid w:val="7FB126CD"/>
    <w:rsid w:val="7FB16B71"/>
    <w:rsid w:val="7FB27106"/>
    <w:rsid w:val="7FB76CC5"/>
    <w:rsid w:val="7FBA42BD"/>
    <w:rsid w:val="7FBB354B"/>
    <w:rsid w:val="7FBD3767"/>
    <w:rsid w:val="7FBF28A1"/>
    <w:rsid w:val="7FC22B2C"/>
    <w:rsid w:val="7FC5261C"/>
    <w:rsid w:val="7FC91527"/>
    <w:rsid w:val="7FCA378E"/>
    <w:rsid w:val="7FCC7507"/>
    <w:rsid w:val="7FCD1B4C"/>
    <w:rsid w:val="7FCF160C"/>
    <w:rsid w:val="7FD879C8"/>
    <w:rsid w:val="7FDB11A7"/>
    <w:rsid w:val="7FDEF045"/>
    <w:rsid w:val="7FDF548C"/>
    <w:rsid w:val="7FE47E50"/>
    <w:rsid w:val="7FE56CE7"/>
    <w:rsid w:val="7FEB0D3B"/>
    <w:rsid w:val="7FEEF4EB"/>
    <w:rsid w:val="7FEFAD91"/>
    <w:rsid w:val="7FF01447"/>
    <w:rsid w:val="7FF308BE"/>
    <w:rsid w:val="7FF4A53D"/>
    <w:rsid w:val="7FF50E2D"/>
    <w:rsid w:val="7FFB7DEC"/>
    <w:rsid w:val="7FFCC78E"/>
    <w:rsid w:val="7FFD29B9"/>
    <w:rsid w:val="86DA4CDE"/>
    <w:rsid w:val="8BFFE011"/>
    <w:rsid w:val="93F79364"/>
    <w:rsid w:val="9BEF465D"/>
    <w:rsid w:val="9BEF97C3"/>
    <w:rsid w:val="9C25F9B0"/>
    <w:rsid w:val="9DE4D5F4"/>
    <w:rsid w:val="9EFB2DE3"/>
    <w:rsid w:val="AE7FFEDE"/>
    <w:rsid w:val="B3EBC1F8"/>
    <w:rsid w:val="B7FFE35C"/>
    <w:rsid w:val="B9B64BCD"/>
    <w:rsid w:val="BB617AB3"/>
    <w:rsid w:val="BBF9DA11"/>
    <w:rsid w:val="BD358CDB"/>
    <w:rsid w:val="BDFCD111"/>
    <w:rsid w:val="BEED43E1"/>
    <w:rsid w:val="BFC663C7"/>
    <w:rsid w:val="BFD73D70"/>
    <w:rsid w:val="BFF85635"/>
    <w:rsid w:val="CBF77E83"/>
    <w:rsid w:val="CDF6B815"/>
    <w:rsid w:val="CEB7CB71"/>
    <w:rsid w:val="DDFE230B"/>
    <w:rsid w:val="DEBFCD88"/>
    <w:rsid w:val="DF5687AE"/>
    <w:rsid w:val="DF9749E7"/>
    <w:rsid w:val="DFDFCF97"/>
    <w:rsid w:val="DFE4FFA8"/>
    <w:rsid w:val="E9DFF981"/>
    <w:rsid w:val="EB9CF034"/>
    <w:rsid w:val="EBF99296"/>
    <w:rsid w:val="EEEFC207"/>
    <w:rsid w:val="EF611598"/>
    <w:rsid w:val="EFAFED71"/>
    <w:rsid w:val="EFFF5F58"/>
    <w:rsid w:val="F2BF4B36"/>
    <w:rsid w:val="F2BF5CE5"/>
    <w:rsid w:val="F3BF0564"/>
    <w:rsid w:val="F3BFFCB0"/>
    <w:rsid w:val="F5BB35B8"/>
    <w:rsid w:val="F5DECD3F"/>
    <w:rsid w:val="F7EBE6C9"/>
    <w:rsid w:val="F81F185E"/>
    <w:rsid w:val="F8DD367F"/>
    <w:rsid w:val="F9B3F7CD"/>
    <w:rsid w:val="F9FED93A"/>
    <w:rsid w:val="FB164CDE"/>
    <w:rsid w:val="FB5609C3"/>
    <w:rsid w:val="FCC75F4D"/>
    <w:rsid w:val="FCDFED2E"/>
    <w:rsid w:val="FCEFF836"/>
    <w:rsid w:val="FDB73BB0"/>
    <w:rsid w:val="FDC56533"/>
    <w:rsid w:val="FDDFC12A"/>
    <w:rsid w:val="FE8F9FC2"/>
    <w:rsid w:val="FEBB946A"/>
    <w:rsid w:val="FEE6BC87"/>
    <w:rsid w:val="FEEECE90"/>
    <w:rsid w:val="FEFEFD21"/>
    <w:rsid w:val="FEFF6F1C"/>
    <w:rsid w:val="FF3DF40E"/>
    <w:rsid w:val="FF5F6A0D"/>
    <w:rsid w:val="FF7B7179"/>
    <w:rsid w:val="FFAFECA3"/>
    <w:rsid w:val="FFB3DF7D"/>
    <w:rsid w:val="FFBF3E62"/>
    <w:rsid w:val="FFCE5F64"/>
    <w:rsid w:val="FFF72EEC"/>
    <w:rsid w:val="FFFEB979"/>
    <w:rsid w:val="FFFEDC1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qFormat="1"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iPriority="99"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99"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autoRedefine/>
    <w:semiHidden/>
    <w:unhideWhenUsed/>
    <w:qFormat/>
    <w:locked/>
    <w:uiPriority w:val="0"/>
    <w:pPr>
      <w:spacing w:line="360" w:lineRule="auto"/>
      <w:ind w:left="0" w:firstLine="0" w:firstLineChars="0"/>
      <w:outlineLvl w:val="1"/>
    </w:pPr>
    <w:rPr>
      <w:rFonts w:ascii="宋体" w:hAnsi="宋体" w:eastAsia="宋体" w:cs="宋体"/>
      <w:b/>
      <w:bCs/>
      <w:sz w:val="30"/>
      <w:szCs w:val="30"/>
      <w:lang w:val="zh-CN" w:bidi="zh-CN"/>
    </w:rPr>
  </w:style>
  <w:style w:type="paragraph" w:styleId="4">
    <w:name w:val="heading 3"/>
    <w:basedOn w:val="1"/>
    <w:next w:val="1"/>
    <w:autoRedefine/>
    <w:qFormat/>
    <w:locked/>
    <w:uiPriority w:val="0"/>
    <w:pPr>
      <w:keepNext/>
      <w:keepLines/>
      <w:spacing w:line="360" w:lineRule="auto"/>
      <w:outlineLvl w:val="2"/>
    </w:pPr>
    <w:rPr>
      <w:b/>
      <w:bCs/>
      <w:szCs w:val="32"/>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unhideWhenUsed/>
    <w:qFormat/>
    <w:locked/>
    <w:uiPriority w:val="99"/>
    <w:pPr>
      <w:spacing w:line="240" w:lineRule="auto"/>
    </w:pPr>
    <w:rPr>
      <w:rFonts w:ascii="Calibri" w:hAnsi="Calibri"/>
      <w:sz w:val="28"/>
      <w:szCs w:val="28"/>
    </w:rPr>
  </w:style>
  <w:style w:type="paragraph" w:styleId="6">
    <w:name w:val="annotation text"/>
    <w:basedOn w:val="1"/>
    <w:link w:val="38"/>
    <w:autoRedefine/>
    <w:semiHidden/>
    <w:qFormat/>
    <w:uiPriority w:val="0"/>
    <w:pPr>
      <w:jc w:val="left"/>
    </w:pPr>
    <w:rPr>
      <w:kern w:val="0"/>
      <w:sz w:val="24"/>
      <w:szCs w:val="20"/>
    </w:rPr>
  </w:style>
  <w:style w:type="paragraph" w:styleId="7">
    <w:name w:val="Body Text"/>
    <w:basedOn w:val="1"/>
    <w:next w:val="8"/>
    <w:link w:val="37"/>
    <w:autoRedefine/>
    <w:qFormat/>
    <w:uiPriority w:val="0"/>
    <w:pPr>
      <w:widowControl/>
      <w:snapToGrid w:val="0"/>
      <w:spacing w:before="60" w:after="160" w:line="259" w:lineRule="auto"/>
      <w:ind w:right="113"/>
    </w:pPr>
    <w:rPr>
      <w:kern w:val="0"/>
      <w:sz w:val="18"/>
      <w:szCs w:val="20"/>
    </w:rPr>
  </w:style>
  <w:style w:type="paragraph" w:customStyle="1" w:styleId="8">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styleId="9">
    <w:name w:val="Body Text Indent"/>
    <w:basedOn w:val="1"/>
    <w:link w:val="46"/>
    <w:autoRedefine/>
    <w:qFormat/>
    <w:uiPriority w:val="0"/>
    <w:pPr>
      <w:spacing w:after="120"/>
      <w:ind w:left="420" w:leftChars="200"/>
    </w:pPr>
    <w:rPr>
      <w:kern w:val="0"/>
      <w:sz w:val="24"/>
      <w:szCs w:val="20"/>
    </w:rPr>
  </w:style>
  <w:style w:type="paragraph" w:styleId="10">
    <w:name w:val="Plain Text"/>
    <w:basedOn w:val="1"/>
    <w:autoRedefine/>
    <w:qFormat/>
    <w:locked/>
    <w:uiPriority w:val="99"/>
    <w:pPr>
      <w:spacing w:line="240" w:lineRule="auto"/>
    </w:pPr>
    <w:rPr>
      <w:rFonts w:ascii="宋体" w:hAnsi="Courier New"/>
      <w:sz w:val="21"/>
      <w:szCs w:val="20"/>
    </w:rPr>
  </w:style>
  <w:style w:type="paragraph" w:styleId="11">
    <w:name w:val="List Bullet 5"/>
    <w:basedOn w:val="1"/>
    <w:qFormat/>
    <w:locked/>
    <w:uiPriority w:val="0"/>
    <w:pPr>
      <w:numPr>
        <w:ilvl w:val="0"/>
        <w:numId w:val="1"/>
      </w:numPr>
    </w:pPr>
  </w:style>
  <w:style w:type="paragraph" w:styleId="12">
    <w:name w:val="Date"/>
    <w:basedOn w:val="1"/>
    <w:next w:val="1"/>
    <w:link w:val="33"/>
    <w:autoRedefine/>
    <w:qFormat/>
    <w:uiPriority w:val="0"/>
    <w:pPr>
      <w:ind w:left="100" w:leftChars="2500"/>
    </w:pPr>
    <w:rPr>
      <w:kern w:val="0"/>
      <w:sz w:val="24"/>
      <w:szCs w:val="20"/>
    </w:rPr>
  </w:style>
  <w:style w:type="paragraph" w:styleId="13">
    <w:name w:val="Body Text Indent 2"/>
    <w:basedOn w:val="1"/>
    <w:next w:val="1"/>
    <w:autoRedefine/>
    <w:unhideWhenUsed/>
    <w:qFormat/>
    <w:locked/>
    <w:uiPriority w:val="99"/>
    <w:pPr>
      <w:widowControl/>
      <w:spacing w:after="120" w:line="480" w:lineRule="auto"/>
      <w:ind w:left="420" w:leftChars="200"/>
      <w:jc w:val="left"/>
    </w:pPr>
    <w:rPr>
      <w:color w:val="000000"/>
      <w:sz w:val="24"/>
    </w:rPr>
  </w:style>
  <w:style w:type="paragraph" w:styleId="14">
    <w:name w:val="Balloon Text"/>
    <w:basedOn w:val="1"/>
    <w:link w:val="42"/>
    <w:autoRedefine/>
    <w:semiHidden/>
    <w:qFormat/>
    <w:uiPriority w:val="0"/>
    <w:rPr>
      <w:kern w:val="0"/>
      <w:sz w:val="18"/>
      <w:szCs w:val="20"/>
    </w:rPr>
  </w:style>
  <w:style w:type="paragraph" w:styleId="15">
    <w:name w:val="footer"/>
    <w:basedOn w:val="1"/>
    <w:link w:val="32"/>
    <w:autoRedefine/>
    <w:qFormat/>
    <w:uiPriority w:val="99"/>
    <w:pPr>
      <w:tabs>
        <w:tab w:val="center" w:pos="4153"/>
        <w:tab w:val="right" w:pos="8306"/>
      </w:tabs>
      <w:snapToGrid w:val="0"/>
      <w:jc w:val="left"/>
    </w:pPr>
    <w:rPr>
      <w:kern w:val="0"/>
      <w:sz w:val="18"/>
      <w:szCs w:val="20"/>
    </w:rPr>
  </w:style>
  <w:style w:type="paragraph" w:styleId="16">
    <w:name w:val="header"/>
    <w:basedOn w:val="1"/>
    <w:link w:val="44"/>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17">
    <w:name w:val="List"/>
    <w:basedOn w:val="1"/>
    <w:autoRedefine/>
    <w:qFormat/>
    <w:locked/>
    <w:uiPriority w:val="0"/>
    <w:pPr>
      <w:ind w:left="200" w:hanging="200" w:hangingChars="200"/>
    </w:pPr>
  </w:style>
  <w:style w:type="paragraph" w:styleId="18">
    <w:name w:val="table of figures"/>
    <w:basedOn w:val="1"/>
    <w:next w:val="1"/>
    <w:autoRedefine/>
    <w:qFormat/>
    <w:locked/>
    <w:uiPriority w:val="0"/>
    <w:pPr>
      <w:spacing w:line="240" w:lineRule="auto"/>
      <w:ind w:leftChars="200" w:hanging="200" w:hangingChars="200"/>
    </w:pPr>
    <w:rPr>
      <w:rFonts w:ascii="Times New Roman" w:hAnsi="Times New Roman"/>
      <w:sz w:val="21"/>
      <w:szCs w:val="24"/>
    </w:rPr>
  </w:style>
  <w:style w:type="paragraph" w:styleId="19">
    <w:name w:val="HTML Preformatted"/>
    <w:basedOn w:val="1"/>
    <w:qFormat/>
    <w:lock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link w:val="35"/>
    <w:autoRedefine/>
    <w:qFormat/>
    <w:uiPriority w:val="0"/>
    <w:pPr>
      <w:widowControl/>
      <w:spacing w:before="100" w:beforeAutospacing="1" w:after="100" w:afterAutospacing="1"/>
      <w:jc w:val="left"/>
    </w:pPr>
    <w:rPr>
      <w:rFonts w:ascii="宋体" w:hAnsi="宋体"/>
      <w:kern w:val="0"/>
      <w:sz w:val="24"/>
      <w:szCs w:val="20"/>
    </w:rPr>
  </w:style>
  <w:style w:type="paragraph" w:styleId="21">
    <w:name w:val="annotation subject"/>
    <w:basedOn w:val="6"/>
    <w:next w:val="6"/>
    <w:link w:val="43"/>
    <w:autoRedefine/>
    <w:semiHidden/>
    <w:qFormat/>
    <w:uiPriority w:val="0"/>
    <w:rPr>
      <w:b/>
      <w:sz w:val="24"/>
      <w:szCs w:val="20"/>
    </w:rPr>
  </w:style>
  <w:style w:type="paragraph" w:styleId="22">
    <w:name w:val="Body Text First Indent"/>
    <w:basedOn w:val="7"/>
    <w:autoRedefine/>
    <w:qFormat/>
    <w:locked/>
    <w:uiPriority w:val="0"/>
    <w:pPr>
      <w:spacing w:after="120"/>
      <w:ind w:firstLine="420" w:firstLineChars="100"/>
      <w:jc w:val="both"/>
    </w:pPr>
    <w:rPr>
      <w:sz w:val="28"/>
    </w:rPr>
  </w:style>
  <w:style w:type="paragraph" w:styleId="23">
    <w:name w:val="Body Text First Indent 2"/>
    <w:basedOn w:val="9"/>
    <w:autoRedefine/>
    <w:qFormat/>
    <w:locked/>
    <w:uiPriority w:val="0"/>
    <w:pPr>
      <w:ind w:firstLine="420" w:firstLineChars="200"/>
    </w:pPr>
  </w:style>
  <w:style w:type="table" w:styleId="25">
    <w:name w:val="Table Grid"/>
    <w:basedOn w:val="24"/>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locked/>
    <w:uiPriority w:val="0"/>
    <w:rPr>
      <w:b/>
    </w:rPr>
  </w:style>
  <w:style w:type="character" w:styleId="28">
    <w:name w:val="page number"/>
    <w:basedOn w:val="26"/>
    <w:autoRedefine/>
    <w:qFormat/>
    <w:locked/>
    <w:uiPriority w:val="0"/>
  </w:style>
  <w:style w:type="character" w:styleId="29">
    <w:name w:val="Hyperlink"/>
    <w:basedOn w:val="26"/>
    <w:autoRedefine/>
    <w:qFormat/>
    <w:locked/>
    <w:uiPriority w:val="0"/>
    <w:rPr>
      <w:color w:val="0000FF"/>
      <w:u w:val="single"/>
    </w:rPr>
  </w:style>
  <w:style w:type="character" w:styleId="30">
    <w:name w:val="annotation reference"/>
    <w:autoRedefine/>
    <w:semiHidden/>
    <w:qFormat/>
    <w:uiPriority w:val="0"/>
    <w:rPr>
      <w:sz w:val="21"/>
    </w:rPr>
  </w:style>
  <w:style w:type="paragraph" w:customStyle="1" w:styleId="31">
    <w:name w:val="正文首行缩进2个字 Char"/>
    <w:basedOn w:val="1"/>
    <w:autoRedefine/>
    <w:qFormat/>
    <w:uiPriority w:val="0"/>
    <w:pPr>
      <w:ind w:firstLine="480" w:firstLineChars="200"/>
    </w:pPr>
    <w:rPr>
      <w:rFonts w:eastAsia="楷体"/>
      <w:sz w:val="24"/>
      <w:szCs w:val="24"/>
    </w:rPr>
  </w:style>
  <w:style w:type="character" w:customStyle="1" w:styleId="32">
    <w:name w:val="页脚 Char"/>
    <w:link w:val="15"/>
    <w:autoRedefine/>
    <w:qFormat/>
    <w:locked/>
    <w:uiPriority w:val="99"/>
    <w:rPr>
      <w:sz w:val="18"/>
    </w:rPr>
  </w:style>
  <w:style w:type="character" w:customStyle="1" w:styleId="33">
    <w:name w:val="日期 Char"/>
    <w:link w:val="12"/>
    <w:autoRedefine/>
    <w:qFormat/>
    <w:locked/>
    <w:uiPriority w:val="0"/>
    <w:rPr>
      <w:rFonts w:ascii="Times New Roman" w:hAnsi="Times New Roman" w:eastAsia="宋体"/>
      <w:sz w:val="24"/>
    </w:rPr>
  </w:style>
  <w:style w:type="character" w:customStyle="1" w:styleId="34">
    <w:name w:val="页脚 字符"/>
    <w:basedOn w:val="26"/>
    <w:autoRedefine/>
    <w:qFormat/>
    <w:uiPriority w:val="99"/>
  </w:style>
  <w:style w:type="character" w:customStyle="1" w:styleId="35">
    <w:name w:val="普通(网站) Char"/>
    <w:link w:val="20"/>
    <w:autoRedefine/>
    <w:qFormat/>
    <w:locked/>
    <w:uiPriority w:val="0"/>
    <w:rPr>
      <w:rFonts w:ascii="宋体" w:hAnsi="宋体" w:eastAsia="宋体"/>
      <w:sz w:val="24"/>
    </w:rPr>
  </w:style>
  <w:style w:type="character" w:customStyle="1" w:styleId="36">
    <w:name w:val="正文文本 字符1"/>
    <w:autoRedefine/>
    <w:semiHidden/>
    <w:qFormat/>
    <w:uiPriority w:val="0"/>
    <w:rPr>
      <w:rFonts w:ascii="Times New Roman" w:hAnsi="Times New Roman" w:eastAsia="宋体"/>
      <w:sz w:val="24"/>
    </w:rPr>
  </w:style>
  <w:style w:type="character" w:customStyle="1" w:styleId="37">
    <w:name w:val="正文文本 Char"/>
    <w:link w:val="7"/>
    <w:autoRedefine/>
    <w:qFormat/>
    <w:locked/>
    <w:uiPriority w:val="0"/>
    <w:rPr>
      <w:sz w:val="18"/>
    </w:rPr>
  </w:style>
  <w:style w:type="character" w:customStyle="1" w:styleId="38">
    <w:name w:val="批注文字 Char"/>
    <w:link w:val="6"/>
    <w:autoRedefine/>
    <w:qFormat/>
    <w:locked/>
    <w:uiPriority w:val="0"/>
    <w:rPr>
      <w:rFonts w:ascii="Times New Roman" w:hAnsi="Times New Roman" w:eastAsia="宋体"/>
      <w:sz w:val="24"/>
    </w:rPr>
  </w:style>
  <w:style w:type="character" w:customStyle="1" w:styleId="39">
    <w:name w:val="表格 Char"/>
    <w:link w:val="40"/>
    <w:autoRedefine/>
    <w:qFormat/>
    <w:locked/>
    <w:uiPriority w:val="0"/>
    <w:rPr>
      <w:rFonts w:ascii="宋体"/>
      <w:sz w:val="21"/>
    </w:rPr>
  </w:style>
  <w:style w:type="paragraph" w:customStyle="1" w:styleId="40">
    <w:name w:val="表格"/>
    <w:basedOn w:val="5"/>
    <w:next w:val="1"/>
    <w:link w:val="39"/>
    <w:autoRedefine/>
    <w:qFormat/>
    <w:uiPriority w:val="0"/>
    <w:pPr>
      <w:adjustRightInd w:val="0"/>
      <w:snapToGrid w:val="0"/>
      <w:spacing w:beforeLines="10" w:afterLines="10" w:line="259" w:lineRule="auto"/>
      <w:jc w:val="center"/>
    </w:pPr>
    <w:rPr>
      <w:rFonts w:ascii="宋体"/>
      <w:kern w:val="0"/>
      <w:szCs w:val="20"/>
    </w:rPr>
  </w:style>
  <w:style w:type="character" w:customStyle="1" w:styleId="41">
    <w:name w:val="日期 字符"/>
    <w:autoRedefine/>
    <w:semiHidden/>
    <w:qFormat/>
    <w:uiPriority w:val="0"/>
    <w:rPr>
      <w:rFonts w:ascii="Times New Roman" w:hAnsi="Times New Roman" w:eastAsia="宋体"/>
      <w:sz w:val="24"/>
    </w:rPr>
  </w:style>
  <w:style w:type="character" w:customStyle="1" w:styleId="42">
    <w:name w:val="批注框文本 Char"/>
    <w:link w:val="14"/>
    <w:autoRedefine/>
    <w:semiHidden/>
    <w:qFormat/>
    <w:locked/>
    <w:uiPriority w:val="0"/>
    <w:rPr>
      <w:rFonts w:ascii="Times New Roman" w:hAnsi="Times New Roman" w:eastAsia="宋体"/>
      <w:sz w:val="18"/>
    </w:rPr>
  </w:style>
  <w:style w:type="character" w:customStyle="1" w:styleId="43">
    <w:name w:val="批注主题 Char"/>
    <w:link w:val="21"/>
    <w:autoRedefine/>
    <w:semiHidden/>
    <w:qFormat/>
    <w:locked/>
    <w:uiPriority w:val="0"/>
    <w:rPr>
      <w:rFonts w:ascii="Times New Roman" w:hAnsi="Times New Roman" w:eastAsia="宋体"/>
      <w:b/>
      <w:kern w:val="2"/>
      <w:sz w:val="24"/>
    </w:rPr>
  </w:style>
  <w:style w:type="character" w:customStyle="1" w:styleId="44">
    <w:name w:val="页眉 Char"/>
    <w:link w:val="16"/>
    <w:autoRedefine/>
    <w:qFormat/>
    <w:locked/>
    <w:uiPriority w:val="0"/>
    <w:rPr>
      <w:sz w:val="18"/>
    </w:rPr>
  </w:style>
  <w:style w:type="character" w:customStyle="1" w:styleId="45">
    <w:name w:val="批注文字 字符1"/>
    <w:autoRedefine/>
    <w:semiHidden/>
    <w:qFormat/>
    <w:uiPriority w:val="0"/>
    <w:rPr>
      <w:rFonts w:ascii="Times New Roman" w:hAnsi="Times New Roman" w:eastAsia="宋体"/>
      <w:sz w:val="24"/>
    </w:rPr>
  </w:style>
  <w:style w:type="character" w:customStyle="1" w:styleId="46">
    <w:name w:val="正文文本缩进 Char"/>
    <w:link w:val="9"/>
    <w:autoRedefine/>
    <w:semiHidden/>
    <w:qFormat/>
    <w:locked/>
    <w:uiPriority w:val="0"/>
    <w:rPr>
      <w:rFonts w:ascii="Times New Roman" w:hAnsi="Times New Roman" w:eastAsia="宋体"/>
      <w:sz w:val="24"/>
    </w:rPr>
  </w:style>
  <w:style w:type="paragraph" w:customStyle="1" w:styleId="47">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8">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49">
    <w:name w:val="Table Paragraph"/>
    <w:basedOn w:val="1"/>
    <w:autoRedefine/>
    <w:qFormat/>
    <w:uiPriority w:val="1"/>
    <w:rPr>
      <w:rFonts w:ascii="宋体" w:hAnsi="宋体" w:eastAsia="宋体" w:cs="宋体"/>
      <w:lang w:val="zh-CN" w:eastAsia="zh-CN" w:bidi="zh-CN"/>
    </w:rPr>
  </w:style>
  <w:style w:type="paragraph" w:customStyle="1" w:styleId="50">
    <w:name w:val="表格内容"/>
    <w:basedOn w:val="1"/>
    <w:autoRedefine/>
    <w:qFormat/>
    <w:uiPriority w:val="0"/>
    <w:pPr>
      <w:tabs>
        <w:tab w:val="left" w:pos="2340"/>
      </w:tabs>
      <w:jc w:val="center"/>
    </w:pPr>
    <w:rPr>
      <w:rFonts w:ascii="Times New Roman" w:hAnsi="Times New Roman" w:eastAsia="宋体"/>
      <w:szCs w:val="21"/>
    </w:rPr>
  </w:style>
  <w:style w:type="paragraph" w:customStyle="1" w:styleId="51">
    <w:name w:val="【表中文字】"/>
    <w:basedOn w:val="1"/>
    <w:next w:val="52"/>
    <w:autoRedefine/>
    <w:qFormat/>
    <w:uiPriority w:val="0"/>
    <w:pPr>
      <w:spacing w:line="240" w:lineRule="auto"/>
      <w:jc w:val="center"/>
    </w:pPr>
    <w:rPr>
      <w:sz w:val="21"/>
      <w:szCs w:val="20"/>
    </w:rPr>
  </w:style>
  <w:style w:type="paragraph" w:customStyle="1" w:styleId="52">
    <w:name w:val="正文缩进1"/>
    <w:basedOn w:val="1"/>
    <w:next w:val="1"/>
    <w:autoRedefine/>
    <w:qFormat/>
    <w:uiPriority w:val="0"/>
    <w:pPr>
      <w:spacing w:line="240" w:lineRule="auto"/>
      <w:ind w:firstLine="420"/>
    </w:pPr>
    <w:rPr>
      <w:rFonts w:ascii="宋体"/>
      <w:sz w:val="28"/>
    </w:rPr>
  </w:style>
  <w:style w:type="paragraph" w:customStyle="1" w:styleId="53">
    <w:name w:val="样式 样式 首行缩进:  1 字符 + 首行缩进:  2 字符 行距: 固定值 22 磅"/>
    <w:basedOn w:val="1"/>
    <w:autoRedefine/>
    <w:qFormat/>
    <w:uiPriority w:val="0"/>
    <w:pPr>
      <w:spacing w:line="360" w:lineRule="auto"/>
      <w:ind w:firstLine="200" w:firstLineChars="200"/>
    </w:pPr>
    <w:rPr>
      <w:rFonts w:cs="宋体"/>
      <w:sz w:val="24"/>
    </w:rPr>
  </w:style>
  <w:style w:type="character" w:customStyle="1" w:styleId="54">
    <w:name w:val="fontstyle01"/>
    <w:autoRedefine/>
    <w:qFormat/>
    <w:uiPriority w:val="0"/>
    <w:rPr>
      <w:rFonts w:ascii="宋体" w:hAnsi="宋体" w:eastAsia="宋体" w:cs="宋体"/>
      <w:color w:val="000000"/>
      <w:sz w:val="24"/>
      <w:szCs w:val="24"/>
    </w:rPr>
  </w:style>
  <w:style w:type="paragraph" w:customStyle="1" w:styleId="55">
    <w:name w:val="表格文字"/>
    <w:basedOn w:val="1"/>
    <w:next w:val="1"/>
    <w:autoRedefine/>
    <w:qFormat/>
    <w:uiPriority w:val="0"/>
    <w:pPr>
      <w:autoSpaceDE w:val="0"/>
      <w:autoSpaceDN w:val="0"/>
      <w:adjustRightInd w:val="0"/>
      <w:spacing w:line="240" w:lineRule="auto"/>
      <w:jc w:val="center"/>
      <w:textAlignment w:val="bottom"/>
    </w:pPr>
    <w:rPr>
      <w:rFonts w:eastAsia="仿宋_GB2312"/>
      <w:kern w:val="0"/>
      <w:sz w:val="24"/>
      <w:szCs w:val="24"/>
    </w:rPr>
  </w:style>
  <w:style w:type="paragraph" w:customStyle="1" w:styleId="56">
    <w:name w:val="0正文"/>
    <w:basedOn w:val="1"/>
    <w:autoRedefine/>
    <w:qFormat/>
    <w:uiPriority w:val="0"/>
    <w:pPr>
      <w:spacing w:line="360" w:lineRule="auto"/>
      <w:ind w:firstLine="200" w:firstLineChars="200"/>
    </w:pPr>
    <w:rPr>
      <w:kern w:val="0"/>
      <w:sz w:val="24"/>
    </w:rPr>
  </w:style>
  <w:style w:type="paragraph" w:customStyle="1" w:styleId="57">
    <w:name w:val="样式 正文缩进正文缩进2正文缩进 Char Char正文缩进 Char Char Char Char正文缩进 Char ..."/>
    <w:basedOn w:val="5"/>
    <w:autoRedefine/>
    <w:qFormat/>
    <w:uiPriority w:val="0"/>
    <w:pPr>
      <w:adjustRightInd w:val="0"/>
      <w:snapToGrid w:val="0"/>
      <w:spacing w:beforeLines="25" w:afterLines="25" w:line="360" w:lineRule="auto"/>
      <w:ind w:firstLine="640"/>
    </w:pPr>
    <w:rPr>
      <w:rFonts w:cs="宋体"/>
      <w:color w:val="7030A0"/>
      <w:kern w:val="2"/>
      <w:szCs w:val="28"/>
      <w:u w:val="words"/>
      <w:lang w:val="en-US" w:eastAsia="zh-CN"/>
    </w:rPr>
  </w:style>
  <w:style w:type="paragraph" w:customStyle="1" w:styleId="58">
    <w:name w:val="表格mm"/>
    <w:basedOn w:val="1"/>
    <w:autoRedefine/>
    <w:qFormat/>
    <w:uiPriority w:val="0"/>
    <w:pPr>
      <w:spacing w:line="0" w:lineRule="atLeast"/>
      <w:jc w:val="center"/>
    </w:pPr>
    <w:rPr>
      <w:rFonts w:ascii="Calibri" w:hAnsi="Calibri" w:cs="微软雅黑"/>
      <w:color w:val="000000"/>
      <w:szCs w:val="28"/>
      <w:u w:val="words"/>
    </w:rPr>
  </w:style>
  <w:style w:type="table" w:customStyle="1" w:styleId="59">
    <w:name w:val="Table Normal"/>
    <w:autoRedefine/>
    <w:semiHidden/>
    <w:unhideWhenUsed/>
    <w:qFormat/>
    <w:uiPriority w:val="0"/>
    <w:tblPr>
      <w:tblCellMar>
        <w:top w:w="0" w:type="dxa"/>
        <w:left w:w="0" w:type="dxa"/>
        <w:bottom w:w="0" w:type="dxa"/>
        <w:right w:w="0" w:type="dxa"/>
      </w:tblCellMar>
    </w:tblPr>
  </w:style>
  <w:style w:type="paragraph" w:customStyle="1" w:styleId="60">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customStyle="1" w:styleId="61">
    <w:name w:val="流程图文字"/>
    <w:basedOn w:val="1"/>
    <w:autoRedefine/>
    <w:qFormat/>
    <w:uiPriority w:val="0"/>
    <w:pPr>
      <w:spacing w:before="100" w:beforeAutospacing="1" w:after="40"/>
      <w:jc w:val="center"/>
    </w:pPr>
  </w:style>
  <w:style w:type="paragraph" w:customStyle="1" w:styleId="62">
    <w:name w:val="XQ报告表正文"/>
    <w:basedOn w:val="1"/>
    <w:autoRedefine/>
    <w:qFormat/>
    <w:uiPriority w:val="0"/>
    <w:pPr>
      <w:adjustRightInd w:val="0"/>
      <w:snapToGrid w:val="0"/>
      <w:ind w:firstLine="200" w:firstLineChars="200"/>
    </w:pPr>
    <w:rPr>
      <w:rFonts w:hAnsi="宋体"/>
      <w:bCs/>
      <w:kern w:val="0"/>
      <w:szCs w:val="22"/>
      <w:lang w:val="zh-CN"/>
    </w:rPr>
  </w:style>
  <w:style w:type="paragraph" w:customStyle="1" w:styleId="63">
    <w:name w:val="！表内容"/>
    <w:basedOn w:val="1"/>
    <w:autoRedefine/>
    <w:qFormat/>
    <w:uiPriority w:val="0"/>
    <w:pPr>
      <w:jc w:val="center"/>
    </w:pPr>
    <w:rPr>
      <w:rFonts w:eastAsia="黑体"/>
      <w:szCs w:val="22"/>
    </w:rPr>
  </w:style>
  <w:style w:type="paragraph" w:styleId="64">
    <w:name w:val="List Paragraph"/>
    <w:basedOn w:val="1"/>
    <w:autoRedefine/>
    <w:qFormat/>
    <w:uiPriority w:val="1"/>
    <w:pPr>
      <w:ind w:left="1317" w:hanging="601"/>
    </w:pPr>
    <w:rPr>
      <w:rFonts w:ascii="宋体" w:hAnsi="宋体" w:eastAsia="宋体" w:cs="宋体"/>
      <w:lang w:val="zh-CN" w:eastAsia="zh-CN" w:bidi="zh-CN"/>
    </w:rPr>
  </w:style>
  <w:style w:type="paragraph" w:customStyle="1" w:styleId="65">
    <w:name w:val="无悬挂正文5号"/>
    <w:basedOn w:val="1"/>
    <w:autoRedefine/>
    <w:qFormat/>
    <w:uiPriority w:val="0"/>
    <w:pPr>
      <w:widowControl/>
      <w:spacing w:line="360" w:lineRule="auto"/>
      <w:jc w:val="center"/>
    </w:pPr>
    <w:rPr>
      <w:color w:val="000000"/>
      <w:kern w:val="0"/>
      <w:sz w:val="20"/>
      <w:szCs w:val="20"/>
    </w:rPr>
  </w:style>
  <w:style w:type="character" w:customStyle="1" w:styleId="66">
    <w:name w:val="正文文本 (2) + 10.5 pt9"/>
    <w:autoRedefine/>
    <w:qFormat/>
    <w:uiPriority w:val="0"/>
    <w:rPr>
      <w:rFonts w:ascii="宋体" w:hAnsi="宋体" w:cs="宋体"/>
      <w:sz w:val="21"/>
      <w:szCs w:val="21"/>
      <w:u w:val="none"/>
      <w:lang w:bidi="ar-SA"/>
    </w:rPr>
  </w:style>
  <w:style w:type="paragraph" w:customStyle="1" w:styleId="67">
    <w:name w:val="表格文字我要的"/>
    <w:basedOn w:val="1"/>
    <w:autoRedefine/>
    <w:qFormat/>
    <w:uiPriority w:val="0"/>
    <w:pPr>
      <w:adjustRightInd/>
      <w:snapToGrid/>
      <w:spacing w:line="240" w:lineRule="auto"/>
      <w:ind w:firstLine="0" w:firstLineChars="0"/>
      <w:jc w:val="center"/>
    </w:pPr>
    <w:rPr>
      <w:kern w:val="0"/>
      <w:sz w:val="21"/>
      <w:szCs w:val="21"/>
    </w:rPr>
  </w:style>
  <w:style w:type="paragraph" w:customStyle="1" w:styleId="68">
    <w:name w:val="Table Text"/>
    <w:basedOn w:val="1"/>
    <w:semiHidden/>
    <w:qFormat/>
    <w:uiPriority w:val="0"/>
    <w:rPr>
      <w:rFonts w:ascii="宋体" w:hAnsi="宋体" w:eastAsia="宋体" w:cs="宋体"/>
      <w:sz w:val="20"/>
      <w:szCs w:val="20"/>
      <w:lang w:val="en-US" w:eastAsia="en-US" w:bidi="ar-SA"/>
    </w:rPr>
  </w:style>
  <w:style w:type="paragraph" w:customStyle="1" w:styleId="69">
    <w:name w:val=" Char Char1"/>
    <w:basedOn w:val="1"/>
    <w:qFormat/>
    <w:uiPriority w:val="0"/>
    <w:pPr>
      <w:ind w:firstLine="200" w:firstLineChars="200"/>
    </w:pPr>
    <w:rPr>
      <w:rFonts w:ascii="宋体" w:hAnsi="宋体"/>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5.pn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emf"/><Relationship Id="rId17" Type="http://schemas.openxmlformats.org/officeDocument/2006/relationships/oleObject" Target="embeddings/oleObject4.bin"/><Relationship Id="rId16" Type="http://schemas.openxmlformats.org/officeDocument/2006/relationships/image" Target="media/image6.emf"/><Relationship Id="rId15" Type="http://schemas.openxmlformats.org/officeDocument/2006/relationships/oleObject" Target="embeddings/oleObject3.bin"/><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oleObject" Target="embeddings/oleObject2.bin"/><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qiaomei\Library\Containers\com.kingsoft.wpsoffice.mac\Data\D:\Users\liqiaomei\Library\Containers\com.kingsoft.wpsoffice.mac\Data\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Info spid="_x0000_s1027"/>
  </customShpExts>
</s:customData>
</file>

<file path=customXml/item2.xml><?xml version="1.0" encoding="utf-8"?>
<contractReview xmlns="http://schemas.wps.cn/vas-ai-hub/contract-review">
  <reviewItems>
    <reviewItem>
      <errorID>7d4b044b-1bee-457c-93f0-56472d164eb8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2F996BA</paraID>
      <start>0</start>
      <end>2</end>
      <status>unmodified</status>
      <modifiedWord/>
      <trackRevisions>false</trackRevisions>
    </reviewItem>
    <reviewItem>
      <errorID>ffaeedcf-15c7-413a-a5c3-bb22443f8651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3092A3D1</paraID>
      <start>14</start>
      <end>17</end>
      <status>unmodified</status>
      <modifiedWord/>
      <trackRevisions>false</trackRevisions>
    </reviewItem>
    <reviewItem>
      <errorID>179ee0f8-7bd0-4990-a828-02f8f7604e69</errorID>
      <errorWord>试行</errorWord>
      <group>L1_Word</group>
      <groupName>字词问题</groupName>
      <ability>L2_Typo</ability>
      <abilityName>字词错误</abilityName>
      <candidateList>
        <item>实行</item>
      </candidateList>
      <explain>〈动〉用行动来实现（纲领、政策、计划等）：～改革｜～承包责任制。</explain>
      <paraID>68DB69EE</paraID>
      <start>8</start>
      <end>10</end>
      <status>modified</status>
      <modifiedWord>实行</modifiedWord>
      <trackRevisions>false</trackRevisions>
    </reviewItem>
    <reviewItem>
      <errorID>01fcb6ef-98a3-4617-8257-76e414312ca8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89916F4</paraID>
      <start>0</start>
      <end>2</end>
      <status>unmodified</status>
      <modifiedWord/>
      <trackRevisions>false</trackRevisions>
    </reviewItem>
    <reviewItem>
      <errorID>edc76805-5df7-4686-bc4b-35b611d74f78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1E922B6A</paraID>
      <start>0</start>
      <end>2</end>
      <status>unmodified</status>
      <modifiedWord/>
      <trackRevisions>false</trackRevisions>
    </reviewItem>
    <reviewItem>
      <errorID>154bc40e-06ec-4346-bd4c-ab12ed5b2bf7</errorID>
      <errorWord>生态红线保护区</errorWord>
      <group>L1_Political</group>
      <groupName>政治性问题</groupName>
      <ability>L2_Keyword</ability>
      <abilityName>固定表述</abilityName>
      <candidateList>
        <item>生态功能保护区</item>
      </candidateList>
      <explain>词汇“生态功能保护区”在特定场景下为固定表述形式，请确认此处的“生态红线保护区”是否存在不当。</explain>
      <paraID>29D8B124</paraID>
      <start>171</start>
      <end>178</end>
      <status>unmodified</status>
      <modifiedWord/>
      <trackRevisions>false</trackRevisions>
    </reviewItem>
    <reviewItem>
      <errorID>8102771b-5d2d-4cd6-a889-d17f57f87839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7FB67F5B</paraID>
      <start>0</start>
      <end>2</end>
      <status>unmodified</status>
      <modifiedWord/>
      <trackRevisions>false</trackRevisions>
    </reviewItem>
    <reviewItem>
      <errorID>effe3227-3bbb-462e-b545-c254a2179434</errorID>
      <errorWord>》、《</errorWord>
      <group>L1_Other</group>
      <groupName>其他问题</groupName>
      <ability>L2_UserTypo</ability>
      <abilityName>自定义错误</abilityName>
      <candidateList>
        <item>》《</item>
      </candidateList>
      <explain>来自自定义错词库。</explain>
      <paraID>1D39A069</paraID>
      <start>17</start>
      <end>19</end>
      <status>modified</status>
      <modifiedWord>》《</modifiedWord>
      <trackRevisions>false</trackRevisions>
    </reviewItem>
    <reviewItem>
      <errorID>35cf9f7a-3559-4da3-8e17-b91d8ddf839d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79342458</paraID>
      <start>0</start>
      <end>2</end>
      <status>unmodified</status>
      <modifiedWord/>
      <trackRevisions>false</trackRevisions>
    </reviewItem>
    <reviewItem>
      <errorID>855c431a-f827-4a0b-92a0-49579c75c3b3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72E0BB5E</paraID>
      <start>0</start>
      <end>2</end>
      <status>unmodified</status>
      <modifiedWord/>
      <trackRevisions>false</trackRevisions>
    </reviewItem>
    <reviewItem>
      <errorID>ec5da9fc-9b22-4e1f-a3e2-b685b9729024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5D89BAB1</paraID>
      <start>0</start>
      <end>2</end>
      <status>unmodified</status>
      <modifiedWord/>
      <trackRevisions>false</trackRevisions>
    </reviewItem>
    <reviewItem>
      <errorID>a1600e42-766a-4211-a173-2f7f3e035dd2</errorID>
      <errorWord>；</errorWord>
      <group>L1_Format</group>
      <groupName>格式问题</groupName>
      <ability>L2_HalfPunc</ability>
      <abilityName>全半角检查</abilityName>
      <candidateList>
        <item>;</item>
      </candidateList>
      <explain>文本全半角错误。</explain>
      <paraID>20B81F41</paraID>
      <start>6</start>
      <end>7</end>
      <status>modified</status>
      <modifiedWord>;</modifiedWord>
      <trackRevisions>false</trackRevisions>
    </reviewItem>
    <reviewItem>
      <errorID>966df6af-72fe-4ec8-97c9-13a04834cc1b</errorID>
      <errorWord>；</errorWord>
      <group>L1_Format</group>
      <groupName>格式问题</groupName>
      <ability>L2_HalfPunc</ability>
      <abilityName>全半角检查</abilityName>
      <candidateList>
        <item>;</item>
      </candidateList>
      <explain>文本全半角错误。</explain>
      <paraID>7726234B</paraID>
      <start>9</start>
      <end>10</end>
      <status>modified</status>
      <modifiedWord>;</modifiedWord>
      <trackRevisions>false</trackRevisions>
    </reviewItem>
    <reviewItem>
      <errorID>9aad4bf7-72cc-49c6-a8dc-d67639a8971f</errorID>
      <errorWord>；</errorWord>
      <group>L1_Format</group>
      <groupName>格式问题</groupName>
      <ability>L2_HalfPunc</ability>
      <abilityName>全半角检查</abilityName>
      <candidateList>
        <item>;</item>
      </candidateList>
      <explain>文本全半角错误。</explain>
      <paraID>7726234B</paraID>
      <start>15</start>
      <end>16</end>
      <status>modified</status>
      <modifiedWord>;</modifiedWord>
      <trackRevisions>false</trackRevisions>
    </reviewItem>
    <reviewItem>
      <errorID>2067ae83-6f83-456d-8cab-8ed0e511d64f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6745CB9</paraID>
      <start>0</start>
      <end>2</end>
      <status>unmodified</status>
      <modifiedWord/>
      <trackRevisions>false</trackRevisions>
    </reviewItem>
    <reviewItem>
      <errorID>1ac75c57-d4bc-4d46-8ddd-9ae9add6d433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64EC370A</paraID>
      <start>0</start>
      <end>2</end>
      <status>unmodified</status>
      <modifiedWord/>
      <trackRevisions>false</trackRevisions>
    </reviewItem>
    <reviewItem>
      <errorID>0d91fe06-8697-4a83-9479-9c86a7d9ebec</errorID>
      <errorWord>、</errorWord>
      <group>L1_Punc</group>
      <groupName>标点问题</groupName>
      <ability>L2_Punc</ability>
      <abilityName>标点符号检查</abilityName>
      <candidateList>
        <item>.</item>
      </candidateList>
      <explain/>
      <paraID>4459FC4B</paraID>
      <start>1</start>
      <end>2</end>
      <status>unmodified</status>
      <modifiedWord/>
      <trackRevisions>false</trackRevisions>
    </reviewItem>
    <reviewItem>
      <errorID>6cb53d8e-de0b-42f9-9d90-7ed60fd7d91d</errorID>
      <errorWord>、</errorWord>
      <group>L1_Punc</group>
      <groupName>标点问题</groupName>
      <ability>L2_Punc</ability>
      <abilityName>标点符号检查</abilityName>
      <candidateList>
        <item>.</item>
      </candidateList>
      <explain/>
      <paraID>50A71EFA</paraID>
      <start>1</start>
      <end>2</end>
      <status>unmodified</status>
      <modifiedWord/>
      <trackRevisions>false</trackRevisions>
    </reviewItem>
    <reviewItem>
      <errorID>36b01983-2ce9-4ad0-b719-263591b11b74</errorID>
      <errorWord>、</errorWord>
      <group>L1_Punc</group>
      <groupName>标点问题</groupName>
      <ability>L2_Punc</ability>
      <abilityName>标点符号检查</abilityName>
      <candidateList>
        <item>.</item>
      </candidateList>
      <explain/>
      <paraID>289B0C02</paraID>
      <start>1</start>
      <end>2</end>
      <status>unmodified</status>
      <modifiedWord/>
      <trackRevisions>false</trackRevisions>
    </reviewItem>
    <reviewItem>
      <errorID>007a6694-c825-4a69-91e8-7bfcfb066cad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62D57EC9</paraID>
      <start>0</start>
      <end>2</end>
      <status>unmodified</status>
      <modifiedWord/>
      <trackRevisions>false</trackRevisions>
    </reviewItem>
    <reviewItem>
      <errorID>55a97d09-dffa-43d2-bfdf-fbb4431d7434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2AF70B91</paraID>
      <start>0</start>
      <end>2</end>
      <status>unmodified</status>
      <modifiedWord/>
      <trackRevisions>false</trackRevisions>
    </reviewItem>
    <reviewItem>
      <errorID>69322829-d007-4d28-acf0-04e6b0f6250c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6B06EDD</paraID>
      <start>0</start>
      <end>2</end>
      <status>unmodified</status>
      <modifiedWord/>
      <trackRevisions>false</trackRevisions>
    </reviewItem>
    <reviewItem>
      <errorID>14c303db-239a-44ad-8a5d-aa752869b568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677F3C05</paraID>
      <start>0</start>
      <end>2</end>
      <status>unmodified</status>
      <modifiedWord/>
      <trackRevisions>false</trackRevisions>
    </reviewItem>
    <reviewItem>
      <errorID>2b940567-8ac6-491a-9fb0-fd7eaadff4f8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213B2221</paraID>
      <start>0</start>
      <end>2</end>
      <status>unmodified</status>
      <modifiedWord/>
      <trackRevisions>false</trackRevisions>
    </reviewItem>
    <reviewItem>
      <errorID>9ac1322f-b41d-4784-9524-829cec27a265</errorID>
      <errorWord>ug/m3</errorWord>
      <group>L1_Word</group>
      <groupName>字词问题</groupName>
      <ability>L2_Typo</ability>
      <abilityName>字词错误</abilityName>
      <candidateList>
        <item>μg/m3</item>
      </candidateList>
      <explain/>
      <paraID>2A045935</paraID>
      <start>19</start>
      <end>24</end>
      <status>modified</status>
      <modifiedWord>μg/m3</modifiedWord>
      <trackRevisions>false</trackRevisions>
    </reviewItem>
    <reviewItem>
      <errorID>459a0a34-7606-44db-bf76-f7fc94332769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517B8436</paraID>
      <start>0</start>
      <end>2</end>
      <status>unmodified</status>
      <modifiedWord/>
      <trackRevisions>false</trackRevisions>
    </reviewItem>
    <reviewItem>
      <errorID>14c99eca-b895-41cf-a31c-b82ff7c107f5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3F3414D6</paraID>
      <start>0</start>
      <end>2</end>
      <status>unmodified</status>
      <modifiedWord/>
      <trackRevisions>false</trackRevisions>
    </reviewItem>
    <reviewItem>
      <errorID>e5526abd-596f-4c65-90a2-69d5dca947cd</errorID>
      <errorWord>（</errorWord>
      <group>L1_Punc</group>
      <groupName>标点问题</groupName>
      <ability>L2_Punc</ability>
      <abilityName>标点符号检查</abilityName>
      <candidateList/>
      <explain>同一形式括号套用。</explain>
      <paraID>296028A7</paraID>
      <start>35</start>
      <end>36</end>
      <status>unmodified</status>
      <modifiedWord/>
      <trackRevisions>false</trackRevisions>
    </reviewItem>
    <reviewItem>
      <errorID>d6180058-0c13-4b9c-afde-4c4ca138f033</errorID>
      <errorWord>）</errorWord>
      <group>L1_Punc</group>
      <groupName>标点问题</groupName>
      <ability>L2_Punc</ability>
      <abilityName>标点符号检查</abilityName>
      <candidateList/>
      <explain>同一形式括号套用。</explain>
      <paraID>296028A7</paraID>
      <start>37</start>
      <end>38</end>
      <status>unmodified</status>
      <modifiedWord/>
      <trackRevisions>false</trackRevisions>
    </reviewItem>
    <reviewItem>
      <errorID>5735a104-0a77-40e1-b58d-c5d08c039bf5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4A42B26B</paraID>
      <start>0</start>
      <end>2</end>
      <status>unmodified</status>
      <modifiedWord/>
      <trackRevisions>false</trackRevisions>
    </reviewItem>
    <reviewItem>
      <errorID>55df490d-b8f6-4808-bebc-11649c45f6a9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78E82702</paraID>
      <start>0</start>
      <end>2</end>
      <status>unmodified</status>
      <modifiedWord/>
      <trackRevisions>false</trackRevisions>
    </reviewItem>
    <reviewItem>
      <errorID>9841aea5-18b6-4bff-9e34-68a841c7d1fa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6873EA60</paraID>
      <start>151</start>
      <end>152</end>
      <status>unmodified</status>
      <modifiedWord/>
      <trackRevisions>false</trackRevisions>
    </reviewItem>
    <reviewItem>
      <errorID>430220fd-4d21-46ed-9a00-b403e464f30c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6873EA60</paraID>
      <start>250</start>
      <end>251</end>
      <status>unmodified</status>
      <modifiedWord/>
      <trackRevisions>false</trackRevisions>
    </reviewItem>
    <reviewItem>
      <errorID>e0b8f264-3dda-4ff7-80ef-e7725f1afa21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6873EA60</paraID>
      <start>267</start>
      <end>268</end>
      <status>unmodified</status>
      <modifiedWord/>
      <trackRevisions>false</trackRevisions>
    </reviewItem>
    <reviewItem>
      <errorID>b886a905-84f3-4af0-b312-256a77db59da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42A676D0</paraID>
      <start>0</start>
      <end>2</end>
      <status>unmodified</status>
      <modifiedWord/>
      <trackRevisions>false</trackRevisions>
    </reviewItem>
    <reviewItem>
      <errorID>768eba8c-50ed-4277-8db6-dcd89e3243d2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29BF4987</paraID>
      <start>0</start>
      <end>2</end>
      <status>unmodified</status>
      <modifiedWord/>
      <trackRevisions>false</trackRevisions>
    </reviewItem>
    <reviewItem>
      <errorID>239a3882-85d5-4f0b-a7ca-cc484aa86ad9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5C2599EA</paraID>
      <start>0</start>
      <end>2</end>
      <status>unmodified</status>
      <modifiedWord/>
      <trackRevisions>false</trackRevisions>
    </reviewItem>
    <reviewItem>
      <errorID>21f8ca35-7eb0-4720-ad18-861b783784ee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519C4984</paraID>
      <start>0</start>
      <end>2</end>
      <status>unmodified</status>
      <modifiedWord/>
      <trackRevisions>false</trackRevisions>
    </reviewItem>
    <reviewItem>
      <errorID>458fabe8-fd89-429d-801e-a4728d025c12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CD1F079</paraID>
      <start>0</start>
      <end>2</end>
      <status>unmodified</status>
      <modifiedWord/>
      <trackRevisions>false</trackRevisions>
    </reviewItem>
    <reviewItem>
      <errorID>d49d97ab-5e82-4f1d-8f71-7d1f2399e9ef</errorID>
      <errorWord>浓水浓水</errorWord>
      <group>L1_Word</group>
      <groupName>字词问题</groupName>
      <ability>L2_Typo</ability>
      <abilityName>字词错误</abilityName>
      <candidateList>
        <item>浓水</item>
      </candidateList>
      <explain/>
      <paraID>5D9F57EC</paraID>
      <start>141</start>
      <end>143</end>
      <status>modified</status>
      <modifiedWord>浓水</modifiedWord>
      <trackRevisions>false</trackRevisions>
    </reviewItem>
    <reviewItem>
      <errorID>6cf95a7e-977a-492d-b29b-a9dd8e067bac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5E2D7374</paraID>
      <start>0</start>
      <end>2</end>
      <status>unmodified</status>
      <modifiedWord/>
      <trackRevisions>false</trackRevisions>
    </reviewItem>
    <reviewItem>
      <errorID>8fd565c1-ad70-4424-9f88-84dcf440771b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74B9A6A7</paraID>
      <start>0</start>
      <end>2</end>
      <status>unmodified</status>
      <modifiedWord/>
      <trackRevisions>false</trackRevisions>
    </reviewItem>
    <reviewItem>
      <errorID>394f2441-df1b-47cb-89cb-3583ceda15ce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77F20CA8</paraID>
      <start>0</start>
      <end>2</end>
      <status>unmodified</status>
      <modifiedWord/>
      <trackRevisions>false</trackRevisions>
    </reviewItem>
    <reviewItem>
      <errorID>09c2d966-0ae4-44e9-94c9-5de5420c6e94</errorID>
      <errorWord>（</errorWord>
      <group>L1_Format</group>
      <groupName>格式问题</groupName>
      <ability>L2_HalfPunc</ability>
      <abilityName>全半角检查</abilityName>
      <candidateList>
        <item>(</item>
      </candidateList>
      <explain>文本全半角错误。</explain>
      <paraID> 934EADF</paraID>
      <start>3</start>
      <end>4</end>
      <status>unmodified</status>
      <modifiedWord/>
      <trackRevisions>false</trackRevisions>
    </reviewItem>
    <reviewItem>
      <errorID>d2549572-0b2b-4fac-b395-f408588d7992</errorID>
      <errorWord>）</errorWord>
      <group>L1_Format</group>
      <groupName>格式问题</groupName>
      <ability>L2_HalfPunc</ability>
      <abilityName>全半角检查</abilityName>
      <candidateList>
        <item>)</item>
      </candidateList>
      <explain>文本全半角错误。</explain>
      <paraID> 934EADF</paraID>
      <start>5</start>
      <end>6</end>
      <status>unmodified</status>
      <modifiedWord/>
      <trackRevisions>false</trackRevisions>
    </reviewItem>
    <reviewItem>
      <errorID>c25dc464-201e-4739-ad65-a44a974c4714</errorID>
      <errorWord>（</errorWord>
      <group>L1_Format</group>
      <groupName>格式问题</groupName>
      <ability>L2_HalfPunc</ability>
      <abilityName>全半角检查</abilityName>
      <candidateList>
        <item>(</item>
      </candidateList>
      <explain>文本全半角错误。</explain>
      <paraID>48D18447</paraID>
      <start>3</start>
      <end>4</end>
      <status>unmodified</status>
      <modifiedWord/>
      <trackRevisions>false</trackRevisions>
    </reviewItem>
    <reviewItem>
      <errorID>db6e773c-fefc-4f12-9605-ff72239386cf</errorID>
      <errorWord>）</errorWord>
      <group>L1_Format</group>
      <groupName>格式问题</groupName>
      <ability>L2_HalfPunc</ability>
      <abilityName>全半角检查</abilityName>
      <candidateList>
        <item>)</item>
      </candidateList>
      <explain>文本全半角错误。</explain>
      <paraID>48D18447</paraID>
      <start>5</start>
      <end>6</end>
      <status>unmodified</status>
      <modifiedWord/>
      <trackRevisions>false</trackRevisions>
    </reviewItem>
    <reviewItem>
      <errorID>54880cdc-55a4-4b89-abc0-1ccecbc0d0c6</errorID>
      <errorWord>（</errorWord>
      <group>L1_Format</group>
      <groupName>格式问题</groupName>
      <ability>L2_HalfPunc</ability>
      <abilityName>全半角检查</abilityName>
      <candidateList>
        <item>(</item>
      </candidateList>
      <explain>文本全半角错误。</explain>
      <paraID>390D4129</paraID>
      <start>2</start>
      <end>3</end>
      <status>unmodified</status>
      <modifiedWord/>
      <trackRevisions>false</trackRevisions>
    </reviewItem>
    <reviewItem>
      <errorID>72ede1c1-78ce-44e7-886f-c5044abf8c28</errorID>
      <errorWord>）</errorWord>
      <group>L1_Format</group>
      <groupName>格式问题</groupName>
      <ability>L2_HalfPunc</ability>
      <abilityName>全半角检查</abilityName>
      <candidateList>
        <item>)</item>
      </candidateList>
      <explain>文本全半角错误。</explain>
      <paraID>390D4129</paraID>
      <start>4</start>
      <end>5</end>
      <status>unmodified</status>
      <modifiedWord/>
      <trackRevisions>false</trackRevisions>
    </reviewItem>
    <reviewItem>
      <errorID>585dcb33-4e46-497c-b220-5d15e48d5a40</errorID>
      <errorWord>（</errorWord>
      <group>L1_Format</group>
      <groupName>格式问题</groupName>
      <ability>L2_HalfPunc</ability>
      <abilityName>全半角检查</abilityName>
      <candidateList>
        <item>(</item>
      </candidateList>
      <explain>文本全半角错误。</explain>
      <paraID>73780597</paraID>
      <start>2</start>
      <end>3</end>
      <status>unmodified</status>
      <modifiedWord/>
      <trackRevisions>false</trackRevisions>
    </reviewItem>
    <reviewItem>
      <errorID>e2a39232-4e01-443c-ba6b-676219858e7a</errorID>
      <errorWord>）</errorWord>
      <group>L1_Format</group>
      <groupName>格式问题</groupName>
      <ability>L2_HalfPunc</ability>
      <abilityName>全半角检查</abilityName>
      <candidateList>
        <item>)</item>
      </candidateList>
      <explain>文本全半角错误。</explain>
      <paraID>73780597</paraID>
      <start>4</start>
      <end>5</end>
      <status>unmodified</status>
      <modifiedWord/>
      <trackRevisions>false</trackRevisions>
    </reviewItem>
    <reviewItem>
      <errorID>e50eb527-86ed-4335-a495-92372e562522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31589A9C</paraID>
      <start>0</start>
      <end>2</end>
      <status>unmodified</status>
      <modifiedWord/>
      <trackRevisions>false</trackRevisions>
    </reviewItem>
    <reviewItem>
      <errorID>a44e28a2-5d3f-4cb8-9c92-3feba23ac334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518D77DE</paraID>
      <start>0</start>
      <end>2</end>
      <status>unmodified</status>
      <modifiedWord/>
      <trackRevisions>false</trackRevisions>
    </reviewItem>
    <reviewItem>
      <errorID>bc147317-ca62-4f2f-a0fa-c34bbeaefb1a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4AFA6977</paraID>
      <start>0</start>
      <end>2</end>
      <status>unmodified</status>
      <modifiedWord/>
      <trackRevisions>false</trackRevisions>
    </reviewItem>
    <reviewItem>
      <errorID>77a49b0f-853c-474a-8f15-7ff96a865e22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4D491FF9</paraID>
      <start>0</start>
      <end>2</end>
      <status>unmodified</status>
      <modifiedWord/>
      <trackRevisions>false</trackRevisions>
    </reviewItem>
    <reviewItem>
      <errorID>87661e5e-ae8f-4fb0-b79a-c3ef7f7458a0</errorID>
      <errorWord>、</errorWord>
      <group>L1_Punc</group>
      <groupName>标点问题</groupName>
      <ability>L2_Punc</ability>
      <abilityName>标点符号检查</abilityName>
      <candidateList>
        <item>.</item>
      </candidateList>
      <explain/>
      <paraID>49A931E2</paraID>
      <start>1</start>
      <end>2</end>
      <status>unmodified</status>
      <modifiedWord/>
      <trackRevisions>false</trackRevisions>
    </reviewItem>
    <reviewItem>
      <errorID>c172ade6-3b9f-45de-971e-0f27607cd81e</errorID>
      <errorWord>、</errorWord>
      <group>L1_Punc</group>
      <groupName>标点问题</groupName>
      <ability>L2_Punc</ability>
      <abilityName>标点符号检查</abilityName>
      <candidateList>
        <item>.</item>
      </candidateList>
      <explain/>
      <paraID>52E39A4D</paraID>
      <start>1</start>
      <end>2</end>
      <status>unmodified</status>
      <modifiedWord/>
      <trackRevisions>false</trackRevisions>
    </reviewItem>
    <reviewItem>
      <errorID>5df4e82a-69ee-4256-a89c-9cdfd28b0018</errorID>
      <errorWord>、</errorWord>
      <group>L1_Punc</group>
      <groupName>标点问题</groupName>
      <ability>L2_Punc</ability>
      <abilityName>标点符号检查</abilityName>
      <candidateList>
        <item>.</item>
      </candidateList>
      <explain/>
      <paraID>18F970C6</paraID>
      <start>1</start>
      <end>2</end>
      <status>unmodified</status>
      <modifiedWord/>
      <trackRevisions>false</trackRevisions>
    </reviewItem>
    <reviewItem>
      <errorID>3feab8a7-3eee-41fb-be30-7a2106f59a87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7A7C0F3A</paraID>
      <start>0</start>
      <end>2</end>
      <status>unmodified</status>
      <modifiedWord/>
      <trackRevisions>false</trackRevisions>
    </reviewItem>
    <reviewItem>
      <errorID>2ce55f53-b811-4bae-995e-ecd124a727b0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2116228F</paraID>
      <start>0</start>
      <end>2</end>
      <status>unmodified</status>
      <modifiedWord/>
      <trackRevisions>false</trackRevisions>
    </reviewItem>
    <reviewItem>
      <errorID>bb2d5504-c808-43eb-b9c2-54be16ecdfb0</errorID>
      <errorWord>:</errorWord>
      <group>L1_Format</group>
      <groupName>格式问题</groupName>
      <ability>L2_HalfPunc</ability>
      <abilityName>全半角检查</abilityName>
      <candidateList>
        <item>：</item>
      </candidateList>
      <explain>文本全半角错误。</explain>
      <paraID>4DB7E574</paraID>
      <start>98</start>
      <end>99</end>
      <status>unmodified</status>
      <modifiedWord/>
      <trackRevisions>false</trackRevisions>
    </reviewItem>
    <reviewItem>
      <errorID>29c1e3ce-a04c-448d-99ae-2f35505e497e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298811E1</paraID>
      <start>0</start>
      <end>2</end>
      <status>unmodified</status>
      <modifiedWord/>
      <trackRevisions>false</trackRevisions>
    </reviewItem>
    <reviewItem>
      <errorID>2d03fedf-1ecd-40fc-9f5b-71af7a42b4aa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75DE59B0</paraID>
      <start>129</start>
      <end>130</end>
      <status>unmodified</status>
      <modifiedWord/>
      <trackRevisions>false</trackRevisions>
    </reviewItem>
    <reviewItem>
      <errorID>6f557a07-9f34-403d-8a9d-c4b5c03d50d1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BDCE9A6</paraID>
      <start>0</start>
      <end>2</end>
      <status>unmodified</status>
      <modifiedWord/>
      <trackRevisions>false</trackRevisions>
    </reviewItem>
    <reviewItem>
      <errorID>47ffaeb5-4ec7-4f47-b381-9b9726169491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4CF72E02</paraID>
      <start>124</start>
      <end>125</end>
      <status>unmodified</status>
      <modifiedWord/>
      <trackRevisions>false</trackRevisions>
    </reviewItem>
    <reviewItem>
      <errorID>3d51c9ee-3a7b-43d2-b83b-7e2334c67c84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7182FF98</paraID>
      <start>192</start>
      <end>193</end>
      <status>unmodified</status>
      <modifiedWord/>
      <trackRevisions>false</trackRevisions>
    </reviewItem>
    <reviewItem>
      <errorID>d9bc421e-9cac-4aaa-8536-b69e7e57c31d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5C357354</paraID>
      <start>0</start>
      <end>2</end>
      <status>unmodified</status>
      <modifiedWord/>
      <trackRevisions>false</trackRevisions>
    </reviewItem>
    <reviewItem>
      <errorID>68e155f3-17c8-467a-be88-8fce0b6ed517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564A7EA6</paraID>
      <start>0</start>
      <end>2</end>
      <status>unmodified</status>
      <modifiedWord/>
      <trackRevisions>false</trackRevisions>
    </reviewItem>
    <reviewItem>
      <errorID>811b8cda-c1d2-465a-bcee-e2500e4a5e5b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57E4BC3E</paraID>
      <start>0</start>
      <end>2</end>
      <status>unmodified</status>
      <modifiedWord/>
      <trackRevisions>false</trackRevisions>
    </reviewItem>
    <reviewItem>
      <errorID>7f78d160-d8a9-4df5-ae20-626d6260d85e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5545C923</paraID>
      <start>0</start>
      <end>2</end>
      <status>unmodified</status>
      <modifiedWord/>
      <trackRevisions>false</trackRevisions>
    </reviewItem>
    <reviewItem>
      <errorID>598e7c31-c86d-4658-9c48-bb196e203e19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B098D0F</paraID>
      <start>0</start>
      <end>2</end>
      <status>unmodified</status>
      <modifiedWord/>
      <trackRevisions>false</trackRevisions>
    </reviewItem>
    <reviewItem>
      <errorID>bf8aba62-5e05-4cc1-ab10-db544f4cd593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4CA2D1A1</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898669-ef8d-447e-a556-b6fbcaf74d5d}">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55</Pages>
  <Words>1876</Words>
  <Characters>2014</Characters>
  <Lines>13</Lines>
  <Paragraphs>3</Paragraphs>
  <TotalTime>8</TotalTime>
  <ScaleCrop>false</ScaleCrop>
  <LinksUpToDate>false</LinksUpToDate>
  <CharactersWithSpaces>2055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2020-12-25T01:29:00Z</dcterms:created>
  <dc:creator>lhj</dc:creator>
  <cp:lastModifiedBy>宝鸡漪清源环保</cp:lastModifiedBy>
  <cp:lastPrinted>2026-07-21T00:19:00Z</cp:lastPrinted>
  <dcterms:modified xsi:type="dcterms:W3CDTF">2026-07-27T08:42:08Z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1FC9BA839635472FB0F8750E6EB923AA_13</vt:lpwstr>
  </property>
  <property fmtid="{D5CDD505-2E9C-101B-9397-08002B2CF9AE}" pid="4" name="KSOTemplateDocerSaveRecord">
    <vt:lpwstr>eyJoZGlkIjoiYTMxZmQ2NDUxYTIzYWRlY2M0ZjhiMmQxZTJiYTVkNTEiLCJ1c2VySWQiOiIyMTk0NzIxNjYifQ==</vt:lpwstr>
  </property>
</Properties>
</file>