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007980">
      <w:pPr>
        <w:rPr>
          <w:rFonts w:hint="default" w:ascii="Times New Roman" w:hAnsi="Times New Roman" w:eastAsia="仿宋_GB2312" w:cs="Times New Roman"/>
          <w:color w:val="auto"/>
          <w:sz w:val="36"/>
          <w:szCs w:val="36"/>
        </w:rPr>
      </w:pPr>
    </w:p>
    <w:p w14:paraId="45BADB0C">
      <w:pPr>
        <w:rPr>
          <w:rFonts w:hint="default" w:ascii="Times New Roman" w:hAnsi="Times New Roman" w:eastAsia="仿宋_GB2312" w:cs="Times New Roman"/>
          <w:color w:val="auto"/>
          <w:sz w:val="36"/>
          <w:szCs w:val="36"/>
        </w:rPr>
      </w:pPr>
    </w:p>
    <w:p w14:paraId="5946B1A7">
      <w:pPr>
        <w:rPr>
          <w:rFonts w:hint="default" w:ascii="Times New Roman" w:hAnsi="Times New Roman" w:eastAsia="仿宋_GB2312" w:cs="Times New Roman"/>
          <w:color w:val="auto"/>
          <w:sz w:val="36"/>
          <w:szCs w:val="36"/>
        </w:rPr>
      </w:pPr>
    </w:p>
    <w:p w14:paraId="0B9B659E">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14:paraId="259C5D96">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14:paraId="7992CF3A">
      <w:pPr>
        <w:adjustRightInd w:val="0"/>
        <w:snapToGrid w:val="0"/>
        <w:spacing w:line="288" w:lineRule="auto"/>
        <w:jc w:val="center"/>
        <w:outlineLvl w:val="0"/>
        <w:rPr>
          <w:rFonts w:hint="default" w:ascii="Times New Roman" w:hAnsi="Times New Roman" w:eastAsia="华文仿宋" w:cs="Times New Roman"/>
          <w:color w:val="auto"/>
          <w:kern w:val="44"/>
          <w:sz w:val="44"/>
          <w:szCs w:val="44"/>
        </w:rPr>
      </w:pPr>
    </w:p>
    <w:p w14:paraId="4F4A9AC6">
      <w:pPr>
        <w:jc w:val="center"/>
        <w:rPr>
          <w:rFonts w:hint="default" w:ascii="Times New Roman" w:hAnsi="Times New Roman" w:eastAsia="仿宋" w:cs="Times New Roman"/>
          <w:color w:val="auto"/>
          <w:sz w:val="52"/>
          <w:szCs w:val="52"/>
        </w:rPr>
      </w:pPr>
    </w:p>
    <w:p w14:paraId="28857A79">
      <w:pPr>
        <w:ind w:firstLine="1040"/>
        <w:rPr>
          <w:rFonts w:hint="default" w:ascii="Times New Roman" w:hAnsi="Times New Roman" w:eastAsia="仿宋" w:cs="Times New Roman"/>
          <w:color w:val="auto"/>
          <w:sz w:val="44"/>
          <w:szCs w:val="44"/>
        </w:rPr>
      </w:pPr>
    </w:p>
    <w:p w14:paraId="7742BF4F">
      <w:pPr>
        <w:ind w:firstLine="1040"/>
        <w:rPr>
          <w:rFonts w:hint="default" w:ascii="Times New Roman" w:hAnsi="Times New Roman" w:eastAsia="仿宋" w:cs="Times New Roman"/>
          <w:color w:val="auto"/>
          <w:sz w:val="44"/>
          <w:szCs w:val="44"/>
        </w:rPr>
      </w:pPr>
    </w:p>
    <w:p w14:paraId="038809DB">
      <w:pPr>
        <w:pStyle w:val="2"/>
        <w:rPr>
          <w:rFonts w:hint="default" w:ascii="Times New Roman" w:hAnsi="Times New Roman" w:eastAsia="仿宋" w:cs="Times New Roman"/>
          <w:color w:val="auto"/>
          <w:sz w:val="44"/>
          <w:szCs w:val="44"/>
        </w:rPr>
      </w:pPr>
    </w:p>
    <w:p w14:paraId="0C86DC3C">
      <w:pPr>
        <w:rPr>
          <w:rFonts w:hint="default" w:ascii="Times New Roman" w:hAnsi="Times New Roman" w:eastAsia="仿宋" w:cs="Times New Roman"/>
          <w:color w:val="auto"/>
          <w:sz w:val="44"/>
          <w:szCs w:val="44"/>
        </w:rPr>
      </w:pPr>
    </w:p>
    <w:p w14:paraId="69EF80E4">
      <w:pPr>
        <w:pStyle w:val="2"/>
        <w:rPr>
          <w:rFonts w:hint="default" w:ascii="Times New Roman" w:hAnsi="Times New Roman" w:eastAsia="仿宋" w:cs="Times New Roman"/>
          <w:color w:val="auto"/>
          <w:sz w:val="44"/>
          <w:szCs w:val="44"/>
        </w:rPr>
      </w:pPr>
    </w:p>
    <w:p w14:paraId="597DA734">
      <w:pPr>
        <w:rPr>
          <w:rFonts w:hint="default" w:ascii="Times New Roman" w:hAnsi="Times New Roman" w:eastAsia="仿宋" w:cs="Times New Roman"/>
          <w:color w:val="auto"/>
          <w:sz w:val="44"/>
          <w:szCs w:val="44"/>
        </w:rPr>
      </w:pPr>
    </w:p>
    <w:p w14:paraId="21416250">
      <w:pPr>
        <w:pStyle w:val="2"/>
        <w:rPr>
          <w:rFonts w:hint="default"/>
          <w:color w:val="auto"/>
        </w:rPr>
      </w:pPr>
    </w:p>
    <w:p w14:paraId="16F73A1A">
      <w:pPr>
        <w:ind w:firstLine="1040"/>
        <w:rPr>
          <w:rFonts w:hint="default" w:ascii="Times New Roman" w:hAnsi="Times New Roman" w:eastAsia="仿宋" w:cs="Times New Roman"/>
          <w:color w:val="auto"/>
          <w:sz w:val="44"/>
          <w:szCs w:val="44"/>
        </w:rPr>
      </w:pPr>
    </w:p>
    <w:p w14:paraId="25EE3CB0">
      <w:pPr>
        <w:ind w:firstLine="1040"/>
        <w:rPr>
          <w:rFonts w:hint="default" w:ascii="Times New Roman" w:hAnsi="Times New Roman" w:eastAsia="仿宋" w:cs="Times New Roman"/>
          <w:color w:val="auto"/>
          <w:sz w:val="44"/>
          <w:szCs w:val="44"/>
        </w:rPr>
      </w:pPr>
    </w:p>
    <w:p w14:paraId="5980DAAC">
      <w:pPr>
        <w:adjustRightInd w:val="0"/>
        <w:snapToGrid w:val="0"/>
        <w:spacing w:line="360" w:lineRule="auto"/>
        <w:ind w:firstLine="640" w:firstLineChars="200"/>
        <w:rPr>
          <w:rFonts w:hint="default" w:ascii="Times New Roman" w:hAnsi="Times New Roman" w:eastAsia="仿宋_GB2312" w:cs="Times New Roman"/>
          <w:color w:val="auto"/>
          <w:sz w:val="32"/>
          <w:szCs w:val="32"/>
          <w:u w:val="single"/>
          <w:lang w:val="en-US"/>
        </w:rPr>
      </w:pPr>
      <w:r>
        <w:rPr>
          <w:rFonts w:hint="default" w:ascii="Times New Roman" w:hAnsi="Times New Roman" w:eastAsia="仿宋_GB2312" w:cs="Times New Roman"/>
          <w:color w:val="auto"/>
          <w:sz w:val="32"/>
          <w:szCs w:val="32"/>
        </w:rPr>
        <w:t>项目名称：</w:t>
      </w:r>
      <w:r>
        <w:rPr>
          <w:rFonts w:hint="eastAsia" w:ascii="Times New Roman" w:hAnsi="Times New Roman" w:eastAsia="仿宋_GB2312" w:cs="Times New Roman"/>
          <w:color w:val="auto"/>
          <w:sz w:val="32"/>
          <w:szCs w:val="32"/>
          <w:u w:val="single"/>
          <w:lang w:val="en-US" w:eastAsia="zh-CN"/>
        </w:rPr>
        <w:t xml:space="preserve">         文达机械制造技改项目        </w:t>
      </w:r>
    </w:p>
    <w:p w14:paraId="68DFCFB6">
      <w:pPr>
        <w:adjustRightInd w:val="0"/>
        <w:snapToGrid w:val="0"/>
        <w:spacing w:line="360" w:lineRule="auto"/>
        <w:ind w:firstLine="640" w:firstLineChars="200"/>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rPr>
        <w:t>建设单位：</w:t>
      </w:r>
      <w:r>
        <w:rPr>
          <w:rFonts w:hint="default" w:ascii="Times New Roman" w:hAnsi="Times New Roman" w:eastAsia="仿宋_GB2312" w:cs="Times New Roman"/>
          <w:color w:val="auto"/>
          <w:sz w:val="32"/>
          <w:szCs w:val="32"/>
          <w:u w:val="single"/>
        </w:rPr>
        <w:t xml:space="preserve">     </w:t>
      </w:r>
      <w:r>
        <w:rPr>
          <w:rFonts w:hint="default" w:ascii="Times New Roman" w:hAnsi="Times New Roman" w:eastAsia="仿宋_GB2312" w:cs="Times New Roman"/>
          <w:color w:val="auto"/>
          <w:sz w:val="32"/>
          <w:szCs w:val="32"/>
          <w:u w:val="single"/>
          <w:lang w:val="en-US" w:eastAsia="zh-CN"/>
        </w:rPr>
        <w:t>宝鸡市文达机械制造有限公司</w:t>
      </w:r>
      <w:r>
        <w:rPr>
          <w:rFonts w:hint="default" w:ascii="Times New Roman" w:hAnsi="Times New Roman" w:eastAsia="仿宋_GB2312" w:cs="Times New Roman"/>
          <w:color w:val="auto"/>
          <w:sz w:val="32"/>
          <w:szCs w:val="32"/>
          <w:u w:val="single"/>
        </w:rPr>
        <w:t xml:space="preserve">      </w:t>
      </w:r>
    </w:p>
    <w:p w14:paraId="056C7CA7">
      <w:pPr>
        <w:adjustRightInd w:val="0"/>
        <w:snapToGrid w:val="0"/>
        <w:spacing w:line="360" w:lineRule="auto"/>
        <w:ind w:firstLine="640" w:firstLineChars="200"/>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color w:val="auto"/>
          <w:sz w:val="32"/>
          <w:szCs w:val="32"/>
        </w:rPr>
        <w:t>编制日期：</w:t>
      </w:r>
      <w:r>
        <w:rPr>
          <w:rFonts w:hint="default"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 xml:space="preserve"> 202</w:t>
      </w:r>
      <w:r>
        <w:rPr>
          <w:rFonts w:hint="eastAsia" w:eastAsia="仿宋_GB2312" w:cs="Times New Roman"/>
          <w:color w:val="auto"/>
          <w:sz w:val="32"/>
          <w:szCs w:val="32"/>
          <w:u w:val="single"/>
          <w:lang w:val="en-US" w:eastAsia="zh-CN"/>
        </w:rPr>
        <w:t>6</w:t>
      </w:r>
      <w:r>
        <w:rPr>
          <w:rFonts w:hint="default" w:ascii="Times New Roman" w:hAnsi="Times New Roman" w:eastAsia="仿宋_GB2312" w:cs="Times New Roman"/>
          <w:color w:val="auto"/>
          <w:sz w:val="32"/>
          <w:szCs w:val="32"/>
          <w:u w:val="single"/>
        </w:rPr>
        <w:t>年</w:t>
      </w:r>
      <w:r>
        <w:rPr>
          <w:rFonts w:hint="eastAsia" w:eastAsia="仿宋_GB2312" w:cs="Times New Roman"/>
          <w:color w:val="auto"/>
          <w:sz w:val="32"/>
          <w:szCs w:val="32"/>
          <w:u w:val="single"/>
          <w:lang w:val="en-US" w:eastAsia="zh-CN"/>
        </w:rPr>
        <w:t>6</w:t>
      </w:r>
      <w:r>
        <w:rPr>
          <w:rFonts w:hint="default" w:ascii="Times New Roman" w:hAnsi="Times New Roman" w:eastAsia="仿宋_GB2312" w:cs="Times New Roman"/>
          <w:color w:val="auto"/>
          <w:sz w:val="32"/>
          <w:szCs w:val="32"/>
          <w:u w:val="single"/>
        </w:rPr>
        <w:t xml:space="preserve">月             </w:t>
      </w:r>
    </w:p>
    <w:p w14:paraId="6ADF926E">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0" w:name="_Hlk57884087"/>
    </w:p>
    <w:p w14:paraId="5BD6ADF8">
      <w:pPr>
        <w:adjustRightInd w:val="0"/>
        <w:snapToGrid w:val="0"/>
        <w:spacing w:line="288" w:lineRule="auto"/>
        <w:ind w:firstLine="1040"/>
        <w:rPr>
          <w:rFonts w:hint="default" w:ascii="Times New Roman" w:hAnsi="Times New Roman" w:eastAsia="仿宋_GB2312" w:cs="Times New Roman"/>
          <w:color w:val="auto"/>
          <w:sz w:val="36"/>
          <w:szCs w:val="36"/>
        </w:rPr>
      </w:pPr>
    </w:p>
    <w:bookmarkEnd w:id="0"/>
    <w:p w14:paraId="6C919C9D">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7B7B8E8A">
      <w:pPr>
        <w:adjustRightInd w:val="0"/>
        <w:snapToGrid w:val="0"/>
        <w:spacing w:line="288" w:lineRule="auto"/>
        <w:ind w:firstLine="1040"/>
        <w:rPr>
          <w:rFonts w:hint="default" w:ascii="Times New Roman" w:hAnsi="Times New Roman" w:eastAsia="仿宋_GB2312"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4482D7D0">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06"/>
        <w:gridCol w:w="3013"/>
        <w:gridCol w:w="2212"/>
        <w:gridCol w:w="2639"/>
      </w:tblGrid>
      <w:tr w14:paraId="43B66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313FC46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7864" w:type="dxa"/>
            <w:gridSpan w:val="3"/>
            <w:noWrap w:val="0"/>
            <w:vAlign w:val="center"/>
          </w:tcPr>
          <w:p w14:paraId="1757E10F">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文达机械制造技改项目</w:t>
            </w:r>
          </w:p>
        </w:tc>
      </w:tr>
      <w:tr w14:paraId="2D458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3A77C8E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7864" w:type="dxa"/>
            <w:gridSpan w:val="3"/>
            <w:noWrap w:val="0"/>
            <w:vAlign w:val="center"/>
          </w:tcPr>
          <w:p w14:paraId="75E0A22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r>
      <w:tr w14:paraId="1D89C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6" w:type="dxa"/>
            <w:noWrap w:val="0"/>
            <w:tcMar>
              <w:top w:w="16" w:type="dxa"/>
              <w:left w:w="16" w:type="dxa"/>
              <w:right w:w="16" w:type="dxa"/>
            </w:tcMar>
            <w:vAlign w:val="center"/>
          </w:tcPr>
          <w:p w14:paraId="02C6DC2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建设单位联系人</w:t>
            </w:r>
          </w:p>
        </w:tc>
        <w:tc>
          <w:tcPr>
            <w:tcW w:w="3013" w:type="dxa"/>
            <w:noWrap w:val="0"/>
            <w:vAlign w:val="center"/>
          </w:tcPr>
          <w:p w14:paraId="02F6A7B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eastAsia="zh-CN"/>
              </w:rPr>
            </w:pPr>
          </w:p>
        </w:tc>
        <w:tc>
          <w:tcPr>
            <w:tcW w:w="2212" w:type="dxa"/>
            <w:noWrap w:val="0"/>
            <w:vAlign w:val="center"/>
          </w:tcPr>
          <w:p w14:paraId="1BB569D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联系方式</w:t>
            </w:r>
          </w:p>
        </w:tc>
        <w:tc>
          <w:tcPr>
            <w:tcW w:w="2639" w:type="dxa"/>
            <w:noWrap w:val="0"/>
            <w:vAlign w:val="center"/>
          </w:tcPr>
          <w:p w14:paraId="1F0BD1B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bookmarkStart w:id="6" w:name="_GoBack"/>
            <w:bookmarkEnd w:id="6"/>
          </w:p>
        </w:tc>
      </w:tr>
      <w:tr w14:paraId="3221D1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346DA53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7864" w:type="dxa"/>
            <w:gridSpan w:val="3"/>
            <w:noWrap w:val="0"/>
            <w:vAlign w:val="center"/>
          </w:tcPr>
          <w:p w14:paraId="4D15AFF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u w:val="single"/>
              </w:rPr>
              <w:t>陕西</w:t>
            </w:r>
            <w:r>
              <w:rPr>
                <w:rFonts w:hint="default" w:ascii="Times New Roman" w:hAnsi="Times New Roman" w:cs="Times New Roman"/>
                <w:color w:val="auto"/>
                <w:szCs w:val="21"/>
              </w:rPr>
              <w:t>省（自治区）</w:t>
            </w:r>
            <w:r>
              <w:rPr>
                <w:rFonts w:hint="default" w:ascii="Times New Roman" w:hAnsi="Times New Roman" w:cs="Times New Roman"/>
                <w:color w:val="auto"/>
                <w:szCs w:val="21"/>
                <w:u w:val="single"/>
              </w:rPr>
              <w:t>宝鸡</w:t>
            </w:r>
            <w:r>
              <w:rPr>
                <w:rFonts w:hint="default" w:ascii="Times New Roman" w:hAnsi="Times New Roman" w:cs="Times New Roman"/>
                <w:color w:val="auto"/>
                <w:szCs w:val="21"/>
              </w:rPr>
              <w:t>市</w:t>
            </w:r>
            <w:r>
              <w:rPr>
                <w:rFonts w:hint="default" w:ascii="Times New Roman" w:hAnsi="Times New Roman" w:cs="Times New Roman"/>
                <w:color w:val="auto"/>
                <w:szCs w:val="21"/>
                <w:u w:val="single"/>
                <w:lang w:eastAsia="zh-CN"/>
              </w:rPr>
              <w:t>陈仓</w:t>
            </w:r>
            <w:r>
              <w:rPr>
                <w:rFonts w:hint="default" w:ascii="Times New Roman" w:hAnsi="Times New Roman" w:cs="Times New Roman"/>
                <w:color w:val="auto"/>
                <w:szCs w:val="21"/>
              </w:rPr>
              <w:t>区</w:t>
            </w:r>
            <w:r>
              <w:rPr>
                <w:rFonts w:hint="eastAsia" w:ascii="Times New Roman" w:hAnsi="Times New Roman" w:cs="Times New Roman"/>
                <w:color w:val="auto"/>
                <w:szCs w:val="21"/>
                <w:u w:val="single"/>
                <w:lang w:val="en-US" w:eastAsia="zh-CN"/>
              </w:rPr>
              <w:t>科技工业园区</w:t>
            </w:r>
            <w:r>
              <w:rPr>
                <w:rFonts w:hint="eastAsia" w:cs="Times New Roman"/>
                <w:color w:val="auto"/>
                <w:szCs w:val="21"/>
                <w:u w:val="single"/>
                <w:lang w:val="en-US" w:eastAsia="zh-CN"/>
              </w:rPr>
              <w:t>科目三东考场院内</w:t>
            </w:r>
            <w:r>
              <w:rPr>
                <w:rFonts w:hint="default" w:ascii="Times New Roman" w:hAnsi="Times New Roman" w:cs="Times New Roman"/>
                <w:color w:val="auto"/>
                <w:szCs w:val="21"/>
                <w:u w:val="single"/>
              </w:rPr>
              <w:t xml:space="preserve"> </w:t>
            </w:r>
          </w:p>
        </w:tc>
      </w:tr>
      <w:tr w14:paraId="38E9F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446E927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7864" w:type="dxa"/>
            <w:gridSpan w:val="3"/>
            <w:noWrap w:val="0"/>
            <w:vAlign w:val="center"/>
          </w:tcPr>
          <w:p w14:paraId="487CFD72">
            <w:pPr>
              <w:keepNext w:val="0"/>
              <w:keepLines w:val="0"/>
              <w:pageBreakBefore w:val="0"/>
              <w:widowControl w:val="0"/>
              <w:kinsoku/>
              <w:wordWrap/>
              <w:overflowPunct/>
              <w:topLinePunct w:val="0"/>
              <w:bidi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u w:val="single"/>
              </w:rPr>
              <w:t>107</w:t>
            </w:r>
            <w:r>
              <w:rPr>
                <w:rFonts w:hint="default" w:ascii="Times New Roman" w:hAnsi="Times New Roman" w:cs="Times New Roman"/>
                <w:color w:val="auto"/>
                <w:szCs w:val="21"/>
              </w:rPr>
              <w:t>度</w:t>
            </w:r>
            <w:r>
              <w:rPr>
                <w:rFonts w:hint="eastAsia" w:ascii="Times New Roman" w:hAnsi="Times New Roman" w:cs="Times New Roman"/>
                <w:color w:val="auto"/>
                <w:szCs w:val="21"/>
                <w:u w:val="single"/>
                <w:lang w:val="en-US" w:eastAsia="zh-CN"/>
              </w:rPr>
              <w:t>25</w:t>
            </w:r>
            <w:r>
              <w:rPr>
                <w:rFonts w:hint="default" w:ascii="Times New Roman" w:hAnsi="Times New Roman" w:cs="Times New Roman"/>
                <w:color w:val="auto"/>
                <w:szCs w:val="21"/>
              </w:rPr>
              <w:t>分</w:t>
            </w:r>
            <w:r>
              <w:rPr>
                <w:rFonts w:hint="eastAsia" w:ascii="Times New Roman" w:hAnsi="Times New Roman" w:cs="Times New Roman"/>
                <w:color w:val="auto"/>
                <w:szCs w:val="21"/>
                <w:u w:val="single"/>
                <w:lang w:val="en-US" w:eastAsia="zh-CN"/>
              </w:rPr>
              <w:t>31.266</w:t>
            </w:r>
            <w:r>
              <w:rPr>
                <w:rFonts w:hint="default" w:ascii="Times New Roman" w:hAnsi="Times New Roman" w:cs="Times New Roman"/>
                <w:color w:val="auto"/>
                <w:szCs w:val="21"/>
              </w:rPr>
              <w:t>秒，</w:t>
            </w:r>
            <w:r>
              <w:rPr>
                <w:rFonts w:hint="default" w:ascii="Times New Roman" w:hAnsi="Times New Roman" w:cs="Times New Roman"/>
                <w:color w:val="auto"/>
                <w:szCs w:val="21"/>
                <w:u w:val="single"/>
              </w:rPr>
              <w:t>34</w:t>
            </w:r>
            <w:r>
              <w:rPr>
                <w:rFonts w:hint="default" w:ascii="Times New Roman" w:hAnsi="Times New Roman" w:cs="Times New Roman"/>
                <w:color w:val="auto"/>
                <w:szCs w:val="21"/>
              </w:rPr>
              <w:t>度</w:t>
            </w:r>
            <w:r>
              <w:rPr>
                <w:rFonts w:hint="default" w:ascii="Times New Roman" w:hAnsi="Times New Roman" w:cs="Times New Roman"/>
                <w:color w:val="auto"/>
                <w:szCs w:val="21"/>
                <w:u w:val="single"/>
              </w:rPr>
              <w:t>2</w:t>
            </w:r>
            <w:r>
              <w:rPr>
                <w:rFonts w:hint="default" w:ascii="Times New Roman" w:hAnsi="Times New Roman" w:cs="Times New Roman"/>
                <w:color w:val="auto"/>
                <w:szCs w:val="21"/>
                <w:u w:val="single"/>
                <w:lang w:val="en-US" w:eastAsia="zh-CN"/>
              </w:rPr>
              <w:t>1</w:t>
            </w:r>
            <w:r>
              <w:rPr>
                <w:rFonts w:hint="default" w:ascii="Times New Roman" w:hAnsi="Times New Roman" w:cs="Times New Roman"/>
                <w:color w:val="auto"/>
                <w:szCs w:val="21"/>
              </w:rPr>
              <w:t>分</w:t>
            </w:r>
            <w:r>
              <w:rPr>
                <w:rFonts w:hint="eastAsia" w:ascii="Times New Roman" w:hAnsi="Times New Roman" w:cs="Times New Roman"/>
                <w:color w:val="auto"/>
                <w:szCs w:val="21"/>
                <w:u w:val="single"/>
                <w:lang w:val="en-US" w:eastAsia="zh-CN"/>
              </w:rPr>
              <w:t>1.355</w:t>
            </w:r>
            <w:r>
              <w:rPr>
                <w:rFonts w:hint="default" w:ascii="Times New Roman" w:hAnsi="Times New Roman" w:cs="Times New Roman"/>
                <w:color w:val="auto"/>
                <w:szCs w:val="21"/>
              </w:rPr>
              <w:t>秒）</w:t>
            </w:r>
          </w:p>
        </w:tc>
      </w:tr>
      <w:tr w14:paraId="0AC25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06" w:type="dxa"/>
            <w:noWrap w:val="0"/>
            <w:tcMar>
              <w:top w:w="16" w:type="dxa"/>
              <w:left w:w="16" w:type="dxa"/>
              <w:right w:w="16" w:type="dxa"/>
            </w:tcMar>
            <w:vAlign w:val="center"/>
          </w:tcPr>
          <w:p w14:paraId="024CF86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国民经济</w:t>
            </w:r>
          </w:p>
          <w:p w14:paraId="53951933">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3013" w:type="dxa"/>
            <w:noWrap w:val="0"/>
            <w:vAlign w:val="center"/>
          </w:tcPr>
          <w:p w14:paraId="4C2FA70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C382</w:t>
            </w:r>
            <w:r>
              <w:rPr>
                <w:rFonts w:hint="eastAsia" w:cs="Times New Roman"/>
                <w:color w:val="auto"/>
                <w:szCs w:val="21"/>
                <w:lang w:val="en-US" w:eastAsia="zh-CN"/>
              </w:rPr>
              <w:t>9</w:t>
            </w:r>
            <w:r>
              <w:rPr>
                <w:rFonts w:hint="default" w:ascii="Times New Roman" w:hAnsi="Times New Roman" w:cs="Times New Roman"/>
                <w:color w:val="auto"/>
                <w:szCs w:val="21"/>
              </w:rPr>
              <w:t xml:space="preserve"> </w:t>
            </w:r>
            <w:r>
              <w:rPr>
                <w:rFonts w:hint="eastAsia" w:cs="Times New Roman"/>
                <w:color w:val="auto"/>
                <w:szCs w:val="21"/>
                <w:lang w:val="en-US" w:eastAsia="zh-CN"/>
              </w:rPr>
              <w:t>其他输配电及控制设备制造；C3360 金属表面处理及热处理加工</w:t>
            </w:r>
          </w:p>
        </w:tc>
        <w:tc>
          <w:tcPr>
            <w:tcW w:w="2212" w:type="dxa"/>
            <w:noWrap w:val="0"/>
            <w:vAlign w:val="center"/>
          </w:tcPr>
          <w:p w14:paraId="6A85D74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bookmarkStart w:id="1" w:name="_Hlk49843745"/>
            <w:r>
              <w:rPr>
                <w:rFonts w:hint="default" w:ascii="Times New Roman" w:hAnsi="Times New Roman" w:cs="Times New Roman"/>
                <w:color w:val="auto"/>
                <w:szCs w:val="21"/>
              </w:rPr>
              <w:t>建设项目</w:t>
            </w:r>
          </w:p>
          <w:p w14:paraId="11C2CAE7">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行业类别</w:t>
            </w:r>
            <w:bookmarkEnd w:id="1"/>
          </w:p>
        </w:tc>
        <w:tc>
          <w:tcPr>
            <w:tcW w:w="2639" w:type="dxa"/>
            <w:noWrap w:val="0"/>
            <w:vAlign w:val="center"/>
          </w:tcPr>
          <w:p w14:paraId="4B6ECBC4">
            <w:pPr>
              <w:keepNext w:val="0"/>
              <w:keepLines w:val="0"/>
              <w:pageBreakBefore w:val="0"/>
              <w:widowControl w:val="0"/>
              <w:numPr>
                <w:ilvl w:val="0"/>
                <w:numId w:val="2"/>
              </w:numPr>
              <w:kinsoku/>
              <w:wordWrap/>
              <w:overflowPunct/>
              <w:topLinePunct w:val="0"/>
              <w:bidi w:val="0"/>
              <w:adjustRightInd w:val="0"/>
              <w:snapToGrid w:val="0"/>
              <w:textAlignment w:val="auto"/>
              <w:rPr>
                <w:rFonts w:hint="eastAsia" w:cs="Times New Roman"/>
                <w:color w:val="auto"/>
                <w:szCs w:val="21"/>
                <w:lang w:eastAsia="zh-CN"/>
              </w:rPr>
            </w:pPr>
            <w:r>
              <w:rPr>
                <w:rFonts w:hint="default" w:ascii="Times New Roman" w:hAnsi="Times New Roman" w:cs="Times New Roman"/>
                <w:color w:val="auto"/>
                <w:szCs w:val="21"/>
              </w:rPr>
              <w:t>输配电及控制设备制造382</w:t>
            </w:r>
            <w:r>
              <w:rPr>
                <w:rFonts w:hint="eastAsia" w:cs="Times New Roman"/>
                <w:color w:val="auto"/>
                <w:szCs w:val="21"/>
                <w:lang w:eastAsia="zh-CN"/>
              </w:rPr>
              <w:t>；</w:t>
            </w:r>
          </w:p>
          <w:p w14:paraId="636FB948">
            <w:pPr>
              <w:keepNext w:val="0"/>
              <w:keepLines w:val="0"/>
              <w:pageBreakBefore w:val="0"/>
              <w:widowControl w:val="0"/>
              <w:numPr>
                <w:ilvl w:val="0"/>
                <w:numId w:val="0"/>
              </w:numPr>
              <w:kinsoku/>
              <w:wordWrap/>
              <w:overflowPunct/>
              <w:topLinePunct w:val="0"/>
              <w:bidi w:val="0"/>
              <w:adjustRightInd w:val="0"/>
              <w:snapToGrid w:val="0"/>
              <w:textAlignment w:val="auto"/>
              <w:rPr>
                <w:rFonts w:hint="default" w:cs="Times New Roman"/>
                <w:color w:val="auto"/>
                <w:szCs w:val="21"/>
                <w:lang w:val="en-US" w:eastAsia="zh-CN"/>
              </w:rPr>
            </w:pPr>
            <w:r>
              <w:rPr>
                <w:rFonts w:hint="eastAsia" w:cs="Times New Roman"/>
                <w:color w:val="auto"/>
                <w:szCs w:val="21"/>
                <w:lang w:val="en-US" w:eastAsia="zh-CN"/>
              </w:rPr>
              <w:t>67.金属表面处理及热处理加工</w:t>
            </w:r>
          </w:p>
        </w:tc>
      </w:tr>
      <w:tr w14:paraId="16F9B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06" w:type="dxa"/>
            <w:noWrap w:val="0"/>
            <w:tcMar>
              <w:top w:w="16" w:type="dxa"/>
              <w:left w:w="16" w:type="dxa"/>
              <w:right w:w="16" w:type="dxa"/>
            </w:tcMar>
            <w:vAlign w:val="center"/>
          </w:tcPr>
          <w:p w14:paraId="483004E7">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建设性质</w:t>
            </w:r>
          </w:p>
        </w:tc>
        <w:tc>
          <w:tcPr>
            <w:tcW w:w="3013" w:type="dxa"/>
            <w:noWrap w:val="0"/>
            <w:vAlign w:val="center"/>
          </w:tcPr>
          <w:p w14:paraId="5C038003">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新建（迁建）</w:t>
            </w:r>
          </w:p>
          <w:p w14:paraId="6BE76E7C">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改建</w:t>
            </w:r>
          </w:p>
          <w:p w14:paraId="77B58A26">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扩建</w:t>
            </w:r>
          </w:p>
          <w:p w14:paraId="4CE067FF">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技术改造</w:t>
            </w:r>
          </w:p>
        </w:tc>
        <w:tc>
          <w:tcPr>
            <w:tcW w:w="2212" w:type="dxa"/>
            <w:noWrap w:val="0"/>
            <w:vAlign w:val="center"/>
          </w:tcPr>
          <w:p w14:paraId="55B236F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14:paraId="12277A00">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2639" w:type="dxa"/>
            <w:noWrap w:val="0"/>
            <w:vAlign w:val="center"/>
          </w:tcPr>
          <w:p w14:paraId="78EFFE98">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 xml:space="preserve">首次申报项目             </w:t>
            </w:r>
          </w:p>
          <w:p w14:paraId="19C0DEE6">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不予批准后再次申报项目</w:t>
            </w:r>
          </w:p>
          <w:p w14:paraId="152C41DC">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 xml:space="preserve">超五年重新审核项目     </w:t>
            </w:r>
          </w:p>
          <w:p w14:paraId="2ABC07EC">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重大变动重新报批项目</w:t>
            </w:r>
          </w:p>
        </w:tc>
      </w:tr>
      <w:tr w14:paraId="55100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06" w:type="dxa"/>
            <w:noWrap w:val="0"/>
            <w:tcMar>
              <w:top w:w="16" w:type="dxa"/>
              <w:left w:w="16" w:type="dxa"/>
              <w:right w:w="16" w:type="dxa"/>
            </w:tcMar>
            <w:vAlign w:val="center"/>
          </w:tcPr>
          <w:p w14:paraId="5FB17D2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项目备案部门</w:t>
            </w:r>
          </w:p>
        </w:tc>
        <w:tc>
          <w:tcPr>
            <w:tcW w:w="3013" w:type="dxa"/>
            <w:noWrap w:val="0"/>
            <w:vAlign w:val="center"/>
          </w:tcPr>
          <w:p w14:paraId="5724752E">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宝鸡市陈仓区发展和改革局</w:t>
            </w:r>
          </w:p>
        </w:tc>
        <w:tc>
          <w:tcPr>
            <w:tcW w:w="2212" w:type="dxa"/>
            <w:noWrap w:val="0"/>
            <w:vAlign w:val="center"/>
          </w:tcPr>
          <w:p w14:paraId="5D637D2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项目审批（核准/备案）文号（选填）</w:t>
            </w:r>
          </w:p>
        </w:tc>
        <w:tc>
          <w:tcPr>
            <w:tcW w:w="2639" w:type="dxa"/>
            <w:noWrap w:val="0"/>
            <w:vAlign w:val="center"/>
          </w:tcPr>
          <w:p w14:paraId="208160E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2F84B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4976C22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总投资</w:t>
            </w:r>
          </w:p>
          <w:p w14:paraId="5F0BBCB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（万元）</w:t>
            </w:r>
          </w:p>
        </w:tc>
        <w:tc>
          <w:tcPr>
            <w:tcW w:w="3013" w:type="dxa"/>
            <w:noWrap w:val="0"/>
            <w:vAlign w:val="center"/>
          </w:tcPr>
          <w:p w14:paraId="34CD1FE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80</w:t>
            </w:r>
          </w:p>
        </w:tc>
        <w:tc>
          <w:tcPr>
            <w:tcW w:w="2212" w:type="dxa"/>
            <w:noWrap w:val="0"/>
            <w:tcMar>
              <w:top w:w="16" w:type="dxa"/>
              <w:left w:w="16" w:type="dxa"/>
              <w:right w:w="16" w:type="dxa"/>
            </w:tcMar>
            <w:vAlign w:val="center"/>
          </w:tcPr>
          <w:p w14:paraId="2596778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2639" w:type="dxa"/>
            <w:noWrap w:val="0"/>
            <w:vAlign w:val="center"/>
          </w:tcPr>
          <w:p w14:paraId="00BE1F8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49</w:t>
            </w:r>
          </w:p>
        </w:tc>
      </w:tr>
      <w:tr w14:paraId="1C44E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6" w:type="dxa"/>
            <w:noWrap w:val="0"/>
            <w:tcMar>
              <w:top w:w="16" w:type="dxa"/>
              <w:left w:w="16" w:type="dxa"/>
              <w:right w:w="16" w:type="dxa"/>
            </w:tcMar>
            <w:vAlign w:val="center"/>
          </w:tcPr>
          <w:p w14:paraId="6229E31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环保投资占比（%）</w:t>
            </w:r>
          </w:p>
        </w:tc>
        <w:tc>
          <w:tcPr>
            <w:tcW w:w="3013" w:type="dxa"/>
            <w:noWrap w:val="0"/>
            <w:vAlign w:val="center"/>
          </w:tcPr>
          <w:p w14:paraId="39DD7BE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61</w:t>
            </w:r>
          </w:p>
        </w:tc>
        <w:tc>
          <w:tcPr>
            <w:tcW w:w="2212" w:type="dxa"/>
            <w:noWrap w:val="0"/>
            <w:tcMar>
              <w:top w:w="16" w:type="dxa"/>
              <w:left w:w="16" w:type="dxa"/>
              <w:right w:w="16" w:type="dxa"/>
            </w:tcMar>
            <w:vAlign w:val="center"/>
          </w:tcPr>
          <w:p w14:paraId="3ED5B59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2639" w:type="dxa"/>
            <w:noWrap w:val="0"/>
            <w:vAlign w:val="center"/>
          </w:tcPr>
          <w:p w14:paraId="629AD46B">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个月</w:t>
            </w:r>
          </w:p>
        </w:tc>
      </w:tr>
      <w:tr w14:paraId="254BA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3274FDF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3013" w:type="dxa"/>
            <w:noWrap w:val="0"/>
            <w:vAlign w:val="center"/>
          </w:tcPr>
          <w:p w14:paraId="037869A8">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否</w:t>
            </w:r>
          </w:p>
          <w:p w14:paraId="1CFD8825">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是：</w:t>
            </w:r>
            <w:r>
              <w:rPr>
                <w:rFonts w:hint="eastAsia" w:ascii="Times New Roman" w:hAnsi="Times New Roman" w:cs="Times New Roman"/>
                <w:color w:val="auto"/>
                <w:szCs w:val="21"/>
                <w:u w:val="single"/>
                <w:lang w:val="en-US" w:eastAsia="zh-CN"/>
              </w:rPr>
              <w:t>根据</w:t>
            </w:r>
            <w:r>
              <w:rPr>
                <w:rFonts w:hint="eastAsia" w:cs="Times New Roman"/>
                <w:color w:val="auto"/>
                <w:szCs w:val="21"/>
                <w:u w:val="single"/>
                <w:lang w:val="en-US" w:eastAsia="zh-CN"/>
              </w:rPr>
              <w:t>现场勘查</w:t>
            </w:r>
            <w:r>
              <w:rPr>
                <w:rFonts w:hint="eastAsia" w:ascii="Times New Roman" w:hAnsi="Times New Roman" w:cs="Times New Roman"/>
                <w:color w:val="auto"/>
                <w:szCs w:val="21"/>
                <w:u w:val="single"/>
                <w:lang w:val="en-US" w:eastAsia="zh-CN"/>
              </w:rPr>
              <w:t>，企业已将部分设备安装完毕，</w:t>
            </w:r>
            <w:r>
              <w:rPr>
                <w:rFonts w:hint="eastAsia" w:cs="Times New Roman"/>
                <w:color w:val="auto"/>
                <w:szCs w:val="21"/>
                <w:u w:val="single"/>
                <w:lang w:val="en-US" w:eastAsia="zh-CN"/>
              </w:rPr>
              <w:t>涉及未批先建，宝鸡市生态环境局已对其进行行政处罚并缴纳罚款，具体见附件</w:t>
            </w:r>
            <w:r>
              <w:rPr>
                <w:rFonts w:hint="eastAsia" w:ascii="Times New Roman" w:hAnsi="Times New Roman" w:cs="Times New Roman"/>
                <w:color w:val="auto"/>
                <w:szCs w:val="21"/>
                <w:u w:val="single"/>
                <w:lang w:val="en-US" w:eastAsia="zh-CN"/>
              </w:rPr>
              <w:t>。</w:t>
            </w:r>
          </w:p>
        </w:tc>
        <w:tc>
          <w:tcPr>
            <w:tcW w:w="2212" w:type="dxa"/>
            <w:noWrap w:val="0"/>
            <w:tcMar>
              <w:top w:w="16" w:type="dxa"/>
              <w:left w:w="16" w:type="dxa"/>
              <w:right w:w="16" w:type="dxa"/>
            </w:tcMar>
            <w:vAlign w:val="center"/>
          </w:tcPr>
          <w:p w14:paraId="0AEADCB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用地（用海）</w:t>
            </w:r>
          </w:p>
          <w:p w14:paraId="165DB1A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面积（m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p>
        </w:tc>
        <w:tc>
          <w:tcPr>
            <w:tcW w:w="2639" w:type="dxa"/>
            <w:noWrap w:val="0"/>
            <w:vAlign w:val="center"/>
          </w:tcPr>
          <w:p w14:paraId="384CA3AD">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本项目不新增土地面积，占用现有项目面积约3000㎡</w:t>
            </w:r>
          </w:p>
        </w:tc>
      </w:tr>
      <w:tr w14:paraId="35C8DF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noWrap w:val="0"/>
            <w:vAlign w:val="center"/>
          </w:tcPr>
          <w:p w14:paraId="7BEF460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专项评价设置情况</w:t>
            </w:r>
          </w:p>
        </w:tc>
        <w:tc>
          <w:tcPr>
            <w:tcW w:w="7864" w:type="dxa"/>
            <w:gridSpan w:val="3"/>
            <w:noWrap w:val="0"/>
            <w:vAlign w:val="center"/>
          </w:tcPr>
          <w:p w14:paraId="4A42421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w:t>
            </w:r>
          </w:p>
        </w:tc>
      </w:tr>
      <w:tr w14:paraId="18505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noWrap w:val="0"/>
            <w:vAlign w:val="center"/>
          </w:tcPr>
          <w:p w14:paraId="73C8B5D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规划</w:t>
            </w:r>
          </w:p>
          <w:p w14:paraId="390BD14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情况</w:t>
            </w:r>
          </w:p>
        </w:tc>
        <w:tc>
          <w:tcPr>
            <w:tcW w:w="7864" w:type="dxa"/>
            <w:gridSpan w:val="3"/>
            <w:noWrap w:val="0"/>
            <w:vAlign w:val="center"/>
          </w:tcPr>
          <w:p w14:paraId="3F1DCF6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规划名称：</w:t>
            </w:r>
            <w:r>
              <w:rPr>
                <w:rFonts w:hint="default" w:ascii="Times New Roman" w:hAnsi="Times New Roman" w:eastAsia="宋体" w:cs="Times New Roman"/>
                <w:color w:val="auto"/>
                <w:sz w:val="24"/>
                <w:szCs w:val="24"/>
              </w:rPr>
              <w:t>《陕西陈仓经济技术开发区总体规划（2022</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2035年）》</w:t>
            </w:r>
          </w:p>
          <w:p w14:paraId="55591F07">
            <w:pPr>
              <w:autoSpaceDE w:val="0"/>
              <w:autoSpaceDN w:val="0"/>
              <w:adjustRightInd w:val="0"/>
              <w:snapToGrid w:val="0"/>
              <w:spacing w:line="360" w:lineRule="auto"/>
              <w:ind w:firstLine="482" w:firstLineChars="200"/>
              <w:jc w:val="both"/>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b/>
                <w:bCs/>
                <w:color w:val="auto"/>
                <w:sz w:val="24"/>
                <w:szCs w:val="24"/>
                <w:lang w:eastAsia="zh-CN"/>
              </w:rPr>
              <w:t>审批机关</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color w:val="auto"/>
                <w:sz w:val="24"/>
                <w:szCs w:val="24"/>
                <w:lang w:eastAsia="zh-CN"/>
              </w:rPr>
              <w:t>宝鸡市人民政府</w:t>
            </w:r>
          </w:p>
        </w:tc>
      </w:tr>
      <w:tr w14:paraId="2FE83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noWrap w:val="0"/>
            <w:vAlign w:val="center"/>
          </w:tcPr>
          <w:p w14:paraId="141170B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规划环境影响</w:t>
            </w:r>
          </w:p>
          <w:p w14:paraId="4E05483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评价情况</w:t>
            </w:r>
          </w:p>
        </w:tc>
        <w:tc>
          <w:tcPr>
            <w:tcW w:w="7864" w:type="dxa"/>
            <w:gridSpan w:val="3"/>
            <w:noWrap w:val="0"/>
            <w:vAlign w:val="center"/>
          </w:tcPr>
          <w:p w14:paraId="39AAB746">
            <w:pPr>
              <w:adjustRightInd w:val="0"/>
              <w:snapToGrid w:val="0"/>
              <w:spacing w:line="360" w:lineRule="auto"/>
              <w:ind w:firstLine="482" w:firstLineChars="200"/>
              <w:jc w:val="both"/>
              <w:rPr>
                <w:rFonts w:hint="default" w:ascii="Times New Roman" w:hAnsi="Times New Roman" w:cs="Times New Roman"/>
                <w:color w:val="auto"/>
                <w:sz w:val="24"/>
              </w:rPr>
            </w:pPr>
            <w:r>
              <w:rPr>
                <w:rFonts w:hint="default" w:ascii="Times New Roman" w:hAnsi="Times New Roman" w:cs="Times New Roman"/>
                <w:b/>
                <w:bCs/>
                <w:color w:val="auto"/>
                <w:sz w:val="24"/>
              </w:rPr>
              <w:t>1.文件名称：</w:t>
            </w:r>
            <w:r>
              <w:rPr>
                <w:rFonts w:hint="default" w:ascii="Times New Roman" w:hAnsi="Times New Roman" w:cs="Times New Roman"/>
                <w:color w:val="auto"/>
                <w:sz w:val="24"/>
              </w:rPr>
              <w:t>《陕西陈仓经济技术开发区总体规划（2022</w:t>
            </w:r>
            <w:r>
              <w:rPr>
                <w:rFonts w:hint="eastAsia" w:cs="Times New Roman"/>
                <w:color w:val="auto"/>
                <w:sz w:val="24"/>
                <w:lang w:eastAsia="zh-CN"/>
              </w:rPr>
              <w:t>—</w:t>
            </w:r>
            <w:r>
              <w:rPr>
                <w:rFonts w:hint="default" w:ascii="Times New Roman" w:hAnsi="Times New Roman" w:cs="Times New Roman"/>
                <w:color w:val="auto"/>
                <w:sz w:val="24"/>
              </w:rPr>
              <w:t>2035年）环境影响报告书》</w:t>
            </w:r>
          </w:p>
          <w:p w14:paraId="71DB4A40">
            <w:pPr>
              <w:adjustRightInd w:val="0"/>
              <w:snapToGrid w:val="0"/>
              <w:spacing w:line="360" w:lineRule="auto"/>
              <w:ind w:firstLine="482" w:firstLineChars="200"/>
              <w:jc w:val="both"/>
              <w:rPr>
                <w:rFonts w:hint="default" w:ascii="Times New Roman" w:hAnsi="Times New Roman" w:cs="Times New Roman"/>
                <w:color w:val="auto"/>
                <w:sz w:val="24"/>
              </w:rPr>
            </w:pPr>
            <w:r>
              <w:rPr>
                <w:rFonts w:hint="default" w:ascii="Times New Roman" w:hAnsi="Times New Roman" w:cs="Times New Roman"/>
                <w:b/>
                <w:bCs/>
                <w:color w:val="auto"/>
                <w:sz w:val="24"/>
              </w:rPr>
              <w:t>2.审查机关：</w:t>
            </w:r>
            <w:r>
              <w:rPr>
                <w:rFonts w:hint="default" w:ascii="Times New Roman" w:hAnsi="Times New Roman" w:cs="Times New Roman"/>
                <w:color w:val="auto"/>
                <w:sz w:val="24"/>
              </w:rPr>
              <w:t>陕西省生态环境厅</w:t>
            </w:r>
          </w:p>
          <w:p w14:paraId="1EA33025">
            <w:pPr>
              <w:autoSpaceDE w:val="0"/>
              <w:autoSpaceDN w:val="0"/>
              <w:adjustRightInd w:val="0"/>
              <w:snapToGrid w:val="0"/>
              <w:spacing w:line="360" w:lineRule="auto"/>
              <w:ind w:firstLine="482" w:firstLineChars="200"/>
              <w:jc w:val="both"/>
              <w:rPr>
                <w:rFonts w:hint="default" w:ascii="Times New Roman" w:hAnsi="Times New Roman" w:cs="Times New Roman"/>
                <w:color w:val="auto"/>
                <w:kern w:val="0"/>
                <w:szCs w:val="21"/>
              </w:rPr>
            </w:pPr>
            <w:r>
              <w:rPr>
                <w:rFonts w:hint="default" w:ascii="Times New Roman" w:hAnsi="Times New Roman" w:cs="Times New Roman"/>
                <w:b/>
                <w:bCs/>
                <w:color w:val="auto"/>
                <w:sz w:val="24"/>
              </w:rPr>
              <w:t>3.审查文件名称及文号：</w:t>
            </w:r>
            <w:r>
              <w:rPr>
                <w:rFonts w:hint="default" w:ascii="Times New Roman" w:hAnsi="Times New Roman" w:cs="Times New Roman"/>
                <w:color w:val="auto"/>
                <w:sz w:val="24"/>
              </w:rPr>
              <w:t>《关于陕西陈仓经济技术开发区总体规划（2022</w:t>
            </w:r>
            <w:r>
              <w:rPr>
                <w:rFonts w:hint="eastAsia" w:cs="Times New Roman"/>
                <w:color w:val="auto"/>
                <w:sz w:val="24"/>
                <w:lang w:eastAsia="zh-CN"/>
              </w:rPr>
              <w:t>—</w:t>
            </w:r>
            <w:r>
              <w:rPr>
                <w:rFonts w:hint="default" w:ascii="Times New Roman" w:hAnsi="Times New Roman" w:cs="Times New Roman"/>
                <w:color w:val="auto"/>
                <w:sz w:val="24"/>
              </w:rPr>
              <w:t>2035年）环境影响报告书审查意见的函》（陕环环评函〔2023〕22号）</w:t>
            </w:r>
          </w:p>
        </w:tc>
      </w:tr>
      <w:tr w14:paraId="7CAA88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noWrap w:val="0"/>
            <w:vAlign w:val="center"/>
          </w:tcPr>
          <w:p w14:paraId="4C897F0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规划及规划环境</w:t>
            </w:r>
          </w:p>
          <w:p w14:paraId="62A2506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影响评价符合性分析</w:t>
            </w:r>
          </w:p>
        </w:tc>
        <w:tc>
          <w:tcPr>
            <w:tcW w:w="7864" w:type="dxa"/>
            <w:gridSpan w:val="3"/>
            <w:noWrap w:val="0"/>
            <w:vAlign w:val="center"/>
          </w:tcPr>
          <w:p w14:paraId="3EFB39F2">
            <w:pPr>
              <w:spacing w:line="360" w:lineRule="auto"/>
              <w:ind w:firstLine="482" w:firstLineChars="200"/>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rPr>
              <w:t>1.</w:t>
            </w:r>
            <w:r>
              <w:rPr>
                <w:rFonts w:hint="default" w:ascii="Times New Roman" w:hAnsi="Times New Roman" w:eastAsia="宋体" w:cs="Times New Roman"/>
                <w:b/>
                <w:bCs w:val="0"/>
                <w:color w:val="auto"/>
                <w:sz w:val="24"/>
                <w:lang w:val="en-US" w:eastAsia="zh-CN"/>
              </w:rPr>
              <w:t>规划符合性分析</w:t>
            </w:r>
          </w:p>
          <w:p w14:paraId="06483230">
            <w:pPr>
              <w:adjustRightIn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项目位于陕西省宝鸡市陈仓区科技工业园区</w:t>
            </w:r>
            <w:r>
              <w:rPr>
                <w:rFonts w:hint="eastAsia" w:ascii="Times New Roman" w:hAnsi="Times New Roman" w:eastAsia="宋体" w:cs="Times New Roman"/>
                <w:color w:val="auto"/>
                <w:sz w:val="24"/>
                <w:szCs w:val="24"/>
                <w:lang w:val="en-US" w:eastAsia="zh-CN"/>
              </w:rPr>
              <w:t>科目三东考场院内</w:t>
            </w:r>
            <w:r>
              <w:rPr>
                <w:rFonts w:hint="default" w:ascii="Times New Roman" w:hAnsi="Times New Roman" w:eastAsia="宋体" w:cs="Times New Roman"/>
                <w:color w:val="auto"/>
                <w:sz w:val="24"/>
                <w:szCs w:val="24"/>
                <w:lang w:val="en-US" w:eastAsia="zh-CN"/>
              </w:rPr>
              <w:t>，属于《</w:t>
            </w:r>
            <w:r>
              <w:rPr>
                <w:rFonts w:hint="default" w:ascii="Times New Roman" w:hAnsi="Times New Roman" w:eastAsia="宋体" w:cs="Times New Roman"/>
                <w:color w:val="auto"/>
                <w:sz w:val="24"/>
                <w:szCs w:val="24"/>
              </w:rPr>
              <w:t>陕西陈仓经济技术开发区总体规划（2022</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2035年）</w:t>
            </w:r>
            <w:r>
              <w:rPr>
                <w:rFonts w:hint="default" w:ascii="Times New Roman" w:hAnsi="Times New Roman" w:eastAsia="宋体" w:cs="Times New Roman"/>
                <w:color w:val="auto"/>
                <w:sz w:val="24"/>
                <w:szCs w:val="24"/>
                <w:lang w:val="en-US" w:eastAsia="zh-CN"/>
              </w:rPr>
              <w:t>》规划范围内用地，项目与开发区</w:t>
            </w:r>
            <w:r>
              <w:rPr>
                <w:rFonts w:hint="eastAsia" w:cs="Times New Roman"/>
                <w:color w:val="auto"/>
                <w:sz w:val="24"/>
                <w:szCs w:val="24"/>
                <w:lang w:val="en-US" w:eastAsia="zh-CN"/>
              </w:rPr>
              <w:t>总体</w:t>
            </w:r>
            <w:r>
              <w:rPr>
                <w:rFonts w:hint="default" w:ascii="Times New Roman" w:hAnsi="Times New Roman" w:eastAsia="宋体" w:cs="Times New Roman"/>
                <w:color w:val="auto"/>
                <w:sz w:val="24"/>
                <w:szCs w:val="24"/>
                <w:lang w:val="en-US" w:eastAsia="zh-CN"/>
              </w:rPr>
              <w:t>规划的符合性分析见表1-1。</w:t>
            </w:r>
          </w:p>
          <w:p w14:paraId="629B42B2">
            <w:pPr>
              <w:bidi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eastAsia="宋体" w:cs="Times New Roman"/>
                <w:b/>
                <w:bCs/>
                <w:color w:val="auto"/>
                <w:sz w:val="21"/>
                <w:szCs w:val="21"/>
                <w:lang w:val="en-US" w:eastAsia="zh-CN"/>
              </w:rPr>
              <w:t xml:space="preserve">1  </w:t>
            </w:r>
            <w:r>
              <w:rPr>
                <w:rFonts w:hint="default" w:ascii="Times New Roman" w:hAnsi="Times New Roman" w:eastAsia="宋体" w:cs="Times New Roman"/>
                <w:b/>
                <w:bCs/>
                <w:color w:val="auto"/>
                <w:sz w:val="21"/>
                <w:szCs w:val="21"/>
                <w:lang w:val="en-US" w:eastAsia="zh-CN"/>
              </w:rPr>
              <w:t>项目与</w:t>
            </w:r>
            <w:r>
              <w:rPr>
                <w:rFonts w:hint="default" w:ascii="Times New Roman" w:hAnsi="Times New Roman" w:eastAsia="宋体" w:cs="Times New Roman"/>
                <w:b/>
                <w:bCs/>
                <w:color w:val="auto"/>
                <w:sz w:val="21"/>
                <w:szCs w:val="24"/>
                <w:lang w:eastAsia="zh-CN"/>
              </w:rPr>
              <w:t>《陕西陈仓经济技术开发区总体规划（2022</w:t>
            </w:r>
            <w:r>
              <w:rPr>
                <w:rFonts w:hint="eastAsia" w:cs="Times New Roman"/>
                <w:b/>
                <w:bCs/>
                <w:color w:val="auto"/>
                <w:sz w:val="21"/>
                <w:szCs w:val="24"/>
                <w:lang w:eastAsia="zh-CN"/>
              </w:rPr>
              <w:t>—</w:t>
            </w:r>
            <w:r>
              <w:rPr>
                <w:rFonts w:hint="default" w:ascii="Times New Roman" w:hAnsi="Times New Roman" w:eastAsia="宋体" w:cs="Times New Roman"/>
                <w:b/>
                <w:bCs/>
                <w:color w:val="auto"/>
                <w:sz w:val="21"/>
                <w:szCs w:val="24"/>
                <w:lang w:eastAsia="zh-CN"/>
              </w:rPr>
              <w:t>2035年）》</w:t>
            </w:r>
            <w:r>
              <w:rPr>
                <w:rFonts w:hint="default" w:ascii="Times New Roman" w:hAnsi="Times New Roman" w:eastAsia="宋体" w:cs="Times New Roman"/>
                <w:b/>
                <w:bCs/>
                <w:color w:val="auto"/>
                <w:sz w:val="21"/>
                <w:szCs w:val="21"/>
                <w:lang w:val="en-US" w:eastAsia="zh-CN"/>
              </w:rPr>
              <w:t>的符合性分析</w:t>
            </w:r>
          </w:p>
          <w:tbl>
            <w:tblPr>
              <w:tblStyle w:val="31"/>
              <w:tblW w:w="4994"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8"/>
              <w:gridCol w:w="4251"/>
              <w:gridCol w:w="1778"/>
              <w:gridCol w:w="912"/>
            </w:tblGrid>
            <w:tr w14:paraId="21EA0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tcBorders>
                    <w:tl2br w:val="nil"/>
                    <w:tr2bl w:val="nil"/>
                  </w:tcBorders>
                  <w:noWrap w:val="0"/>
                  <w:vAlign w:val="center"/>
                </w:tcPr>
                <w:p w14:paraId="1D43C9AE">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类别</w:t>
                  </w:r>
                </w:p>
              </w:tc>
              <w:tc>
                <w:tcPr>
                  <w:tcW w:w="2790" w:type="pct"/>
                  <w:tcBorders>
                    <w:tl2br w:val="nil"/>
                    <w:tr2bl w:val="nil"/>
                  </w:tcBorders>
                  <w:noWrap w:val="0"/>
                  <w:vAlign w:val="center"/>
                </w:tcPr>
                <w:p w14:paraId="48C14B2A">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sz w:val="21"/>
                      <w:szCs w:val="24"/>
                      <w:lang w:eastAsia="zh-CN"/>
                    </w:rPr>
                    <w:t>陕西陈仓经济技术开发区</w:t>
                  </w:r>
                </w:p>
              </w:tc>
              <w:tc>
                <w:tcPr>
                  <w:tcW w:w="1167" w:type="pct"/>
                  <w:tcBorders>
                    <w:tl2br w:val="nil"/>
                    <w:tr2bl w:val="nil"/>
                  </w:tcBorders>
                  <w:noWrap w:val="0"/>
                  <w:vAlign w:val="center"/>
                </w:tcPr>
                <w:p w14:paraId="48BE9EFE">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本项目</w:t>
                  </w:r>
                </w:p>
              </w:tc>
              <w:tc>
                <w:tcPr>
                  <w:tcW w:w="597" w:type="pct"/>
                  <w:tcBorders>
                    <w:tl2br w:val="nil"/>
                    <w:tr2bl w:val="nil"/>
                  </w:tcBorders>
                  <w:noWrap w:val="0"/>
                  <w:vAlign w:val="center"/>
                </w:tcPr>
                <w:p w14:paraId="3540A6F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p w14:paraId="5061DEE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w:t>
                  </w:r>
                </w:p>
              </w:tc>
            </w:tr>
            <w:tr w14:paraId="028B32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tcBorders>
                    <w:tl2br w:val="nil"/>
                    <w:tr2bl w:val="nil"/>
                  </w:tcBorders>
                  <w:noWrap w:val="0"/>
                  <w:vAlign w:val="center"/>
                </w:tcPr>
                <w:p w14:paraId="4CB62122">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kern w:val="0"/>
                      <w:sz w:val="21"/>
                      <w:szCs w:val="21"/>
                      <w:lang w:val="en-US" w:eastAsia="zh-CN" w:bidi="ar"/>
                    </w:rPr>
                    <w:t>规划范围</w:t>
                  </w:r>
                </w:p>
              </w:tc>
              <w:tc>
                <w:tcPr>
                  <w:tcW w:w="2790" w:type="pct"/>
                  <w:tcBorders>
                    <w:tl2br w:val="nil"/>
                    <w:tr2bl w:val="nil"/>
                  </w:tcBorders>
                  <w:noWrap w:val="0"/>
                  <w:vAlign w:val="center"/>
                </w:tcPr>
                <w:p w14:paraId="496841B9">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总面积为979.14公顷，由科技工业园、周原工业园和县功工业园组成。其中科技工业园坐落于东关街道，面积为602.90公顷。四至范围为</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西片区（381.03公顷）东至陆港大桥，南至宝鸡过境高速，西至思贤路，北至陇海铁路；东片区（221.87公顷）东至法士特大桥，南至河堤路，西至东枸村，北至宝鸡过境高速北侧约560米处。</w:t>
                  </w:r>
                </w:p>
              </w:tc>
              <w:tc>
                <w:tcPr>
                  <w:tcW w:w="1167" w:type="pct"/>
                  <w:tcBorders>
                    <w:tl2br w:val="nil"/>
                    <w:tr2bl w:val="nil"/>
                  </w:tcBorders>
                  <w:noWrap w:val="0"/>
                  <w:vAlign w:val="center"/>
                </w:tcPr>
                <w:p w14:paraId="47C3CAF3">
                  <w:pPr>
                    <w:jc w:val="center"/>
                    <w:rPr>
                      <w:rFonts w:hint="default" w:ascii="Times New Roman" w:hAnsi="Times New Roman" w:eastAsia="宋体" w:cs="Times New Roman"/>
                      <w:b/>
                      <w:bCs/>
                      <w:color w:val="auto"/>
                      <w:sz w:val="21"/>
                      <w:szCs w:val="21"/>
                      <w:lang w:val="en-US"/>
                    </w:rPr>
                  </w:pPr>
                  <w:r>
                    <w:rPr>
                      <w:rFonts w:hint="eastAsia" w:ascii="Times New Roman" w:hAnsi="Times New Roman" w:eastAsia="宋体"/>
                      <w:color w:val="auto"/>
                      <w:sz w:val="21"/>
                      <w:szCs w:val="21"/>
                      <w:lang w:val="en-US" w:eastAsia="zh-CN"/>
                    </w:rPr>
                    <w:t>本项目位于</w:t>
                  </w:r>
                  <w:r>
                    <w:rPr>
                      <w:rFonts w:hint="eastAsia" w:ascii="Times New Roman" w:hAnsi="Times New Roman" w:eastAsia="宋体"/>
                      <w:color w:val="auto"/>
                      <w:sz w:val="21"/>
                      <w:szCs w:val="21"/>
                      <w:lang w:eastAsia="zh-CN"/>
                    </w:rPr>
                    <w:t>宝鸡市陈仓区科技工业园，</w:t>
                  </w:r>
                  <w:r>
                    <w:rPr>
                      <w:rFonts w:hint="eastAsia" w:ascii="Times New Roman" w:hAnsi="Times New Roman" w:eastAsia="宋体"/>
                      <w:color w:val="auto"/>
                      <w:sz w:val="21"/>
                      <w:szCs w:val="21"/>
                      <w:lang w:val="en-US" w:eastAsia="zh-CN"/>
                    </w:rPr>
                    <w:t>属于西片区，</w:t>
                  </w:r>
                  <w:r>
                    <w:rPr>
                      <w:rFonts w:hint="eastAsia" w:ascii="Times New Roman" w:hAnsi="Times New Roman" w:eastAsia="宋体" w:cs="Times New Roman"/>
                      <w:color w:val="auto"/>
                      <w:kern w:val="0"/>
                      <w:sz w:val="21"/>
                      <w:szCs w:val="21"/>
                      <w:lang w:val="en-US" w:eastAsia="zh-CN" w:bidi="ar"/>
                    </w:rPr>
                    <w:t>项目</w:t>
                  </w:r>
                  <w:r>
                    <w:rPr>
                      <w:rFonts w:hint="default" w:ascii="Times New Roman" w:hAnsi="Times New Roman" w:eastAsia="宋体" w:cs="Times New Roman"/>
                      <w:color w:val="auto"/>
                      <w:kern w:val="0"/>
                      <w:sz w:val="21"/>
                      <w:szCs w:val="21"/>
                      <w:lang w:val="en-US" w:eastAsia="zh-CN" w:bidi="ar"/>
                    </w:rPr>
                    <w:t>用地</w:t>
                  </w:r>
                  <w:r>
                    <w:rPr>
                      <w:rFonts w:hint="eastAsia" w:ascii="Times New Roman" w:hAnsi="Times New Roman" w:eastAsia="宋体" w:cs="Times New Roman"/>
                      <w:color w:val="auto"/>
                      <w:kern w:val="0"/>
                      <w:sz w:val="21"/>
                      <w:szCs w:val="21"/>
                      <w:lang w:val="en-US" w:eastAsia="zh-CN" w:bidi="ar"/>
                    </w:rPr>
                    <w:t>性质为二类工业用地，符合</w:t>
                  </w:r>
                  <w:r>
                    <w:rPr>
                      <w:rFonts w:hint="eastAsia" w:ascii="Times New Roman" w:hAnsi="Times New Roman" w:eastAsia="宋体"/>
                      <w:color w:val="auto"/>
                      <w:sz w:val="21"/>
                      <w:szCs w:val="21"/>
                      <w:lang w:eastAsia="zh-CN"/>
                    </w:rPr>
                    <w:t>宝鸡市陈仓区科技工业园</w:t>
                  </w:r>
                  <w:r>
                    <w:rPr>
                      <w:rFonts w:hint="eastAsia" w:ascii="Times New Roman" w:hAnsi="Times New Roman" w:eastAsia="宋体"/>
                      <w:color w:val="auto"/>
                      <w:sz w:val="21"/>
                      <w:szCs w:val="21"/>
                      <w:lang w:val="en-US" w:eastAsia="zh-CN"/>
                    </w:rPr>
                    <w:t>土地利用</w:t>
                  </w:r>
                  <w:r>
                    <w:rPr>
                      <w:rFonts w:hint="default" w:ascii="Times New Roman" w:hAnsi="Times New Roman" w:eastAsia="宋体" w:cs="Times New Roman"/>
                      <w:b w:val="0"/>
                      <w:bCs w:val="0"/>
                      <w:color w:val="auto"/>
                      <w:kern w:val="0"/>
                      <w:sz w:val="21"/>
                      <w:szCs w:val="21"/>
                      <w:lang w:val="en-US" w:eastAsia="zh-CN" w:bidi="ar"/>
                    </w:rPr>
                    <w:t>总体规划</w:t>
                  </w:r>
                  <w:r>
                    <w:rPr>
                      <w:rFonts w:hint="eastAsia" w:ascii="Times New Roman" w:hAnsi="Times New Roman" w:eastAsia="宋体" w:cs="Times New Roman"/>
                      <w:b w:val="0"/>
                      <w:bCs w:val="0"/>
                      <w:color w:val="auto"/>
                      <w:kern w:val="0"/>
                      <w:sz w:val="21"/>
                      <w:szCs w:val="21"/>
                      <w:lang w:val="en-US" w:eastAsia="zh-CN" w:bidi="ar"/>
                    </w:rPr>
                    <w:t>，详见图1-1</w:t>
                  </w:r>
                </w:p>
              </w:tc>
              <w:tc>
                <w:tcPr>
                  <w:tcW w:w="597" w:type="pct"/>
                  <w:tcBorders>
                    <w:tl2br w:val="nil"/>
                    <w:tr2bl w:val="nil"/>
                  </w:tcBorders>
                  <w:noWrap w:val="0"/>
                  <w:vAlign w:val="center"/>
                </w:tcPr>
                <w:p w14:paraId="75C13F6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3B2E5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tcBorders>
                    <w:tl2br w:val="nil"/>
                    <w:tr2bl w:val="nil"/>
                  </w:tcBorders>
                  <w:noWrap w:val="0"/>
                  <w:vAlign w:val="center"/>
                </w:tcPr>
                <w:p w14:paraId="320C1023">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kern w:val="0"/>
                      <w:sz w:val="21"/>
                      <w:szCs w:val="21"/>
                      <w:lang w:val="en-US" w:eastAsia="zh-CN" w:bidi="ar"/>
                    </w:rPr>
                    <w:t>规划结构及产业定位</w:t>
                  </w:r>
                </w:p>
              </w:tc>
              <w:tc>
                <w:tcPr>
                  <w:tcW w:w="2790" w:type="pct"/>
                  <w:tcBorders>
                    <w:tl2br w:val="nil"/>
                    <w:tr2bl w:val="nil"/>
                  </w:tcBorders>
                  <w:noWrap w:val="0"/>
                  <w:vAlign w:val="center"/>
                </w:tcPr>
                <w:p w14:paraId="54AA617A">
                  <w:pPr>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陈仓科技工业园规划形成</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一轴三心六板块</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的规划结构。</w:t>
                  </w:r>
                </w:p>
                <w:p w14:paraId="2B421482">
                  <w:pPr>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一轴</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：即经开区功能拓展轴，沿西虢大道形成的要求发展轴线，经开区各主要功能沿该轴线呈组团式布置。</w:t>
                  </w:r>
                </w:p>
                <w:p w14:paraId="23C1738B">
                  <w:pPr>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三心</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：指依托园区管委会的政务服务功能、绿地广场等形成经开区行政服务核心，依托园区东部的科技研发功能、商务办公功能等形成经开区科技研发核心，依托高速公路立交周边的绿地形成绿化景观核心。</w:t>
                  </w:r>
                </w:p>
                <w:p w14:paraId="55044007">
                  <w:pPr>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六板块</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指综合服务板块、宝鸡重要新材料研</w:t>
                  </w:r>
                  <w:r>
                    <w:rPr>
                      <w:rFonts w:hint="default" w:ascii="Times New Roman" w:hAnsi="Times New Roman" w:eastAsia="宋体" w:cs="Times New Roman"/>
                      <w:color w:val="auto"/>
                      <w:kern w:val="0"/>
                      <w:sz w:val="21"/>
                      <w:szCs w:val="21"/>
                      <w:lang w:val="en-US" w:eastAsia="zh-CN" w:bidi="ar"/>
                    </w:rPr>
                    <w:t>发与产业化基地板</w:t>
                  </w:r>
                  <w:r>
                    <w:rPr>
                      <w:rFonts w:hint="default" w:ascii="Times New Roman" w:hAnsi="Times New Roman" w:eastAsia="宋体" w:cs="Times New Roman"/>
                      <w:b w:val="0"/>
                      <w:bCs w:val="0"/>
                      <w:color w:val="auto"/>
                      <w:kern w:val="0"/>
                      <w:sz w:val="21"/>
                      <w:szCs w:val="21"/>
                      <w:lang w:val="en-US" w:eastAsia="zh-CN" w:bidi="ar"/>
                    </w:rPr>
                    <w:t>块、智能装备制造板块、</w:t>
                  </w:r>
                  <w:r>
                    <w:rPr>
                      <w:rFonts w:hint="default" w:ascii="Times New Roman" w:hAnsi="Times New Roman" w:eastAsia="宋体" w:cs="Times New Roman"/>
                      <w:color w:val="auto"/>
                      <w:kern w:val="0"/>
                      <w:sz w:val="21"/>
                      <w:szCs w:val="21"/>
                      <w:lang w:val="en-US" w:eastAsia="zh-CN" w:bidi="ar"/>
                    </w:rPr>
                    <w:t>优势装备板块、食品饮料板块、汽车零部件板块。</w:t>
                  </w:r>
                </w:p>
              </w:tc>
              <w:tc>
                <w:tcPr>
                  <w:tcW w:w="1167" w:type="pct"/>
                  <w:tcBorders>
                    <w:tl2br w:val="nil"/>
                    <w:tr2bl w:val="nil"/>
                  </w:tcBorders>
                  <w:noWrap w:val="0"/>
                  <w:vAlign w:val="center"/>
                </w:tcPr>
                <w:p w14:paraId="6A56E3C4">
                  <w:pPr>
                    <w:adjustRightInd w:val="0"/>
                    <w:snapToGrid w:val="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本项目属于C3829</w:t>
                  </w:r>
                  <w:r>
                    <w:rPr>
                      <w:rFonts w:hint="eastAsia" w:cs="Times New Roman"/>
                      <w:color w:val="auto"/>
                      <w:szCs w:val="21"/>
                      <w:lang w:val="en-US" w:eastAsia="zh-CN"/>
                    </w:rPr>
                    <w:t>其他输配电及控制设备制造</w:t>
                  </w:r>
                  <w:r>
                    <w:rPr>
                      <w:rFonts w:hint="eastAsia" w:ascii="Times New Roman" w:hAnsi="Times New Roman" w:eastAsia="宋体"/>
                      <w:color w:val="auto"/>
                      <w:sz w:val="21"/>
                      <w:szCs w:val="21"/>
                      <w:lang w:val="en-US" w:eastAsia="zh-CN"/>
                    </w:rPr>
                    <w:t>，主要生产输配电等配件</w:t>
                  </w:r>
                  <w:r>
                    <w:rPr>
                      <w:rFonts w:hint="eastAsia" w:eastAsia="宋体"/>
                      <w:color w:val="auto"/>
                      <w:sz w:val="21"/>
                      <w:szCs w:val="21"/>
                      <w:lang w:val="en-US" w:eastAsia="zh-CN"/>
                    </w:rPr>
                    <w:t>产品</w:t>
                  </w:r>
                  <w:r>
                    <w:rPr>
                      <w:rFonts w:hint="eastAsia" w:ascii="Times New Roman" w:hAnsi="Times New Roman" w:eastAsia="宋体"/>
                      <w:color w:val="auto"/>
                      <w:sz w:val="21"/>
                      <w:szCs w:val="21"/>
                      <w:lang w:val="en-US" w:eastAsia="zh-CN"/>
                    </w:rPr>
                    <w:t>，属于</w:t>
                  </w:r>
                  <w:r>
                    <w:rPr>
                      <w:color w:val="auto"/>
                      <w:highlight w:val="none"/>
                    </w:rPr>
                    <w:t>智能装备制造板块</w:t>
                  </w:r>
                  <w:r>
                    <w:rPr>
                      <w:rFonts w:hint="eastAsia" w:ascii="Times New Roman" w:hAnsi="Times New Roman" w:eastAsia="宋体"/>
                      <w:color w:val="auto"/>
                      <w:sz w:val="21"/>
                      <w:szCs w:val="21"/>
                      <w:lang w:val="en-US" w:eastAsia="zh-CN"/>
                    </w:rPr>
                    <w:t>，符合陈仓经济技术开发区产业定位</w:t>
                  </w:r>
                </w:p>
              </w:tc>
              <w:tc>
                <w:tcPr>
                  <w:tcW w:w="597" w:type="pct"/>
                  <w:tcBorders>
                    <w:tl2br w:val="nil"/>
                    <w:tr2bl w:val="nil"/>
                  </w:tcBorders>
                  <w:noWrap w:val="0"/>
                  <w:vAlign w:val="center"/>
                </w:tcPr>
                <w:p w14:paraId="5FDBE33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7C087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noWrap w:val="0"/>
                  <w:vAlign w:val="center"/>
                </w:tcPr>
                <w:p w14:paraId="03FF9CEC">
                  <w:pPr>
                    <w:jc w:val="center"/>
                    <w:rPr>
                      <w:rFonts w:hint="default" w:ascii="Times New Roman" w:hAnsi="Times New Roman" w:eastAsia="宋体" w:cs="Times New Roman"/>
                      <w:color w:val="auto"/>
                      <w:sz w:val="21"/>
                      <w:szCs w:val="21"/>
                    </w:rPr>
                  </w:pPr>
                  <w:r>
                    <w:rPr>
                      <w:color w:val="auto"/>
                      <w:sz w:val="21"/>
                    </w:rPr>
                    <mc:AlternateContent>
                      <mc:Choice Requires="wpg">
                        <w:drawing>
                          <wp:anchor distT="0" distB="0" distL="114300" distR="114300" simplePos="0" relativeHeight="251663360" behindDoc="0" locked="0" layoutInCell="1" allowOverlap="1">
                            <wp:simplePos x="0" y="0"/>
                            <wp:positionH relativeFrom="column">
                              <wp:posOffset>-57785</wp:posOffset>
                            </wp:positionH>
                            <wp:positionV relativeFrom="paragraph">
                              <wp:posOffset>3810</wp:posOffset>
                            </wp:positionV>
                            <wp:extent cx="3474085" cy="1649095"/>
                            <wp:effectExtent l="0" t="0" r="12065" b="27305"/>
                            <wp:wrapNone/>
                            <wp:docPr id="3" name="组合 3"/>
                            <wp:cNvGraphicFramePr/>
                            <a:graphic xmlns:a="http://schemas.openxmlformats.org/drawingml/2006/main">
                              <a:graphicData uri="http://schemas.microsoft.com/office/word/2010/wordprocessingGroup">
                                <wpg:wgp>
                                  <wpg:cNvGrpSpPr/>
                                  <wpg:grpSpPr>
                                    <a:xfrm>
                                      <a:off x="0" y="0"/>
                                      <a:ext cx="3473899" cy="1649210"/>
                                      <a:chOff x="3434" y="53176"/>
                                      <a:chExt cx="5406" cy="2556"/>
                                    </a:xfrm>
                                  </wpg:grpSpPr>
                                  <wps:wsp>
                                    <wps:cNvPr id="4" name="矩形标注 19"/>
                                    <wps:cNvSpPr/>
                                    <wps:spPr>
                                      <a:xfrm>
                                        <a:off x="7872" y="54992"/>
                                        <a:ext cx="968" cy="408"/>
                                      </a:xfrm>
                                      <a:prstGeom prst="wedgeRectCallout">
                                        <a:avLst>
                                          <a:gd name="adj1" fmla="val -47519"/>
                                          <a:gd name="adj2" fmla="val 119116"/>
                                        </a:avLst>
                                      </a:prstGeom>
                                      <a:solidFill>
                                        <a:srgbClr val="FFFFFF"/>
                                      </a:solidFill>
                                      <a:ln w="9525" cap="flat" cmpd="sng">
                                        <a:solidFill>
                                          <a:srgbClr val="000000"/>
                                        </a:solidFill>
                                        <a:prstDash val="solid"/>
                                        <a:miter/>
                                        <a:headEnd type="none" w="med" len="med"/>
                                        <a:tailEnd type="none" w="med" len="med"/>
                                      </a:ln>
                                    </wps:spPr>
                                    <wps:txbx>
                                      <w:txbxContent>
                                        <w:p w14:paraId="0A0F76E1">
                                          <w:pPr>
                                            <w:rPr>
                                              <w:rFonts w:hint="eastAsia" w:eastAsia="宋体"/>
                                              <w:lang w:val="en-US" w:eastAsia="zh-CN"/>
                                            </w:rPr>
                                          </w:pPr>
                                          <w:r>
                                            <w:rPr>
                                              <w:rFonts w:hint="eastAsia" w:eastAsia="宋体"/>
                                              <w:lang w:val="en-US" w:eastAsia="zh-CN"/>
                                            </w:rPr>
                                            <w:t>项目地</w:t>
                                          </w:r>
                                        </w:p>
                                      </w:txbxContent>
                                    </wps:txbx>
                                    <wps:bodyPr upright="1"/>
                                  </wps:wsp>
                                  <pic:pic xmlns:pic="http://schemas.openxmlformats.org/drawingml/2006/picture">
                                    <pic:nvPicPr>
                                      <pic:cNvPr id="10" name="图片 3"/>
                                      <pic:cNvPicPr>
                                        <a:picLocks noChangeAspect="1"/>
                                      </pic:cNvPicPr>
                                    </pic:nvPicPr>
                                    <pic:blipFill>
                                      <a:blip r:embed="rId8"/>
                                      <a:stretch>
                                        <a:fillRect/>
                                      </a:stretch>
                                    </pic:blipFill>
                                    <pic:spPr>
                                      <a:xfrm>
                                        <a:off x="3434" y="53176"/>
                                        <a:ext cx="1981" cy="1420"/>
                                      </a:xfrm>
                                      <a:prstGeom prst="rect">
                                        <a:avLst/>
                                      </a:prstGeom>
                                      <a:noFill/>
                                      <a:ln>
                                        <a:noFill/>
                                      </a:ln>
                                    </pic:spPr>
                                  </pic:pic>
                                  <wps:wsp>
                                    <wps:cNvPr id="11" name="五角星 13"/>
                                    <wps:cNvSpPr/>
                                    <wps:spPr>
                                      <a:xfrm>
                                        <a:off x="7782" y="55529"/>
                                        <a:ext cx="186" cy="203"/>
                                      </a:xfrm>
                                      <a:prstGeom prst="star5">
                                        <a:avLst/>
                                      </a:prstGeom>
                                      <a:solidFill>
                                        <a:srgbClr val="FFFF00"/>
                                      </a:solidFill>
                                      <a:ln w="9525" cap="flat" cmpd="sng">
                                        <a:solidFill>
                                          <a:srgbClr val="FF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4.55pt;margin-top:0.3pt;height:129.85pt;width:273.55pt;z-index:251663360;mso-width-relative:page;mso-height-relative:page;" coordorigin="3434,53176" coordsize="5406,2556" o:gfxdata="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">
                            <o:lock v:ext="edit" aspectratio="f"/>
                            <v:shape id="矩形标注 19" o:spid="_x0000_s1026" o:spt="61" type="#_x0000_t61" style="position:absolute;left:7872;top:54992;height:408;width:968;" fillcolor="#FFFFFF" filled="t" stroked="t" coordsize="21600,21600" o:gfxdata="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Mq/b4A&#10;AADaAAAADwAAAAAAAAABACAAAAAiAAAAZHJzL2Rvd25yZXYueG1sUEsBAhQAFAAAAAgAh07iQDMv&#10;BZ47AAAAOQAAABAAAAAAAAAAAQAgAAAADQEAAGRycy9zaGFwZXhtbC54bWxQSwUGAAAAAAYABgBb&#10;AQAAtwMAAAAA&#10;" adj="536,36529">
                              <v:fill on="t" focussize="0,0"/>
                              <v:stroke color="#000000" joinstyle="miter"/>
                              <v:imagedata o:title=""/>
                              <o:lock v:ext="edit" aspectratio="f"/>
                              <v:textbox>
                                <w:txbxContent>
                                  <w:p w14:paraId="0A0F76E1">
                                    <w:pPr>
                                      <w:rPr>
                                        <w:rFonts w:hint="eastAsia" w:eastAsia="宋体"/>
                                        <w:lang w:val="en-US" w:eastAsia="zh-CN"/>
                                      </w:rPr>
                                    </w:pPr>
                                    <w:r>
                                      <w:rPr>
                                        <w:rFonts w:hint="eastAsia" w:eastAsia="宋体"/>
                                        <w:lang w:val="en-US" w:eastAsia="zh-CN"/>
                                      </w:rPr>
                                      <w:t>项目地</w:t>
                                    </w:r>
                                  </w:p>
                                </w:txbxContent>
                              </v:textbox>
                            </v:shape>
                            <v:shape id="图片 3" o:spid="_x0000_s1026" o:spt="75" type="#_x0000_t75" style="position:absolute;left:3434;top:53176;height:1420;width:1981;" filled="f" o:preferrelative="t" stroked="f" coordsize="21600,21600" o:gfxdata="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fT174A&#10;AADbAAAADwAAAAAAAAABACAAAAAiAAAAZHJzL2Rvd25yZXYueG1sUEsBAhQAFAAAAAgAh07iQDMv&#10;BZ47AAAAOQAAABAAAAAAAAAAAQAgAAAADQEAAGRycy9zaGFwZXhtbC54bWxQSwUGAAAAAAYABgBb&#10;AQAAtwMAAAAA&#10;">
                              <v:fill on="f" focussize="0,0"/>
                              <v:stroke on="f"/>
                              <v:imagedata r:id="rId8" o:title=""/>
                              <o:lock v:ext="edit" aspectratio="t"/>
                            </v:shape>
                            <v:shape id="五角星 13" o:spid="_x0000_s1026" style="position:absolute;left:7782;top:55529;height:203;width:186;" fillcolor="#FFFF00" filled="t" stroked="t" coordsize="186,203" o:gfxdata="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45bROtAAAANsAAAAPAAAA&#10;AAAAAAEAIAAAACIAAABkcnMvZG93bnJldi54bWxQSwECFAAUAAAACACHTuJAMy8FnjsAAAA5AAAA&#10;EAAAAAAAAAABACAAAAADAQAAZHJzL3NoYXBleG1sLnhtbFBLBQYAAAAABgAGAFsBAACtAwAAAAA=&#10;" path="m0,77l71,77,93,0,114,77,185,77,128,125,150,202,93,155,35,202,57,125xe">
                              <v:path o:connectlocs="93,0;0,77;35,202;150,202;185,77" o:connectangles="247,164,82,82,0"/>
                              <v:fill on="t" focussize="0,0"/>
                              <v:stroke color="#FF0000" joinstyle="miter"/>
                              <v:imagedata o:title=""/>
                              <o:lock v:ext="edit" aspectratio="f"/>
                            </v:shape>
                          </v:group>
                        </w:pict>
                      </mc:Fallback>
                    </mc:AlternateContent>
                  </w:r>
                  <w:r>
                    <w:rPr>
                      <w:color w:val="auto"/>
                    </w:rPr>
                    <w:drawing>
                      <wp:inline distT="0" distB="0" distL="114300" distR="114300">
                        <wp:extent cx="4955540" cy="2858770"/>
                        <wp:effectExtent l="0" t="0" r="1651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rcRect t="18886" b="8682"/>
                                <a:stretch>
                                  <a:fillRect/>
                                </a:stretch>
                              </pic:blipFill>
                              <pic:spPr>
                                <a:xfrm>
                                  <a:off x="0" y="0"/>
                                  <a:ext cx="4955540" cy="2858770"/>
                                </a:xfrm>
                                <a:prstGeom prst="rect">
                                  <a:avLst/>
                                </a:prstGeom>
                                <a:noFill/>
                                <a:ln>
                                  <a:noFill/>
                                </a:ln>
                              </pic:spPr>
                            </pic:pic>
                          </a:graphicData>
                        </a:graphic>
                      </wp:inline>
                    </w:drawing>
                  </w:r>
                </w:p>
              </w:tc>
            </w:tr>
            <w:tr w14:paraId="10BE6E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noWrap w:val="0"/>
                  <w:vAlign w:val="center"/>
                </w:tcPr>
                <w:p w14:paraId="4D894B4E">
                  <w:pPr>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0"/>
                      <w:sz w:val="21"/>
                      <w:szCs w:val="21"/>
                      <w:lang w:val="en-US" w:eastAsia="zh-CN" w:bidi="ar"/>
                    </w:rPr>
                    <w:t>图1-1项目与</w:t>
                  </w:r>
                  <w:r>
                    <w:rPr>
                      <w:rFonts w:hint="default" w:ascii="Times New Roman" w:hAnsi="Times New Roman" w:eastAsia="宋体" w:cs="Times New Roman"/>
                      <w:b w:val="0"/>
                      <w:bCs w:val="0"/>
                      <w:color w:val="auto"/>
                      <w:sz w:val="21"/>
                      <w:szCs w:val="24"/>
                      <w:lang w:eastAsia="zh-CN"/>
                    </w:rPr>
                    <w:t>陕西陈仓经济技术开发区总体规划（2022</w:t>
                  </w:r>
                  <w:r>
                    <w:rPr>
                      <w:rFonts w:hint="eastAsia" w:cs="Times New Roman"/>
                      <w:b w:val="0"/>
                      <w:bCs w:val="0"/>
                      <w:color w:val="auto"/>
                      <w:sz w:val="21"/>
                      <w:szCs w:val="24"/>
                      <w:lang w:eastAsia="zh-CN"/>
                    </w:rPr>
                    <w:t>—</w:t>
                  </w:r>
                  <w:r>
                    <w:rPr>
                      <w:rFonts w:hint="default" w:ascii="Times New Roman" w:hAnsi="Times New Roman" w:eastAsia="宋体" w:cs="Times New Roman"/>
                      <w:b w:val="0"/>
                      <w:bCs w:val="0"/>
                      <w:color w:val="auto"/>
                      <w:sz w:val="21"/>
                      <w:szCs w:val="24"/>
                      <w:lang w:eastAsia="zh-CN"/>
                    </w:rPr>
                    <w:t>2035年）</w:t>
                  </w:r>
                  <w:r>
                    <w:rPr>
                      <w:rFonts w:hint="eastAsia" w:ascii="Times New Roman" w:hAnsi="Times New Roman" w:eastAsia="宋体" w:cs="Times New Roman"/>
                      <w:b w:val="0"/>
                      <w:bCs w:val="0"/>
                      <w:color w:val="auto"/>
                      <w:sz w:val="21"/>
                      <w:szCs w:val="24"/>
                      <w:lang w:val="en-US" w:eastAsia="zh-CN"/>
                    </w:rPr>
                    <w:t>土地利用规划（摘取）</w:t>
                  </w:r>
                  <w:r>
                    <w:rPr>
                      <w:rFonts w:hint="default" w:ascii="Times New Roman" w:hAnsi="Times New Roman" w:eastAsia="宋体" w:cs="Times New Roman"/>
                      <w:b w:val="0"/>
                      <w:bCs w:val="0"/>
                      <w:color w:val="auto"/>
                      <w:kern w:val="0"/>
                      <w:sz w:val="21"/>
                      <w:szCs w:val="21"/>
                      <w:lang w:val="en-US" w:eastAsia="zh-CN" w:bidi="ar"/>
                    </w:rPr>
                    <w:t>位置</w:t>
                  </w:r>
                  <w:r>
                    <w:rPr>
                      <w:rFonts w:hint="eastAsia" w:ascii="Times New Roman" w:hAnsi="Times New Roman" w:eastAsia="宋体" w:cs="Times New Roman"/>
                      <w:b w:val="0"/>
                      <w:bCs w:val="0"/>
                      <w:color w:val="auto"/>
                      <w:kern w:val="0"/>
                      <w:sz w:val="21"/>
                      <w:szCs w:val="21"/>
                      <w:lang w:val="en-US" w:eastAsia="zh-CN" w:bidi="ar"/>
                    </w:rPr>
                    <w:t>关系</w:t>
                  </w:r>
                  <w:r>
                    <w:rPr>
                      <w:rFonts w:hint="default" w:ascii="Times New Roman" w:hAnsi="Times New Roman" w:eastAsia="宋体" w:cs="Times New Roman"/>
                      <w:b w:val="0"/>
                      <w:bCs w:val="0"/>
                      <w:color w:val="auto"/>
                      <w:kern w:val="0"/>
                      <w:sz w:val="21"/>
                      <w:szCs w:val="21"/>
                      <w:lang w:val="en-US" w:eastAsia="zh-CN" w:bidi="ar"/>
                    </w:rPr>
                    <w:t>图</w:t>
                  </w:r>
                </w:p>
              </w:tc>
            </w:tr>
            <w:tr w14:paraId="10856F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noWrap w:val="0"/>
                  <w:vAlign w:val="center"/>
                </w:tcPr>
                <w:p w14:paraId="2EEF7BF7">
                  <w:pPr>
                    <w:bidi w:val="0"/>
                    <w:spacing w:line="240" w:lineRule="auto"/>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sz w:val="21"/>
                      <w:szCs w:val="24"/>
                      <w:lang w:eastAsia="zh-CN"/>
                    </w:rPr>
                    <w:drawing>
                      <wp:inline distT="0" distB="0" distL="114300" distR="114300">
                        <wp:extent cx="4951730" cy="3450590"/>
                        <wp:effectExtent l="0" t="0" r="1270" b="16510"/>
                        <wp:docPr id="15" name="图片 4" descr="园区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园区规划"/>
                                <pic:cNvPicPr>
                                  <a:picLocks noChangeAspect="1"/>
                                </pic:cNvPicPr>
                              </pic:nvPicPr>
                              <pic:blipFill>
                                <a:blip r:embed="rId10"/>
                                <a:stretch>
                                  <a:fillRect/>
                                </a:stretch>
                              </pic:blipFill>
                              <pic:spPr>
                                <a:xfrm>
                                  <a:off x="0" y="0"/>
                                  <a:ext cx="4951730" cy="3450590"/>
                                </a:xfrm>
                                <a:prstGeom prst="rect">
                                  <a:avLst/>
                                </a:prstGeom>
                                <a:noFill/>
                                <a:ln>
                                  <a:noFill/>
                                </a:ln>
                              </pic:spPr>
                            </pic:pic>
                          </a:graphicData>
                        </a:graphic>
                      </wp:inline>
                    </w:drawing>
                  </w: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2204085</wp:posOffset>
                            </wp:positionH>
                            <wp:positionV relativeFrom="paragraph">
                              <wp:posOffset>1989455</wp:posOffset>
                            </wp:positionV>
                            <wp:extent cx="718185" cy="294005"/>
                            <wp:effectExtent l="287655" t="4445" r="22860" b="425450"/>
                            <wp:wrapNone/>
                            <wp:docPr id="14" name="矩形标注 14"/>
                            <wp:cNvGraphicFramePr/>
                            <a:graphic xmlns:a="http://schemas.openxmlformats.org/drawingml/2006/main">
                              <a:graphicData uri="http://schemas.microsoft.com/office/word/2010/wordprocessingShape">
                                <wps:wsp>
                                  <wps:cNvSpPr/>
                                  <wps:spPr>
                                    <a:xfrm>
                                      <a:off x="0" y="0"/>
                                      <a:ext cx="718185" cy="294005"/>
                                    </a:xfrm>
                                    <a:prstGeom prst="wedgeRectCallout">
                                      <a:avLst>
                                        <a:gd name="adj1" fmla="val -85897"/>
                                        <a:gd name="adj2" fmla="val 180885"/>
                                      </a:avLst>
                                    </a:prstGeom>
                                    <a:solidFill>
                                      <a:srgbClr val="FFFFFF"/>
                                    </a:solidFill>
                                    <a:ln w="9525" cap="flat" cmpd="sng">
                                      <a:solidFill>
                                        <a:srgbClr val="000000"/>
                                      </a:solidFill>
                                      <a:prstDash val="solid"/>
                                      <a:miter/>
                                      <a:headEnd type="none" w="med" len="med"/>
                                      <a:tailEnd type="none" w="med" len="med"/>
                                    </a:ln>
                                  </wps:spPr>
                                  <wps:txbx>
                                    <w:txbxContent>
                                      <w:p w14:paraId="327524F9">
                                        <w:pPr>
                                          <w:rPr>
                                            <w:rFonts w:hint="eastAsia" w:eastAsia="宋体"/>
                                            <w:lang w:val="en-US" w:eastAsia="zh-CN"/>
                                          </w:rPr>
                                        </w:pPr>
                                        <w:r>
                                          <w:rPr>
                                            <w:rFonts w:hint="eastAsia"/>
                                            <w:lang w:val="en-US" w:eastAsia="zh-CN"/>
                                          </w:rPr>
                                          <w:t>本项目</w:t>
                                        </w:r>
                                      </w:p>
                                    </w:txbxContent>
                                  </wps:txbx>
                                  <wps:bodyPr upright="1"/>
                                </wps:wsp>
                              </a:graphicData>
                            </a:graphic>
                          </wp:anchor>
                        </w:drawing>
                      </mc:Choice>
                      <mc:Fallback>
                        <w:pict>
                          <v:shape id="_x0000_s1026" o:spid="_x0000_s1026" o:spt="61" type="#_x0000_t61" style="position:absolute;left:0pt;margin-left:173.55pt;margin-top:156.65pt;height:23.15pt;width:56.55pt;z-index:251664384;mso-width-relative:page;mso-height-relative:page;" fillcolor="#FFFFFF" filled="t" stroked="t" coordsize="21600,21600" o:gfxdata="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yf+Q2QAAAAsBAAAPAAAAAAAAAAEAIAAAACIAAABkcnMv&#10;ZG93bnJldi54bWxQSwECFAAUAAAACACHTuJALNt4zzsCAACPBAAADgAAAAAAAAABACAAAAAoAQAA&#10;ZHJzL2Uyb0RvYy54bWxQSwUGAAAAAAYABgBZAQAA1QUAAAAA&#10;" adj="-7754,49871">
                            <v:fill on="t" focussize="0,0"/>
                            <v:stroke color="#000000" joinstyle="miter"/>
                            <v:imagedata o:title=""/>
                            <o:lock v:ext="edit" aspectratio="f"/>
                            <v:textbox>
                              <w:txbxContent>
                                <w:p w14:paraId="327524F9">
                                  <w:pPr>
                                    <w:rPr>
                                      <w:rFonts w:hint="eastAsia" w:eastAsia="宋体"/>
                                      <w:lang w:val="en-US" w:eastAsia="zh-CN"/>
                                    </w:rPr>
                                  </w:pPr>
                                  <w:r>
                                    <w:rPr>
                                      <w:rFonts w:hint="eastAsia"/>
                                      <w:lang w:val="en-US" w:eastAsia="zh-CN"/>
                                    </w:rPr>
                                    <w:t>本项目</w:t>
                                  </w:r>
                                </w:p>
                              </w:txbxContent>
                            </v:textbox>
                          </v:shape>
                        </w:pict>
                      </mc:Fallback>
                    </mc:AlternateContent>
                  </w:r>
                </w:p>
              </w:tc>
            </w:tr>
            <w:tr w14:paraId="1419B0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noWrap w:val="0"/>
                  <w:vAlign w:val="center"/>
                </w:tcPr>
                <w:p w14:paraId="40762EDB">
                  <w:pPr>
                    <w:bidi w:val="0"/>
                    <w:spacing w:line="240" w:lineRule="auto"/>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图1-2项目与陕西陈仓经济技术开发区总体规划</w:t>
                  </w:r>
                  <w:r>
                    <w:rPr>
                      <w:rFonts w:hint="eastAsia"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2022</w:t>
                  </w:r>
                  <w:r>
                    <w:rPr>
                      <w:rFonts w:hint="eastAsia"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2035年</w:t>
                  </w:r>
                  <w:r>
                    <w:rPr>
                      <w:rFonts w:hint="eastAsia"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智能装备制造板块位置关系图</w:t>
                  </w:r>
                </w:p>
              </w:tc>
            </w:tr>
          </w:tbl>
          <w:p w14:paraId="12C68F0F">
            <w:pPr>
              <w:tabs>
                <w:tab w:val="left" w:pos="540"/>
              </w:tabs>
              <w:autoSpaceDE w:val="0"/>
              <w:autoSpaceDN w:val="0"/>
              <w:adjustRightInd w:val="0"/>
              <w:spacing w:line="360" w:lineRule="auto"/>
              <w:ind w:firstLine="482" w:firstLineChars="20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2"/>
                <w:lang w:val="en-US" w:eastAsia="zh-CN"/>
              </w:rPr>
              <w:t>2.</w:t>
            </w:r>
            <w:r>
              <w:rPr>
                <w:rFonts w:hint="default" w:ascii="Times New Roman" w:hAnsi="Times New Roman" w:eastAsia="宋体" w:cs="Times New Roman"/>
                <w:b/>
                <w:bCs/>
                <w:color w:val="auto"/>
                <w:sz w:val="24"/>
                <w:szCs w:val="32"/>
                <w:lang w:val="en-US" w:eastAsia="zh-CN"/>
              </w:rPr>
              <w:t>规划环境影响评价结论及审查意见</w:t>
            </w:r>
            <w:r>
              <w:rPr>
                <w:rFonts w:hint="default" w:ascii="Times New Roman" w:hAnsi="Times New Roman" w:eastAsia="宋体" w:cs="Times New Roman"/>
                <w:b/>
                <w:bCs/>
                <w:color w:val="auto"/>
                <w:sz w:val="24"/>
                <w:szCs w:val="22"/>
                <w:lang w:val="en-US" w:eastAsia="zh-CN"/>
              </w:rPr>
              <w:t>符合性</w:t>
            </w:r>
            <w:r>
              <w:rPr>
                <w:rFonts w:hint="default" w:ascii="Times New Roman" w:hAnsi="Times New Roman" w:eastAsia="宋体" w:cs="Times New Roman"/>
                <w:b/>
                <w:bCs/>
                <w:color w:val="auto"/>
                <w:sz w:val="24"/>
                <w:szCs w:val="22"/>
                <w:lang w:val="zh-CN"/>
              </w:rPr>
              <w:t>分析</w:t>
            </w:r>
          </w:p>
          <w:p w14:paraId="14F19478">
            <w:pPr>
              <w:adjustRightInd w:val="0"/>
              <w:spacing w:line="240" w:lineRule="auto"/>
              <w:ind w:firstLine="422" w:firstLineChars="200"/>
              <w:jc w:val="center"/>
              <w:rPr>
                <w:rFonts w:hint="default"/>
                <w:b/>
                <w:bCs/>
                <w:color w:val="auto"/>
                <w:sz w:val="21"/>
                <w:szCs w:val="21"/>
                <w:lang w:val="en-US" w:eastAsia="zh-CN"/>
              </w:rPr>
            </w:pPr>
            <w:r>
              <w:rPr>
                <w:rFonts w:hint="default"/>
                <w:b/>
                <w:bCs/>
                <w:color w:val="auto"/>
                <w:sz w:val="21"/>
                <w:szCs w:val="21"/>
                <w:lang w:val="en-US" w:eastAsia="zh-CN"/>
              </w:rPr>
              <w:t>表1-</w:t>
            </w:r>
            <w:r>
              <w:rPr>
                <w:rFonts w:hint="eastAsia"/>
                <w:b/>
                <w:bCs/>
                <w:color w:val="auto"/>
                <w:sz w:val="21"/>
                <w:szCs w:val="21"/>
                <w:lang w:val="en-US" w:eastAsia="zh-CN"/>
              </w:rPr>
              <w:t xml:space="preserve">2  </w:t>
            </w:r>
            <w:r>
              <w:rPr>
                <w:rFonts w:hint="default"/>
                <w:b/>
                <w:bCs/>
                <w:color w:val="auto"/>
                <w:sz w:val="21"/>
                <w:szCs w:val="21"/>
                <w:lang w:val="en-US" w:eastAsia="zh-CN"/>
              </w:rPr>
              <w:t>项目与规划环评结论及审查意见的符合性分析</w:t>
            </w:r>
          </w:p>
          <w:tbl>
            <w:tblPr>
              <w:tblStyle w:val="30"/>
              <w:tblW w:w="7798"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51"/>
              <w:gridCol w:w="3890"/>
              <w:gridCol w:w="2600"/>
              <w:gridCol w:w="557"/>
            </w:tblGrid>
            <w:tr w14:paraId="750625A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28" w:hRule="atLeast"/>
                <w:jc w:val="center"/>
              </w:trPr>
              <w:tc>
                <w:tcPr>
                  <w:tcW w:w="751" w:type="dxa"/>
                  <w:tcBorders>
                    <w:tl2br w:val="nil"/>
                    <w:tr2bl w:val="nil"/>
                  </w:tcBorders>
                  <w:noWrap w:val="0"/>
                  <w:tcMar>
                    <w:left w:w="28" w:type="dxa"/>
                    <w:right w:w="28" w:type="dxa"/>
                  </w:tcMar>
                  <w:vAlign w:val="center"/>
                </w:tcPr>
                <w:p w14:paraId="53E153CE">
                  <w:pPr>
                    <w:autoSpaceDE w:val="0"/>
                    <w:autoSpaceDN w:val="0"/>
                    <w:adjustRightInd w:val="0"/>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名称</w:t>
                  </w:r>
                </w:p>
              </w:tc>
              <w:tc>
                <w:tcPr>
                  <w:tcW w:w="3890" w:type="dxa"/>
                  <w:tcBorders>
                    <w:tl2br w:val="nil"/>
                    <w:tr2bl w:val="nil"/>
                  </w:tcBorders>
                  <w:noWrap w:val="0"/>
                  <w:tcMar>
                    <w:left w:w="28" w:type="dxa"/>
                    <w:right w:w="28" w:type="dxa"/>
                  </w:tcMar>
                  <w:vAlign w:val="center"/>
                </w:tcPr>
                <w:p w14:paraId="69E427DD">
                  <w:pPr>
                    <w:autoSpaceDE w:val="0"/>
                    <w:autoSpaceDN w:val="0"/>
                    <w:adjustRightInd w:val="0"/>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要求</w:t>
                  </w:r>
                </w:p>
              </w:tc>
              <w:tc>
                <w:tcPr>
                  <w:tcW w:w="2600" w:type="dxa"/>
                  <w:tcBorders>
                    <w:tl2br w:val="nil"/>
                    <w:tr2bl w:val="nil"/>
                  </w:tcBorders>
                  <w:noWrap w:val="0"/>
                  <w:tcMar>
                    <w:left w:w="28" w:type="dxa"/>
                    <w:right w:w="28" w:type="dxa"/>
                  </w:tcMar>
                  <w:vAlign w:val="center"/>
                </w:tcPr>
                <w:p w14:paraId="3156F214">
                  <w:pPr>
                    <w:autoSpaceDE w:val="0"/>
                    <w:autoSpaceDN w:val="0"/>
                    <w:adjustRightIn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557" w:type="dxa"/>
                  <w:tcBorders>
                    <w:tl2br w:val="nil"/>
                    <w:tr2bl w:val="nil"/>
                  </w:tcBorders>
                  <w:noWrap w:val="0"/>
                  <w:tcMar>
                    <w:left w:w="28" w:type="dxa"/>
                    <w:right w:w="28" w:type="dxa"/>
                  </w:tcMar>
                  <w:vAlign w:val="center"/>
                </w:tcPr>
                <w:p w14:paraId="7C15C206">
                  <w:pPr>
                    <w:autoSpaceDE w:val="0"/>
                    <w:autoSpaceDN w:val="0"/>
                    <w:adjustRightIn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结论</w:t>
                  </w:r>
                </w:p>
              </w:tc>
            </w:tr>
            <w:tr w14:paraId="2F105AA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1498" w:hRule="atLeast"/>
                <w:jc w:val="center"/>
              </w:trPr>
              <w:tc>
                <w:tcPr>
                  <w:tcW w:w="751" w:type="dxa"/>
                  <w:vMerge w:val="restart"/>
                  <w:tcBorders>
                    <w:tl2br w:val="nil"/>
                    <w:tr2bl w:val="nil"/>
                  </w:tcBorders>
                  <w:noWrap w:val="0"/>
                  <w:tcMar>
                    <w:left w:w="28" w:type="dxa"/>
                    <w:right w:w="28" w:type="dxa"/>
                  </w:tcMar>
                  <w:vAlign w:val="center"/>
                </w:tcPr>
                <w:p w14:paraId="5DA66F39">
                  <w:pPr>
                    <w:keepNext w:val="0"/>
                    <w:keepLines w:val="0"/>
                    <w:widowControl/>
                    <w:suppressLineNumbers w:val="0"/>
                    <w:spacing w:line="240" w:lineRule="auto"/>
                    <w:jc w:val="left"/>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color w:val="auto"/>
                      <w:kern w:val="0"/>
                      <w:sz w:val="21"/>
                      <w:szCs w:val="21"/>
                      <w:lang w:val="en-US" w:eastAsia="zh-CN" w:bidi="ar"/>
                    </w:rPr>
                    <w:t>《陕西陈仓经济技术开发区总体规划（2022</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2035年）环境影响报告书》评价结论</w:t>
                  </w:r>
                </w:p>
              </w:tc>
              <w:tc>
                <w:tcPr>
                  <w:tcW w:w="3890" w:type="dxa"/>
                  <w:tcBorders>
                    <w:tl2br w:val="nil"/>
                    <w:tr2bl w:val="nil"/>
                  </w:tcBorders>
                  <w:noWrap w:val="0"/>
                  <w:tcMar>
                    <w:left w:w="28" w:type="dxa"/>
                    <w:right w:w="28" w:type="dxa"/>
                  </w:tcMar>
                  <w:vAlign w:val="center"/>
                </w:tcPr>
                <w:p w14:paraId="3E0A01B5">
                  <w:pPr>
                    <w:jc w:val="both"/>
                    <w:rPr>
                      <w:rFonts w:hint="default" w:ascii="Times New Roman" w:hAnsi="Times New Roman" w:eastAsia="宋体" w:cs="Times New Roman"/>
                      <w:b w:val="0"/>
                      <w:bCs/>
                      <w:color w:val="auto"/>
                      <w:spacing w:val="4"/>
                      <w:sz w:val="21"/>
                      <w:szCs w:val="21"/>
                      <w:lang w:val="en-US" w:eastAsia="zh-CN"/>
                    </w:rPr>
                  </w:pPr>
                  <w:r>
                    <w:rPr>
                      <w:rFonts w:hint="default" w:ascii="Times New Roman" w:hAnsi="Times New Roman" w:eastAsia="宋体" w:cs="Times New Roman"/>
                      <w:color w:val="auto"/>
                      <w:sz w:val="21"/>
                      <w:szCs w:val="21"/>
                      <w:lang w:val="en-US" w:eastAsia="zh-CN"/>
                    </w:rPr>
                    <w:t>（1）规划协调性分析：产业类型符合国家法律法规、产业政策及相关规划的相关要求；符合宝鸡市“三线一单”生态管控单元的管控要求；规划范围未占用永久基本农田，未突破生态保护红线，且全部位于国土空间规划“三区三线”城镇开发边界的集中建设区范围内，符合国土空间管制要求。</w:t>
                  </w:r>
                </w:p>
              </w:tc>
              <w:tc>
                <w:tcPr>
                  <w:tcW w:w="2600" w:type="dxa"/>
                  <w:tcBorders>
                    <w:tl2br w:val="nil"/>
                    <w:tr2bl w:val="nil"/>
                  </w:tcBorders>
                  <w:noWrap w:val="0"/>
                  <w:tcMar>
                    <w:left w:w="28" w:type="dxa"/>
                    <w:right w:w="28" w:type="dxa"/>
                  </w:tcMar>
                  <w:vAlign w:val="center"/>
                </w:tcPr>
                <w:p w14:paraId="7231E658">
                  <w:pPr>
                    <w:jc w:val="both"/>
                    <w:rPr>
                      <w:rFonts w:hint="default" w:ascii="Times New Roman" w:hAnsi="Times New Roman" w:eastAsia="宋体" w:cs="Times New Roman"/>
                      <w:b w:val="0"/>
                      <w:bCs/>
                      <w:color w:val="auto"/>
                      <w:spacing w:val="4"/>
                      <w:sz w:val="21"/>
                      <w:szCs w:val="21"/>
                      <w:lang w:val="en-US" w:eastAsia="zh-CN"/>
                    </w:rPr>
                  </w:pPr>
                  <w:r>
                    <w:rPr>
                      <w:rFonts w:hint="default" w:ascii="Times New Roman" w:hAnsi="Times New Roman" w:eastAsia="宋体" w:cs="Times New Roman"/>
                      <w:color w:val="auto"/>
                      <w:sz w:val="21"/>
                      <w:szCs w:val="21"/>
                      <w:lang w:val="en-US" w:eastAsia="zh-CN"/>
                    </w:rPr>
                    <w:t>本项目从事</w:t>
                  </w:r>
                  <w:r>
                    <w:rPr>
                      <w:rFonts w:hint="eastAsia" w:ascii="Times New Roman" w:hAnsi="Times New Roman" w:eastAsia="宋体" w:cs="Times New Roman"/>
                      <w:color w:val="auto"/>
                      <w:sz w:val="21"/>
                      <w:szCs w:val="21"/>
                      <w:lang w:val="en-US" w:eastAsia="zh-CN"/>
                    </w:rPr>
                    <w:t>输配电及控制设备配件</w:t>
                  </w:r>
                  <w:r>
                    <w:rPr>
                      <w:rFonts w:hint="default" w:ascii="Times New Roman" w:hAnsi="Times New Roman" w:eastAsia="宋体" w:cs="Times New Roman"/>
                      <w:color w:val="auto"/>
                      <w:sz w:val="21"/>
                      <w:szCs w:val="21"/>
                      <w:lang w:val="en-US" w:eastAsia="zh-CN"/>
                    </w:rPr>
                    <w:t>生产加工，</w:t>
                  </w:r>
                  <w:r>
                    <w:rPr>
                      <w:rFonts w:hint="eastAsia" w:ascii="Times New Roman" w:hAnsi="Times New Roman" w:eastAsia="宋体" w:cs="Times New Roman"/>
                      <w:color w:val="auto"/>
                      <w:sz w:val="21"/>
                      <w:szCs w:val="21"/>
                      <w:lang w:val="en-US" w:eastAsia="zh-CN"/>
                    </w:rPr>
                    <w:t>属于C3829其他输配电及控制设备制造和C3360金属表面处理及热处理加工</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符合国家法律法规、产业政策及相关规划的相关要求；符合宝鸡市“三线一单”生态管控单元的管控要求；项目用地不占用永久基本农田，不涉及生态保护红线</w:t>
                  </w:r>
                </w:p>
              </w:tc>
              <w:tc>
                <w:tcPr>
                  <w:tcW w:w="557" w:type="dxa"/>
                  <w:tcBorders>
                    <w:tl2br w:val="nil"/>
                    <w:tr2bl w:val="nil"/>
                  </w:tcBorders>
                  <w:noWrap w:val="0"/>
                  <w:tcMar>
                    <w:left w:w="28" w:type="dxa"/>
                    <w:right w:w="28" w:type="dxa"/>
                  </w:tcMar>
                  <w:vAlign w:val="center"/>
                </w:tcPr>
                <w:p w14:paraId="21874225">
                  <w:pPr>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14:paraId="769B523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604" w:hRule="atLeast"/>
                <w:jc w:val="center"/>
              </w:trPr>
              <w:tc>
                <w:tcPr>
                  <w:tcW w:w="751" w:type="dxa"/>
                  <w:vMerge w:val="continue"/>
                  <w:tcBorders>
                    <w:tl2br w:val="nil"/>
                    <w:tr2bl w:val="nil"/>
                  </w:tcBorders>
                  <w:noWrap w:val="0"/>
                  <w:tcMar>
                    <w:left w:w="28" w:type="dxa"/>
                    <w:right w:w="28" w:type="dxa"/>
                  </w:tcMar>
                  <w:vAlign w:val="center"/>
                </w:tcPr>
                <w:p w14:paraId="60C89B97">
                  <w:pPr>
                    <w:autoSpaceDE w:val="0"/>
                    <w:autoSpaceDN w:val="0"/>
                    <w:adjustRightInd w:val="0"/>
                    <w:spacing w:line="240" w:lineRule="auto"/>
                    <w:ind w:firstLine="0" w:firstLineChars="0"/>
                    <w:jc w:val="both"/>
                    <w:rPr>
                      <w:rFonts w:hint="default" w:ascii="Times New Roman" w:hAnsi="Times New Roman" w:eastAsia="宋体" w:cs="Times New Roman"/>
                      <w:b w:val="0"/>
                      <w:bCs/>
                      <w:color w:val="auto"/>
                      <w:spacing w:val="4"/>
                      <w:sz w:val="21"/>
                      <w:szCs w:val="21"/>
                    </w:rPr>
                  </w:pPr>
                </w:p>
              </w:tc>
              <w:tc>
                <w:tcPr>
                  <w:tcW w:w="3890" w:type="dxa"/>
                  <w:tcBorders>
                    <w:tl2br w:val="nil"/>
                    <w:tr2bl w:val="nil"/>
                  </w:tcBorders>
                  <w:noWrap w:val="0"/>
                  <w:tcMar>
                    <w:left w:w="28" w:type="dxa"/>
                    <w:right w:w="28" w:type="dxa"/>
                  </w:tcMar>
                  <w:vAlign w:val="center"/>
                </w:tcPr>
                <w:p w14:paraId="07B0EB26">
                  <w:pPr>
                    <w:jc w:val="both"/>
                    <w:rPr>
                      <w:rFonts w:hint="default" w:ascii="Times New Roman" w:hAnsi="Times New Roman" w:eastAsia="宋体" w:cs="Times New Roman"/>
                      <w:b w:val="0"/>
                      <w:bCs/>
                      <w:color w:val="auto"/>
                      <w:spacing w:val="4"/>
                      <w:sz w:val="21"/>
                      <w:szCs w:val="21"/>
                      <w:lang w:val="en-US" w:eastAsia="zh-CN"/>
                    </w:rPr>
                  </w:pPr>
                  <w:r>
                    <w:rPr>
                      <w:rFonts w:hint="default" w:ascii="Times New Roman" w:hAnsi="Times New Roman" w:eastAsia="宋体" w:cs="Times New Roman"/>
                      <w:color w:val="auto"/>
                      <w:sz w:val="21"/>
                      <w:szCs w:val="21"/>
                      <w:lang w:val="en-US" w:eastAsia="zh-CN"/>
                    </w:rPr>
                    <w:t>（2）环境影响分析：①环境空气：大气污染主要来自园区居民生活产生的废气、企业工艺废气及锅炉烟气等。其污染物主要为颗粒物、SO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、NOx及挥发性有机物等，各项污染因子满足标准后</w:t>
                  </w:r>
                  <w:r>
                    <w:rPr>
                      <w:rFonts w:hint="eastAsia" w:cs="Times New Roman"/>
                      <w:color w:val="auto"/>
                      <w:sz w:val="21"/>
                      <w:szCs w:val="21"/>
                      <w:lang w:val="en-US" w:eastAsia="zh-CN"/>
                    </w:rPr>
                    <w:t>排放</w:t>
                  </w:r>
                  <w:r>
                    <w:rPr>
                      <w:rFonts w:hint="default" w:ascii="Times New Roman" w:hAnsi="Times New Roman" w:eastAsia="宋体" w:cs="Times New Roman"/>
                      <w:color w:val="auto"/>
                      <w:sz w:val="21"/>
                      <w:szCs w:val="21"/>
                      <w:lang w:val="en-US" w:eastAsia="zh-CN"/>
                    </w:rPr>
                    <w:t>。②地表水环境：科技工业园（西区）依托现状虢镇污水处理厂，现状处理能力5万m³/d，正在进行扩容和提标改造，扩建后处理能力为10万m³/d，污水处理厂出水达标后排入渭河。③土壤和地下水环境：入园企业严格控制企业废水无组织泄漏，加强对污水输送管道的检查和维护，并严格做好防渗处理等防范措施。④固体废物：入园企业产生的一般工业固体废物遵循资源化、无害化、减量化的原则，对可资源化一般工业固体废物优先进行资源化再利用，危险废物交有资质单位处置。生活垃圾收集后运往长寿沟垃圾处理场处置，远期可依托宝鸡市生活垃圾焚烧发电处理项目进行处置。⑤环境风险：通过建立环境风险防控和应急保障、环境风险预警体系，避免和减轻环境风险。</w:t>
                  </w:r>
                </w:p>
              </w:tc>
              <w:tc>
                <w:tcPr>
                  <w:tcW w:w="2600" w:type="dxa"/>
                  <w:tcBorders>
                    <w:tl2br w:val="nil"/>
                    <w:tr2bl w:val="nil"/>
                  </w:tcBorders>
                  <w:noWrap w:val="0"/>
                  <w:tcMar>
                    <w:left w:w="28" w:type="dxa"/>
                    <w:right w:w="28" w:type="dxa"/>
                  </w:tcMar>
                  <w:vAlign w:val="center"/>
                </w:tcPr>
                <w:p w14:paraId="77774807">
                  <w:pPr>
                    <w:jc w:val="both"/>
                    <w:rPr>
                      <w:rFonts w:hint="default" w:ascii="Times New Roman" w:hAnsi="Times New Roman" w:eastAsia="宋体" w:cs="Times New Roman"/>
                      <w:b w:val="0"/>
                      <w:bCs/>
                      <w:color w:val="auto"/>
                      <w:spacing w:val="4"/>
                      <w:sz w:val="21"/>
                      <w:szCs w:val="21"/>
                      <w:lang w:val="en-US" w:eastAsia="zh-CN"/>
                    </w:rPr>
                  </w:pPr>
                  <w:r>
                    <w:rPr>
                      <w:rFonts w:hint="default" w:ascii="Times New Roman" w:hAnsi="Times New Roman" w:eastAsia="宋体" w:cs="Times New Roman"/>
                      <w:color w:val="auto"/>
                      <w:sz w:val="21"/>
                      <w:szCs w:val="21"/>
                      <w:lang w:val="en-US" w:eastAsia="zh-CN"/>
                    </w:rPr>
                    <w:t>①</w:t>
                  </w:r>
                  <w:r>
                    <w:rPr>
                      <w:rFonts w:hint="default" w:ascii="Times New Roman" w:hAnsi="Times New Roman" w:eastAsia="宋体" w:cs="Times New Roman"/>
                      <w:color w:val="auto"/>
                      <w:sz w:val="21"/>
                      <w:szCs w:val="21"/>
                    </w:rPr>
                    <w:t>本项目废气经配套设施处理后可达标排放</w:t>
                  </w:r>
                  <w:r>
                    <w:rPr>
                      <w:rFonts w:hint="default" w:ascii="Times New Roman" w:hAnsi="Times New Roman" w:eastAsia="宋体" w:cs="Times New Roman"/>
                      <w:color w:val="auto"/>
                      <w:spacing w:val="-1"/>
                      <w:sz w:val="21"/>
                      <w:szCs w:val="21"/>
                      <w:lang w:val="en-US" w:eastAsia="zh-CN"/>
                    </w:rPr>
                    <w:t>。</w:t>
                  </w:r>
                  <w:r>
                    <w:rPr>
                      <w:rFonts w:hint="default" w:ascii="Times New Roman" w:hAnsi="Times New Roman" w:eastAsia="宋体" w:cs="Times New Roman"/>
                      <w:color w:val="auto"/>
                      <w:sz w:val="21"/>
                      <w:szCs w:val="21"/>
                      <w:lang w:val="en-US" w:eastAsia="zh-CN"/>
                    </w:rPr>
                    <w:t>②项目运营期</w:t>
                  </w:r>
                  <w:r>
                    <w:rPr>
                      <w:rFonts w:hint="default" w:ascii="Times New Roman" w:hAnsi="Times New Roman" w:eastAsia="宋体" w:cs="Times New Roman"/>
                      <w:color w:val="auto"/>
                      <w:kern w:val="2"/>
                      <w:sz w:val="21"/>
                      <w:szCs w:val="21"/>
                    </w:rPr>
                    <w:t>生活污水</w:t>
                  </w:r>
                  <w:r>
                    <w:rPr>
                      <w:rFonts w:hint="default" w:ascii="Times New Roman" w:hAnsi="Times New Roman" w:eastAsia="宋体" w:cs="Times New Roman"/>
                      <w:color w:val="auto"/>
                      <w:kern w:val="2"/>
                      <w:sz w:val="21"/>
                      <w:szCs w:val="21"/>
                      <w:lang w:val="en-US" w:eastAsia="zh-CN"/>
                    </w:rPr>
                    <w:t>经</w:t>
                  </w:r>
                  <w:r>
                    <w:rPr>
                      <w:rFonts w:hint="default" w:ascii="Times New Roman" w:hAnsi="Times New Roman" w:eastAsia="宋体" w:cs="Times New Roman"/>
                      <w:color w:val="auto"/>
                      <w:kern w:val="2"/>
                      <w:sz w:val="21"/>
                      <w:szCs w:val="21"/>
                      <w:lang w:eastAsia="zh-CN"/>
                    </w:rPr>
                    <w:t>化粪池</w:t>
                  </w:r>
                  <w:r>
                    <w:rPr>
                      <w:rFonts w:hint="default" w:ascii="Times New Roman" w:hAnsi="Times New Roman" w:eastAsia="宋体" w:cs="Times New Roman"/>
                      <w:color w:val="auto"/>
                      <w:kern w:val="2"/>
                      <w:sz w:val="21"/>
                      <w:szCs w:val="21"/>
                    </w:rPr>
                    <w:t>预处理后，</w:t>
                  </w:r>
                  <w:r>
                    <w:rPr>
                      <w:rFonts w:hint="eastAsia" w:ascii="Times New Roman" w:hAnsi="Times New Roman" w:eastAsia="宋体" w:cs="Times New Roman"/>
                      <w:color w:val="auto"/>
                      <w:sz w:val="21"/>
                      <w:szCs w:val="21"/>
                      <w:lang w:val="en-US" w:eastAsia="zh-CN"/>
                    </w:rPr>
                    <w:t>定期清运</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生产废水经水处理设施处理后循环使用，不外排；硅烷槽和脱脂槽产生的废液暂存于危废贮存设施内委托第三方资质单位清运处置，</w:t>
                  </w:r>
                  <w:r>
                    <w:rPr>
                      <w:rFonts w:hint="eastAsia" w:cs="Times New Roman"/>
                      <w:color w:val="auto"/>
                      <w:sz w:val="21"/>
                      <w:szCs w:val="21"/>
                      <w:lang w:val="en-US" w:eastAsia="zh-CN"/>
                    </w:rPr>
                    <w:t>无外排废水，</w:t>
                  </w:r>
                  <w:r>
                    <w:rPr>
                      <w:rFonts w:hint="default" w:ascii="Times New Roman" w:hAnsi="Times New Roman" w:eastAsia="宋体" w:cs="Times New Roman"/>
                      <w:color w:val="auto"/>
                      <w:sz w:val="21"/>
                      <w:szCs w:val="21"/>
                      <w:lang w:val="en-US" w:eastAsia="zh-CN"/>
                    </w:rPr>
                    <w:t>对周围地表水环境影响较小。③本项目对</w:t>
                  </w:r>
                  <w:r>
                    <w:rPr>
                      <w:rFonts w:hint="eastAsia" w:ascii="Times New Roman" w:hAnsi="Times New Roman" w:eastAsia="宋体" w:cs="Times New Roman"/>
                      <w:bCs/>
                      <w:color w:val="auto"/>
                      <w:spacing w:val="0"/>
                      <w:sz w:val="21"/>
                      <w:szCs w:val="21"/>
                      <w:vertAlign w:val="baseline"/>
                      <w:lang w:val="en-US" w:eastAsia="zh-CN"/>
                    </w:rPr>
                    <w:t>危废贮存库</w:t>
                  </w:r>
                  <w:r>
                    <w:rPr>
                      <w:rFonts w:hint="default" w:ascii="Times New Roman" w:hAnsi="Times New Roman" w:eastAsia="宋体" w:cs="Times New Roman"/>
                      <w:color w:val="auto"/>
                      <w:sz w:val="21"/>
                      <w:szCs w:val="21"/>
                      <w:lang w:val="en-US" w:eastAsia="zh-CN"/>
                    </w:rPr>
                    <w:t>地面</w:t>
                  </w:r>
                  <w:r>
                    <w:rPr>
                      <w:rFonts w:hint="eastAsia" w:ascii="Times New Roman" w:hAnsi="Times New Roman" w:eastAsia="宋体" w:cs="Times New Roman"/>
                      <w:color w:val="auto"/>
                      <w:sz w:val="21"/>
                      <w:szCs w:val="21"/>
                      <w:lang w:val="en-US" w:eastAsia="zh-CN"/>
                    </w:rPr>
                    <w:t>、污水处理设施区域及工件清洗工序区域均</w:t>
                  </w:r>
                  <w:r>
                    <w:rPr>
                      <w:rFonts w:hint="default" w:ascii="Times New Roman" w:hAnsi="Times New Roman" w:eastAsia="宋体" w:cs="Times New Roman"/>
                      <w:color w:val="auto"/>
                      <w:sz w:val="21"/>
                      <w:szCs w:val="21"/>
                    </w:rPr>
                    <w:t>采取重点防腐防渗措施</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可切断地下水、土壤污染途径，不会对地下水、土壤环境造成影响。④本项目运营期边角料</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金属屑、废钢丸、收尘灰等</w:t>
                  </w:r>
                  <w:r>
                    <w:rPr>
                      <w:rFonts w:hint="default" w:ascii="Times New Roman" w:hAnsi="Times New Roman" w:eastAsia="宋体" w:cs="Times New Roman"/>
                      <w:color w:val="auto"/>
                      <w:sz w:val="21"/>
                      <w:szCs w:val="21"/>
                    </w:rPr>
                    <w:t>收集外售</w:t>
                  </w:r>
                  <w:r>
                    <w:rPr>
                      <w:rFonts w:hint="default" w:ascii="Times New Roman" w:hAnsi="Times New Roman" w:eastAsia="宋体" w:cs="Times New Roman"/>
                      <w:color w:val="auto"/>
                      <w:sz w:val="21"/>
                      <w:szCs w:val="21"/>
                      <w:lang w:val="en-US" w:eastAsia="zh-CN"/>
                    </w:rPr>
                    <w:t>综合利用</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危险废物均</w:t>
                  </w:r>
                  <w:r>
                    <w:rPr>
                      <w:rFonts w:hint="default" w:ascii="Times New Roman" w:hAnsi="Times New Roman" w:eastAsia="宋体" w:cs="Times New Roman"/>
                      <w:color w:val="auto"/>
                      <w:sz w:val="21"/>
                      <w:szCs w:val="21"/>
                    </w:rPr>
                    <w:t>暂存于</w:t>
                  </w:r>
                  <w:r>
                    <w:rPr>
                      <w:rFonts w:hint="default" w:ascii="Times New Roman" w:hAnsi="Times New Roman" w:eastAsia="宋体" w:cs="Times New Roman"/>
                      <w:color w:val="auto"/>
                      <w:sz w:val="21"/>
                      <w:szCs w:val="21"/>
                      <w:lang w:eastAsia="zh-CN"/>
                    </w:rPr>
                    <w:t>危险废物贮存库</w:t>
                  </w:r>
                  <w:r>
                    <w:rPr>
                      <w:rFonts w:hint="default" w:ascii="Times New Roman" w:hAnsi="Times New Roman" w:eastAsia="宋体" w:cs="Times New Roman"/>
                      <w:color w:val="auto"/>
                      <w:sz w:val="21"/>
                      <w:szCs w:val="21"/>
                    </w:rPr>
                    <w:t>，定期交有危险废物处理资质的单位安全处置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生活垃圾采用垃圾桶分类收集，及时清运，交由环卫部门清运。</w:t>
                  </w:r>
                  <w:r>
                    <w:rPr>
                      <w:rFonts w:hint="default" w:ascii="Times New Roman" w:hAnsi="Times New Roman" w:eastAsia="宋体" w:cs="Times New Roman"/>
                      <w:color w:val="auto"/>
                      <w:sz w:val="21"/>
                      <w:szCs w:val="21"/>
                      <w:lang w:val="en-US" w:eastAsia="zh-CN"/>
                    </w:rPr>
                    <w:t>⑤本项目严格落实分区防渗要求，建立应急物资库，建立环境风险管理制度，日常巡检，</w:t>
                  </w:r>
                  <w:r>
                    <w:rPr>
                      <w:rFonts w:hint="default" w:ascii="Times New Roman" w:hAnsi="Times New Roman" w:eastAsia="宋体" w:cs="Times New Roman"/>
                      <w:b w:val="0"/>
                      <w:bCs w:val="0"/>
                      <w:color w:val="auto"/>
                      <w:sz w:val="21"/>
                      <w:szCs w:val="21"/>
                      <w:lang w:val="en-US" w:eastAsia="zh-CN"/>
                    </w:rPr>
                    <w:t>编制突发环境事件应急预案并备案</w:t>
                  </w:r>
                  <w:r>
                    <w:rPr>
                      <w:rFonts w:hint="default" w:ascii="Times New Roman" w:hAnsi="Times New Roman" w:eastAsia="宋体" w:cs="Times New Roman"/>
                      <w:color w:val="auto"/>
                      <w:sz w:val="21"/>
                      <w:szCs w:val="21"/>
                      <w:lang w:val="en-US" w:eastAsia="zh-CN"/>
                    </w:rPr>
                    <w:t>。</w:t>
                  </w:r>
                </w:p>
              </w:tc>
              <w:tc>
                <w:tcPr>
                  <w:tcW w:w="557" w:type="dxa"/>
                  <w:tcBorders>
                    <w:tl2br w:val="nil"/>
                    <w:tr2bl w:val="nil"/>
                  </w:tcBorders>
                  <w:noWrap w:val="0"/>
                  <w:tcMar>
                    <w:left w:w="28" w:type="dxa"/>
                    <w:right w:w="28" w:type="dxa"/>
                  </w:tcMar>
                  <w:vAlign w:val="center"/>
                </w:tcPr>
                <w:p w14:paraId="16CAD42E">
                  <w:pPr>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符合</w:t>
                  </w:r>
                </w:p>
              </w:tc>
            </w:tr>
            <w:tr w14:paraId="266DCE5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90" w:hRule="atLeast"/>
                <w:jc w:val="center"/>
              </w:trPr>
              <w:tc>
                <w:tcPr>
                  <w:tcW w:w="751" w:type="dxa"/>
                  <w:vMerge w:val="continue"/>
                  <w:tcBorders>
                    <w:tl2br w:val="nil"/>
                    <w:tr2bl w:val="nil"/>
                  </w:tcBorders>
                  <w:noWrap w:val="0"/>
                  <w:tcMar>
                    <w:left w:w="28" w:type="dxa"/>
                    <w:right w:w="28" w:type="dxa"/>
                  </w:tcMar>
                  <w:vAlign w:val="center"/>
                </w:tcPr>
                <w:p w14:paraId="640DCE3B">
                  <w:pPr>
                    <w:autoSpaceDE w:val="0"/>
                    <w:autoSpaceDN w:val="0"/>
                    <w:adjustRightInd w:val="0"/>
                    <w:spacing w:line="240" w:lineRule="auto"/>
                    <w:ind w:firstLine="0" w:firstLineChars="0"/>
                    <w:jc w:val="both"/>
                    <w:rPr>
                      <w:rFonts w:hint="default" w:ascii="Times New Roman" w:hAnsi="Times New Roman" w:eastAsia="宋体" w:cs="Times New Roman"/>
                      <w:b w:val="0"/>
                      <w:bCs/>
                      <w:color w:val="auto"/>
                      <w:spacing w:val="4"/>
                      <w:sz w:val="21"/>
                      <w:szCs w:val="21"/>
                    </w:rPr>
                  </w:pPr>
                </w:p>
              </w:tc>
              <w:tc>
                <w:tcPr>
                  <w:tcW w:w="3890" w:type="dxa"/>
                  <w:tcBorders>
                    <w:tl2br w:val="nil"/>
                    <w:tr2bl w:val="nil"/>
                  </w:tcBorders>
                  <w:noWrap w:val="0"/>
                  <w:tcMar>
                    <w:left w:w="28" w:type="dxa"/>
                    <w:right w:w="28" w:type="dxa"/>
                  </w:tcMar>
                  <w:vAlign w:val="center"/>
                </w:tcPr>
                <w:p w14:paraId="767F38D0">
                  <w:pPr>
                    <w:numPr>
                      <w:ilvl w:val="0"/>
                      <w:numId w:val="0"/>
                    </w:numPr>
                    <w:adjustRightInd w:val="0"/>
                    <w:snapToGrid w:val="0"/>
                    <w:spacing w:line="240" w:lineRule="auto"/>
                    <w:ind w:firstLine="0" w:firstLineChars="0"/>
                    <w:rPr>
                      <w:rFonts w:hint="eastAsia"/>
                      <w:b w:val="0"/>
                      <w:bCs/>
                      <w:color w:val="auto"/>
                      <w:szCs w:val="24"/>
                      <w:highlight w:val="none"/>
                      <w:lang w:eastAsia="zh-CN"/>
                    </w:rPr>
                  </w:pPr>
                  <w:r>
                    <w:rPr>
                      <w:rFonts w:hint="eastAsia"/>
                      <w:b w:val="0"/>
                      <w:bCs/>
                      <w:color w:val="auto"/>
                      <w:kern w:val="2"/>
                      <w:sz w:val="21"/>
                      <w:szCs w:val="24"/>
                      <w:lang w:val="en-US" w:eastAsia="zh-CN" w:bidi="ar-SA"/>
                    </w:rPr>
                    <w:t>（3）</w:t>
                  </w:r>
                  <w:r>
                    <w:rPr>
                      <w:b w:val="0"/>
                      <w:bCs/>
                      <w:color w:val="auto"/>
                      <w:szCs w:val="24"/>
                      <w:highlight w:val="none"/>
                    </w:rPr>
                    <w:t>经开区生态环境准入</w:t>
                  </w:r>
                  <w:r>
                    <w:rPr>
                      <w:rFonts w:hint="eastAsia"/>
                      <w:b w:val="0"/>
                      <w:bCs/>
                      <w:color w:val="auto"/>
                      <w:szCs w:val="24"/>
                      <w:highlight w:val="none"/>
                      <w:lang w:eastAsia="zh-CN"/>
                    </w:rPr>
                    <w:t>：</w:t>
                  </w:r>
                </w:p>
                <w:p w14:paraId="07B8A492">
                  <w:pPr>
                    <w:numPr>
                      <w:ilvl w:val="0"/>
                      <w:numId w:val="0"/>
                    </w:numPr>
                    <w:adjustRightInd w:val="0"/>
                    <w:snapToGrid w:val="0"/>
                    <w:spacing w:line="240" w:lineRule="auto"/>
                    <w:ind w:firstLine="0" w:firstLineChars="0"/>
                    <w:rPr>
                      <w:rFonts w:hint="eastAsia"/>
                      <w:b/>
                      <w:bCs/>
                      <w:color w:val="auto"/>
                      <w:sz w:val="21"/>
                      <w:szCs w:val="21"/>
                      <w:highlight w:val="none"/>
                    </w:rPr>
                  </w:pPr>
                  <w:r>
                    <w:rPr>
                      <w:rFonts w:hint="eastAsia"/>
                      <w:b/>
                      <w:bCs/>
                      <w:color w:val="auto"/>
                      <w:sz w:val="21"/>
                      <w:szCs w:val="21"/>
                      <w:highlight w:val="none"/>
                    </w:rPr>
                    <w:t>保护区域</w:t>
                  </w:r>
                </w:p>
                <w:p w14:paraId="0B0CDED8">
                  <w:pPr>
                    <w:adjustRightInd w:val="0"/>
                    <w:snapToGrid w:val="0"/>
                    <w:spacing w:line="240" w:lineRule="auto"/>
                    <w:ind w:firstLine="0" w:firstLineChars="0"/>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1 \* GB3 \* MERGEFORMAT </w:instrText>
                  </w:r>
                  <w:r>
                    <w:rPr>
                      <w:color w:val="auto"/>
                      <w:kern w:val="0"/>
                      <w:sz w:val="21"/>
                      <w:szCs w:val="21"/>
                      <w:highlight w:val="none"/>
                    </w:rPr>
                    <w:fldChar w:fldCharType="separate"/>
                  </w:r>
                  <w:r>
                    <w:rPr>
                      <w:color w:val="auto"/>
                      <w:kern w:val="0"/>
                      <w:sz w:val="21"/>
                      <w:szCs w:val="21"/>
                      <w:highlight w:val="none"/>
                    </w:rPr>
                    <w:t>①</w:t>
                  </w:r>
                  <w:r>
                    <w:rPr>
                      <w:color w:val="auto"/>
                      <w:kern w:val="0"/>
                      <w:sz w:val="21"/>
                      <w:szCs w:val="21"/>
                      <w:highlight w:val="none"/>
                    </w:rPr>
                    <w:fldChar w:fldCharType="end"/>
                  </w:r>
                  <w:r>
                    <w:rPr>
                      <w:color w:val="auto"/>
                      <w:kern w:val="0"/>
                      <w:sz w:val="21"/>
                      <w:szCs w:val="21"/>
                      <w:highlight w:val="none"/>
                    </w:rPr>
                    <w:t>严格执行相关行业企业布局选址要求，禁止在居民区、学校、医疗和养老机构等周边新建、扩建有色金属冶炼、焦化等行业企业。</w:t>
                  </w:r>
                </w:p>
                <w:p w14:paraId="0D03490F">
                  <w:pPr>
                    <w:adjustRightInd w:val="0"/>
                    <w:snapToGrid w:val="0"/>
                    <w:spacing w:line="240" w:lineRule="auto"/>
                    <w:ind w:firstLine="0" w:firstLineChars="0"/>
                    <w:rPr>
                      <w:rFonts w:hint="eastAsia"/>
                      <w:color w:val="auto"/>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2 \* GB3 \* MERGEFORMAT </w:instrText>
                  </w:r>
                  <w:r>
                    <w:rPr>
                      <w:color w:val="auto"/>
                      <w:kern w:val="0"/>
                      <w:sz w:val="21"/>
                      <w:szCs w:val="21"/>
                      <w:highlight w:val="none"/>
                    </w:rPr>
                    <w:fldChar w:fldCharType="separate"/>
                  </w:r>
                  <w:r>
                    <w:rPr>
                      <w:color w:val="auto"/>
                      <w:kern w:val="0"/>
                      <w:sz w:val="21"/>
                      <w:szCs w:val="21"/>
                      <w:highlight w:val="none"/>
                    </w:rPr>
                    <w:t>②</w:t>
                  </w:r>
                  <w:r>
                    <w:rPr>
                      <w:color w:val="auto"/>
                      <w:kern w:val="0"/>
                      <w:sz w:val="21"/>
                      <w:szCs w:val="21"/>
                      <w:highlight w:val="none"/>
                    </w:rPr>
                    <w:fldChar w:fldCharType="end"/>
                  </w:r>
                  <w:r>
                    <w:rPr>
                      <w:color w:val="auto"/>
                      <w:kern w:val="0"/>
                      <w:sz w:val="21"/>
                      <w:szCs w:val="21"/>
                      <w:highlight w:val="none"/>
                    </w:rPr>
                    <w:t>在居住区、学校和医院等敏感目标与工业企业布局</w:t>
                  </w:r>
                  <w:r>
                    <w:rPr>
                      <w:rFonts w:hint="eastAsia"/>
                      <w:color w:val="auto"/>
                      <w:kern w:val="0"/>
                      <w:sz w:val="21"/>
                      <w:szCs w:val="21"/>
                      <w:highlight w:val="none"/>
                      <w:lang w:val="en-US" w:eastAsia="zh-CN"/>
                    </w:rPr>
                    <w:t>之</w:t>
                  </w:r>
                  <w:r>
                    <w:rPr>
                      <w:color w:val="auto"/>
                      <w:kern w:val="0"/>
                      <w:sz w:val="21"/>
                      <w:szCs w:val="21"/>
                      <w:highlight w:val="none"/>
                    </w:rPr>
                    <w:t>间需布设绿化隔离带，同时，敏感目标四周的工业用地类型建议调整为一类工业用地，为避免对敏感目标的影响，需引进污染相对较轻的建设项目。</w:t>
                  </w:r>
                </w:p>
                <w:p w14:paraId="4EFBDF91">
                  <w:pPr>
                    <w:adjustRightInd w:val="0"/>
                    <w:snapToGrid w:val="0"/>
                    <w:spacing w:line="240" w:lineRule="auto"/>
                    <w:ind w:firstLine="0" w:firstLineChars="0"/>
                    <w:rPr>
                      <w:rFonts w:hint="eastAsia"/>
                      <w:b/>
                      <w:bCs/>
                      <w:color w:val="auto"/>
                      <w:sz w:val="21"/>
                      <w:szCs w:val="21"/>
                      <w:highlight w:val="none"/>
                    </w:rPr>
                  </w:pPr>
                  <w:r>
                    <w:rPr>
                      <w:rFonts w:hint="eastAsia"/>
                      <w:b/>
                      <w:bCs/>
                      <w:color w:val="auto"/>
                      <w:sz w:val="21"/>
                      <w:szCs w:val="21"/>
                      <w:highlight w:val="none"/>
                    </w:rPr>
                    <w:t>其他区域</w:t>
                  </w:r>
                </w:p>
                <w:p w14:paraId="66A05F1C">
                  <w:pPr>
                    <w:adjustRightInd w:val="0"/>
                    <w:snapToGrid w:val="0"/>
                    <w:spacing w:line="240" w:lineRule="auto"/>
                    <w:ind w:firstLine="0" w:firstLineChars="0"/>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1 \* GB3 \* MERGEFORMAT </w:instrText>
                  </w:r>
                  <w:r>
                    <w:rPr>
                      <w:color w:val="auto"/>
                      <w:kern w:val="0"/>
                      <w:sz w:val="21"/>
                      <w:szCs w:val="21"/>
                      <w:highlight w:val="none"/>
                    </w:rPr>
                    <w:fldChar w:fldCharType="separate"/>
                  </w:r>
                  <w:r>
                    <w:rPr>
                      <w:color w:val="auto"/>
                      <w:kern w:val="0"/>
                      <w:sz w:val="21"/>
                      <w:szCs w:val="21"/>
                      <w:highlight w:val="none"/>
                    </w:rPr>
                    <w:t>①</w:t>
                  </w:r>
                  <w:r>
                    <w:rPr>
                      <w:color w:val="auto"/>
                      <w:kern w:val="0"/>
                      <w:sz w:val="21"/>
                      <w:szCs w:val="21"/>
                      <w:highlight w:val="none"/>
                    </w:rPr>
                    <w:fldChar w:fldCharType="end"/>
                  </w:r>
                  <w:r>
                    <w:rPr>
                      <w:color w:val="auto"/>
                      <w:kern w:val="0"/>
                      <w:sz w:val="21"/>
                      <w:szCs w:val="21"/>
                      <w:highlight w:val="none"/>
                    </w:rPr>
                    <w:t>新建项目应符合经开区规划产业定位和土地利用规划，项目环评需分析规划及规划环评的符合性；</w:t>
                  </w:r>
                </w:p>
                <w:p w14:paraId="5F7114C3">
                  <w:pPr>
                    <w:adjustRightInd w:val="0"/>
                    <w:snapToGrid w:val="0"/>
                    <w:spacing w:line="240" w:lineRule="auto"/>
                    <w:ind w:firstLine="0" w:firstLineChars="0"/>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2 \* GB3 \* MERGEFORMAT </w:instrText>
                  </w:r>
                  <w:r>
                    <w:rPr>
                      <w:color w:val="auto"/>
                      <w:kern w:val="0"/>
                      <w:sz w:val="21"/>
                      <w:szCs w:val="21"/>
                      <w:highlight w:val="none"/>
                    </w:rPr>
                    <w:fldChar w:fldCharType="separate"/>
                  </w:r>
                  <w:r>
                    <w:rPr>
                      <w:color w:val="auto"/>
                      <w:kern w:val="0"/>
                      <w:sz w:val="21"/>
                      <w:szCs w:val="21"/>
                      <w:highlight w:val="none"/>
                    </w:rPr>
                    <w:t>②</w:t>
                  </w:r>
                  <w:r>
                    <w:rPr>
                      <w:color w:val="auto"/>
                      <w:kern w:val="0"/>
                      <w:sz w:val="21"/>
                      <w:szCs w:val="21"/>
                      <w:highlight w:val="none"/>
                    </w:rPr>
                    <w:fldChar w:fldCharType="end"/>
                  </w:r>
                  <w:r>
                    <w:rPr>
                      <w:color w:val="auto"/>
                      <w:kern w:val="0"/>
                      <w:sz w:val="21"/>
                      <w:szCs w:val="21"/>
                      <w:highlight w:val="none"/>
                    </w:rPr>
                    <w:t>新建项目须满足《产业结构调整指导目录》的要求，禁止采用淘汰类工艺；</w:t>
                  </w:r>
                </w:p>
                <w:p w14:paraId="476F9AFC">
                  <w:pPr>
                    <w:adjustRightInd w:val="0"/>
                    <w:snapToGrid w:val="0"/>
                    <w:spacing w:line="240" w:lineRule="auto"/>
                    <w:ind w:firstLine="0" w:firstLineChars="0"/>
                    <w:rPr>
                      <w:color w:val="auto"/>
                      <w:kern w:val="0"/>
                      <w:sz w:val="21"/>
                      <w:szCs w:val="21"/>
                      <w:highlight w:val="none"/>
                    </w:rPr>
                  </w:pPr>
                  <w:r>
                    <w:rPr>
                      <w:color w:val="auto"/>
                      <w:kern w:val="0"/>
                      <w:sz w:val="21"/>
                      <w:szCs w:val="21"/>
                      <w:highlight w:val="none"/>
                    </w:rPr>
                    <w:t>须符合国家和地方的产业政策，不得采用国家和地方淘汰的或禁止使用的工艺、技术和设备，不得建设生产工艺或污染防治技术不成熟的项目；</w:t>
                  </w:r>
                </w:p>
                <w:p w14:paraId="4FA9AFB7">
                  <w:pPr>
                    <w:adjustRightInd w:val="0"/>
                    <w:snapToGrid w:val="0"/>
                    <w:spacing w:line="240" w:lineRule="auto"/>
                    <w:ind w:firstLine="0" w:firstLineChars="0"/>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3 \* GB3 \* MERGEFORMAT </w:instrText>
                  </w:r>
                  <w:r>
                    <w:rPr>
                      <w:color w:val="auto"/>
                      <w:kern w:val="0"/>
                      <w:sz w:val="21"/>
                      <w:szCs w:val="21"/>
                      <w:highlight w:val="none"/>
                    </w:rPr>
                    <w:fldChar w:fldCharType="separate"/>
                  </w:r>
                  <w:r>
                    <w:rPr>
                      <w:color w:val="auto"/>
                      <w:kern w:val="0"/>
                      <w:sz w:val="21"/>
                      <w:szCs w:val="21"/>
                      <w:highlight w:val="none"/>
                    </w:rPr>
                    <w:t>③</w:t>
                  </w:r>
                  <w:r>
                    <w:rPr>
                      <w:color w:val="auto"/>
                      <w:kern w:val="0"/>
                      <w:sz w:val="21"/>
                      <w:szCs w:val="21"/>
                      <w:highlight w:val="none"/>
                    </w:rPr>
                    <w:fldChar w:fldCharType="end"/>
                  </w:r>
                  <w:r>
                    <w:rPr>
                      <w:color w:val="auto"/>
                      <w:kern w:val="0"/>
                      <w:sz w:val="21"/>
                      <w:szCs w:val="21"/>
                      <w:highlight w:val="none"/>
                    </w:rPr>
                    <w:t>新建项目必须采用国内外先进的生产工艺和技术设备，原材料指标及单位产品的物耗、能耗、水耗、资源综合利用和污染物产生量等指标应达到清洁生产先进水平；必须采用先进、可靠、安全的处理工艺和治理技术，严格落实需配套的污水分类处理措施、废气分类处理措施、废物分类处理措施、厂区土壤及地下水污染防治措施、环境风险防范措施、排污监测监控设施，确保主要污染物达标排放和符合总量控制的要求。</w:t>
                  </w:r>
                </w:p>
                <w:p w14:paraId="4ACE1FFE">
                  <w:pPr>
                    <w:adjustRightInd w:val="0"/>
                    <w:snapToGrid w:val="0"/>
                    <w:spacing w:line="240" w:lineRule="auto"/>
                    <w:ind w:firstLine="0" w:firstLineChars="0"/>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5 \* GB3 \* MERGEFORMAT </w:instrText>
                  </w:r>
                  <w:r>
                    <w:rPr>
                      <w:color w:val="auto"/>
                      <w:kern w:val="0"/>
                      <w:sz w:val="21"/>
                      <w:szCs w:val="21"/>
                      <w:highlight w:val="none"/>
                    </w:rPr>
                    <w:fldChar w:fldCharType="separate"/>
                  </w:r>
                  <w:r>
                    <w:rPr>
                      <w:color w:val="auto"/>
                      <w:kern w:val="0"/>
                      <w:sz w:val="21"/>
                      <w:szCs w:val="21"/>
                      <w:highlight w:val="none"/>
                    </w:rPr>
                    <w:t>⑤</w:t>
                  </w:r>
                  <w:r>
                    <w:rPr>
                      <w:color w:val="auto"/>
                      <w:kern w:val="0"/>
                      <w:sz w:val="21"/>
                      <w:szCs w:val="21"/>
                      <w:highlight w:val="none"/>
                    </w:rPr>
                    <w:fldChar w:fldCharType="end"/>
                  </w:r>
                  <w:r>
                    <w:rPr>
                      <w:color w:val="auto"/>
                      <w:kern w:val="0"/>
                      <w:sz w:val="21"/>
                      <w:szCs w:val="21"/>
                      <w:highlight w:val="none"/>
                    </w:rPr>
                    <w:t>扩建、改建、技术改造项目应全面调查、评价已有工程存在的环保问题，治理与项目有关的原有环境污染和生态破坏，并落实主要污染物排放减量化方案。</w:t>
                  </w:r>
                </w:p>
                <w:p w14:paraId="11CFB1B4">
                  <w:pPr>
                    <w:adjustRightInd w:val="0"/>
                    <w:snapToGrid w:val="0"/>
                    <w:spacing w:line="240" w:lineRule="auto"/>
                    <w:ind w:firstLine="0" w:firstLineChars="0"/>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6 \* GB3 \* MERGEFORMAT </w:instrText>
                  </w:r>
                  <w:r>
                    <w:rPr>
                      <w:color w:val="auto"/>
                      <w:kern w:val="0"/>
                      <w:sz w:val="21"/>
                      <w:szCs w:val="21"/>
                      <w:highlight w:val="none"/>
                    </w:rPr>
                    <w:fldChar w:fldCharType="separate"/>
                  </w:r>
                  <w:r>
                    <w:rPr>
                      <w:color w:val="auto"/>
                      <w:kern w:val="0"/>
                      <w:sz w:val="21"/>
                      <w:szCs w:val="21"/>
                      <w:highlight w:val="none"/>
                    </w:rPr>
                    <w:t>⑥</w:t>
                  </w:r>
                  <w:r>
                    <w:rPr>
                      <w:color w:val="auto"/>
                      <w:kern w:val="0"/>
                      <w:sz w:val="21"/>
                      <w:szCs w:val="21"/>
                      <w:highlight w:val="none"/>
                    </w:rPr>
                    <w:fldChar w:fldCharType="end"/>
                  </w:r>
                  <w:r>
                    <w:rPr>
                      <w:color w:val="auto"/>
                      <w:kern w:val="0"/>
                      <w:sz w:val="21"/>
                      <w:szCs w:val="21"/>
                      <w:highlight w:val="none"/>
                    </w:rPr>
                    <w:t>新建、改建、扩建食品及农副产品加工建设项目实行主要污染物排放等量或减量置换。</w:t>
                  </w:r>
                </w:p>
                <w:p w14:paraId="18632BDF">
                  <w:pPr>
                    <w:jc w:val="both"/>
                    <w:rPr>
                      <w:rFonts w:hint="default" w:ascii="Times New Roman" w:hAnsi="Times New Roman" w:eastAsia="宋体" w:cs="Times New Roman"/>
                      <w:b w:val="0"/>
                      <w:bCs/>
                      <w:color w:val="auto"/>
                      <w:spacing w:val="4"/>
                      <w:sz w:val="21"/>
                      <w:szCs w:val="21"/>
                      <w:lang w:val="en-US" w:eastAsia="zh-CN"/>
                    </w:rPr>
                  </w:pPr>
                  <w:r>
                    <w:rPr>
                      <w:color w:val="auto"/>
                      <w:kern w:val="0"/>
                      <w:sz w:val="21"/>
                      <w:szCs w:val="21"/>
                      <w:highlight w:val="none"/>
                    </w:rPr>
                    <w:fldChar w:fldCharType="begin"/>
                  </w:r>
                  <w:r>
                    <w:rPr>
                      <w:color w:val="auto"/>
                      <w:kern w:val="0"/>
                      <w:sz w:val="21"/>
                      <w:szCs w:val="21"/>
                      <w:highlight w:val="none"/>
                    </w:rPr>
                    <w:instrText xml:space="preserve"> = 7 \* GB3 \* MERGEFORMAT </w:instrText>
                  </w:r>
                  <w:r>
                    <w:rPr>
                      <w:color w:val="auto"/>
                      <w:kern w:val="0"/>
                      <w:sz w:val="21"/>
                      <w:szCs w:val="21"/>
                      <w:highlight w:val="none"/>
                    </w:rPr>
                    <w:fldChar w:fldCharType="separate"/>
                  </w:r>
                  <w:r>
                    <w:rPr>
                      <w:color w:val="auto"/>
                      <w:kern w:val="0"/>
                      <w:sz w:val="21"/>
                      <w:szCs w:val="21"/>
                      <w:highlight w:val="none"/>
                    </w:rPr>
                    <w:t>⑦</w:t>
                  </w:r>
                  <w:r>
                    <w:rPr>
                      <w:color w:val="auto"/>
                      <w:kern w:val="0"/>
                      <w:sz w:val="21"/>
                      <w:szCs w:val="21"/>
                      <w:highlight w:val="none"/>
                    </w:rPr>
                    <w:fldChar w:fldCharType="end"/>
                  </w:r>
                  <w:r>
                    <w:rPr>
                      <w:color w:val="auto"/>
                      <w:kern w:val="0"/>
                      <w:sz w:val="21"/>
                      <w:szCs w:val="21"/>
                      <w:highlight w:val="none"/>
                    </w:rPr>
                    <w:t>渭河流域禁止新建、扩建化学制浆造纸、化工、印染、果汁和淀粉加工等高耗水、高污染项目。</w:t>
                  </w:r>
                </w:p>
              </w:tc>
              <w:tc>
                <w:tcPr>
                  <w:tcW w:w="2600" w:type="dxa"/>
                  <w:tcBorders>
                    <w:tl2br w:val="nil"/>
                    <w:tr2bl w:val="nil"/>
                  </w:tcBorders>
                  <w:noWrap w:val="0"/>
                  <w:tcMar>
                    <w:left w:w="28" w:type="dxa"/>
                    <w:right w:w="28" w:type="dxa"/>
                  </w:tcMar>
                  <w:vAlign w:val="center"/>
                </w:tcPr>
                <w:p w14:paraId="115E8A04">
                  <w:pPr>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本项目在</w:t>
                  </w:r>
                  <w:r>
                    <w:rPr>
                      <w:rFonts w:hint="default" w:ascii="Times New Roman" w:hAnsi="Times New Roman" w:eastAsia="宋体" w:cs="Times New Roman"/>
                      <w:b w:val="0"/>
                      <w:bCs w:val="0"/>
                      <w:color w:val="auto"/>
                      <w:sz w:val="21"/>
                      <w:szCs w:val="24"/>
                      <w:lang w:eastAsia="zh-CN"/>
                    </w:rPr>
                    <w:t>陕西陈仓经济技术开发区</w:t>
                  </w:r>
                  <w:r>
                    <w:rPr>
                      <w:rFonts w:hint="eastAsia" w:ascii="Times New Roman" w:hAnsi="Times New Roman" w:eastAsia="宋体" w:cs="Times New Roman"/>
                      <w:b w:val="0"/>
                      <w:bCs w:val="0"/>
                      <w:color w:val="auto"/>
                      <w:sz w:val="21"/>
                      <w:szCs w:val="24"/>
                      <w:lang w:val="en-US" w:eastAsia="zh-CN"/>
                    </w:rPr>
                    <w:t>西片区，属于C3829</w:t>
                  </w:r>
                  <w:r>
                    <w:rPr>
                      <w:rFonts w:hint="eastAsia" w:ascii="Times New Roman" w:hAnsi="Times New Roman" w:eastAsia="宋体" w:cs="Times New Roman"/>
                      <w:color w:val="auto"/>
                      <w:sz w:val="21"/>
                      <w:szCs w:val="21"/>
                      <w:lang w:val="en-US" w:eastAsia="zh-CN"/>
                    </w:rPr>
                    <w:t>其他输配电及控制设备制造和C3360金属表面处理及热处理加工，不属于有色金属冶炼、焦化行业。</w:t>
                  </w:r>
                </w:p>
                <w:p w14:paraId="21DFB526">
                  <w:pP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本项目通过合理布局，远离北侧居民，且通过降噪措施，满足噪声排放标准</w:t>
                  </w:r>
                  <w:r>
                    <w:rPr>
                      <w:rFonts w:hint="eastAsia" w:ascii="Times New Roman" w:hAnsi="Times New Roman" w:eastAsia="宋体" w:cs="Times New Roman"/>
                      <w:b w:val="0"/>
                      <w:bCs/>
                      <w:color w:val="auto"/>
                      <w:sz w:val="21"/>
                      <w:szCs w:val="21"/>
                      <w:highlight w:val="none"/>
                      <w:lang w:val="en-US" w:eastAsia="zh-CN"/>
                    </w:rPr>
                    <w:t>。</w:t>
                  </w:r>
                </w:p>
                <w:p w14:paraId="4CF83403">
                  <w:pPr>
                    <w:rPr>
                      <w:color w:val="auto"/>
                      <w:kern w:val="0"/>
                      <w:sz w:val="21"/>
                      <w:szCs w:val="21"/>
                      <w:highlight w:val="none"/>
                    </w:rPr>
                  </w:pPr>
                  <w:r>
                    <w:rPr>
                      <w:rFonts w:hint="eastAsia" w:ascii="Times New Roman" w:hAnsi="Times New Roman" w:eastAsia="宋体" w:cs="Times New Roman"/>
                      <w:b w:val="0"/>
                      <w:bCs/>
                      <w:color w:val="auto"/>
                      <w:sz w:val="21"/>
                      <w:szCs w:val="21"/>
                      <w:highlight w:val="none"/>
                      <w:lang w:val="en-US" w:eastAsia="zh-CN"/>
                    </w:rPr>
                    <w:t>本项目位于</w:t>
                  </w:r>
                  <w:r>
                    <w:rPr>
                      <w:rFonts w:hint="eastAsia" w:cs="Times New Roman"/>
                      <w:b w:val="0"/>
                      <w:bCs/>
                      <w:color w:val="auto"/>
                      <w:sz w:val="21"/>
                      <w:szCs w:val="21"/>
                      <w:highlight w:val="none"/>
                      <w:lang w:val="en-US" w:eastAsia="zh-CN"/>
                    </w:rPr>
                    <w:t>二</w:t>
                  </w:r>
                  <w:r>
                    <w:rPr>
                      <w:rFonts w:hint="eastAsia" w:ascii="Times New Roman" w:hAnsi="Times New Roman" w:eastAsia="宋体" w:cs="Times New Roman"/>
                      <w:b w:val="0"/>
                      <w:bCs/>
                      <w:color w:val="auto"/>
                      <w:sz w:val="21"/>
                      <w:szCs w:val="21"/>
                      <w:highlight w:val="none"/>
                      <w:lang w:val="en-US" w:eastAsia="zh-CN"/>
                    </w:rPr>
                    <w:t>类工业用地内；本项目使用的烘干炉和固化炉满足</w:t>
                  </w:r>
                  <w:r>
                    <w:rPr>
                      <w:color w:val="auto"/>
                      <w:kern w:val="0"/>
                      <w:sz w:val="21"/>
                      <w:szCs w:val="21"/>
                      <w:highlight w:val="none"/>
                    </w:rPr>
                    <w:t>《产业结构调整指导目录》的要求</w:t>
                  </w:r>
                  <w:r>
                    <w:rPr>
                      <w:rFonts w:hint="eastAsia"/>
                      <w:color w:val="auto"/>
                      <w:kern w:val="0"/>
                      <w:sz w:val="21"/>
                      <w:szCs w:val="21"/>
                      <w:highlight w:val="none"/>
                      <w:lang w:eastAsia="zh-CN"/>
                    </w:rPr>
                    <w:t>，</w:t>
                  </w:r>
                  <w:r>
                    <w:rPr>
                      <w:rFonts w:hint="eastAsia"/>
                      <w:color w:val="auto"/>
                      <w:kern w:val="0"/>
                      <w:sz w:val="21"/>
                      <w:szCs w:val="21"/>
                      <w:highlight w:val="none"/>
                      <w:lang w:val="en-US" w:eastAsia="zh-CN"/>
                    </w:rPr>
                    <w:t>不属于</w:t>
                  </w:r>
                  <w:r>
                    <w:rPr>
                      <w:color w:val="auto"/>
                      <w:kern w:val="0"/>
                      <w:sz w:val="21"/>
                      <w:szCs w:val="21"/>
                      <w:highlight w:val="none"/>
                    </w:rPr>
                    <w:t>淘汰类工艺</w:t>
                  </w:r>
                  <w:r>
                    <w:rPr>
                      <w:rFonts w:hint="eastAsia"/>
                      <w:color w:val="auto"/>
                      <w:kern w:val="0"/>
                      <w:sz w:val="21"/>
                      <w:szCs w:val="21"/>
                      <w:highlight w:val="none"/>
                      <w:lang w:eastAsia="zh-CN"/>
                    </w:rPr>
                    <w:t>，不属于</w:t>
                  </w:r>
                  <w:r>
                    <w:rPr>
                      <w:color w:val="auto"/>
                      <w:kern w:val="0"/>
                      <w:sz w:val="21"/>
                      <w:szCs w:val="21"/>
                      <w:highlight w:val="none"/>
                    </w:rPr>
                    <w:t>国家和地方淘汰的或禁止使用的工艺、技术和设备</w:t>
                  </w:r>
                  <w:r>
                    <w:rPr>
                      <w:rFonts w:hint="eastAsia"/>
                      <w:color w:val="auto"/>
                      <w:kern w:val="0"/>
                      <w:sz w:val="21"/>
                      <w:szCs w:val="21"/>
                      <w:highlight w:val="none"/>
                      <w:lang w:eastAsia="zh-CN"/>
                    </w:rPr>
                    <w:t>。</w:t>
                  </w:r>
                </w:p>
                <w:p w14:paraId="02D3BBAB">
                  <w:pPr>
                    <w:rPr>
                      <w:rFonts w:hint="default" w:ascii="Times New Roman" w:hAnsi="Times New Roman" w:eastAsia="宋体" w:cs="Times New Roman"/>
                      <w:b w:val="0"/>
                      <w:bCs/>
                      <w:color w:val="auto"/>
                      <w:spacing w:val="4"/>
                      <w:sz w:val="21"/>
                      <w:szCs w:val="21"/>
                      <w:lang w:val="en-US" w:eastAsia="zh-CN"/>
                    </w:rPr>
                  </w:pPr>
                  <w:r>
                    <w:rPr>
                      <w:rFonts w:hint="eastAsia"/>
                      <w:color w:val="auto"/>
                      <w:lang w:val="en-US" w:eastAsia="zh-CN"/>
                    </w:rPr>
                    <w:t>本项目为扩建项目，废水、废气能够稳定达标排放，固废得到妥善处置，能达到清洁生产先进水平。</w:t>
                  </w:r>
                </w:p>
              </w:tc>
              <w:tc>
                <w:tcPr>
                  <w:tcW w:w="557" w:type="dxa"/>
                  <w:tcBorders>
                    <w:tl2br w:val="nil"/>
                    <w:tr2bl w:val="nil"/>
                  </w:tcBorders>
                  <w:noWrap w:val="0"/>
                  <w:tcMar>
                    <w:left w:w="28" w:type="dxa"/>
                    <w:right w:w="28" w:type="dxa"/>
                  </w:tcMar>
                  <w:vAlign w:val="center"/>
                </w:tcPr>
                <w:p w14:paraId="321B5399">
                  <w:pPr>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符合</w:t>
                  </w:r>
                </w:p>
              </w:tc>
            </w:tr>
            <w:tr w14:paraId="7378B84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1515" w:hRule="atLeast"/>
                <w:jc w:val="center"/>
              </w:trPr>
              <w:tc>
                <w:tcPr>
                  <w:tcW w:w="751" w:type="dxa"/>
                  <w:vMerge w:val="restart"/>
                  <w:tcBorders>
                    <w:tl2br w:val="nil"/>
                    <w:tr2bl w:val="nil"/>
                  </w:tcBorders>
                  <w:noWrap w:val="0"/>
                  <w:tcMar>
                    <w:left w:w="28" w:type="dxa"/>
                    <w:right w:w="28" w:type="dxa"/>
                  </w:tcMar>
                  <w:vAlign w:val="center"/>
                </w:tcPr>
                <w:p w14:paraId="3BD531E3">
                  <w:pPr>
                    <w:keepNext w:val="0"/>
                    <w:keepLines w:val="0"/>
                    <w:widowControl/>
                    <w:suppressLineNumbers w:val="0"/>
                    <w:spacing w:line="240" w:lineRule="auto"/>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《陕西陈仓经济技术开发区总体规划（2022</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2035年）环境</w:t>
                  </w:r>
                </w:p>
                <w:p w14:paraId="121078ED">
                  <w:pPr>
                    <w:keepNext w:val="0"/>
                    <w:keepLines w:val="0"/>
                    <w:widowControl/>
                    <w:suppressLineNumbers w:val="0"/>
                    <w:spacing w:line="240" w:lineRule="auto"/>
                    <w:jc w:val="left"/>
                    <w:rPr>
                      <w:rFonts w:hint="default" w:ascii="Times New Roman" w:hAnsi="Times New Roman" w:eastAsia="宋体" w:cs="Times New Roman"/>
                      <w:b w:val="0"/>
                      <w:bCs/>
                      <w:color w:val="auto"/>
                      <w:spacing w:val="4"/>
                      <w:sz w:val="21"/>
                      <w:szCs w:val="21"/>
                    </w:rPr>
                  </w:pPr>
                  <w:r>
                    <w:rPr>
                      <w:rFonts w:hint="default" w:ascii="Times New Roman" w:hAnsi="Times New Roman" w:eastAsia="宋体" w:cs="Times New Roman"/>
                      <w:color w:val="auto"/>
                      <w:kern w:val="0"/>
                      <w:sz w:val="21"/>
                      <w:szCs w:val="21"/>
                      <w:lang w:val="en-US" w:eastAsia="zh-CN" w:bidi="ar"/>
                    </w:rPr>
                    <w:t>影响报告书》审查意见的函</w:t>
                  </w:r>
                </w:p>
              </w:tc>
              <w:tc>
                <w:tcPr>
                  <w:tcW w:w="3890" w:type="dxa"/>
                  <w:tcBorders>
                    <w:tl2br w:val="nil"/>
                    <w:tr2bl w:val="nil"/>
                  </w:tcBorders>
                  <w:noWrap w:val="0"/>
                  <w:tcMar>
                    <w:left w:w="28" w:type="dxa"/>
                    <w:right w:w="28" w:type="dxa"/>
                  </w:tcMar>
                  <w:vAlign w:val="center"/>
                </w:tcPr>
                <w:p w14:paraId="28936C79">
                  <w:pPr>
                    <w:jc w:val="both"/>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一</w:t>
                  </w:r>
                  <w:r>
                    <w:rPr>
                      <w:rFonts w:hint="eastAsia" w:ascii="Times New Roman" w:hAnsi="Times New Roman" w:eastAsia="宋体" w:cs="Times New Roman"/>
                      <w:color w:val="auto"/>
                      <w:szCs w:val="21"/>
                      <w:lang w:eastAsia="zh-CN"/>
                    </w:rPr>
                    <w:t>）生态建设目标。</w:t>
                  </w:r>
                </w:p>
                <w:p w14:paraId="6609C79F">
                  <w:pPr>
                    <w:ind w:firstLine="420" w:firstLineChars="200"/>
                    <w:jc w:val="both"/>
                    <w:rPr>
                      <w:rFonts w:hint="default" w:ascii="Times New Roman" w:hAnsi="Times New Roman" w:eastAsia="宋体" w:cs="Times New Roman"/>
                      <w:b w:val="0"/>
                      <w:bCs/>
                      <w:color w:val="auto"/>
                      <w:spacing w:val="4"/>
                      <w:sz w:val="21"/>
                      <w:szCs w:val="21"/>
                      <w:lang w:val="en-US" w:eastAsia="zh-CN"/>
                    </w:rPr>
                  </w:pPr>
                  <w:r>
                    <w:rPr>
                      <w:rFonts w:hint="eastAsia" w:ascii="Times New Roman" w:hAnsi="Times New Roman" w:eastAsia="宋体" w:cs="Times New Roman"/>
                      <w:color w:val="auto"/>
                      <w:szCs w:val="21"/>
                      <w:lang w:eastAsia="zh-CN"/>
                    </w:rPr>
                    <w:t>根据规划区周边环境状况、环境质量状况以及规划项目排污特征、影响特征，《总体规划》确定的环境保护目标为：规划区域及所影响到的环境评价区域内环境空气、地表水环境、声环境等均达到相对应的区域环境质量标准要求，中水回用率目标为30%，废水处理达标率100%，生活垃圾无害化处理率100%，一般工业固废处置率100%，危险废物无害化处理与处置率100%。</w:t>
                  </w:r>
                </w:p>
              </w:tc>
              <w:tc>
                <w:tcPr>
                  <w:tcW w:w="2600" w:type="dxa"/>
                  <w:tcBorders>
                    <w:tl2br w:val="nil"/>
                    <w:tr2bl w:val="nil"/>
                  </w:tcBorders>
                  <w:noWrap w:val="0"/>
                  <w:tcMar>
                    <w:left w:w="28" w:type="dxa"/>
                    <w:right w:w="28" w:type="dxa"/>
                  </w:tcMar>
                  <w:vAlign w:val="center"/>
                </w:tcPr>
                <w:p w14:paraId="107F06F8">
                  <w:pPr>
                    <w:jc w:val="both"/>
                    <w:rPr>
                      <w:rFonts w:hint="default" w:ascii="Times New Roman" w:hAnsi="Times New Roman" w:eastAsia="宋体" w:cs="Times New Roman"/>
                      <w:b w:val="0"/>
                      <w:bCs/>
                      <w:color w:val="auto"/>
                      <w:spacing w:val="4"/>
                      <w:sz w:val="21"/>
                      <w:szCs w:val="21"/>
                      <w:lang w:val="en-US" w:eastAsia="zh-CN"/>
                    </w:rPr>
                  </w:pPr>
                  <w:r>
                    <w:rPr>
                      <w:rFonts w:hint="default"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废气经配套设施处理后可达标排放；生活污水经化粪池处理后定期清运；生产废水经污水处理设施处理后循环使用，不外排</w:t>
                  </w:r>
                  <w:r>
                    <w:rPr>
                      <w:rFonts w:hint="eastAsia" w:cs="Times New Roman"/>
                      <w:color w:val="auto"/>
                      <w:sz w:val="21"/>
                      <w:szCs w:val="21"/>
                      <w:lang w:val="en-US" w:eastAsia="zh-CN"/>
                    </w:rPr>
                    <w:t>。</w:t>
                  </w:r>
                  <w:r>
                    <w:rPr>
                      <w:rFonts w:hint="eastAsia" w:ascii="Times New Roman" w:hAnsi="Times New Roman" w:eastAsia="宋体"/>
                      <w:color w:val="auto"/>
                      <w:szCs w:val="21"/>
                      <w:lang w:eastAsia="zh-CN"/>
                    </w:rPr>
                    <w:t>生活垃圾</w:t>
                  </w:r>
                  <w:r>
                    <w:rPr>
                      <w:rFonts w:hint="eastAsia" w:ascii="Times New Roman" w:hAnsi="Times New Roman" w:eastAsia="宋体"/>
                      <w:color w:val="auto"/>
                      <w:szCs w:val="21"/>
                      <w:lang w:val="en-US" w:eastAsia="zh-CN"/>
                    </w:rPr>
                    <w:t>委托环卫部门清运，</w:t>
                  </w:r>
                  <w:r>
                    <w:rPr>
                      <w:rFonts w:hint="eastAsia" w:ascii="Times New Roman" w:hAnsi="Times New Roman" w:eastAsia="宋体"/>
                      <w:color w:val="auto"/>
                      <w:szCs w:val="21"/>
                      <w:lang w:eastAsia="zh-CN"/>
                    </w:rPr>
                    <w:t>无害化处理率100%，一般工业固废处置率100%，危险废物无害化处理及处置率100%。</w:t>
                  </w:r>
                </w:p>
              </w:tc>
              <w:tc>
                <w:tcPr>
                  <w:tcW w:w="557" w:type="dxa"/>
                  <w:tcBorders>
                    <w:tl2br w:val="nil"/>
                    <w:tr2bl w:val="nil"/>
                  </w:tcBorders>
                  <w:noWrap w:val="0"/>
                  <w:tcMar>
                    <w:left w:w="28" w:type="dxa"/>
                    <w:right w:w="28" w:type="dxa"/>
                  </w:tcMar>
                  <w:vAlign w:val="center"/>
                </w:tcPr>
                <w:p w14:paraId="0A258383">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6F9F232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672" w:hRule="atLeast"/>
                <w:jc w:val="center"/>
              </w:trPr>
              <w:tc>
                <w:tcPr>
                  <w:tcW w:w="751" w:type="dxa"/>
                  <w:vMerge w:val="continue"/>
                  <w:tcBorders>
                    <w:tl2br w:val="nil"/>
                    <w:tr2bl w:val="nil"/>
                  </w:tcBorders>
                  <w:noWrap w:val="0"/>
                  <w:tcMar>
                    <w:left w:w="28" w:type="dxa"/>
                    <w:right w:w="28" w:type="dxa"/>
                  </w:tcMar>
                  <w:vAlign w:val="center"/>
                </w:tcPr>
                <w:p w14:paraId="6D6B4A4D">
                  <w:pPr>
                    <w:autoSpaceDE w:val="0"/>
                    <w:autoSpaceDN w:val="0"/>
                    <w:adjustRightInd w:val="0"/>
                    <w:snapToGrid w:val="0"/>
                    <w:spacing w:line="240" w:lineRule="auto"/>
                    <w:ind w:firstLine="0" w:firstLineChars="0"/>
                    <w:jc w:val="both"/>
                    <w:rPr>
                      <w:rFonts w:hint="default" w:ascii="Times New Roman" w:hAnsi="Times New Roman" w:eastAsia="宋体" w:cs="Times New Roman"/>
                      <w:b w:val="0"/>
                      <w:bCs/>
                      <w:color w:val="auto"/>
                      <w:spacing w:val="4"/>
                      <w:sz w:val="21"/>
                      <w:szCs w:val="21"/>
                    </w:rPr>
                  </w:pPr>
                </w:p>
              </w:tc>
              <w:tc>
                <w:tcPr>
                  <w:tcW w:w="3890" w:type="dxa"/>
                  <w:tcBorders>
                    <w:tl2br w:val="nil"/>
                    <w:tr2bl w:val="nil"/>
                  </w:tcBorders>
                  <w:noWrap w:val="0"/>
                  <w:tcMar>
                    <w:left w:w="28" w:type="dxa"/>
                    <w:right w:w="28" w:type="dxa"/>
                  </w:tcMar>
                  <w:vAlign w:val="center"/>
                </w:tcPr>
                <w:p w14:paraId="24B1C72E">
                  <w:pPr>
                    <w:numPr>
                      <w:ilvl w:val="0"/>
                      <w:numId w:val="0"/>
                    </w:numPr>
                    <w:jc w:val="both"/>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二</w:t>
                  </w:r>
                  <w:r>
                    <w:rPr>
                      <w:rFonts w:hint="eastAsia" w:ascii="Times New Roman" w:hAnsi="Times New Roman" w:eastAsia="宋体" w:cs="Times New Roman"/>
                      <w:color w:val="auto"/>
                      <w:szCs w:val="21"/>
                      <w:lang w:eastAsia="zh-CN"/>
                    </w:rPr>
                    <w:t>）把好入区项目关口，推进产业转型升级。</w:t>
                  </w:r>
                </w:p>
                <w:p w14:paraId="3215DC2F">
                  <w:pPr>
                    <w:numPr>
                      <w:ilvl w:val="0"/>
                      <w:numId w:val="0"/>
                    </w:numPr>
                    <w:ind w:left="0" w:leftChars="0" w:firstLine="420" w:firstLineChars="200"/>
                    <w:jc w:val="both"/>
                    <w:rPr>
                      <w:rFonts w:hint="default" w:ascii="Times New Roman" w:hAnsi="Times New Roman" w:eastAsia="宋体" w:cs="Times New Roman"/>
                      <w:b w:val="0"/>
                      <w:bCs/>
                      <w:color w:val="auto"/>
                      <w:spacing w:val="4"/>
                      <w:sz w:val="21"/>
                      <w:szCs w:val="21"/>
                      <w:lang w:val="en-US" w:eastAsia="zh-CN"/>
                    </w:rPr>
                  </w:pPr>
                  <w:r>
                    <w:rPr>
                      <w:rFonts w:hint="eastAsia" w:ascii="Times New Roman" w:hAnsi="Times New Roman" w:eastAsia="宋体" w:cs="Times New Roman"/>
                      <w:color w:val="auto"/>
                      <w:szCs w:val="21"/>
                      <w:lang w:eastAsia="zh-CN"/>
                    </w:rPr>
                    <w:t>落实“三线一单”要求，严格入区项目的环境准入管理。引进项目的生产工艺、设备、污染治理技术，以及单位产品能耗、物耗、污染物排放和资源利用率等均需达到同行业先进水平。对不符合经开区规划定位的现有企业，不再扩大其规模，需要淘汰的下决心淘汰。推进技术研发型、创新产业发展，要鼓励和推进此类项目的技术提升改造，开展清洁生产审核，提升产业的技术水平和循环化水平。</w:t>
                  </w:r>
                </w:p>
              </w:tc>
              <w:tc>
                <w:tcPr>
                  <w:tcW w:w="2600" w:type="dxa"/>
                  <w:tcBorders>
                    <w:tl2br w:val="nil"/>
                    <w:tr2bl w:val="nil"/>
                  </w:tcBorders>
                  <w:noWrap w:val="0"/>
                  <w:tcMar>
                    <w:left w:w="28" w:type="dxa"/>
                    <w:right w:w="28" w:type="dxa"/>
                  </w:tcMar>
                  <w:vAlign w:val="center"/>
                </w:tcPr>
                <w:p w14:paraId="3E3DF546">
                  <w:pPr>
                    <w:jc w:val="both"/>
                    <w:rPr>
                      <w:rFonts w:hint="default" w:ascii="Times New Roman" w:hAnsi="Times New Roman" w:eastAsia="宋体" w:cs="Times New Roman"/>
                      <w:b w:val="0"/>
                      <w:bCs/>
                      <w:color w:val="auto"/>
                      <w:spacing w:val="4"/>
                      <w:sz w:val="21"/>
                      <w:szCs w:val="21"/>
                      <w:lang w:val="en-US" w:eastAsia="zh-CN"/>
                    </w:rPr>
                  </w:pPr>
                  <w:r>
                    <w:rPr>
                      <w:rFonts w:ascii="Times New Roman" w:hAnsi="Times New Roman" w:eastAsia="宋体"/>
                      <w:color w:val="auto"/>
                      <w:szCs w:val="21"/>
                    </w:rPr>
                    <w:t>本项目</w:t>
                  </w:r>
                  <w:r>
                    <w:rPr>
                      <w:rFonts w:hint="eastAsia" w:ascii="Times New Roman" w:hAnsi="Times New Roman" w:eastAsia="宋体"/>
                      <w:color w:val="auto"/>
                      <w:szCs w:val="21"/>
                      <w:lang w:val="en-US" w:eastAsia="zh-CN"/>
                    </w:rPr>
                    <w:t>建设</w:t>
                  </w:r>
                  <w:r>
                    <w:rPr>
                      <w:rFonts w:hint="eastAsia" w:ascii="Times New Roman" w:hAnsi="Times New Roman" w:eastAsia="宋体" w:cs="Times New Roman"/>
                      <w:color w:val="auto"/>
                      <w:sz w:val="21"/>
                      <w:szCs w:val="21"/>
                      <w:lang w:val="en-US" w:eastAsia="zh-CN"/>
                    </w:rPr>
                    <w:t>符合宝鸡市“三线一单”管控要求；项目采用行业内成熟生产工艺，先进生产设备及污染物处理设施，废气经配套处理设施处理后，各污染物排放量较小且稳定达标。</w:t>
                  </w:r>
                </w:p>
              </w:tc>
              <w:tc>
                <w:tcPr>
                  <w:tcW w:w="557" w:type="dxa"/>
                  <w:tcBorders>
                    <w:tl2br w:val="nil"/>
                    <w:tr2bl w:val="nil"/>
                  </w:tcBorders>
                  <w:noWrap w:val="0"/>
                  <w:tcMar>
                    <w:left w:w="28" w:type="dxa"/>
                    <w:right w:w="28" w:type="dxa"/>
                  </w:tcMar>
                  <w:vAlign w:val="center"/>
                </w:tcPr>
                <w:p w14:paraId="4BEE5741">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52F250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90" w:hRule="atLeast"/>
                <w:jc w:val="center"/>
              </w:trPr>
              <w:tc>
                <w:tcPr>
                  <w:tcW w:w="751" w:type="dxa"/>
                  <w:vMerge w:val="continue"/>
                  <w:tcBorders>
                    <w:tl2br w:val="nil"/>
                    <w:tr2bl w:val="nil"/>
                  </w:tcBorders>
                  <w:noWrap w:val="0"/>
                  <w:tcMar>
                    <w:left w:w="28" w:type="dxa"/>
                    <w:right w:w="28" w:type="dxa"/>
                  </w:tcMar>
                  <w:vAlign w:val="center"/>
                </w:tcPr>
                <w:p w14:paraId="7C2B33F1">
                  <w:pPr>
                    <w:autoSpaceDE w:val="0"/>
                    <w:autoSpaceDN w:val="0"/>
                    <w:adjustRightInd w:val="0"/>
                    <w:snapToGrid w:val="0"/>
                    <w:spacing w:line="240" w:lineRule="auto"/>
                    <w:ind w:firstLine="0" w:firstLineChars="0"/>
                    <w:jc w:val="both"/>
                    <w:rPr>
                      <w:rFonts w:hint="default" w:ascii="Times New Roman" w:hAnsi="Times New Roman" w:eastAsia="宋体" w:cs="Times New Roman"/>
                      <w:b w:val="0"/>
                      <w:bCs/>
                      <w:color w:val="auto"/>
                      <w:spacing w:val="4"/>
                      <w:sz w:val="21"/>
                      <w:szCs w:val="21"/>
                    </w:rPr>
                  </w:pPr>
                </w:p>
              </w:tc>
              <w:tc>
                <w:tcPr>
                  <w:tcW w:w="3890" w:type="dxa"/>
                  <w:tcBorders>
                    <w:tl2br w:val="nil"/>
                    <w:tr2bl w:val="nil"/>
                  </w:tcBorders>
                  <w:noWrap w:val="0"/>
                  <w:tcMar>
                    <w:left w:w="28" w:type="dxa"/>
                    <w:right w:w="28" w:type="dxa"/>
                  </w:tcMar>
                  <w:vAlign w:val="center"/>
                </w:tcPr>
                <w:p w14:paraId="3F09DE4D">
                  <w:pPr>
                    <w:numPr>
                      <w:ilvl w:val="0"/>
                      <w:numId w:val="0"/>
                    </w:numPr>
                    <w:jc w:val="both"/>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三</w:t>
                  </w:r>
                  <w:r>
                    <w:rPr>
                      <w:rFonts w:hint="eastAsia" w:ascii="Times New Roman" w:hAnsi="Times New Roman" w:eastAsia="宋体" w:cs="Times New Roman"/>
                      <w:color w:val="auto"/>
                      <w:szCs w:val="21"/>
                      <w:lang w:eastAsia="zh-CN"/>
                    </w:rPr>
                    <w:t>）加强空间管控，严守生态保护红线。</w:t>
                  </w:r>
                </w:p>
                <w:p w14:paraId="597ADB65">
                  <w:pPr>
                    <w:numPr>
                      <w:ilvl w:val="0"/>
                      <w:numId w:val="0"/>
                    </w:numPr>
                    <w:ind w:left="0" w:leftChars="0" w:firstLine="420" w:firstLineChars="200"/>
                    <w:jc w:val="both"/>
                    <w:rPr>
                      <w:rFonts w:hint="default" w:ascii="Times New Roman" w:hAnsi="Times New Roman" w:eastAsia="宋体" w:cs="Times New Roman"/>
                      <w:b w:val="0"/>
                      <w:bCs/>
                      <w:color w:val="auto"/>
                      <w:spacing w:val="4"/>
                      <w:sz w:val="21"/>
                      <w:szCs w:val="21"/>
                      <w:lang w:val="en-US" w:eastAsia="zh-CN"/>
                    </w:rPr>
                  </w:pPr>
                  <w:r>
                    <w:rPr>
                      <w:rFonts w:hint="eastAsia" w:ascii="Times New Roman" w:hAnsi="Times New Roman" w:eastAsia="宋体" w:cs="Times New Roman"/>
                      <w:color w:val="auto"/>
                      <w:szCs w:val="21"/>
                      <w:lang w:eastAsia="zh-CN"/>
                    </w:rPr>
                    <w:t>坚持生态“红线”即底线的思维，入园企业必须符合《中华人民共和国黄河保护法》《关于“十四五”推进沿黄重点地区工业项目入园及严控高污染、高耗水、高耗能项目的通知》《黄河流域水资源节约集约利用实施方案》《陕西省黄河流域生态保护和高质量发展规划》《陕西省黄河流域生态环境保护规划》等相关要求。规划实施过程中要开展水资源论证，充分考虑水资源、水环境承载能力，以水定产。积极推进经开区环保基础设施建设，尽快建成周原工业园、科技园区污水管网和县功工业园污水集中处理及配套设施，在科技园区（西区）和科技园区（东区）禁止新建“两高一资”项目。严格控制高耗水、高污染行业发展，新建、改建、扩建重点行业建设项目实行主要污染物排放减量置换。结合区域大气环境质量目标的要求，进一步优化区内能源结构、提升清洁能源使用率，尽快解决规划区的大气环境质量不达标问题；加强经开区的绿色生态建设，使大气环境质量在达标基础上进一步优化，为经开区的发展腾出环境容量。按照分类管理、循环利用的要求，抓好固体废物和危险废物管理。</w:t>
                  </w:r>
                </w:p>
              </w:tc>
              <w:tc>
                <w:tcPr>
                  <w:tcW w:w="2600" w:type="dxa"/>
                  <w:tcBorders>
                    <w:tl2br w:val="nil"/>
                    <w:tr2bl w:val="nil"/>
                  </w:tcBorders>
                  <w:noWrap w:val="0"/>
                  <w:tcMar>
                    <w:left w:w="28" w:type="dxa"/>
                    <w:right w:w="28" w:type="dxa"/>
                  </w:tcMar>
                  <w:vAlign w:val="center"/>
                </w:tcPr>
                <w:p w14:paraId="4A76D988">
                  <w:pPr>
                    <w:jc w:val="both"/>
                    <w:rPr>
                      <w:rFonts w:hint="eastAsia" w:ascii="Times New Roman" w:hAnsi="Times New Roman" w:eastAsia="宋体" w:cs="Times New Roman"/>
                      <w:b w:val="0"/>
                      <w:bCs/>
                      <w:color w:val="auto"/>
                      <w:spacing w:val="4"/>
                      <w:sz w:val="21"/>
                      <w:szCs w:val="21"/>
                      <w:lang w:val="en-US" w:eastAsia="zh-CN"/>
                    </w:rPr>
                  </w:pPr>
                  <w:r>
                    <w:rPr>
                      <w:rFonts w:ascii="Times New Roman" w:hAnsi="Times New Roman" w:eastAsia="宋体"/>
                      <w:color w:val="auto"/>
                      <w:szCs w:val="21"/>
                    </w:rPr>
                    <w:t>本项目</w:t>
                  </w:r>
                  <w:r>
                    <w:rPr>
                      <w:rFonts w:hint="eastAsia" w:ascii="Times New Roman" w:hAnsi="Times New Roman" w:eastAsia="宋体"/>
                      <w:color w:val="auto"/>
                      <w:szCs w:val="21"/>
                      <w:lang w:val="en-US" w:eastAsia="zh-CN"/>
                    </w:rPr>
                    <w:t>运营期用水由园区管网供给，不涉及地下水</w:t>
                  </w:r>
                  <w:r>
                    <w:rPr>
                      <w:rFonts w:hint="eastAsia"/>
                      <w:color w:val="auto"/>
                      <w:szCs w:val="21"/>
                      <w:lang w:val="en-US" w:eastAsia="zh-CN"/>
                    </w:rPr>
                    <w:t>取用。</w:t>
                  </w:r>
                  <w:r>
                    <w:rPr>
                      <w:rFonts w:hint="eastAsia" w:ascii="Times New Roman" w:hAnsi="Times New Roman" w:eastAsia="宋体"/>
                      <w:color w:val="auto"/>
                      <w:szCs w:val="21"/>
                      <w:lang w:val="en-US" w:eastAsia="zh-CN"/>
                    </w:rPr>
                    <w:t>项目厂区全部采用电能为清洁能源。本项目生产废水经污水处理设施处理后循环使用不外排。项目不属于</w:t>
                  </w:r>
                  <w:r>
                    <w:rPr>
                      <w:rFonts w:hint="eastAsia" w:ascii="Times New Roman" w:hAnsi="Times New Roman" w:eastAsia="宋体" w:cs="Times New Roman"/>
                      <w:color w:val="auto"/>
                      <w:szCs w:val="21"/>
                      <w:lang w:eastAsia="zh-CN"/>
                    </w:rPr>
                    <w:t>“两高一资”项目；</w:t>
                  </w:r>
                  <w:r>
                    <w:rPr>
                      <w:rFonts w:hint="eastAsia" w:ascii="Times New Roman" w:hAnsi="Times New Roman" w:eastAsia="宋体" w:cs="Times New Roman"/>
                      <w:color w:val="auto"/>
                      <w:szCs w:val="21"/>
                      <w:lang w:val="en-US" w:eastAsia="zh-CN"/>
                    </w:rPr>
                    <w:t>运营期</w:t>
                  </w:r>
                  <w:r>
                    <w:rPr>
                      <w:rFonts w:ascii="Times New Roman" w:hAnsi="Times New Roman" w:eastAsia="宋体"/>
                      <w:color w:val="auto"/>
                      <w:sz w:val="21"/>
                      <w:szCs w:val="21"/>
                    </w:rPr>
                    <w:t>固体废物的贮存满足相关标准规定</w:t>
                  </w:r>
                  <w:r>
                    <w:rPr>
                      <w:rFonts w:hint="eastAsia" w:ascii="Times New Roman" w:hAnsi="Times New Roman" w:eastAsia="宋体"/>
                      <w:color w:val="auto"/>
                      <w:sz w:val="21"/>
                      <w:szCs w:val="21"/>
                      <w:lang w:val="en-US" w:eastAsia="zh-CN"/>
                    </w:rPr>
                    <w:t>建设</w:t>
                  </w:r>
                  <w:r>
                    <w:rPr>
                      <w:rFonts w:ascii="Times New Roman" w:hAnsi="Times New Roman" w:eastAsia="宋体"/>
                      <w:color w:val="auto"/>
                      <w:sz w:val="21"/>
                      <w:szCs w:val="21"/>
                    </w:rPr>
                    <w:t>的要求</w:t>
                  </w:r>
                  <w:r>
                    <w:rPr>
                      <w:rFonts w:hint="eastAsia"/>
                      <w:color w:val="auto"/>
                      <w:sz w:val="21"/>
                      <w:szCs w:val="21"/>
                      <w:lang w:eastAsia="zh-CN"/>
                    </w:rPr>
                    <w:t>，</w:t>
                  </w:r>
                  <w:r>
                    <w:rPr>
                      <w:rFonts w:ascii="Times New Roman" w:hAnsi="Times New Roman" w:eastAsia="宋体"/>
                      <w:color w:val="auto"/>
                      <w:sz w:val="21"/>
                      <w:szCs w:val="21"/>
                    </w:rPr>
                    <w:t>可以有效防止二次污染</w:t>
                  </w:r>
                  <w:r>
                    <w:rPr>
                      <w:rFonts w:hint="eastAsia"/>
                      <w:color w:val="auto"/>
                      <w:sz w:val="21"/>
                      <w:szCs w:val="21"/>
                      <w:lang w:eastAsia="zh-CN"/>
                    </w:rPr>
                    <w:t>。</w:t>
                  </w:r>
                  <w:r>
                    <w:rPr>
                      <w:rFonts w:ascii="Times New Roman" w:hAnsi="Times New Roman" w:eastAsia="宋体"/>
                      <w:color w:val="auto"/>
                      <w:sz w:val="21"/>
                      <w:szCs w:val="21"/>
                    </w:rPr>
                    <w:t>固体废物的利用和处理处置满足</w:t>
                  </w:r>
                  <w:r>
                    <w:rPr>
                      <w:rFonts w:hint="eastAsia" w:ascii="Times New Roman" w:hAnsi="Times New Roman" w:eastAsia="宋体"/>
                      <w:color w:val="auto"/>
                      <w:sz w:val="21"/>
                      <w:szCs w:val="21"/>
                      <w:lang w:eastAsia="zh-CN"/>
                    </w:rPr>
                    <w:t>“</w:t>
                  </w:r>
                  <w:r>
                    <w:rPr>
                      <w:rFonts w:ascii="Times New Roman" w:hAnsi="Times New Roman" w:eastAsia="宋体"/>
                      <w:color w:val="auto"/>
                      <w:sz w:val="21"/>
                      <w:szCs w:val="21"/>
                    </w:rPr>
                    <w:t>一般固体废物及危险废物妥善处置</w:t>
                  </w:r>
                  <w:r>
                    <w:rPr>
                      <w:rFonts w:hint="eastAsia" w:ascii="Times New Roman" w:hAnsi="Times New Roman" w:eastAsia="宋体"/>
                      <w:color w:val="auto"/>
                      <w:sz w:val="21"/>
                      <w:szCs w:val="21"/>
                      <w:lang w:eastAsia="zh-CN"/>
                    </w:rPr>
                    <w:t>”</w:t>
                  </w:r>
                  <w:r>
                    <w:rPr>
                      <w:rFonts w:ascii="Times New Roman" w:hAnsi="Times New Roman" w:eastAsia="宋体"/>
                      <w:color w:val="auto"/>
                      <w:sz w:val="21"/>
                      <w:szCs w:val="21"/>
                    </w:rPr>
                    <w:t>的要求，</w:t>
                  </w:r>
                  <w:r>
                    <w:rPr>
                      <w:rFonts w:hint="eastAsia" w:ascii="Times New Roman" w:hAnsi="Times New Roman" w:eastAsia="宋体"/>
                      <w:color w:val="auto"/>
                      <w:sz w:val="21"/>
                      <w:szCs w:val="21"/>
                      <w:lang w:val="en-US" w:eastAsia="zh-CN"/>
                    </w:rPr>
                    <w:t>同时</w:t>
                  </w:r>
                  <w:r>
                    <w:rPr>
                      <w:rFonts w:hint="eastAsia" w:ascii="Times New Roman" w:hAnsi="Times New Roman" w:eastAsia="宋体"/>
                      <w:color w:val="auto"/>
                      <w:sz w:val="21"/>
                      <w:szCs w:val="22"/>
                      <w:lang w:val="en-US" w:eastAsia="zh-CN"/>
                    </w:rPr>
                    <w:t>满足</w:t>
                  </w:r>
                  <w:r>
                    <w:rPr>
                      <w:rFonts w:hint="eastAsia" w:ascii="Times New Roman" w:hAnsi="Times New Roman" w:eastAsia="宋体"/>
                      <w:color w:val="auto"/>
                      <w:sz w:val="21"/>
                      <w:szCs w:val="22"/>
                      <w:lang w:eastAsia="zh-CN"/>
                    </w:rPr>
                    <w:t>“</w:t>
                  </w:r>
                  <w:r>
                    <w:rPr>
                      <w:rFonts w:ascii="Times New Roman" w:hAnsi="Times New Roman" w:eastAsia="宋体"/>
                      <w:color w:val="auto"/>
                      <w:sz w:val="21"/>
                      <w:szCs w:val="22"/>
                    </w:rPr>
                    <w:t>资源化、减量化、无害化</w:t>
                  </w:r>
                  <w:r>
                    <w:rPr>
                      <w:rFonts w:hint="eastAsia" w:ascii="Times New Roman" w:hAnsi="Times New Roman" w:eastAsia="宋体"/>
                      <w:color w:val="auto"/>
                      <w:sz w:val="21"/>
                      <w:szCs w:val="22"/>
                      <w:lang w:eastAsia="zh-CN"/>
                    </w:rPr>
                    <w:t>”</w:t>
                  </w:r>
                  <w:r>
                    <w:rPr>
                      <w:rFonts w:ascii="Times New Roman" w:hAnsi="Times New Roman" w:eastAsia="宋体"/>
                      <w:color w:val="auto"/>
                      <w:sz w:val="21"/>
                      <w:szCs w:val="22"/>
                    </w:rPr>
                    <w:t>的治理原则</w:t>
                  </w:r>
                  <w:r>
                    <w:rPr>
                      <w:rFonts w:hint="eastAsia" w:ascii="Times New Roman" w:hAnsi="Times New Roman" w:eastAsia="宋体"/>
                      <w:color w:val="auto"/>
                      <w:sz w:val="21"/>
                      <w:szCs w:val="22"/>
                      <w:lang w:eastAsia="zh-CN"/>
                    </w:rPr>
                    <w:t>。</w:t>
                  </w:r>
                </w:p>
              </w:tc>
              <w:tc>
                <w:tcPr>
                  <w:tcW w:w="557" w:type="dxa"/>
                  <w:tcBorders>
                    <w:tl2br w:val="nil"/>
                    <w:tr2bl w:val="nil"/>
                  </w:tcBorders>
                  <w:noWrap w:val="0"/>
                  <w:tcMar>
                    <w:left w:w="28" w:type="dxa"/>
                    <w:right w:w="28" w:type="dxa"/>
                  </w:tcMar>
                  <w:vAlign w:val="center"/>
                </w:tcPr>
                <w:p w14:paraId="1EF36C18">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符合</w:t>
                  </w:r>
                </w:p>
              </w:tc>
            </w:tr>
            <w:tr w14:paraId="093FD32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90" w:hRule="atLeast"/>
                <w:jc w:val="center"/>
              </w:trPr>
              <w:tc>
                <w:tcPr>
                  <w:tcW w:w="751" w:type="dxa"/>
                  <w:vMerge w:val="continue"/>
                  <w:tcBorders>
                    <w:tl2br w:val="nil"/>
                    <w:tr2bl w:val="nil"/>
                  </w:tcBorders>
                  <w:noWrap w:val="0"/>
                  <w:tcMar>
                    <w:left w:w="28" w:type="dxa"/>
                    <w:right w:w="28" w:type="dxa"/>
                  </w:tcMar>
                  <w:vAlign w:val="center"/>
                </w:tcPr>
                <w:p w14:paraId="70CB8E74">
                  <w:pPr>
                    <w:autoSpaceDE w:val="0"/>
                    <w:autoSpaceDN w:val="0"/>
                    <w:adjustRightInd w:val="0"/>
                    <w:snapToGrid w:val="0"/>
                    <w:spacing w:line="240" w:lineRule="auto"/>
                    <w:ind w:firstLine="0" w:firstLineChars="0"/>
                    <w:jc w:val="both"/>
                    <w:rPr>
                      <w:rFonts w:hint="default" w:ascii="Times New Roman" w:hAnsi="Times New Roman" w:eastAsia="宋体" w:cs="Times New Roman"/>
                      <w:b w:val="0"/>
                      <w:bCs/>
                      <w:color w:val="auto"/>
                      <w:spacing w:val="4"/>
                      <w:sz w:val="21"/>
                      <w:szCs w:val="21"/>
                    </w:rPr>
                  </w:pPr>
                </w:p>
              </w:tc>
              <w:tc>
                <w:tcPr>
                  <w:tcW w:w="3890" w:type="dxa"/>
                  <w:tcBorders>
                    <w:tl2br w:val="nil"/>
                    <w:tr2bl w:val="nil"/>
                  </w:tcBorders>
                  <w:noWrap w:val="0"/>
                  <w:tcMar>
                    <w:left w:w="28" w:type="dxa"/>
                    <w:right w:w="28" w:type="dxa"/>
                  </w:tcMar>
                  <w:vAlign w:val="center"/>
                </w:tcPr>
                <w:p w14:paraId="040DA806">
                  <w:pPr>
                    <w:numPr>
                      <w:ilvl w:val="0"/>
                      <w:numId w:val="0"/>
                    </w:numPr>
                    <w:jc w:val="both"/>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四</w:t>
                  </w:r>
                  <w:r>
                    <w:rPr>
                      <w:rFonts w:hint="eastAsia" w:ascii="Times New Roman" w:hAnsi="Times New Roman" w:eastAsia="宋体" w:cs="Times New Roman"/>
                      <w:color w:val="auto"/>
                      <w:szCs w:val="21"/>
                      <w:lang w:eastAsia="zh-CN"/>
                    </w:rPr>
                    <w:t>）加强环境影响跟踪监测和风险防控，适时对总体规划进行调整。</w:t>
                  </w:r>
                </w:p>
                <w:p w14:paraId="31A13AF9">
                  <w:pPr>
                    <w:numPr>
                      <w:ilvl w:val="0"/>
                      <w:numId w:val="0"/>
                    </w:numPr>
                    <w:ind w:left="0" w:leftChars="0" w:firstLine="420" w:firstLineChars="200"/>
                    <w:jc w:val="both"/>
                    <w:rPr>
                      <w:rFonts w:hint="default" w:ascii="Times New Roman" w:hAnsi="Times New Roman" w:eastAsia="宋体" w:cs="Times New Roman"/>
                      <w:b w:val="0"/>
                      <w:bCs/>
                      <w:color w:val="auto"/>
                      <w:spacing w:val="4"/>
                      <w:sz w:val="21"/>
                      <w:szCs w:val="21"/>
                      <w:lang w:val="en-US" w:eastAsia="zh-CN"/>
                    </w:rPr>
                  </w:pPr>
                  <w:r>
                    <w:rPr>
                      <w:rFonts w:hint="eastAsia" w:ascii="Times New Roman" w:hAnsi="Times New Roman" w:eastAsia="宋体" w:cs="Times New Roman"/>
                      <w:color w:val="auto"/>
                      <w:szCs w:val="21"/>
                      <w:lang w:eastAsia="zh-CN"/>
                    </w:rPr>
                    <w:t>根据经开区功能分区、产业布局、重点企业分布、特征污染物的排放种类和状况、环境敏感目标分布等情况，建立包括环境空气、地表水、地下水和土壤等环境要素的监控体系，明确责任主体。尽快启动三个园区各环境要素的监测工作，做好经开区内环境的长期跟踪监测与管理，根据监测结果并结合环境影响、区域污染物削减措施实施的效果等适时优化、调整总体规划。尽快编制经开区环境风险应急预案，健全区域风险防范体系和生态安全保障体系，加强经开区内重要风险源的管控。</w:t>
                  </w:r>
                </w:p>
              </w:tc>
              <w:tc>
                <w:tcPr>
                  <w:tcW w:w="2600" w:type="dxa"/>
                  <w:tcBorders>
                    <w:tl2br w:val="nil"/>
                    <w:tr2bl w:val="nil"/>
                  </w:tcBorders>
                  <w:noWrap w:val="0"/>
                  <w:tcMar>
                    <w:left w:w="28" w:type="dxa"/>
                    <w:right w:w="28" w:type="dxa"/>
                  </w:tcMar>
                  <w:vAlign w:val="center"/>
                </w:tcPr>
                <w:p w14:paraId="41CADD1D">
                  <w:pPr>
                    <w:jc w:val="both"/>
                    <w:rPr>
                      <w:rFonts w:hint="default" w:ascii="Times New Roman" w:hAnsi="Times New Roman" w:eastAsia="宋体" w:cs="Times New Roman"/>
                      <w:b w:val="0"/>
                      <w:bCs/>
                      <w:color w:val="auto"/>
                      <w:spacing w:val="4"/>
                      <w:sz w:val="21"/>
                      <w:szCs w:val="21"/>
                      <w:lang w:val="en-US" w:eastAsia="zh-CN"/>
                    </w:rPr>
                  </w:pPr>
                  <w:r>
                    <w:rPr>
                      <w:rFonts w:hint="eastAsia" w:ascii="Times New Roman" w:hAnsi="Times New Roman" w:eastAsia="宋体" w:cs="Times New Roman"/>
                      <w:color w:val="auto"/>
                      <w:sz w:val="21"/>
                      <w:szCs w:val="21"/>
                      <w:lang w:val="en-US" w:eastAsia="zh-CN"/>
                    </w:rPr>
                    <w:t>本项目严格按照</w:t>
                  </w:r>
                  <w:r>
                    <w:rPr>
                      <w:rFonts w:hint="default" w:ascii="Times New Roman" w:hAnsi="Times New Roman" w:eastAsia="宋体" w:cs="Times New Roman"/>
                      <w:color w:val="auto"/>
                      <w:sz w:val="21"/>
                      <w:szCs w:val="21"/>
                    </w:rPr>
                    <w:t>《排污许可证申请与核发技术规范》</w:t>
                  </w:r>
                  <w:r>
                    <w:rPr>
                      <w:rFonts w:ascii="Times New Roman" w:hAnsi="Times New Roman" w:eastAsia="宋体"/>
                      <w:color w:val="auto"/>
                      <w:sz w:val="21"/>
                      <w:szCs w:val="20"/>
                    </w:rPr>
                    <w:t>中相关要求</w:t>
                  </w:r>
                  <w:r>
                    <w:rPr>
                      <w:rFonts w:hint="eastAsia" w:ascii="Times New Roman" w:hAnsi="Times New Roman" w:eastAsia="宋体"/>
                      <w:color w:val="auto"/>
                      <w:sz w:val="21"/>
                      <w:szCs w:val="20"/>
                      <w:lang w:val="en-US" w:eastAsia="zh-CN"/>
                    </w:rPr>
                    <w:t>制定污染源监测计划，落实监测要求；</w:t>
                  </w:r>
                  <w:r>
                    <w:rPr>
                      <w:rFonts w:hint="eastAsia" w:ascii="Times New Roman" w:hAnsi="Times New Roman" w:eastAsia="宋体" w:cs="Times New Roman"/>
                      <w:color w:val="auto"/>
                      <w:sz w:val="21"/>
                      <w:szCs w:val="21"/>
                      <w:lang w:val="en-US" w:eastAsia="zh-CN"/>
                    </w:rPr>
                    <w:t>严格落实分区防渗要求，建立应急物资库，建立环境风险管理制度，日常巡检，</w:t>
                  </w:r>
                  <w:r>
                    <w:rPr>
                      <w:rFonts w:hint="default" w:ascii="Times New Roman" w:hAnsi="Times New Roman" w:eastAsia="宋体" w:cs="Times New Roman"/>
                      <w:b w:val="0"/>
                      <w:bCs w:val="0"/>
                      <w:color w:val="auto"/>
                      <w:sz w:val="21"/>
                      <w:szCs w:val="21"/>
                      <w:lang w:val="en-US" w:eastAsia="zh-CN"/>
                    </w:rPr>
                    <w:t>编制突发环境事件应急预案并备案</w:t>
                  </w:r>
                  <w:r>
                    <w:rPr>
                      <w:rFonts w:hint="eastAsia" w:ascii="Times New Roman" w:hAnsi="Times New Roman" w:eastAsia="宋体" w:cs="Times New Roman"/>
                      <w:color w:val="auto"/>
                      <w:sz w:val="21"/>
                      <w:szCs w:val="21"/>
                      <w:lang w:val="en-US" w:eastAsia="zh-CN"/>
                    </w:rPr>
                    <w:t>。</w:t>
                  </w:r>
                </w:p>
              </w:tc>
              <w:tc>
                <w:tcPr>
                  <w:tcW w:w="557" w:type="dxa"/>
                  <w:tcBorders>
                    <w:tl2br w:val="nil"/>
                    <w:tr2bl w:val="nil"/>
                  </w:tcBorders>
                  <w:noWrap w:val="0"/>
                  <w:tcMar>
                    <w:left w:w="28" w:type="dxa"/>
                    <w:right w:w="28" w:type="dxa"/>
                  </w:tcMar>
                  <w:vAlign w:val="center"/>
                </w:tcPr>
                <w:p w14:paraId="72886FAF">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符合</w:t>
                  </w:r>
                </w:p>
              </w:tc>
            </w:tr>
          </w:tbl>
          <w:p w14:paraId="17B15BA8">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lang w:eastAsia="zh-CN"/>
              </w:rPr>
            </w:pPr>
            <w:r>
              <w:rPr>
                <w:rFonts w:hint="default" w:eastAsia="宋体"/>
                <w:color w:val="auto"/>
                <w:kern w:val="0"/>
                <w:sz w:val="24"/>
                <w:lang w:val="en-US" w:eastAsia="zh-CN"/>
              </w:rPr>
              <w:t>综上所述，本项目建设符合《陕西陈仓经济技术开发区总体规划（2022</w:t>
            </w:r>
            <w:r>
              <w:rPr>
                <w:rFonts w:hint="eastAsia"/>
                <w:color w:val="auto"/>
                <w:kern w:val="0"/>
                <w:sz w:val="24"/>
                <w:lang w:val="en-US" w:eastAsia="zh-CN"/>
              </w:rPr>
              <w:t>—</w:t>
            </w:r>
            <w:r>
              <w:rPr>
                <w:rFonts w:hint="default" w:eastAsia="宋体"/>
                <w:color w:val="auto"/>
                <w:kern w:val="0"/>
                <w:sz w:val="24"/>
                <w:lang w:val="en-US" w:eastAsia="zh-CN"/>
              </w:rPr>
              <w:t>2035年）》《陕西陈仓经济技术开发区总体规划（2022</w:t>
            </w:r>
            <w:r>
              <w:rPr>
                <w:rFonts w:hint="eastAsia"/>
                <w:color w:val="auto"/>
                <w:kern w:val="0"/>
                <w:sz w:val="24"/>
                <w:lang w:val="en-US" w:eastAsia="zh-CN"/>
              </w:rPr>
              <w:t>—</w:t>
            </w:r>
            <w:r>
              <w:rPr>
                <w:rFonts w:hint="default" w:eastAsia="宋体"/>
                <w:color w:val="auto"/>
                <w:kern w:val="0"/>
                <w:sz w:val="24"/>
                <w:lang w:val="en-US" w:eastAsia="zh-CN"/>
              </w:rPr>
              <w:t>2035年）环境影响报告书》以及审查意见的相关要求。</w:t>
            </w:r>
          </w:p>
        </w:tc>
      </w:tr>
      <w:tr w14:paraId="62379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6" w:type="dxa"/>
            <w:noWrap w:val="0"/>
            <w:vAlign w:val="center"/>
          </w:tcPr>
          <w:p w14:paraId="358E55A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7864" w:type="dxa"/>
            <w:gridSpan w:val="3"/>
            <w:noWrap w:val="0"/>
            <w:vAlign w:val="center"/>
          </w:tcPr>
          <w:p w14:paraId="60E85A3A">
            <w:pPr>
              <w:spacing w:line="360" w:lineRule="auto"/>
              <w:ind w:firstLine="482" w:firstLineChars="200"/>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1.项目</w:t>
            </w:r>
            <w:r>
              <w:rPr>
                <w:rFonts w:hint="eastAsia" w:cs="Times New Roman"/>
                <w:b/>
                <w:bCs w:val="0"/>
                <w:color w:val="auto"/>
                <w:sz w:val="24"/>
                <w:szCs w:val="24"/>
                <w:lang w:val="en-US" w:eastAsia="zh-CN"/>
              </w:rPr>
              <w:t>与宝鸡市生态环境分区管控方案</w:t>
            </w:r>
            <w:r>
              <w:rPr>
                <w:rFonts w:hint="default" w:ascii="Times New Roman" w:hAnsi="Times New Roman" w:cs="Times New Roman"/>
                <w:b/>
                <w:bCs w:val="0"/>
                <w:color w:val="auto"/>
                <w:sz w:val="24"/>
                <w:szCs w:val="24"/>
              </w:rPr>
              <w:t>符</w:t>
            </w:r>
            <w:r>
              <w:rPr>
                <w:rFonts w:hint="eastAsia" w:cs="Times New Roman"/>
                <w:b/>
                <w:bCs w:val="0"/>
                <w:color w:val="auto"/>
                <w:sz w:val="24"/>
                <w:szCs w:val="24"/>
                <w:lang w:val="en-US" w:eastAsia="zh-CN"/>
              </w:rPr>
              <w:t>合</w:t>
            </w:r>
            <w:r>
              <w:rPr>
                <w:rFonts w:hint="default" w:ascii="Times New Roman" w:hAnsi="Times New Roman" w:cs="Times New Roman"/>
                <w:b/>
                <w:bCs w:val="0"/>
                <w:color w:val="auto"/>
                <w:sz w:val="24"/>
                <w:szCs w:val="24"/>
              </w:rPr>
              <w:t>性分析</w:t>
            </w:r>
          </w:p>
          <w:p w14:paraId="055D31DA">
            <w:pPr>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通过在陕西省“三线一单”数据应用系统平台进行核对</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工程位于重点管控单元，工程与《宝鸡市生态环境分区管控方案动态更新成果》的符合性分析</w:t>
            </w:r>
            <w:r>
              <w:rPr>
                <w:rFonts w:hint="default" w:ascii="Times New Roman" w:hAnsi="Times New Roman" w:cs="Times New Roman"/>
                <w:color w:val="auto"/>
                <w:sz w:val="24"/>
                <w:szCs w:val="24"/>
                <w:lang w:val="en-US" w:eastAsia="zh-CN"/>
              </w:rPr>
              <w:t>采用“一图、一表、一说明”的形式表达（详见附件）。</w:t>
            </w:r>
          </w:p>
          <w:p w14:paraId="7E73A1CC">
            <w:pPr>
              <w:autoSpaceDE w:val="0"/>
              <w:autoSpaceDN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sz w:val="24"/>
                <w:szCs w:val="24"/>
                <w:lang w:val="en-US" w:eastAsia="zh-CN"/>
              </w:rPr>
            </w:pPr>
            <w:r>
              <w:rPr>
                <w:rFonts w:hint="eastAsia" w:cs="Times New Roman"/>
                <w:caps w:val="0"/>
                <w:smallCaps w:val="0"/>
                <w:color w:val="auto"/>
                <w:spacing w:val="0"/>
                <w:w w:val="100"/>
                <w:sz w:val="24"/>
                <w:szCs w:val="24"/>
                <w:lang w:val="en-US" w:eastAsia="zh-CN"/>
              </w:rPr>
              <w:t>（1）</w:t>
            </w:r>
            <w:r>
              <w:rPr>
                <w:rFonts w:hint="default" w:ascii="Times New Roman" w:hAnsi="Times New Roman" w:cs="Times New Roman"/>
                <w:caps w:val="0"/>
                <w:smallCaps w:val="0"/>
                <w:color w:val="auto"/>
                <w:spacing w:val="0"/>
                <w:w w:val="100"/>
                <w:sz w:val="24"/>
                <w:szCs w:val="24"/>
                <w:lang w:val="en-US" w:eastAsia="zh-CN"/>
              </w:rPr>
              <w:t>“一图”</w:t>
            </w:r>
          </w:p>
          <w:p w14:paraId="01C174DE">
            <w:pPr>
              <w:autoSpaceDE w:val="0"/>
              <w:autoSpaceDN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sz w:val="21"/>
                <w:szCs w:val="21"/>
                <w:lang w:val="en-US" w:eastAsia="zh-CN"/>
              </w:rPr>
            </w:pPr>
            <w:r>
              <w:rPr>
                <w:rFonts w:hint="eastAsia" w:cs="Times New Roman"/>
                <w:caps w:val="0"/>
                <w:smallCaps w:val="0"/>
                <w:color w:val="auto"/>
                <w:spacing w:val="0"/>
                <w:w w:val="100"/>
                <w:sz w:val="24"/>
                <w:szCs w:val="24"/>
                <w:lang w:val="en-US" w:eastAsia="zh-CN"/>
              </w:rPr>
              <w:t>项目与环境管控单元对照分析示意图见下图</w:t>
            </w:r>
            <w:r>
              <w:rPr>
                <w:rFonts w:hint="default" w:ascii="Times New Roman" w:hAnsi="Times New Roman" w:cs="Times New Roman"/>
                <w:caps w:val="0"/>
                <w:smallCaps w:val="0"/>
                <w:color w:val="auto"/>
                <w:spacing w:val="0"/>
                <w:w w:val="100"/>
                <w:sz w:val="24"/>
                <w:szCs w:val="24"/>
                <w:lang w:val="en-US" w:eastAsia="zh-CN"/>
              </w:rPr>
              <w:t>，</w:t>
            </w:r>
            <w:r>
              <w:rPr>
                <w:rFonts w:hint="eastAsia" w:cs="Times New Roman"/>
                <w:caps w:val="0"/>
                <w:smallCaps w:val="0"/>
                <w:color w:val="auto"/>
                <w:spacing w:val="0"/>
                <w:w w:val="100"/>
                <w:sz w:val="24"/>
                <w:szCs w:val="24"/>
                <w:lang w:val="en-US" w:eastAsia="zh-CN"/>
              </w:rPr>
              <w:t>环境管控单元名称为陕西省宝鸡市陈仓区重点管控单元9</w:t>
            </w:r>
            <w:r>
              <w:rPr>
                <w:rFonts w:hint="default" w:ascii="Times New Roman" w:hAnsi="Times New Roman" w:cs="Times New Roman"/>
                <w:caps w:val="0"/>
                <w:smallCaps w:val="0"/>
                <w:color w:val="auto"/>
                <w:spacing w:val="0"/>
                <w:w w:val="100"/>
                <w:sz w:val="24"/>
                <w:szCs w:val="24"/>
                <w:lang w:val="en-US" w:eastAsia="zh-CN"/>
              </w:rPr>
              <w:t>，</w:t>
            </w:r>
            <w:r>
              <w:rPr>
                <w:rFonts w:hint="eastAsia" w:cs="Times New Roman"/>
                <w:caps w:val="0"/>
                <w:smallCaps w:val="0"/>
                <w:color w:val="auto"/>
                <w:spacing w:val="0"/>
                <w:w w:val="100"/>
                <w:sz w:val="24"/>
                <w:szCs w:val="24"/>
                <w:lang w:val="en-US" w:eastAsia="zh-CN"/>
              </w:rPr>
              <w:t>属于</w:t>
            </w:r>
            <w:r>
              <w:rPr>
                <w:rFonts w:hint="default" w:ascii="Times New Roman" w:hAnsi="Times New Roman" w:cs="Times New Roman"/>
                <w:caps w:val="0"/>
                <w:smallCaps w:val="0"/>
                <w:color w:val="auto"/>
                <w:spacing w:val="0"/>
                <w:w w:val="100"/>
                <w:sz w:val="24"/>
                <w:szCs w:val="24"/>
                <w:lang w:val="en-US" w:eastAsia="zh-CN"/>
              </w:rPr>
              <w:t>重点管控单元</w:t>
            </w:r>
            <w:r>
              <w:rPr>
                <w:rFonts w:hint="eastAsia" w:cs="Times New Roman"/>
                <w:caps w:val="0"/>
                <w:smallCaps w:val="0"/>
                <w:color w:val="auto"/>
                <w:spacing w:val="0"/>
                <w:w w:val="100"/>
                <w:sz w:val="24"/>
                <w:szCs w:val="24"/>
                <w:lang w:val="en-US" w:eastAsia="zh-CN"/>
              </w:rPr>
              <w:t>。</w:t>
            </w:r>
          </w:p>
          <w:p w14:paraId="0EAF5F51">
            <w:pPr>
              <w:autoSpaceDE w:val="0"/>
              <w:autoSpaceDN w:val="0"/>
              <w:adjustRightInd w:val="0"/>
              <w:snapToGrid w:val="0"/>
              <w:spacing w:line="36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rPr>
              <mc:AlternateContent>
                <mc:Choice Requires="wps">
                  <w:drawing>
                    <wp:anchor distT="0" distB="0" distL="114300" distR="114300" simplePos="0" relativeHeight="251662336" behindDoc="0" locked="0" layoutInCell="1" allowOverlap="1">
                      <wp:simplePos x="0" y="0"/>
                      <wp:positionH relativeFrom="column">
                        <wp:posOffset>1593215</wp:posOffset>
                      </wp:positionH>
                      <wp:positionV relativeFrom="paragraph">
                        <wp:posOffset>2393950</wp:posOffset>
                      </wp:positionV>
                      <wp:extent cx="799465" cy="304165"/>
                      <wp:effectExtent l="5080" t="4445" r="452755" b="15240"/>
                      <wp:wrapNone/>
                      <wp:docPr id="120" name="圆角矩形标注 120"/>
                      <wp:cNvGraphicFramePr/>
                      <a:graphic xmlns:a="http://schemas.openxmlformats.org/drawingml/2006/main">
                        <a:graphicData uri="http://schemas.microsoft.com/office/word/2010/wordprocessingShape">
                          <wps:wsp>
                            <wps:cNvSpPr/>
                            <wps:spPr>
                              <a:xfrm>
                                <a:off x="4975225" y="1579880"/>
                                <a:ext cx="799465" cy="304165"/>
                              </a:xfrm>
                              <a:prstGeom prst="wedgeRoundRectCallout">
                                <a:avLst>
                                  <a:gd name="adj1" fmla="val 105440"/>
                                  <a:gd name="adj2" fmla="val -43945"/>
                                  <a:gd name="adj3" fmla="val 16667"/>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D3969C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5.45pt;margin-top:188.5pt;height:23.95pt;width:62.95pt;z-index:251662336;v-text-anchor:middle;mso-width-relative:page;mso-height-relative:page;" fillcolor="#FFFFFF [3212]" filled="t" stroked="t" coordsize="21600,21600" o:gfxdata="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r7eY0&#10;2wAAAAsBAAAPAAAAAAAAAAEAIAAAACIAAABkcnMvZG93bnJldi54bWxQSwECFAAUAAAACACHTuJA&#10;zY1Y08kCAACKBQAADgAAAAAAAAABACAAAAAqAQAAZHJzL2Uyb0RvYy54bWxQSwUGAAAAAAYABgBZ&#10;AQAAZQYAAAAA&#10;" adj="33575,1308,14400">
                      <v:fill on="t" focussize="0,0"/>
                      <v:stroke weight="0.5pt" color="#000000 [3213]" joinstyle="round"/>
                      <v:imagedata o:title=""/>
                      <o:lock v:ext="edit" aspectratio="f"/>
                      <v:textbox>
                        <w:txbxContent>
                          <w:p w14:paraId="4D3969C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v:textbox>
                    </v:shape>
                  </w:pict>
                </mc:Fallback>
              </mc:AlternateContent>
            </w:r>
            <w:r>
              <w:rPr>
                <w:color w:val="auto"/>
              </w:rPr>
              <w:drawing>
                <wp:inline distT="0" distB="0" distL="114300" distR="114300">
                  <wp:extent cx="2872740" cy="4950460"/>
                  <wp:effectExtent l="9525" t="9525" r="13335" b="184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2872740" cy="4950460"/>
                          </a:xfrm>
                          <a:prstGeom prst="rect">
                            <a:avLst/>
                          </a:prstGeom>
                          <a:noFill/>
                          <a:ln>
                            <a:solidFill>
                              <a:schemeClr val="tx1"/>
                            </a:solidFill>
                          </a:ln>
                        </pic:spPr>
                      </pic:pic>
                    </a:graphicData>
                  </a:graphic>
                </wp:inline>
              </w:drawing>
            </w:r>
          </w:p>
          <w:p w14:paraId="476D44B1">
            <w:pPr>
              <w:pStyle w:val="177"/>
              <w:bidi w:val="0"/>
              <w:spacing w:line="360" w:lineRule="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图1-1  本项目与环境管控单元对照分析示意图</w:t>
            </w:r>
          </w:p>
          <w:p w14:paraId="4B397BE5">
            <w:pPr>
              <w:autoSpaceDE w:val="0"/>
              <w:autoSpaceDN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sz w:val="24"/>
                <w:szCs w:val="24"/>
                <w:lang w:val="en-US" w:eastAsia="zh-CN"/>
              </w:rPr>
            </w:pP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“一表”</w:t>
            </w:r>
          </w:p>
          <w:p w14:paraId="35E7A75D">
            <w:pPr>
              <w:autoSpaceDE w:val="0"/>
              <w:autoSpaceDN w:val="0"/>
              <w:adjustRightInd w:val="0"/>
              <w:snapToGrid w:val="0"/>
              <w:spacing w:line="360" w:lineRule="auto"/>
              <w:ind w:firstLine="480" w:firstLineChars="200"/>
              <w:jc w:val="both"/>
              <w:rPr>
                <w:rFonts w:hint="default" w:ascii="Times New Roman" w:hAnsi="Times New Roman" w:cs="Times New Roman"/>
                <w:caps w:val="0"/>
                <w:smallCaps w:val="0"/>
                <w:color w:val="auto"/>
                <w:spacing w:val="0"/>
                <w:w w:val="100"/>
                <w:sz w:val="24"/>
                <w:szCs w:val="24"/>
                <w:lang w:val="en-US" w:eastAsia="zh-CN"/>
              </w:rPr>
            </w:pPr>
            <w:r>
              <w:rPr>
                <w:rFonts w:hint="eastAsia" w:cs="Times New Roman"/>
                <w:caps w:val="0"/>
                <w:smallCaps w:val="0"/>
                <w:color w:val="auto"/>
                <w:spacing w:val="0"/>
                <w:w w:val="100"/>
                <w:sz w:val="24"/>
                <w:szCs w:val="24"/>
                <w:lang w:val="en-US" w:eastAsia="zh-CN"/>
              </w:rPr>
              <w:t>根据</w:t>
            </w:r>
            <w:r>
              <w:rPr>
                <w:rFonts w:hint="default" w:ascii="Times New Roman" w:hAnsi="Times New Roman" w:eastAsia="宋体" w:cs="Times New Roman"/>
                <w:caps w:val="0"/>
                <w:smallCaps w:val="0"/>
                <w:color w:val="auto"/>
                <w:spacing w:val="0"/>
                <w:w w:val="100"/>
                <w:sz w:val="24"/>
                <w:szCs w:val="24"/>
                <w:lang w:val="en-US" w:eastAsia="zh-CN"/>
              </w:rPr>
              <w:t>陕西省</w:t>
            </w:r>
            <w:r>
              <w:rPr>
                <w:rFonts w:hint="default" w:ascii="Times New Roman" w:hAnsi="Times New Roman" w:cs="Times New Roman"/>
                <w:caps w:val="0"/>
                <w:smallCaps w:val="0"/>
                <w:color w:val="auto"/>
                <w:spacing w:val="0"/>
                <w:w w:val="100"/>
                <w:sz w:val="24"/>
                <w:szCs w:val="24"/>
                <w:lang w:val="en-US" w:eastAsia="zh-CN"/>
              </w:rPr>
              <w:t>“</w:t>
            </w:r>
            <w:r>
              <w:rPr>
                <w:rFonts w:hint="default" w:ascii="Times New Roman" w:hAnsi="Times New Roman" w:eastAsia="宋体" w:cs="Times New Roman"/>
                <w:caps w:val="0"/>
                <w:smallCaps w:val="0"/>
                <w:color w:val="auto"/>
                <w:spacing w:val="0"/>
                <w:w w:val="100"/>
                <w:sz w:val="24"/>
                <w:szCs w:val="24"/>
                <w:lang w:val="en-US" w:eastAsia="zh-CN"/>
              </w:rPr>
              <w:t>三线一单</w:t>
            </w:r>
            <w:r>
              <w:rPr>
                <w:rFonts w:hint="default" w:ascii="Times New Roman" w:hAnsi="Times New Roman" w:cs="Times New Roman"/>
                <w:caps w:val="0"/>
                <w:smallCaps w:val="0"/>
                <w:color w:val="auto"/>
                <w:spacing w:val="0"/>
                <w:w w:val="100"/>
                <w:sz w:val="24"/>
                <w:szCs w:val="24"/>
                <w:lang w:val="en-US" w:eastAsia="zh-CN"/>
              </w:rPr>
              <w:t>”</w:t>
            </w:r>
            <w:r>
              <w:rPr>
                <w:rFonts w:hint="default" w:ascii="Times New Roman" w:hAnsi="Times New Roman" w:eastAsia="宋体" w:cs="Times New Roman"/>
                <w:caps w:val="0"/>
                <w:smallCaps w:val="0"/>
                <w:color w:val="auto"/>
                <w:spacing w:val="0"/>
                <w:w w:val="100"/>
                <w:sz w:val="24"/>
                <w:szCs w:val="24"/>
                <w:lang w:val="en-US" w:eastAsia="zh-CN"/>
              </w:rPr>
              <w:t>数据应用</w:t>
            </w:r>
            <w:r>
              <w:rPr>
                <w:rFonts w:hint="eastAsia" w:cs="Times New Roman"/>
                <w:caps w:val="0"/>
                <w:smallCaps w:val="0"/>
                <w:color w:val="auto"/>
                <w:spacing w:val="0"/>
                <w:w w:val="100"/>
                <w:sz w:val="24"/>
                <w:szCs w:val="24"/>
                <w:lang w:val="en-US" w:eastAsia="zh-CN"/>
              </w:rPr>
              <w:t>管理平台数据分析</w:t>
            </w:r>
            <w:r>
              <w:rPr>
                <w:rFonts w:hint="default" w:ascii="Times New Roman" w:hAnsi="Times New Roman" w:eastAsia="宋体" w:cs="Times New Roman"/>
                <w:caps w:val="0"/>
                <w:smallCaps w:val="0"/>
                <w:color w:val="auto"/>
                <w:spacing w:val="0"/>
                <w:w w:val="100"/>
                <w:sz w:val="24"/>
                <w:szCs w:val="24"/>
                <w:lang w:val="en-US" w:eastAsia="zh-CN"/>
              </w:rPr>
              <w:t>，项目范围涉及的生态环境</w:t>
            </w:r>
            <w:r>
              <w:rPr>
                <w:rFonts w:hint="default" w:ascii="Times New Roman" w:hAnsi="Times New Roman" w:eastAsia="宋体" w:cs="Times New Roman"/>
                <w:b w:val="0"/>
                <w:bCs w:val="0"/>
                <w:color w:val="auto"/>
                <w:sz w:val="24"/>
                <w:szCs w:val="24"/>
                <w:lang w:val="en-US" w:eastAsia="zh-CN"/>
              </w:rPr>
              <w:t>管控</w:t>
            </w:r>
            <w:r>
              <w:rPr>
                <w:rFonts w:hint="default" w:ascii="Times New Roman" w:hAnsi="Times New Roman" w:eastAsia="宋体" w:cs="Times New Roman"/>
                <w:caps w:val="0"/>
                <w:smallCaps w:val="0"/>
                <w:color w:val="auto"/>
                <w:spacing w:val="0"/>
                <w:w w:val="100"/>
                <w:sz w:val="24"/>
                <w:szCs w:val="24"/>
                <w:lang w:val="en-US" w:eastAsia="zh-CN"/>
              </w:rPr>
              <w:t>单元</w:t>
            </w:r>
            <w:r>
              <w:rPr>
                <w:rFonts w:hint="eastAsia" w:cs="Times New Roman"/>
                <w:caps w:val="0"/>
                <w:smallCaps w:val="0"/>
                <w:color w:val="auto"/>
                <w:spacing w:val="0"/>
                <w:w w:val="100"/>
                <w:sz w:val="24"/>
                <w:szCs w:val="24"/>
                <w:lang w:val="en-US" w:eastAsia="zh-CN"/>
              </w:rPr>
              <w:t>管控要求如下</w:t>
            </w:r>
            <w:r>
              <w:rPr>
                <w:rFonts w:hint="default" w:ascii="Times New Roman" w:hAnsi="Times New Roman" w:cs="Times New Roman"/>
                <w:caps w:val="0"/>
                <w:smallCaps w:val="0"/>
                <w:color w:val="auto"/>
                <w:spacing w:val="0"/>
                <w:w w:val="100"/>
                <w:sz w:val="24"/>
                <w:szCs w:val="24"/>
                <w:lang w:val="en-US" w:eastAsia="zh-CN"/>
              </w:rPr>
              <w:t>：</w:t>
            </w:r>
          </w:p>
          <w:p w14:paraId="71A0C135">
            <w:pPr>
              <w:autoSpaceDE w:val="0"/>
              <w:autoSpaceDN w:val="0"/>
              <w:adjustRightInd w:val="0"/>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表</w:t>
            </w:r>
            <w:r>
              <w:rPr>
                <w:rFonts w:hint="default" w:ascii="Times New Roman" w:hAnsi="Times New Roman" w:cs="Times New Roman"/>
                <w:b/>
                <w:bCs w:val="0"/>
                <w:color w:val="auto"/>
                <w:sz w:val="21"/>
                <w:szCs w:val="21"/>
                <w:lang w:val="en-US" w:eastAsia="zh-CN"/>
              </w:rPr>
              <w:t>1-</w:t>
            </w:r>
            <w:r>
              <w:rPr>
                <w:rFonts w:hint="eastAsia" w:ascii="Times New Roman" w:hAnsi="Times New Roman" w:cs="Times New Roman"/>
                <w:b/>
                <w:bCs w:val="0"/>
                <w:color w:val="auto"/>
                <w:sz w:val="21"/>
                <w:szCs w:val="21"/>
                <w:lang w:val="en-US" w:eastAsia="zh-CN"/>
              </w:rPr>
              <w:t>2</w:t>
            </w:r>
            <w:r>
              <w:rPr>
                <w:rFonts w:hint="default" w:ascii="Times New Roman" w:hAnsi="Times New Roman" w:cs="Times New Roman"/>
                <w:b/>
                <w:bCs w:val="0"/>
                <w:color w:val="auto"/>
                <w:sz w:val="21"/>
                <w:szCs w:val="21"/>
              </w:rPr>
              <w:t xml:space="preserve">  </w:t>
            </w:r>
            <w:r>
              <w:rPr>
                <w:rFonts w:hint="default" w:ascii="Times New Roman" w:hAnsi="Times New Roman" w:cs="Times New Roman"/>
                <w:b/>
                <w:bCs w:val="0"/>
                <w:color w:val="auto"/>
                <w:sz w:val="21"/>
                <w:szCs w:val="21"/>
                <w:lang w:val="en-US" w:eastAsia="zh-CN"/>
              </w:rPr>
              <w:t>项目与环境管控单元涉及情况</w:t>
            </w:r>
          </w:p>
          <w:tbl>
            <w:tblPr>
              <w:tblStyle w:val="30"/>
              <w:tblW w:w="4998"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730"/>
              <w:gridCol w:w="718"/>
              <w:gridCol w:w="3219"/>
              <w:gridCol w:w="2240"/>
            </w:tblGrid>
            <w:tr w14:paraId="1B213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tcBorders>
                    <w:tl2br w:val="nil"/>
                    <w:tr2bl w:val="nil"/>
                  </w:tcBorders>
                  <w:noWrap w:val="0"/>
                  <w:vAlign w:val="center"/>
                </w:tcPr>
                <w:p w14:paraId="693E4800">
                  <w:pPr>
                    <w:tabs>
                      <w:tab w:val="left" w:pos="1393"/>
                    </w:tabs>
                    <w:adjustRightInd w:val="0"/>
                    <w:snapToGrid w:val="0"/>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环境管控单元名称</w:t>
                  </w:r>
                </w:p>
              </w:tc>
              <w:tc>
                <w:tcPr>
                  <w:tcW w:w="479" w:type="pct"/>
                  <w:tcBorders>
                    <w:tl2br w:val="nil"/>
                    <w:tr2bl w:val="nil"/>
                  </w:tcBorders>
                  <w:noWrap w:val="0"/>
                  <w:vAlign w:val="center"/>
                </w:tcPr>
                <w:p w14:paraId="32420A75">
                  <w:pPr>
                    <w:tabs>
                      <w:tab w:val="left" w:pos="1393"/>
                    </w:tabs>
                    <w:adjustRightInd w:val="0"/>
                    <w:snapToGrid w:val="0"/>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单元要素属性</w:t>
                  </w:r>
                </w:p>
              </w:tc>
              <w:tc>
                <w:tcPr>
                  <w:tcW w:w="471" w:type="pct"/>
                  <w:tcBorders>
                    <w:tl2br w:val="nil"/>
                    <w:tr2bl w:val="nil"/>
                  </w:tcBorders>
                  <w:noWrap w:val="0"/>
                  <w:vAlign w:val="center"/>
                </w:tcPr>
                <w:p w14:paraId="10B5F925">
                  <w:pPr>
                    <w:autoSpaceDE w:val="0"/>
                    <w:autoSpaceDN w:val="0"/>
                    <w:adjustRightInd w:val="0"/>
                    <w:snapToGrid w:val="0"/>
                    <w:jc w:val="center"/>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管控要求分类</w:t>
                  </w:r>
                </w:p>
              </w:tc>
              <w:tc>
                <w:tcPr>
                  <w:tcW w:w="2113" w:type="pct"/>
                  <w:tcBorders>
                    <w:tl2br w:val="nil"/>
                    <w:tr2bl w:val="nil"/>
                  </w:tcBorders>
                  <w:noWrap w:val="0"/>
                  <w:vAlign w:val="center"/>
                </w:tcPr>
                <w:p w14:paraId="7551F930">
                  <w:pPr>
                    <w:autoSpaceDE w:val="0"/>
                    <w:autoSpaceDN w:val="0"/>
                    <w:adjustRightInd w:val="0"/>
                    <w:snapToGrid w:val="0"/>
                    <w:jc w:val="center"/>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管控要求</w:t>
                  </w:r>
                </w:p>
              </w:tc>
              <w:tc>
                <w:tcPr>
                  <w:tcW w:w="1470" w:type="pct"/>
                  <w:tcBorders>
                    <w:tl2br w:val="nil"/>
                    <w:tr2bl w:val="nil"/>
                  </w:tcBorders>
                  <w:noWrap w:val="0"/>
                  <w:vAlign w:val="center"/>
                </w:tcPr>
                <w:p w14:paraId="3B937F23">
                  <w:pPr>
                    <w:autoSpaceDE w:val="0"/>
                    <w:autoSpaceDN w:val="0"/>
                    <w:adjustRightInd w:val="0"/>
                    <w:snapToGrid w:val="0"/>
                    <w:jc w:val="center"/>
                    <w:rPr>
                      <w:rFonts w:hint="default" w:ascii="Times New Roman" w:hAnsi="Times New Roman"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与本项目符合性</w:t>
                  </w:r>
                </w:p>
              </w:tc>
            </w:tr>
            <w:tr w14:paraId="6605F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restart"/>
                  <w:tcBorders>
                    <w:tl2br w:val="nil"/>
                    <w:tr2bl w:val="nil"/>
                  </w:tcBorders>
                  <w:noWrap w:val="0"/>
                  <w:vAlign w:val="center"/>
                </w:tcPr>
                <w:p w14:paraId="7887DA29">
                  <w:pPr>
                    <w:widowControl/>
                    <w:adjustRightInd w:val="0"/>
                    <w:snapToGrid w:val="0"/>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陕西省宝鸡市</w:t>
                  </w:r>
                  <w:r>
                    <w:rPr>
                      <w:rFonts w:hint="eastAsia" w:ascii="Times New Roman" w:hAnsi="Times New Roman" w:cs="Times New Roman"/>
                      <w:color w:val="auto"/>
                      <w:sz w:val="21"/>
                      <w:szCs w:val="21"/>
                      <w:shd w:val="clear" w:color="auto" w:fill="auto"/>
                      <w:lang w:val="en-US" w:eastAsia="zh-CN"/>
                    </w:rPr>
                    <w:t>陈仓区重点管控单元9</w:t>
                  </w:r>
                </w:p>
              </w:tc>
              <w:tc>
                <w:tcPr>
                  <w:tcW w:w="479" w:type="pct"/>
                  <w:vMerge w:val="restart"/>
                  <w:tcBorders>
                    <w:tl2br w:val="nil"/>
                    <w:tr2bl w:val="nil"/>
                  </w:tcBorders>
                  <w:noWrap w:val="0"/>
                  <w:vAlign w:val="center"/>
                </w:tcPr>
                <w:p w14:paraId="53D59525">
                  <w:pPr>
                    <w:widowControl/>
                    <w:adjustRightInd w:val="0"/>
                    <w:snapToGrid w:val="0"/>
                    <w:jc w:val="center"/>
                    <w:rPr>
                      <w:rFonts w:hint="default" w:ascii="Times New Roman" w:hAnsi="Times New Roman" w:cs="Times New Roman"/>
                      <w:color w:val="auto"/>
                      <w:sz w:val="21"/>
                      <w:szCs w:val="21"/>
                      <w:shd w:val="clear" w:color="auto" w:fill="auto"/>
                      <w:lang w:val="en-US"/>
                    </w:rPr>
                  </w:pPr>
                  <w:r>
                    <w:rPr>
                      <w:rFonts w:hint="default" w:ascii="Times New Roman" w:hAnsi="Times New Roman" w:cs="Times New Roman"/>
                      <w:bCs/>
                      <w:color w:val="auto"/>
                      <w:sz w:val="21"/>
                      <w:szCs w:val="21"/>
                      <w:shd w:val="clear" w:color="auto" w:fill="auto"/>
                      <w:lang w:val="en-US" w:eastAsia="zh-CN"/>
                    </w:rPr>
                    <w:t>大气环境受体敏感重点管控区、水环境</w:t>
                  </w:r>
                  <w:r>
                    <w:rPr>
                      <w:rFonts w:hint="eastAsia" w:ascii="Times New Roman" w:hAnsi="Times New Roman" w:cs="Times New Roman"/>
                      <w:bCs/>
                      <w:color w:val="auto"/>
                      <w:sz w:val="21"/>
                      <w:szCs w:val="21"/>
                      <w:shd w:val="clear" w:color="auto" w:fill="auto"/>
                      <w:lang w:val="en-US" w:eastAsia="zh-CN"/>
                    </w:rPr>
                    <w:t>城镇生活</w:t>
                  </w:r>
                  <w:r>
                    <w:rPr>
                      <w:rFonts w:hint="default" w:ascii="Times New Roman" w:hAnsi="Times New Roman" w:cs="Times New Roman"/>
                      <w:bCs/>
                      <w:color w:val="auto"/>
                      <w:sz w:val="21"/>
                      <w:szCs w:val="21"/>
                      <w:shd w:val="clear" w:color="auto" w:fill="auto"/>
                      <w:lang w:val="en-US" w:eastAsia="zh-CN"/>
                    </w:rPr>
                    <w:t>污染重点管控区、生态用水补给区管控区、</w:t>
                  </w:r>
                  <w:r>
                    <w:rPr>
                      <w:rFonts w:hint="eastAsia" w:ascii="Times New Roman" w:hAnsi="Times New Roman" w:cs="Times New Roman"/>
                      <w:bCs/>
                      <w:color w:val="auto"/>
                      <w:sz w:val="21"/>
                      <w:szCs w:val="21"/>
                      <w:shd w:val="clear" w:color="auto" w:fill="auto"/>
                      <w:lang w:val="en-US" w:eastAsia="zh-CN"/>
                    </w:rPr>
                    <w:t>土地资源重点管控区、</w:t>
                  </w:r>
                  <w:r>
                    <w:rPr>
                      <w:rFonts w:hint="default" w:ascii="Times New Roman" w:hAnsi="Times New Roman" w:cs="Times New Roman"/>
                      <w:bCs/>
                      <w:color w:val="auto"/>
                      <w:sz w:val="21"/>
                      <w:szCs w:val="21"/>
                      <w:shd w:val="clear" w:color="auto" w:fill="auto"/>
                      <w:lang w:val="en-US" w:eastAsia="zh-CN"/>
                    </w:rPr>
                    <w:t>高污染燃料禁燃区</w:t>
                  </w:r>
                  <w:r>
                    <w:rPr>
                      <w:rFonts w:hint="eastAsia" w:ascii="Times New Roman" w:hAnsi="Times New Roman" w:cs="Times New Roman"/>
                      <w:bCs/>
                      <w:color w:val="auto"/>
                      <w:sz w:val="21"/>
                      <w:szCs w:val="21"/>
                      <w:shd w:val="clear" w:color="auto" w:fill="auto"/>
                      <w:lang w:val="en-US" w:eastAsia="zh-CN"/>
                    </w:rPr>
                    <w:t>、陈仓科技工业园</w:t>
                  </w:r>
                </w:p>
              </w:tc>
              <w:tc>
                <w:tcPr>
                  <w:tcW w:w="471" w:type="pct"/>
                  <w:tcBorders>
                    <w:tl2br w:val="nil"/>
                    <w:tr2bl w:val="nil"/>
                  </w:tcBorders>
                  <w:noWrap w:val="0"/>
                  <w:vAlign w:val="center"/>
                </w:tcPr>
                <w:p w14:paraId="57DB8527">
                  <w:pPr>
                    <w:autoSpaceDE w:val="0"/>
                    <w:autoSpaceDN w:val="0"/>
                    <w:adjustRightInd w:val="0"/>
                    <w:snapToGrid w:val="0"/>
                    <w:jc w:val="center"/>
                    <w:rPr>
                      <w:rFonts w:hint="default" w:ascii="Times New Roman" w:hAnsi="Times New Roman" w:eastAsia="宋体" w:cs="Times New Roman"/>
                      <w:bCs/>
                      <w:color w:val="auto"/>
                      <w:kern w:val="2"/>
                      <w:sz w:val="21"/>
                      <w:szCs w:val="21"/>
                      <w:shd w:val="clear" w:color="auto" w:fill="auto"/>
                      <w:lang w:val="en-US" w:eastAsia="zh-CN" w:bidi="ar-SA"/>
                    </w:rPr>
                  </w:pPr>
                  <w:r>
                    <w:rPr>
                      <w:rFonts w:hint="default" w:ascii="Times New Roman" w:hAnsi="Times New Roman" w:cs="Times New Roman"/>
                      <w:bCs/>
                      <w:color w:val="auto"/>
                      <w:sz w:val="21"/>
                      <w:szCs w:val="21"/>
                      <w:shd w:val="clear" w:color="auto" w:fill="auto"/>
                      <w:lang w:val="en-US" w:eastAsia="zh-CN"/>
                    </w:rPr>
                    <w:t>空间布局约束</w:t>
                  </w:r>
                </w:p>
              </w:tc>
              <w:tc>
                <w:tcPr>
                  <w:tcW w:w="2113" w:type="pct"/>
                  <w:tcBorders>
                    <w:tl2br w:val="nil"/>
                    <w:tr2bl w:val="nil"/>
                  </w:tcBorders>
                  <w:noWrap w:val="0"/>
                  <w:vAlign w:val="center"/>
                </w:tcPr>
                <w:p w14:paraId="0EA0F0CE">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大气环境受体敏感重点管控区：</w:t>
                  </w:r>
                  <w:r>
                    <w:rPr>
                      <w:rFonts w:hint="default" w:ascii="Times New Roman" w:hAnsi="Times New Roman" w:eastAsia="宋体" w:cs="Times New Roman"/>
                      <w:color w:val="auto"/>
                      <w:kern w:val="0"/>
                      <w:sz w:val="21"/>
                      <w:szCs w:val="21"/>
                      <w:lang w:val="en-US" w:eastAsia="zh-CN" w:bidi="ar"/>
                    </w:rPr>
                    <w:t>1.严格控制新增《陕西省</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两高</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项目管理暂行目录》行业项目（民生等项目除外，后续对</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两高</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范围国家如有新规定的，从其规定）。</w:t>
                  </w:r>
                </w:p>
                <w:p w14:paraId="66BF73E9">
                  <w:pPr>
                    <w:keepNext w:val="0"/>
                    <w:keepLines w:val="0"/>
                    <w:widowControl/>
                    <w:numPr>
                      <w:ilvl w:val="0"/>
                      <w:numId w:val="3"/>
                    </w:numPr>
                    <w:suppressLineNumbers w:val="0"/>
                    <w:jc w:val="left"/>
                    <w:rPr>
                      <w:rFonts w:hint="default"/>
                      <w:color w:val="auto"/>
                      <w:lang w:val="en-US" w:eastAsia="zh-CN"/>
                    </w:rPr>
                  </w:pPr>
                  <w:r>
                    <w:rPr>
                      <w:rFonts w:hint="default" w:ascii="Times New Roman" w:hAnsi="Times New Roman" w:eastAsia="宋体" w:cs="Times New Roman"/>
                      <w:color w:val="auto"/>
                      <w:kern w:val="0"/>
                      <w:sz w:val="21"/>
                      <w:szCs w:val="21"/>
                      <w:lang w:val="en-US" w:eastAsia="zh-CN" w:bidi="ar"/>
                    </w:rPr>
                    <w:t>严禁新增钢铁、焦化、水泥熟料、平板玻璃、电解铝、氧化铝、煤化工产能。</w:t>
                  </w:r>
                  <w:r>
                    <w:rPr>
                      <w:rFonts w:hint="eastAsia" w:ascii="Times New Roman" w:hAnsi="Times New Roman" w:eastAsia="宋体" w:cs="Times New Roman"/>
                      <w:color w:val="auto"/>
                      <w:kern w:val="0"/>
                      <w:sz w:val="21"/>
                      <w:szCs w:val="21"/>
                      <w:lang w:val="en-US" w:eastAsia="zh-CN" w:bidi="ar"/>
                    </w:rPr>
                    <w:t>3.推动重污染企业搬迁入园或依法关闭，实施工业企业退城搬迁改造。4.新建商住楼必须设置专用烟道，配套安装高效油烟净化设施。</w:t>
                  </w:r>
                </w:p>
                <w:p w14:paraId="6B83A482">
                  <w:pPr>
                    <w:keepNext w:val="0"/>
                    <w:keepLines w:val="0"/>
                    <w:widowControl/>
                    <w:suppressLineNumbers w:val="0"/>
                    <w:jc w:val="left"/>
                    <w:rPr>
                      <w:rFonts w:hint="eastAsia"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水环境工业污染重点管控区：</w:t>
                  </w:r>
                  <w:r>
                    <w:rPr>
                      <w:rFonts w:hint="default" w:ascii="Times New Roman" w:hAnsi="Times New Roman" w:cs="Times New Roman"/>
                      <w:b w:val="0"/>
                      <w:bCs w:val="0"/>
                      <w:color w:val="auto"/>
                      <w:kern w:val="0"/>
                      <w:sz w:val="21"/>
                      <w:szCs w:val="21"/>
                      <w:lang w:val="en-US" w:eastAsia="zh-CN" w:bidi="ar"/>
                    </w:rPr>
                    <w:t>1.</w:t>
                  </w:r>
                  <w:r>
                    <w:rPr>
                      <w:rFonts w:hint="eastAsia" w:ascii="Times New Roman" w:hAnsi="Times New Roman" w:cs="Times New Roman"/>
                      <w:b w:val="0"/>
                      <w:bCs w:val="0"/>
                      <w:color w:val="auto"/>
                      <w:kern w:val="0"/>
                      <w:sz w:val="21"/>
                      <w:szCs w:val="21"/>
                      <w:lang w:val="en-US" w:eastAsia="zh-CN" w:bidi="ar"/>
                    </w:rPr>
                    <w:t>持续推进城中村、老旧城区、城乡</w:t>
                  </w:r>
                  <w:r>
                    <w:rPr>
                      <w:rFonts w:hint="eastAsia" w:cs="Times New Roman"/>
                      <w:b w:val="0"/>
                      <w:bCs w:val="0"/>
                      <w:color w:val="auto"/>
                      <w:kern w:val="0"/>
                      <w:sz w:val="21"/>
                      <w:szCs w:val="21"/>
                      <w:lang w:val="en-US" w:eastAsia="zh-CN" w:bidi="ar"/>
                    </w:rPr>
                    <w:t>接合</w:t>
                  </w:r>
                  <w:r>
                    <w:rPr>
                      <w:rFonts w:hint="eastAsia" w:ascii="Times New Roman" w:hAnsi="Times New Roman" w:cs="Times New Roman"/>
                      <w:b w:val="0"/>
                      <w:bCs w:val="0"/>
                      <w:color w:val="auto"/>
                      <w:kern w:val="0"/>
                      <w:sz w:val="21"/>
                      <w:szCs w:val="21"/>
                      <w:lang w:val="en-US" w:eastAsia="zh-CN" w:bidi="ar"/>
                    </w:rPr>
                    <w:t>部污水截流、收集和城市雨污管道新建、改建。到2025年底，基本实现城市和县城建成区内生活污水全收集。</w:t>
                  </w:r>
                </w:p>
                <w:p w14:paraId="2277CBB8">
                  <w:pPr>
                    <w:keepNext w:val="0"/>
                    <w:keepLines w:val="0"/>
                    <w:widowControl/>
                    <w:suppressLineNumbers w:val="0"/>
                    <w:jc w:val="left"/>
                    <w:rPr>
                      <w:rFonts w:hint="default" w:ascii="Times New Roman" w:hAnsi="Times New Roman" w:cs="Times New Roman"/>
                      <w:color w:val="auto"/>
                      <w:sz w:val="21"/>
                      <w:szCs w:val="21"/>
                      <w:lang w:val="en-US" w:eastAsia="zh-CN"/>
                    </w:rPr>
                  </w:pPr>
                  <w:r>
                    <w:rPr>
                      <w:rFonts w:hint="eastAsia" w:ascii="Times New Roman" w:hAnsi="Times New Roman" w:cs="Times New Roman"/>
                      <w:b/>
                      <w:bCs/>
                      <w:color w:val="auto"/>
                      <w:kern w:val="0"/>
                      <w:sz w:val="21"/>
                      <w:szCs w:val="21"/>
                      <w:lang w:val="en-US" w:eastAsia="zh-CN" w:bidi="ar"/>
                    </w:rPr>
                    <w:t>陈仓科技工业：</w:t>
                  </w:r>
                  <w:r>
                    <w:rPr>
                      <w:rFonts w:hint="eastAsia" w:ascii="Times New Roman" w:hAnsi="Times New Roman" w:cs="Times New Roman"/>
                      <w:b w:val="0"/>
                      <w:bCs w:val="0"/>
                      <w:color w:val="auto"/>
                      <w:kern w:val="0"/>
                      <w:sz w:val="21"/>
                      <w:szCs w:val="21"/>
                      <w:lang w:val="en-US" w:eastAsia="zh-CN" w:bidi="ar"/>
                    </w:rPr>
                    <w:t>1.执行宝鸡市生态环境要素分区总体准入清单中“5.1大气环境受体敏感重点管控区的空间布局约束”；2.执行宝鸡市生态环境要素分区总体准入清单中“5.3大气环境布局敏感重点管控区的空间布局约束”；3.执行宝鸡市生态环境要素分区总体准入清单中“5.5水环境工业污染重点管控区的空间布局约束”；4.执行宝鸡市生态环境要素分区总体准入清单中“5.9建设用地污染风险重点管控区的空间布局约束”；5.农用地优先保护区执行宝鸡市生态环境要素分区总体准入清单中“4.2农用地优先保护区的空间布局约束”</w:t>
                  </w:r>
                </w:p>
              </w:tc>
              <w:tc>
                <w:tcPr>
                  <w:tcW w:w="1470" w:type="pct"/>
                  <w:tcBorders>
                    <w:tl2br w:val="nil"/>
                    <w:tr2bl w:val="nil"/>
                  </w:tcBorders>
                  <w:noWrap w:val="0"/>
                  <w:vAlign w:val="center"/>
                </w:tcPr>
                <w:p w14:paraId="539D4615">
                  <w:pPr>
                    <w:numPr>
                      <w:ilvl w:val="0"/>
                      <w:numId w:val="0"/>
                    </w:numPr>
                    <w:autoSpaceDE w:val="0"/>
                    <w:autoSpaceDN w:val="0"/>
                    <w:adjustRightInd w:val="0"/>
                    <w:snapToGrid w:val="0"/>
                    <w:jc w:val="both"/>
                    <w:rPr>
                      <w:rFonts w:hint="eastAsia" w:ascii="Times New Roman" w:hAnsi="Times New Roman" w:cs="Times New Roman"/>
                      <w:bCs/>
                      <w:color w:val="auto"/>
                      <w:sz w:val="21"/>
                      <w:szCs w:val="21"/>
                      <w:shd w:val="clear" w:color="auto" w:fill="auto"/>
                      <w:lang w:val="en-US" w:eastAsia="zh-CN"/>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4F405F1D">
                  <w:pPr>
                    <w:numPr>
                      <w:ilvl w:val="0"/>
                      <w:numId w:val="0"/>
                    </w:numPr>
                    <w:autoSpaceDE w:val="0"/>
                    <w:autoSpaceDN w:val="0"/>
                    <w:adjustRightInd w:val="0"/>
                    <w:snapToGrid w:val="0"/>
                    <w:jc w:val="both"/>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cs="Times New Roman"/>
                      <w:bCs/>
                      <w:color w:val="auto"/>
                      <w:sz w:val="21"/>
                      <w:szCs w:val="21"/>
                      <w:shd w:val="clear" w:color="auto" w:fill="auto"/>
                      <w:lang w:val="en-US" w:eastAsia="zh-CN"/>
                    </w:rPr>
                    <w:t>1.</w:t>
                  </w:r>
                  <w:r>
                    <w:rPr>
                      <w:rFonts w:hint="default" w:ascii="Times New Roman" w:hAnsi="Times New Roman" w:cs="Times New Roman"/>
                      <w:bCs/>
                      <w:color w:val="auto"/>
                      <w:sz w:val="21"/>
                      <w:szCs w:val="21"/>
                      <w:shd w:val="clear" w:color="auto" w:fill="auto"/>
                      <w:lang w:val="en-US" w:eastAsia="zh-CN"/>
                    </w:rPr>
                    <w:t>本项目为</w:t>
                  </w:r>
                  <w:r>
                    <w:rPr>
                      <w:rFonts w:hint="eastAsia" w:cs="Times New Roman"/>
                      <w:color w:val="auto"/>
                      <w:szCs w:val="21"/>
                      <w:lang w:val="en-US" w:eastAsia="zh-CN"/>
                    </w:rPr>
                    <w:t>其他输配电及控制设备制造</w:t>
                  </w:r>
                  <w:r>
                    <w:rPr>
                      <w:rFonts w:hint="default" w:ascii="Times New Roman" w:hAnsi="Times New Roman" w:cs="Times New Roman"/>
                      <w:color w:val="auto"/>
                      <w:sz w:val="21"/>
                      <w:szCs w:val="21"/>
                      <w:lang w:val="en-US" w:eastAsia="zh-CN"/>
                    </w:rPr>
                    <w:t>，</w:t>
                  </w:r>
                  <w:r>
                    <w:rPr>
                      <w:rFonts w:hint="default" w:ascii="Times New Roman" w:hAnsi="Times New Roman" w:cs="Times New Roman"/>
                      <w:bCs/>
                      <w:color w:val="auto"/>
                      <w:sz w:val="21"/>
                      <w:szCs w:val="21"/>
                      <w:shd w:val="clear" w:color="auto" w:fill="auto"/>
                      <w:lang w:val="en-US" w:eastAsia="zh-CN"/>
                    </w:rPr>
                    <w:t>经查阅《陕西省“两高”项目管理暂行目录》（2022年版）</w:t>
                  </w:r>
                  <w:r>
                    <w:rPr>
                      <w:rFonts w:hint="default" w:ascii="Times New Roman" w:hAnsi="Times New Roman" w:eastAsia="宋体" w:cs="Times New Roman"/>
                      <w:color w:val="auto"/>
                      <w:kern w:val="0"/>
                      <w:sz w:val="21"/>
                      <w:szCs w:val="21"/>
                      <w:lang w:val="en-US" w:eastAsia="zh-CN" w:bidi="ar"/>
                    </w:rPr>
                    <w:t>，本项目不属于</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两高</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行业项目</w:t>
                  </w:r>
                  <w:r>
                    <w:rPr>
                      <w:rFonts w:hint="eastAsia" w:ascii="Times New Roman" w:hAnsi="Times New Roman" w:eastAsia="宋体" w:cs="Times New Roman"/>
                      <w:color w:val="auto"/>
                      <w:kern w:val="0"/>
                      <w:sz w:val="21"/>
                      <w:szCs w:val="21"/>
                      <w:lang w:val="en-US" w:eastAsia="zh-CN" w:bidi="ar"/>
                    </w:rPr>
                    <w:t>。</w:t>
                  </w:r>
                </w:p>
                <w:p w14:paraId="6BBFCCAC">
                  <w:pPr>
                    <w:numPr>
                      <w:ilvl w:val="0"/>
                      <w:numId w:val="0"/>
                    </w:numPr>
                    <w:autoSpaceDE w:val="0"/>
                    <w:autoSpaceDN w:val="0"/>
                    <w:adjustRightInd w:val="0"/>
                    <w:snapToGrid w:val="0"/>
                    <w:jc w:val="both"/>
                    <w:rPr>
                      <w:rFonts w:hint="default" w:ascii="Times New Roman" w:hAnsi="Times New Roman" w:cs="Times New Roman"/>
                      <w:b w:val="0"/>
                      <w:bCs w:val="0"/>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2.本项目</w:t>
                  </w:r>
                  <w:r>
                    <w:rPr>
                      <w:rFonts w:hint="default" w:ascii="Times New Roman" w:hAnsi="Times New Roman" w:eastAsia="宋体" w:cs="Times New Roman"/>
                      <w:color w:val="auto"/>
                      <w:kern w:val="0"/>
                      <w:sz w:val="21"/>
                      <w:szCs w:val="21"/>
                      <w:lang w:val="en-US" w:eastAsia="zh-CN" w:bidi="ar"/>
                    </w:rPr>
                    <w:t>不属于钢铁、焦化、水泥熟料、平板玻璃、电解铝、氧化铝、煤化工产能</w:t>
                  </w:r>
                  <w:r>
                    <w:rPr>
                      <w:rFonts w:hint="default" w:ascii="Times New Roman" w:hAnsi="Times New Roman" w:cs="Times New Roman"/>
                      <w:color w:val="auto"/>
                      <w:kern w:val="0"/>
                      <w:sz w:val="21"/>
                      <w:szCs w:val="21"/>
                      <w:lang w:val="en-US" w:eastAsia="zh-CN" w:bidi="ar"/>
                    </w:rPr>
                    <w:t>；本项目不属于</w:t>
                  </w:r>
                  <w:r>
                    <w:rPr>
                      <w:rFonts w:hint="default" w:ascii="Times New Roman" w:hAnsi="Times New Roman" w:cs="Times New Roman"/>
                      <w:b w:val="0"/>
                      <w:bCs w:val="0"/>
                      <w:color w:val="auto"/>
                      <w:kern w:val="0"/>
                      <w:sz w:val="21"/>
                      <w:szCs w:val="21"/>
                      <w:lang w:val="en-US" w:eastAsia="zh-CN" w:bidi="ar"/>
                    </w:rPr>
                    <w:t>化学制浆造纸、化工、印染、果汁和淀粉加工等高耗水、高污染项目，符合要求。</w:t>
                  </w:r>
                </w:p>
                <w:p w14:paraId="4087244C">
                  <w:pPr>
                    <w:numPr>
                      <w:ilvl w:val="0"/>
                      <w:numId w:val="0"/>
                    </w:numPr>
                    <w:autoSpaceDE w:val="0"/>
                    <w:autoSpaceDN w:val="0"/>
                    <w:adjustRightInd w:val="0"/>
                    <w:snapToGrid w:val="0"/>
                    <w:jc w:val="both"/>
                    <w:rPr>
                      <w:rFonts w:hint="eastAsia" w:ascii="Times New Roman" w:hAnsi="Times New Roman" w:cs="Times New Roman"/>
                      <w:b w:val="0"/>
                      <w:bCs w:val="0"/>
                      <w:color w:val="auto"/>
                      <w:kern w:val="0"/>
                      <w:sz w:val="21"/>
                      <w:szCs w:val="21"/>
                      <w:lang w:val="en-US" w:eastAsia="zh-CN" w:bidi="ar"/>
                    </w:rPr>
                  </w:pPr>
                  <w:r>
                    <w:rPr>
                      <w:rFonts w:hint="eastAsia" w:ascii="Times New Roman" w:hAnsi="Times New Roman" w:cs="Times New Roman"/>
                      <w:b w:val="0"/>
                      <w:bCs w:val="0"/>
                      <w:color w:val="auto"/>
                      <w:kern w:val="0"/>
                      <w:sz w:val="21"/>
                      <w:szCs w:val="21"/>
                      <w:lang w:val="en-US" w:eastAsia="zh-CN" w:bidi="ar"/>
                    </w:rPr>
                    <w:t>3.本项目所处地位于陈仓科技工业园内，符合要求；</w:t>
                  </w:r>
                </w:p>
                <w:p w14:paraId="539A24B6">
                  <w:pPr>
                    <w:numPr>
                      <w:ilvl w:val="0"/>
                      <w:numId w:val="0"/>
                    </w:numPr>
                    <w:autoSpaceDE w:val="0"/>
                    <w:autoSpaceDN w:val="0"/>
                    <w:adjustRightInd w:val="0"/>
                    <w:snapToGrid w:val="0"/>
                    <w:jc w:val="both"/>
                    <w:rPr>
                      <w:rFonts w:hint="eastAsia" w:ascii="Times New Roman" w:hAnsi="Times New Roman" w:cs="Times New Roman"/>
                      <w:b w:val="0"/>
                      <w:bCs w:val="0"/>
                      <w:color w:val="auto"/>
                      <w:kern w:val="0"/>
                      <w:sz w:val="21"/>
                      <w:szCs w:val="21"/>
                      <w:lang w:val="en-US" w:eastAsia="zh-CN" w:bidi="ar"/>
                    </w:rPr>
                  </w:pPr>
                  <w:r>
                    <w:rPr>
                      <w:rFonts w:hint="eastAsia" w:ascii="Times New Roman" w:hAnsi="Times New Roman" w:cs="Times New Roman"/>
                      <w:b w:val="0"/>
                      <w:bCs w:val="0"/>
                      <w:color w:val="auto"/>
                      <w:kern w:val="0"/>
                      <w:sz w:val="21"/>
                      <w:szCs w:val="21"/>
                      <w:lang w:val="en-US" w:eastAsia="zh-CN" w:bidi="ar"/>
                    </w:rPr>
                    <w:t>4.不涉及商住楼及油烟。</w:t>
                  </w:r>
                </w:p>
                <w:p w14:paraId="6FF07587">
                  <w:pPr>
                    <w:numPr>
                      <w:ilvl w:val="0"/>
                      <w:numId w:val="0"/>
                    </w:numPr>
                    <w:autoSpaceDE w:val="0"/>
                    <w:autoSpaceDN w:val="0"/>
                    <w:adjustRightInd w:val="0"/>
                    <w:snapToGrid w:val="0"/>
                    <w:jc w:val="both"/>
                    <w:rPr>
                      <w:rFonts w:hint="default" w:ascii="Times New Roman" w:hAnsi="Times New Roman" w:eastAsia="宋体" w:cs="Times New Roman"/>
                      <w:b/>
                      <w:bCs/>
                      <w:color w:val="auto"/>
                      <w:sz w:val="21"/>
                      <w:szCs w:val="21"/>
                      <w:shd w:val="clear" w:color="auto" w:fill="auto"/>
                      <w:lang w:val="en-US" w:eastAsia="zh-CN"/>
                    </w:rPr>
                  </w:pPr>
                  <w:r>
                    <w:rPr>
                      <w:rFonts w:hint="default" w:ascii="Times New Roman" w:hAnsi="Times New Roman" w:cs="Times New Roman"/>
                      <w:b/>
                      <w:bCs/>
                      <w:color w:val="auto"/>
                      <w:kern w:val="0"/>
                      <w:sz w:val="21"/>
                      <w:szCs w:val="21"/>
                      <w:lang w:val="en-US" w:eastAsia="zh-CN" w:bidi="ar"/>
                    </w:rPr>
                    <w:t>水环境工业污染重点管控区：</w:t>
                  </w:r>
                  <w:r>
                    <w:rPr>
                      <w:rFonts w:hint="eastAsia" w:ascii="Times New Roman" w:hAnsi="Times New Roman" w:cs="Times New Roman"/>
                      <w:b w:val="0"/>
                      <w:bCs w:val="0"/>
                      <w:color w:val="auto"/>
                      <w:kern w:val="0"/>
                      <w:sz w:val="21"/>
                      <w:szCs w:val="21"/>
                      <w:lang w:val="en-US" w:eastAsia="zh-CN" w:bidi="ar"/>
                    </w:rPr>
                    <w:t>1.本项目无新增生活污水，原有生活污水拉运农田用于土壤改良，生产废水经处理达标后循环使用，不外排。</w:t>
                  </w:r>
                  <w:r>
                    <w:rPr>
                      <w:rFonts w:hint="eastAsia" w:ascii="Times New Roman" w:hAnsi="Times New Roman" w:cs="Times New Roman"/>
                      <w:b/>
                      <w:bCs/>
                      <w:color w:val="auto"/>
                      <w:kern w:val="0"/>
                      <w:sz w:val="21"/>
                      <w:szCs w:val="21"/>
                      <w:lang w:val="en-US" w:eastAsia="zh-CN" w:bidi="ar"/>
                    </w:rPr>
                    <w:t>陈仓科技工业：</w:t>
                  </w:r>
                  <w:r>
                    <w:rPr>
                      <w:rFonts w:hint="eastAsia" w:ascii="Times New Roman" w:hAnsi="Times New Roman" w:cs="Times New Roman"/>
                      <w:b w:val="0"/>
                      <w:bCs w:val="0"/>
                      <w:color w:val="auto"/>
                      <w:kern w:val="0"/>
                      <w:sz w:val="21"/>
                      <w:szCs w:val="21"/>
                      <w:lang w:val="en-US" w:eastAsia="zh-CN" w:bidi="ar"/>
                    </w:rPr>
                    <w:t>严格按照宝鸡市生态环境要素进行建设并执行相关规定。</w:t>
                  </w:r>
                </w:p>
              </w:tc>
            </w:tr>
            <w:tr w14:paraId="5D1D35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noWrap w:val="0"/>
                  <w:vAlign w:val="center"/>
                </w:tcPr>
                <w:p w14:paraId="3B21AA93">
                  <w:pPr>
                    <w:widowControl/>
                    <w:adjustRightInd w:val="0"/>
                    <w:snapToGrid w:val="0"/>
                    <w:jc w:val="center"/>
                    <w:rPr>
                      <w:rFonts w:hint="default" w:ascii="Times New Roman" w:hAnsi="Times New Roman" w:cs="Times New Roman"/>
                      <w:color w:val="auto"/>
                      <w:sz w:val="21"/>
                      <w:szCs w:val="21"/>
                      <w:shd w:val="clear" w:color="auto" w:fill="auto"/>
                    </w:rPr>
                  </w:pPr>
                </w:p>
              </w:tc>
              <w:tc>
                <w:tcPr>
                  <w:tcW w:w="479" w:type="pct"/>
                  <w:vMerge w:val="continue"/>
                  <w:tcBorders>
                    <w:tl2br w:val="nil"/>
                    <w:tr2bl w:val="nil"/>
                  </w:tcBorders>
                  <w:noWrap w:val="0"/>
                  <w:vAlign w:val="center"/>
                </w:tcPr>
                <w:p w14:paraId="47674EC0">
                  <w:pPr>
                    <w:widowControl/>
                    <w:adjustRightInd w:val="0"/>
                    <w:snapToGrid w:val="0"/>
                    <w:jc w:val="center"/>
                    <w:rPr>
                      <w:rFonts w:hint="default" w:ascii="Times New Roman" w:hAnsi="Times New Roman" w:cs="Times New Roman"/>
                      <w:color w:val="auto"/>
                      <w:sz w:val="21"/>
                      <w:szCs w:val="21"/>
                      <w:shd w:val="clear" w:color="auto" w:fill="auto"/>
                    </w:rPr>
                  </w:pPr>
                </w:p>
              </w:tc>
              <w:tc>
                <w:tcPr>
                  <w:tcW w:w="471" w:type="pct"/>
                  <w:tcBorders>
                    <w:tl2br w:val="nil"/>
                    <w:tr2bl w:val="nil"/>
                  </w:tcBorders>
                  <w:noWrap w:val="0"/>
                  <w:vAlign w:val="center"/>
                </w:tcPr>
                <w:p w14:paraId="6BF6146E">
                  <w:pPr>
                    <w:autoSpaceDE w:val="0"/>
                    <w:autoSpaceDN w:val="0"/>
                    <w:adjustRightInd w:val="0"/>
                    <w:snapToGrid w:val="0"/>
                    <w:jc w:val="center"/>
                    <w:rPr>
                      <w:rFonts w:hint="default" w:ascii="Times New Roman" w:hAnsi="Times New Roman" w:eastAsia="宋体" w:cs="Times New Roman"/>
                      <w:bCs/>
                      <w:color w:val="auto"/>
                      <w:kern w:val="2"/>
                      <w:sz w:val="21"/>
                      <w:szCs w:val="21"/>
                      <w:shd w:val="clear" w:color="auto" w:fill="auto"/>
                      <w:lang w:val="en-US" w:eastAsia="zh-CN" w:bidi="ar-SA"/>
                    </w:rPr>
                  </w:pPr>
                  <w:r>
                    <w:rPr>
                      <w:rFonts w:hint="default" w:ascii="Times New Roman" w:hAnsi="Times New Roman" w:cs="Times New Roman"/>
                      <w:bCs/>
                      <w:color w:val="auto"/>
                      <w:sz w:val="21"/>
                      <w:szCs w:val="21"/>
                      <w:shd w:val="clear" w:color="auto" w:fill="auto"/>
                    </w:rPr>
                    <w:t>污染物排放管控</w:t>
                  </w:r>
                </w:p>
              </w:tc>
              <w:tc>
                <w:tcPr>
                  <w:tcW w:w="2113" w:type="pct"/>
                  <w:tcBorders>
                    <w:tl2br w:val="nil"/>
                    <w:tr2bl w:val="nil"/>
                  </w:tcBorders>
                  <w:noWrap w:val="0"/>
                  <w:vAlign w:val="center"/>
                </w:tcPr>
                <w:p w14:paraId="558145FF">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11563D82">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5.市辖区及开发区新、改、扩建涉气重点行业企业应达到环保绩效A级、绩效引领性水平。</w:t>
                  </w:r>
                </w:p>
                <w:p w14:paraId="19FB6D17">
                  <w:pPr>
                    <w:keepNext w:val="0"/>
                    <w:keepLines w:val="0"/>
                    <w:widowControl/>
                    <w:suppressLineNumbers w:val="0"/>
                    <w:jc w:val="left"/>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水环境工业污染重点管控区：</w:t>
                  </w:r>
                  <w:r>
                    <w:rPr>
                      <w:rFonts w:hint="eastAsia" w:ascii="Times New Roman" w:hAnsi="Times New Roman" w:cs="Times New Roman"/>
                      <w:b w:val="0"/>
                      <w:bCs w:val="0"/>
                      <w:color w:val="auto"/>
                      <w:kern w:val="0"/>
                      <w:sz w:val="21"/>
                      <w:szCs w:val="21"/>
                      <w:lang w:val="en-US" w:eastAsia="zh-CN" w:bidi="ar"/>
                    </w:rPr>
                    <w:t>1.</w:t>
                  </w:r>
                  <w:r>
                    <w:rPr>
                      <w:rFonts w:hint="eastAsia" w:ascii="Times New Roman" w:hAnsi="Times New Roman" w:eastAsia="宋体" w:cs="Times New Roman"/>
                      <w:color w:val="auto"/>
                      <w:kern w:val="0"/>
                      <w:sz w:val="21"/>
                      <w:szCs w:val="21"/>
                      <w:lang w:val="en-US" w:eastAsia="zh-CN" w:bidi="ar"/>
                    </w:rPr>
                    <w:t>加强城镇污水收集处理设施建设与提标改造。全省黄河流域城镇生活污水处理达到《陕西省黄河流域污水综合排放标准》（DB61/224-2018）加强城镇生活污水处理，提高对生活污水的处理能力，排放限值要求。2.城镇新区管网建设及老旧城区管网升级改造中实行雨污分流，鼓励推进初期雨水收集、处理和资源化利用，建设人工湿地水质净化工程，对处理达标后的尾水进一步净化。3.污水处理厂出水用于绿化、农灌等用途的，合理确定管控要求，确保达到相应污水再生利用标准。</w:t>
                  </w:r>
                  <w:r>
                    <w:rPr>
                      <w:rFonts w:hint="eastAsia" w:ascii="Times New Roman" w:hAnsi="Times New Roman" w:eastAsia="宋体" w:cs="Times New Roman"/>
                      <w:b/>
                      <w:bCs/>
                      <w:color w:val="auto"/>
                      <w:kern w:val="0"/>
                      <w:sz w:val="21"/>
                      <w:szCs w:val="21"/>
                      <w:lang w:val="en-US" w:eastAsia="zh-CN" w:bidi="ar"/>
                    </w:rPr>
                    <w:t>陈仓科技工业园</w:t>
                  </w:r>
                  <w:r>
                    <w:rPr>
                      <w:rFonts w:hint="eastAsia" w:ascii="Times New Roman" w:hAnsi="Times New Roman" w:eastAsia="宋体" w:cs="Times New Roman"/>
                      <w:color w:val="auto"/>
                      <w:kern w:val="0"/>
                      <w:sz w:val="21"/>
                      <w:szCs w:val="21"/>
                      <w:lang w:val="en-US" w:eastAsia="zh-CN" w:bidi="ar"/>
                    </w:rPr>
                    <w:t xml:space="preserve"> 1.执行宝鸡市生态环境要素分区总体准入清单中“5.1 大气环境受体敏感重点管控</w:t>
                  </w:r>
                </w:p>
                <w:p w14:paraId="4A12CD13">
                  <w:pPr>
                    <w:keepNext w:val="0"/>
                    <w:keepLines w:val="0"/>
                    <w:widowControl/>
                    <w:suppressLineNumbers w:val="0"/>
                    <w:jc w:val="left"/>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区的污染物排放管控”；2.执行宝鸡市生态环境要素分区总体准入清单中“5.3 大气环境布局敏感重点管控区的污染物排放管控”；3.执行宝鸡市生态环境要素分区总体准入清单中“5.5 水环境工业污染重点管控区的污染物排放管控”。</w:t>
                  </w:r>
                </w:p>
              </w:tc>
              <w:tc>
                <w:tcPr>
                  <w:tcW w:w="1470" w:type="pct"/>
                  <w:tcBorders>
                    <w:tl2br w:val="nil"/>
                    <w:tr2bl w:val="nil"/>
                  </w:tcBorders>
                  <w:noWrap w:val="0"/>
                  <w:vAlign w:val="center"/>
                </w:tcPr>
                <w:p w14:paraId="6CC97BCF">
                  <w:pPr>
                    <w:autoSpaceDE w:val="0"/>
                    <w:autoSpaceDN w:val="0"/>
                    <w:adjustRightInd w:val="0"/>
                    <w:snapToGrid w:val="0"/>
                    <w:jc w:val="both"/>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3659F22B">
                  <w:pPr>
                    <w:autoSpaceDE w:val="0"/>
                    <w:autoSpaceDN w:val="0"/>
                    <w:adjustRightInd w:val="0"/>
                    <w:snapToGrid w:val="0"/>
                    <w:jc w:val="both"/>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snapToGrid w:val="0"/>
                      <w:color w:val="auto"/>
                      <w:sz w:val="21"/>
                      <w:szCs w:val="21"/>
                      <w:lang w:val="en-US" w:eastAsia="zh-CN"/>
                    </w:rPr>
                    <w:t>经查阅《重污染天气重点行业应急减排措施制定技术指南（2020年修订版）》，本项目</w:t>
                  </w:r>
                  <w:r>
                    <w:rPr>
                      <w:rFonts w:hint="eastAsia" w:ascii="Times New Roman" w:hAnsi="Times New Roman" w:cs="Times New Roman"/>
                      <w:snapToGrid w:val="0"/>
                      <w:color w:val="auto"/>
                      <w:sz w:val="21"/>
                      <w:szCs w:val="21"/>
                      <w:lang w:val="en-US" w:eastAsia="zh-CN"/>
                    </w:rPr>
                    <w:t>生产工序中涉及喷涂，</w:t>
                  </w:r>
                  <w:r>
                    <w:rPr>
                      <w:rFonts w:hint="default" w:ascii="Times New Roman" w:hAnsi="Times New Roman" w:cs="Times New Roman"/>
                      <w:snapToGrid w:val="0"/>
                      <w:color w:val="auto"/>
                      <w:sz w:val="21"/>
                      <w:szCs w:val="21"/>
                      <w:lang w:val="en-US" w:eastAsia="zh-CN"/>
                    </w:rPr>
                    <w:t>因此需满足环保绩效A级</w:t>
                  </w:r>
                  <w:r>
                    <w:rPr>
                      <w:rFonts w:hint="default" w:ascii="Times New Roman" w:hAnsi="Times New Roman" w:cs="Times New Roman"/>
                      <w:color w:val="auto"/>
                      <w:kern w:val="0"/>
                      <w:sz w:val="21"/>
                      <w:szCs w:val="21"/>
                      <w:lang w:val="en-US" w:eastAsia="zh-CN" w:bidi="ar"/>
                    </w:rPr>
                    <w:t>。具体</w:t>
                  </w:r>
                  <w:r>
                    <w:rPr>
                      <w:rFonts w:hint="eastAsia" w:cs="Times New Roman"/>
                      <w:color w:val="auto"/>
                      <w:kern w:val="0"/>
                      <w:sz w:val="21"/>
                      <w:szCs w:val="21"/>
                      <w:lang w:val="en-US" w:eastAsia="zh-CN" w:bidi="ar"/>
                    </w:rPr>
                    <w:t>详见绩效分析</w:t>
                  </w:r>
                  <w:r>
                    <w:rPr>
                      <w:rFonts w:hint="default" w:ascii="Times New Roman" w:hAnsi="Times New Roman" w:cs="Times New Roman"/>
                      <w:color w:val="auto"/>
                      <w:kern w:val="0"/>
                      <w:sz w:val="21"/>
                      <w:szCs w:val="21"/>
                      <w:lang w:val="en-US" w:eastAsia="zh-CN" w:bidi="ar"/>
                    </w:rPr>
                    <w:t>；</w:t>
                  </w:r>
                </w:p>
                <w:p w14:paraId="3A232A6A">
                  <w:pPr>
                    <w:autoSpaceDE w:val="0"/>
                    <w:autoSpaceDN w:val="0"/>
                    <w:adjustRightInd w:val="0"/>
                    <w:snapToGrid w:val="0"/>
                    <w:jc w:val="center"/>
                    <w:rPr>
                      <w:rFonts w:hint="eastAsia"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水环境工业污染重点管控区</w:t>
                  </w:r>
                  <w:r>
                    <w:rPr>
                      <w:rFonts w:hint="eastAsia" w:ascii="Times New Roman" w:hAnsi="Times New Roman" w:cs="Times New Roman"/>
                      <w:b/>
                      <w:bCs/>
                      <w:color w:val="auto"/>
                      <w:kern w:val="0"/>
                      <w:sz w:val="21"/>
                      <w:szCs w:val="21"/>
                      <w:lang w:val="en-US" w:eastAsia="zh-CN" w:bidi="ar"/>
                    </w:rPr>
                    <w:t>：</w:t>
                  </w:r>
                  <w:r>
                    <w:rPr>
                      <w:rFonts w:hint="eastAsia" w:ascii="Times New Roman" w:hAnsi="Times New Roman" w:cs="Times New Roman"/>
                      <w:b w:val="0"/>
                      <w:bCs w:val="0"/>
                      <w:color w:val="auto"/>
                      <w:kern w:val="0"/>
                      <w:sz w:val="21"/>
                      <w:szCs w:val="21"/>
                      <w:lang w:val="en-US" w:eastAsia="zh-CN" w:bidi="ar"/>
                    </w:rPr>
                    <w:t>1.本项目无新增生活污水，原有生活污水拉运农田用于土壤改良，生产废水经处理达标后循环使用，不外排。不涉及其他。</w:t>
                  </w:r>
                </w:p>
                <w:p w14:paraId="76BE8DAD">
                  <w:pPr>
                    <w:autoSpaceDE w:val="0"/>
                    <w:autoSpaceDN w:val="0"/>
                    <w:adjustRightInd w:val="0"/>
                    <w:snapToGrid w:val="0"/>
                    <w:jc w:val="both"/>
                    <w:rPr>
                      <w:rFonts w:hint="default" w:ascii="Times New Roman" w:hAnsi="Times New Roman" w:eastAsia="宋体" w:cs="Times New Roman"/>
                      <w:bCs/>
                      <w:color w:val="auto"/>
                      <w:sz w:val="21"/>
                      <w:szCs w:val="21"/>
                      <w:shd w:val="clear" w:color="auto" w:fill="auto"/>
                      <w:lang w:val="en-US" w:eastAsia="zh-CN"/>
                    </w:rPr>
                  </w:pPr>
                  <w:r>
                    <w:rPr>
                      <w:rFonts w:hint="eastAsia" w:ascii="Times New Roman" w:hAnsi="Times New Roman" w:eastAsia="宋体" w:cs="Times New Roman"/>
                      <w:b/>
                      <w:bCs/>
                      <w:color w:val="auto"/>
                      <w:kern w:val="0"/>
                      <w:sz w:val="21"/>
                      <w:szCs w:val="21"/>
                      <w:lang w:val="en-US" w:eastAsia="zh-CN" w:bidi="ar"/>
                    </w:rPr>
                    <w:t>陈仓科技工业园</w:t>
                  </w:r>
                  <w:r>
                    <w:rPr>
                      <w:rFonts w:hint="eastAsia" w:ascii="Times New Roman" w:hAnsi="Times New Roman" w:eastAsia="宋体" w:cs="Times New Roman"/>
                      <w:color w:val="auto"/>
                      <w:kern w:val="0"/>
                      <w:sz w:val="21"/>
                      <w:szCs w:val="21"/>
                      <w:lang w:val="en-US" w:eastAsia="zh-CN" w:bidi="ar"/>
                    </w:rPr>
                    <w:t xml:space="preserve"> ：</w:t>
                  </w:r>
                  <w:r>
                    <w:rPr>
                      <w:rFonts w:hint="eastAsia" w:ascii="Times New Roman" w:hAnsi="Times New Roman" w:cs="Times New Roman"/>
                      <w:b w:val="0"/>
                      <w:bCs w:val="0"/>
                      <w:color w:val="auto"/>
                      <w:kern w:val="0"/>
                      <w:sz w:val="21"/>
                      <w:szCs w:val="21"/>
                      <w:lang w:val="en-US" w:eastAsia="zh-CN" w:bidi="ar"/>
                    </w:rPr>
                    <w:t>严格按照宝鸡市生态环境要素进行建设及执行相关要求。</w:t>
                  </w:r>
                </w:p>
              </w:tc>
            </w:tr>
            <w:tr w14:paraId="3273A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noWrap w:val="0"/>
                  <w:vAlign w:val="center"/>
                </w:tcPr>
                <w:p w14:paraId="7EC5E7FE">
                  <w:pPr>
                    <w:widowControl/>
                    <w:adjustRightInd w:val="0"/>
                    <w:snapToGrid w:val="0"/>
                    <w:jc w:val="center"/>
                    <w:rPr>
                      <w:rFonts w:hint="default" w:ascii="Times New Roman" w:hAnsi="Times New Roman" w:cs="Times New Roman"/>
                      <w:color w:val="auto"/>
                      <w:sz w:val="21"/>
                      <w:szCs w:val="21"/>
                      <w:shd w:val="clear" w:color="auto" w:fill="auto"/>
                    </w:rPr>
                  </w:pPr>
                </w:p>
              </w:tc>
              <w:tc>
                <w:tcPr>
                  <w:tcW w:w="479" w:type="pct"/>
                  <w:vMerge w:val="continue"/>
                  <w:tcBorders>
                    <w:tl2br w:val="nil"/>
                    <w:tr2bl w:val="nil"/>
                  </w:tcBorders>
                  <w:noWrap w:val="0"/>
                  <w:vAlign w:val="center"/>
                </w:tcPr>
                <w:p w14:paraId="11C1D607">
                  <w:pPr>
                    <w:widowControl/>
                    <w:adjustRightInd w:val="0"/>
                    <w:snapToGrid w:val="0"/>
                    <w:jc w:val="center"/>
                    <w:rPr>
                      <w:rFonts w:hint="default" w:ascii="Times New Roman" w:hAnsi="Times New Roman" w:cs="Times New Roman"/>
                      <w:color w:val="auto"/>
                      <w:sz w:val="21"/>
                      <w:szCs w:val="21"/>
                      <w:shd w:val="clear" w:color="auto" w:fill="auto"/>
                    </w:rPr>
                  </w:pPr>
                </w:p>
              </w:tc>
              <w:tc>
                <w:tcPr>
                  <w:tcW w:w="471" w:type="pct"/>
                  <w:tcBorders>
                    <w:tl2br w:val="nil"/>
                    <w:tr2bl w:val="nil"/>
                  </w:tcBorders>
                  <w:noWrap w:val="0"/>
                  <w:vAlign w:val="center"/>
                </w:tcPr>
                <w:p w14:paraId="70B16FBE">
                  <w:pPr>
                    <w:autoSpaceDE w:val="0"/>
                    <w:autoSpaceDN w:val="0"/>
                    <w:adjustRightInd w:val="0"/>
                    <w:snapToGrid w:val="0"/>
                    <w:jc w:val="center"/>
                    <w:rPr>
                      <w:rFonts w:hint="default" w:ascii="Times New Roman" w:hAnsi="Times New Roman" w:eastAsia="宋体" w:cs="Times New Roman"/>
                      <w:bCs/>
                      <w:color w:val="auto"/>
                      <w:sz w:val="21"/>
                      <w:szCs w:val="21"/>
                      <w:shd w:val="clear" w:color="auto" w:fill="auto"/>
                      <w:lang w:val="en-US" w:eastAsia="zh-CN"/>
                    </w:rPr>
                  </w:pPr>
                  <w:r>
                    <w:rPr>
                      <w:rFonts w:hint="eastAsia" w:ascii="Times New Roman" w:hAnsi="Times New Roman" w:cs="Times New Roman"/>
                      <w:bCs/>
                      <w:color w:val="auto"/>
                      <w:sz w:val="21"/>
                      <w:szCs w:val="21"/>
                      <w:shd w:val="clear" w:color="auto" w:fill="auto"/>
                      <w:lang w:val="en-US" w:eastAsia="zh-CN"/>
                    </w:rPr>
                    <w:t>环境风险防控</w:t>
                  </w:r>
                </w:p>
              </w:tc>
              <w:tc>
                <w:tcPr>
                  <w:tcW w:w="2113" w:type="pct"/>
                  <w:tcBorders>
                    <w:tl2br w:val="nil"/>
                    <w:tr2bl w:val="nil"/>
                  </w:tcBorders>
                  <w:noWrap w:val="0"/>
                  <w:vAlign w:val="center"/>
                </w:tcPr>
                <w:p w14:paraId="29623F65">
                  <w:pPr>
                    <w:keepNext w:val="0"/>
                    <w:keepLines w:val="0"/>
                    <w:widowControl/>
                    <w:suppressLineNumbers w:val="0"/>
                    <w:jc w:val="left"/>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陈仓科技工业园</w:t>
                  </w:r>
                  <w:r>
                    <w:rPr>
                      <w:rFonts w:hint="eastAsia" w:ascii="Times New Roman" w:hAnsi="Times New Roman" w:eastAsia="宋体" w:cs="Times New Roman"/>
                      <w:color w:val="auto"/>
                      <w:kern w:val="0"/>
                      <w:sz w:val="21"/>
                      <w:szCs w:val="21"/>
                      <w:lang w:val="en-US" w:eastAsia="zh-CN" w:bidi="ar"/>
                    </w:rPr>
                    <w:t xml:space="preserve"> 1.执行宝鸡市生态环境要素分区总体准入清单中“5.9建设用地污染风险重点管控区的环境风险防控”。</w:t>
                  </w:r>
                </w:p>
              </w:tc>
              <w:tc>
                <w:tcPr>
                  <w:tcW w:w="1470" w:type="pct"/>
                  <w:tcBorders>
                    <w:tl2br w:val="nil"/>
                    <w:tr2bl w:val="nil"/>
                  </w:tcBorders>
                  <w:noWrap w:val="0"/>
                  <w:vAlign w:val="center"/>
                </w:tcPr>
                <w:p w14:paraId="19023430">
                  <w:pPr>
                    <w:autoSpaceDE w:val="0"/>
                    <w:autoSpaceDN w:val="0"/>
                    <w:adjustRightInd w:val="0"/>
                    <w:snapToGrid w:val="0"/>
                    <w:jc w:val="both"/>
                    <w:rPr>
                      <w:rFonts w:hint="eastAsia"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陈仓科技工业园：</w:t>
                  </w:r>
                  <w:r>
                    <w:rPr>
                      <w:rFonts w:hint="eastAsia" w:ascii="Times New Roman" w:hAnsi="Times New Roman" w:cs="Times New Roman"/>
                      <w:b w:val="0"/>
                      <w:bCs w:val="0"/>
                      <w:color w:val="auto"/>
                      <w:kern w:val="0"/>
                      <w:sz w:val="21"/>
                      <w:szCs w:val="21"/>
                      <w:lang w:val="en-US" w:eastAsia="zh-CN" w:bidi="ar"/>
                    </w:rPr>
                    <w:t>严格按照宝鸡市生态环境要素进行建设及执行相关要求。</w:t>
                  </w:r>
                </w:p>
              </w:tc>
            </w:tr>
            <w:tr w14:paraId="2D2C3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noWrap w:val="0"/>
                  <w:vAlign w:val="center"/>
                </w:tcPr>
                <w:p w14:paraId="7D4C6FA2">
                  <w:pPr>
                    <w:widowControl/>
                    <w:adjustRightInd w:val="0"/>
                    <w:snapToGrid w:val="0"/>
                    <w:jc w:val="center"/>
                    <w:rPr>
                      <w:rFonts w:hint="default" w:ascii="Times New Roman" w:hAnsi="Times New Roman" w:cs="Times New Roman"/>
                      <w:color w:val="auto"/>
                      <w:sz w:val="21"/>
                      <w:szCs w:val="21"/>
                      <w:shd w:val="clear" w:color="auto" w:fill="auto"/>
                    </w:rPr>
                  </w:pPr>
                </w:p>
              </w:tc>
              <w:tc>
                <w:tcPr>
                  <w:tcW w:w="479" w:type="pct"/>
                  <w:vMerge w:val="continue"/>
                  <w:tcBorders>
                    <w:tl2br w:val="nil"/>
                    <w:tr2bl w:val="nil"/>
                  </w:tcBorders>
                  <w:noWrap w:val="0"/>
                  <w:vAlign w:val="center"/>
                </w:tcPr>
                <w:p w14:paraId="0FCED00A">
                  <w:pPr>
                    <w:widowControl/>
                    <w:adjustRightInd w:val="0"/>
                    <w:snapToGrid w:val="0"/>
                    <w:jc w:val="center"/>
                    <w:rPr>
                      <w:rFonts w:hint="default" w:ascii="Times New Roman" w:hAnsi="Times New Roman" w:cs="Times New Roman"/>
                      <w:color w:val="auto"/>
                      <w:sz w:val="21"/>
                      <w:szCs w:val="21"/>
                      <w:shd w:val="clear" w:color="auto" w:fill="auto"/>
                    </w:rPr>
                  </w:pPr>
                </w:p>
              </w:tc>
              <w:tc>
                <w:tcPr>
                  <w:tcW w:w="471" w:type="pct"/>
                  <w:tcBorders>
                    <w:tl2br w:val="nil"/>
                    <w:tr2bl w:val="nil"/>
                  </w:tcBorders>
                  <w:noWrap w:val="0"/>
                  <w:vAlign w:val="center"/>
                </w:tcPr>
                <w:p w14:paraId="38F9A870">
                  <w:pPr>
                    <w:autoSpaceDE w:val="0"/>
                    <w:autoSpaceDN w:val="0"/>
                    <w:adjustRightInd w:val="0"/>
                    <w:snapToGrid w:val="0"/>
                    <w:jc w:val="center"/>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资源开发效率要求</w:t>
                  </w:r>
                </w:p>
              </w:tc>
              <w:tc>
                <w:tcPr>
                  <w:tcW w:w="2113" w:type="pct"/>
                  <w:tcBorders>
                    <w:tl2br w:val="nil"/>
                    <w:tr2bl w:val="nil"/>
                  </w:tcBorders>
                  <w:noWrap w:val="0"/>
                  <w:vAlign w:val="center"/>
                </w:tcPr>
                <w:p w14:paraId="42169F1E">
                  <w:pPr>
                    <w:keepNext w:val="0"/>
                    <w:keepLines w:val="0"/>
                    <w:widowControl/>
                    <w:suppressLineNumbers w:val="0"/>
                    <w:jc w:val="left"/>
                    <w:rPr>
                      <w:rFonts w:hint="default" w:ascii="Times New Roman" w:hAnsi="Times New Roman" w:cs="Times New Roman"/>
                      <w:b/>
                      <w:bCs/>
                      <w:color w:val="auto"/>
                      <w:kern w:val="0"/>
                      <w:sz w:val="21"/>
                      <w:szCs w:val="21"/>
                      <w:lang w:val="en-US" w:eastAsia="zh-CN" w:bidi="ar"/>
                    </w:rPr>
                  </w:pPr>
                </w:p>
                <w:p w14:paraId="6FEA83EC">
                  <w:pPr>
                    <w:keepNext w:val="0"/>
                    <w:keepLines w:val="0"/>
                    <w:widowControl/>
                    <w:suppressLineNumbers w:val="0"/>
                    <w:jc w:val="left"/>
                    <w:rPr>
                      <w:rFonts w:hint="default" w:ascii="Times New Roman" w:hAnsi="Times New Roman" w:cs="Times New Roman"/>
                      <w:b/>
                      <w:bCs/>
                      <w:color w:val="auto"/>
                      <w:kern w:val="0"/>
                      <w:sz w:val="21"/>
                      <w:szCs w:val="21"/>
                      <w:lang w:val="en-US" w:eastAsia="zh-CN" w:bidi="ar"/>
                    </w:rPr>
                  </w:pPr>
                  <w:r>
                    <w:rPr>
                      <w:rFonts w:hint="eastAsia" w:ascii="Times New Roman" w:hAnsi="Times New Roman" w:cs="Times New Roman"/>
                      <w:b/>
                      <w:bCs/>
                      <w:color w:val="auto"/>
                      <w:kern w:val="0"/>
                      <w:sz w:val="21"/>
                      <w:szCs w:val="21"/>
                      <w:lang w:val="en-US" w:eastAsia="zh-CN" w:bidi="ar"/>
                    </w:rPr>
                    <w:t>土地资源重点管控区：</w:t>
                  </w:r>
                  <w:r>
                    <w:rPr>
                      <w:rFonts w:hint="eastAsia" w:ascii="Times New Roman" w:hAnsi="Times New Roman" w:cs="Times New Roman"/>
                      <w:b w:val="0"/>
                      <w:bCs w:val="0"/>
                      <w:color w:val="auto"/>
                      <w:kern w:val="0"/>
                      <w:sz w:val="21"/>
                      <w:szCs w:val="21"/>
                      <w:lang w:val="en-US" w:eastAsia="zh-CN" w:bidi="ar"/>
                    </w:rPr>
                    <w:t>1.按照布局集中、用地集约、产业集聚、效益集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工业项目的，须加强科学论证。2.严格用地准入管理。严格执行自然资源开发利用限制和禁止目录、建设用地定额标准和市场准入负面清单。</w:t>
                  </w:r>
                </w:p>
                <w:p w14:paraId="66D46519">
                  <w:pPr>
                    <w:keepNext w:val="0"/>
                    <w:keepLines w:val="0"/>
                    <w:widowControl/>
                    <w:suppressLineNumbers w:val="0"/>
                    <w:jc w:val="left"/>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高污染燃料禁燃区：</w:t>
                  </w:r>
                  <w:r>
                    <w:rPr>
                      <w:rFonts w:hint="default" w:ascii="Times New Roman" w:hAnsi="Times New Roman" w:cs="Times New Roman"/>
                      <w:b w:val="0"/>
                      <w:bCs w:val="0"/>
                      <w:color w:val="auto"/>
                      <w:kern w:val="0"/>
                      <w:sz w:val="21"/>
                      <w:szCs w:val="21"/>
                      <w:lang w:val="en-US" w:eastAsia="zh-CN" w:bidi="ar"/>
                    </w:rPr>
                    <w:t>1.禁止销售、燃用高污染燃料（35蒸吨及以上锅炉、火力发电企业机组除外）。3.禁止新建、扩建燃用高污染燃料的锅炉、窑炉、炉灶等设施，不得将其他燃料燃用设施改造为高污染燃料燃用设施。</w:t>
                  </w:r>
                </w:p>
                <w:p w14:paraId="6A2E2954">
                  <w:pPr>
                    <w:keepNext w:val="0"/>
                    <w:keepLines w:val="0"/>
                    <w:widowControl/>
                    <w:suppressLineNumbers w:val="0"/>
                    <w:jc w:val="left"/>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 xml:space="preserve">陈仓科技工业园 </w:t>
                  </w:r>
                  <w:r>
                    <w:rPr>
                      <w:rFonts w:hint="default" w:ascii="Times New Roman" w:hAnsi="Times New Roman" w:cs="Times New Roman"/>
                      <w:b w:val="0"/>
                      <w:bCs w:val="0"/>
                      <w:color w:val="auto"/>
                      <w:kern w:val="0"/>
                      <w:sz w:val="21"/>
                      <w:szCs w:val="21"/>
                      <w:lang w:val="en-US" w:eastAsia="zh-CN" w:bidi="ar"/>
                    </w:rPr>
                    <w:t>1.执行宝鸡市生态环境要素分区总体准入清单中“5.10 生态用水补给区管控分区的资源利用效率要求”；2.执行宝鸡市生态环境要素分区总体准入清单中</w:t>
                  </w:r>
                </w:p>
                <w:p w14:paraId="317AAC13">
                  <w:pPr>
                    <w:keepNext w:val="0"/>
                    <w:keepLines w:val="0"/>
                    <w:widowControl/>
                    <w:suppressLineNumbers w:val="0"/>
                    <w:jc w:val="left"/>
                    <w:rPr>
                      <w:rFonts w:hint="default" w:ascii="Times New Roman" w:hAnsi="Times New Roman" w:cs="Times New Roman"/>
                      <w:b/>
                      <w:bCs/>
                      <w:color w:val="auto"/>
                      <w:kern w:val="0"/>
                      <w:sz w:val="21"/>
                      <w:szCs w:val="21"/>
                      <w:lang w:val="en-US" w:eastAsia="zh-CN" w:bidi="ar"/>
                    </w:rPr>
                  </w:pPr>
                  <w:r>
                    <w:rPr>
                      <w:rFonts w:hint="default" w:ascii="Times New Roman" w:hAnsi="Times New Roman" w:cs="Times New Roman"/>
                      <w:b w:val="0"/>
                      <w:bCs w:val="0"/>
                      <w:color w:val="auto"/>
                      <w:kern w:val="0"/>
                      <w:sz w:val="21"/>
                      <w:szCs w:val="21"/>
                      <w:lang w:val="en-US" w:eastAsia="zh-CN" w:bidi="ar"/>
                    </w:rPr>
                    <w:t>“5.12 土地资源重点管控区的资源利用效率要求”；3.执行宝鸡市生态环境要素分区总体准入清单中“5.13 高污染燃料禁燃区的资源利用效率要求”。</w:t>
                  </w:r>
                </w:p>
              </w:tc>
              <w:tc>
                <w:tcPr>
                  <w:tcW w:w="1470" w:type="pct"/>
                  <w:tcBorders>
                    <w:tl2br w:val="nil"/>
                    <w:tr2bl w:val="nil"/>
                  </w:tcBorders>
                  <w:noWrap w:val="0"/>
                  <w:vAlign w:val="center"/>
                </w:tcPr>
                <w:p w14:paraId="38A3063D">
                  <w:pPr>
                    <w:autoSpaceDE w:val="0"/>
                    <w:autoSpaceDN w:val="0"/>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b/>
                      <w:bCs/>
                      <w:color w:val="auto"/>
                      <w:kern w:val="0"/>
                      <w:sz w:val="21"/>
                      <w:szCs w:val="21"/>
                      <w:lang w:val="en-US" w:eastAsia="zh-CN" w:bidi="ar"/>
                    </w:rPr>
                    <w:t>土地资源重点管控区：</w:t>
                  </w:r>
                  <w:r>
                    <w:rPr>
                      <w:rFonts w:hint="eastAsia" w:ascii="Times New Roman" w:hAnsi="Times New Roman" w:eastAsia="宋体" w:cs="Times New Roman"/>
                      <w:color w:val="auto"/>
                      <w:szCs w:val="21"/>
                      <w:lang w:val="en-US" w:eastAsia="zh-CN"/>
                    </w:rPr>
                    <w:t>1.本项目为</w:t>
                  </w:r>
                  <w:r>
                    <w:rPr>
                      <w:rFonts w:hint="default" w:ascii="Times New Roman" w:hAnsi="Times New Roman" w:eastAsia="宋体" w:cs="Times New Roman"/>
                      <w:color w:val="auto"/>
                      <w:szCs w:val="21"/>
                    </w:rPr>
                    <w:t>电</w:t>
                  </w:r>
                  <w:r>
                    <w:rPr>
                      <w:rFonts w:hint="default" w:ascii="Times New Roman" w:hAnsi="Times New Roman" w:cs="Times New Roman"/>
                      <w:color w:val="auto"/>
                      <w:szCs w:val="21"/>
                    </w:rPr>
                    <w:t>力电子元器件制造</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范围属于陈仓科技工业园内。</w:t>
                  </w:r>
                </w:p>
                <w:p w14:paraId="2859A8C2">
                  <w:pPr>
                    <w:autoSpaceDE w:val="0"/>
                    <w:autoSpaceDN w:val="0"/>
                    <w:adjustRightInd w:val="0"/>
                    <w:snapToGrid w:val="0"/>
                    <w:jc w:val="both"/>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2.本项目在现有项目地块内预留位置安装设备，不新增土地。</w:t>
                  </w:r>
                </w:p>
                <w:p w14:paraId="2E967CBD">
                  <w:pPr>
                    <w:autoSpaceDE w:val="0"/>
                    <w:autoSpaceDN w:val="0"/>
                    <w:adjustRightInd w:val="0"/>
                    <w:snapToGrid w:val="0"/>
                    <w:jc w:val="center"/>
                    <w:rPr>
                      <w:rFonts w:hint="eastAsia"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高污染燃料禁燃区：</w:t>
                  </w:r>
                  <w:r>
                    <w:rPr>
                      <w:rFonts w:hint="eastAsia" w:ascii="Times New Roman" w:hAnsi="Times New Roman" w:cs="Times New Roman"/>
                      <w:b w:val="0"/>
                      <w:bCs w:val="0"/>
                      <w:color w:val="auto"/>
                      <w:kern w:val="0"/>
                      <w:sz w:val="21"/>
                      <w:szCs w:val="21"/>
                      <w:lang w:val="en-US" w:eastAsia="zh-CN" w:bidi="ar"/>
                    </w:rPr>
                    <w:t>1.本项目烘干炉和固化炉不属于禁止类炉窑，参数未超过35蒸吨。2.使用的燃料是天然气，不属于高污染燃料。</w:t>
                  </w:r>
                </w:p>
                <w:p w14:paraId="3F2C2567">
                  <w:pPr>
                    <w:autoSpaceDE w:val="0"/>
                    <w:autoSpaceDN w:val="0"/>
                    <w:adjustRightInd w:val="0"/>
                    <w:snapToGrid w:val="0"/>
                    <w:jc w:val="center"/>
                    <w:rPr>
                      <w:rFonts w:hint="eastAsia" w:ascii="Times New Roman" w:hAnsi="Times New Roman" w:cs="Times New Roman"/>
                      <w:b/>
                      <w:bCs/>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陈仓科技工业园</w:t>
                  </w:r>
                  <w:r>
                    <w:rPr>
                      <w:rFonts w:hint="eastAsia" w:ascii="Times New Roman" w:hAnsi="Times New Roman" w:cs="Times New Roman"/>
                      <w:b/>
                      <w:bCs/>
                      <w:color w:val="auto"/>
                      <w:kern w:val="0"/>
                      <w:sz w:val="21"/>
                      <w:szCs w:val="21"/>
                      <w:lang w:val="en-US" w:eastAsia="zh-CN" w:bidi="ar"/>
                    </w:rPr>
                    <w:t>：</w:t>
                  </w:r>
                </w:p>
                <w:p w14:paraId="35A45DD0">
                  <w:pPr>
                    <w:autoSpaceDE w:val="0"/>
                    <w:autoSpaceDN w:val="0"/>
                    <w:adjustRightInd w:val="0"/>
                    <w:snapToGrid w:val="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cs="Times New Roman"/>
                      <w:b w:val="0"/>
                      <w:bCs w:val="0"/>
                      <w:color w:val="auto"/>
                      <w:kern w:val="0"/>
                      <w:sz w:val="21"/>
                      <w:szCs w:val="21"/>
                      <w:lang w:val="en-US" w:eastAsia="zh-CN" w:bidi="ar"/>
                    </w:rPr>
                    <w:t>严格按照宝鸡市生态环境要素进行建设</w:t>
                  </w:r>
                  <w:r>
                    <w:rPr>
                      <w:rFonts w:hint="eastAsia" w:cs="Times New Roman"/>
                      <w:b w:val="0"/>
                      <w:bCs w:val="0"/>
                      <w:color w:val="auto"/>
                      <w:kern w:val="0"/>
                      <w:sz w:val="21"/>
                      <w:szCs w:val="21"/>
                      <w:lang w:val="en-US" w:eastAsia="zh-CN" w:bidi="ar"/>
                    </w:rPr>
                    <w:t>并</w:t>
                  </w:r>
                  <w:r>
                    <w:rPr>
                      <w:rFonts w:hint="eastAsia" w:ascii="Times New Roman" w:hAnsi="Times New Roman" w:cs="Times New Roman"/>
                      <w:b w:val="0"/>
                      <w:bCs w:val="0"/>
                      <w:color w:val="auto"/>
                      <w:kern w:val="0"/>
                      <w:sz w:val="21"/>
                      <w:szCs w:val="21"/>
                      <w:lang w:val="en-US" w:eastAsia="zh-CN" w:bidi="ar"/>
                    </w:rPr>
                    <w:t>执行相关要求。</w:t>
                  </w:r>
                </w:p>
              </w:tc>
            </w:tr>
          </w:tbl>
          <w:p w14:paraId="39ECA7AE">
            <w:pPr>
              <w:spacing w:line="360" w:lineRule="auto"/>
              <w:ind w:firstLine="480" w:firstLineChars="200"/>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cs="Times New Roman"/>
                <w:b w:val="0"/>
                <w:bCs/>
                <w:color w:val="auto"/>
                <w:sz w:val="24"/>
                <w:szCs w:val="24"/>
                <w:highlight w:val="none"/>
                <w:lang w:eastAsia="zh-CN"/>
              </w:rPr>
              <w:t>（3）“</w:t>
            </w:r>
            <w:r>
              <w:rPr>
                <w:rFonts w:hint="default" w:ascii="Times New Roman" w:hAnsi="Times New Roman" w:cs="Times New Roman"/>
                <w:b w:val="0"/>
                <w:bCs/>
                <w:color w:val="auto"/>
                <w:sz w:val="24"/>
                <w:szCs w:val="24"/>
                <w:highlight w:val="none"/>
                <w:lang w:val="en-US" w:eastAsia="zh-CN"/>
              </w:rPr>
              <w:t>一说明</w:t>
            </w:r>
            <w:r>
              <w:rPr>
                <w:rFonts w:hint="default" w:ascii="Times New Roman" w:hAnsi="Times New Roman" w:cs="Times New Roman"/>
                <w:b w:val="0"/>
                <w:bCs/>
                <w:color w:val="auto"/>
                <w:sz w:val="24"/>
                <w:szCs w:val="24"/>
                <w:highlight w:val="none"/>
                <w:lang w:eastAsia="zh-CN"/>
              </w:rPr>
              <w:t>”</w:t>
            </w:r>
          </w:p>
          <w:p w14:paraId="61208577">
            <w:pPr>
              <w:spacing w:line="360" w:lineRule="auto"/>
              <w:ind w:firstLine="480" w:firstLineChars="200"/>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根据上文“一图、一表”的分析，项目位于</w:t>
            </w:r>
            <w:r>
              <w:rPr>
                <w:rFonts w:hint="eastAsia" w:cs="Times New Roman"/>
                <w:color w:val="auto"/>
                <w:sz w:val="24"/>
                <w:szCs w:val="24"/>
                <w:shd w:val="clear" w:color="auto" w:fill="auto"/>
                <w:lang w:val="en-US" w:eastAsia="zh-CN"/>
              </w:rPr>
              <w:t>环境</w:t>
            </w:r>
            <w:r>
              <w:rPr>
                <w:rFonts w:hint="default" w:ascii="Times New Roman" w:hAnsi="Times New Roman" w:cs="Times New Roman"/>
                <w:color w:val="auto"/>
                <w:sz w:val="24"/>
                <w:szCs w:val="24"/>
                <w:shd w:val="clear" w:color="auto" w:fill="auto"/>
                <w:lang w:val="en-US" w:eastAsia="zh-CN"/>
              </w:rPr>
              <w:t>重点管控单元</w:t>
            </w:r>
            <w:r>
              <w:rPr>
                <w:rFonts w:hint="default" w:ascii="Times New Roman" w:hAnsi="Times New Roman" w:cs="Times New Roman"/>
                <w:b w:val="0"/>
                <w:bCs/>
                <w:color w:val="auto"/>
                <w:sz w:val="24"/>
                <w:szCs w:val="24"/>
                <w:highlight w:val="none"/>
                <w:lang w:val="en-US" w:eastAsia="zh-CN"/>
              </w:rPr>
              <w:t>，项目所在地不涉及生态红线，</w:t>
            </w:r>
            <w:r>
              <w:rPr>
                <w:rFonts w:hint="eastAsia" w:cs="Times New Roman"/>
                <w:b w:val="0"/>
                <w:bCs/>
                <w:color w:val="auto"/>
                <w:sz w:val="24"/>
                <w:szCs w:val="24"/>
                <w:highlight w:val="none"/>
                <w:lang w:val="en-US" w:eastAsia="zh-CN"/>
              </w:rPr>
              <w:t>重点管控单元以提升资源利用效率、加强污染物减排治理和环境风险防控为重点，解决突出生态环境问题。</w:t>
            </w:r>
            <w:r>
              <w:rPr>
                <w:rFonts w:hint="default" w:ascii="Times New Roman" w:hAnsi="Times New Roman" w:cs="Times New Roman"/>
                <w:b w:val="0"/>
                <w:bCs/>
                <w:color w:val="auto"/>
                <w:sz w:val="24"/>
                <w:szCs w:val="24"/>
                <w:highlight w:val="none"/>
                <w:lang w:val="en-US" w:eastAsia="zh-CN"/>
              </w:rPr>
              <w:t>本项目</w:t>
            </w:r>
            <w:r>
              <w:rPr>
                <w:rFonts w:hint="eastAsia" w:cs="Times New Roman"/>
                <w:b w:val="0"/>
                <w:bCs/>
                <w:color w:val="auto"/>
                <w:sz w:val="24"/>
                <w:szCs w:val="24"/>
                <w:highlight w:val="none"/>
                <w:lang w:val="en-US" w:eastAsia="zh-CN"/>
              </w:rPr>
              <w:t>对产生过程中的污染物均采取了相应的污染防治措施，可以有效降低其对周围环境质量的影响，企业已具备完善的环境风险防范机制和风险防范措施及相应的物资配备，可有效防控环境风险</w:t>
            </w:r>
            <w:r>
              <w:rPr>
                <w:rFonts w:hint="default" w:ascii="Times New Roman" w:hAnsi="Times New Roman"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因此，项目符合宝鸡市人民政府关于印发《2023年宝鸡市生态环境分区管控调整方案》（宝区环办〔2024〕1号）相关要求。</w:t>
            </w:r>
          </w:p>
          <w:p w14:paraId="39164FCE">
            <w:pPr>
              <w:spacing w:line="360" w:lineRule="auto"/>
              <w:ind w:firstLine="482" w:firstLineChars="200"/>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2</w:t>
            </w:r>
            <w:r>
              <w:rPr>
                <w:rFonts w:hint="eastAsia" w:ascii="Times New Roman" w:hAnsi="Times New Roman" w:eastAsia="宋体" w:cs="Times New Roman"/>
                <w:b/>
                <w:bCs w:val="0"/>
                <w:color w:val="auto"/>
                <w:sz w:val="24"/>
                <w:szCs w:val="24"/>
                <w:lang w:val="en-US" w:eastAsia="zh-CN"/>
              </w:rPr>
              <w:t>.</w:t>
            </w:r>
            <w:r>
              <w:rPr>
                <w:rFonts w:hint="default" w:ascii="Times New Roman" w:hAnsi="Times New Roman" w:eastAsia="宋体" w:cs="Times New Roman"/>
                <w:b/>
                <w:bCs w:val="0"/>
                <w:color w:val="auto"/>
                <w:sz w:val="24"/>
                <w:szCs w:val="24"/>
              </w:rPr>
              <w:t>项目</w:t>
            </w:r>
            <w:r>
              <w:rPr>
                <w:rFonts w:hint="eastAsia" w:ascii="Times New Roman" w:hAnsi="Times New Roman" w:eastAsia="宋体" w:cs="Times New Roman"/>
                <w:b/>
                <w:bCs w:val="0"/>
                <w:color w:val="auto"/>
                <w:sz w:val="24"/>
                <w:szCs w:val="24"/>
                <w:lang w:eastAsia="zh-CN"/>
              </w:rPr>
              <w:t>与</w:t>
            </w:r>
            <w:r>
              <w:rPr>
                <w:rFonts w:hint="default" w:ascii="Times New Roman" w:hAnsi="Times New Roman" w:eastAsia="宋体" w:cs="Times New Roman"/>
                <w:b/>
                <w:bCs w:val="0"/>
                <w:color w:val="auto"/>
                <w:sz w:val="24"/>
                <w:szCs w:val="24"/>
                <w:lang w:eastAsia="zh-CN"/>
              </w:rPr>
              <w:t>相关生态环境保护法律法</w:t>
            </w:r>
            <w:r>
              <w:rPr>
                <w:rFonts w:hint="eastAsia" w:ascii="Times New Roman" w:hAnsi="Times New Roman" w:eastAsia="宋体" w:cs="Times New Roman"/>
                <w:b/>
                <w:bCs w:val="0"/>
                <w:color w:val="auto"/>
                <w:sz w:val="24"/>
                <w:szCs w:val="24"/>
                <w:lang w:eastAsia="zh-CN"/>
              </w:rPr>
              <w:t>规和</w:t>
            </w:r>
            <w:r>
              <w:rPr>
                <w:rFonts w:hint="default" w:ascii="Times New Roman" w:hAnsi="Times New Roman" w:eastAsia="宋体" w:cs="Times New Roman"/>
                <w:b/>
                <w:bCs w:val="0"/>
                <w:color w:val="auto"/>
                <w:sz w:val="24"/>
                <w:szCs w:val="24"/>
                <w:lang w:eastAsia="zh-CN"/>
              </w:rPr>
              <w:t>政策、生态环境保护规划的符合性分析</w:t>
            </w:r>
            <w:r>
              <w:rPr>
                <w:rFonts w:hint="default" w:ascii="Times New Roman" w:hAnsi="Times New Roman" w:eastAsia="宋体" w:cs="Times New Roman"/>
                <w:b/>
                <w:bCs w:val="0"/>
                <w:color w:val="auto"/>
                <w:sz w:val="24"/>
                <w:szCs w:val="24"/>
              </w:rPr>
              <w:t>：</w:t>
            </w:r>
          </w:p>
          <w:p w14:paraId="549B8AE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项目与生态环境保护法律法规政策、</w:t>
            </w:r>
            <w:r>
              <w:rPr>
                <w:rFonts w:hint="eastAsia" w:cs="Times New Roman"/>
                <w:b/>
                <w:bCs/>
                <w:color w:val="auto"/>
                <w:sz w:val="21"/>
                <w:szCs w:val="21"/>
                <w:lang w:val="en-US" w:eastAsia="zh-CN"/>
              </w:rPr>
              <w:t>生态环境保护</w:t>
            </w:r>
            <w:r>
              <w:rPr>
                <w:rFonts w:hint="default" w:ascii="Times New Roman" w:hAnsi="Times New Roman" w:eastAsia="宋体" w:cs="Times New Roman"/>
                <w:b/>
                <w:bCs/>
                <w:color w:val="auto"/>
                <w:sz w:val="21"/>
                <w:szCs w:val="21"/>
                <w:lang w:val="en-US" w:eastAsia="zh-CN"/>
              </w:rPr>
              <w:t>规划符合性分析一览表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3240"/>
              <w:gridCol w:w="2355"/>
              <w:gridCol w:w="896"/>
            </w:tblGrid>
            <w:tr w14:paraId="44EE4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8" w:type="pct"/>
                  <w:tcBorders>
                    <w:tl2br w:val="nil"/>
                    <w:tr2bl w:val="nil"/>
                  </w:tcBorders>
                  <w:noWrap w:val="0"/>
                  <w:vAlign w:val="center"/>
                </w:tcPr>
                <w:p w14:paraId="5CFF940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2127" w:type="pct"/>
                  <w:tcBorders>
                    <w:tl2br w:val="nil"/>
                    <w:tr2bl w:val="nil"/>
                  </w:tcBorders>
                  <w:noWrap w:val="0"/>
                  <w:vAlign w:val="center"/>
                </w:tcPr>
                <w:p w14:paraId="7F21C65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规划内容</w:t>
                  </w:r>
                </w:p>
              </w:tc>
              <w:tc>
                <w:tcPr>
                  <w:tcW w:w="1546" w:type="pct"/>
                  <w:tcBorders>
                    <w:tl2br w:val="nil"/>
                    <w:tr2bl w:val="nil"/>
                  </w:tcBorders>
                  <w:noWrap w:val="0"/>
                  <w:vAlign w:val="center"/>
                </w:tcPr>
                <w:p w14:paraId="420C515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本项目情况</w:t>
                  </w:r>
                </w:p>
              </w:tc>
              <w:tc>
                <w:tcPr>
                  <w:tcW w:w="588" w:type="pct"/>
                  <w:tcBorders>
                    <w:tl2br w:val="nil"/>
                    <w:tr2bl w:val="nil"/>
                  </w:tcBorders>
                  <w:noWrap w:val="0"/>
                  <w:vAlign w:val="center"/>
                </w:tcPr>
                <w:p w14:paraId="4E6869F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符合性</w:t>
                  </w:r>
                </w:p>
              </w:tc>
            </w:tr>
            <w:tr w14:paraId="4AE81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pct"/>
                  <w:tcBorders>
                    <w:tl2br w:val="nil"/>
                    <w:tr2bl w:val="nil"/>
                  </w:tcBorders>
                  <w:noWrap w:val="0"/>
                  <w:vAlign w:val="center"/>
                </w:tcPr>
                <w:p w14:paraId="4E3EA6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rPr>
                    <w:t>《陕西省“十</w:t>
                  </w:r>
                  <w:r>
                    <w:rPr>
                      <w:rFonts w:hint="default" w:ascii="Times New Roman" w:hAnsi="Times New Roman" w:eastAsia="宋体" w:cs="Times New Roman"/>
                      <w:color w:val="auto"/>
                      <w:lang w:eastAsia="zh-CN"/>
                    </w:rPr>
                    <w:t>四</w:t>
                  </w:r>
                  <w:r>
                    <w:rPr>
                      <w:rFonts w:hint="default" w:ascii="Times New Roman" w:hAnsi="Times New Roman" w:eastAsia="宋体" w:cs="Times New Roman"/>
                      <w:color w:val="auto"/>
                    </w:rPr>
                    <w:t>五”</w:t>
                  </w:r>
                  <w:r>
                    <w:rPr>
                      <w:rFonts w:hint="default" w:ascii="Times New Roman" w:hAnsi="Times New Roman" w:eastAsia="宋体" w:cs="Times New Roman"/>
                      <w:color w:val="auto"/>
                      <w:lang w:eastAsia="zh-CN"/>
                    </w:rPr>
                    <w:t>生态</w:t>
                  </w:r>
                  <w:r>
                    <w:rPr>
                      <w:rFonts w:hint="default" w:ascii="Times New Roman" w:hAnsi="Times New Roman" w:eastAsia="宋体" w:cs="Times New Roman"/>
                      <w:color w:val="auto"/>
                    </w:rPr>
                    <w:t>环境保护规划》</w:t>
                  </w:r>
                </w:p>
              </w:tc>
              <w:tc>
                <w:tcPr>
                  <w:tcW w:w="2127" w:type="pct"/>
                  <w:tcBorders>
                    <w:tl2br w:val="nil"/>
                    <w:tr2bl w:val="nil"/>
                  </w:tcBorders>
                  <w:noWrap w:val="0"/>
                  <w:vAlign w:val="center"/>
                </w:tcPr>
                <w:p w14:paraId="64292D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eastAsia="zh-CN"/>
                    </w:rPr>
                    <w:t>促进产业结构转型升级。严格能耗、环保、质量、安全、技术等综合标准，以钢铁、煤炭、水泥、电解铝、平板玻璃等行业为重点，依法依规淘汰落后产能。</w:t>
                  </w:r>
                  <w:r>
                    <w:rPr>
                      <w:rFonts w:hint="default" w:ascii="Times New Roman" w:hAnsi="Times New Roman" w:eastAsia="宋体" w:cs="Times New Roman"/>
                      <w:color w:val="auto"/>
                    </w:rPr>
                    <w:t>以钢铁、焦化、建材、有色、石化、化工、工业涂装、包装印刷、石油开采、农副食品加工等行业为重点，开展全流程清洁化、循环化、低碳化改造，促进传统产业绿色转型升级。</w:t>
                  </w:r>
                </w:p>
              </w:tc>
              <w:tc>
                <w:tcPr>
                  <w:tcW w:w="1546" w:type="pct"/>
                  <w:tcBorders>
                    <w:tl2br w:val="nil"/>
                    <w:tr2bl w:val="nil"/>
                  </w:tcBorders>
                  <w:noWrap w:val="0"/>
                  <w:vAlign w:val="center"/>
                </w:tcPr>
                <w:p w14:paraId="414C92D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lang w:val="en-US" w:eastAsia="zh-CN"/>
                    </w:rPr>
                    <w:t>本项目</w:t>
                  </w:r>
                  <w:r>
                    <w:rPr>
                      <w:rFonts w:hint="default" w:ascii="Times New Roman" w:hAnsi="Times New Roman" w:eastAsia="宋体" w:cs="Times New Roman"/>
                      <w:color w:val="auto"/>
                      <w:lang w:eastAsia="zh-CN"/>
                    </w:rPr>
                    <w:t>生产过程主要消耗</w:t>
                  </w:r>
                  <w:r>
                    <w:rPr>
                      <w:rFonts w:hint="eastAsia" w:cs="Times New Roman"/>
                      <w:color w:val="auto"/>
                      <w:lang w:val="en-US" w:eastAsia="zh-CN"/>
                    </w:rPr>
                    <w:t>能源为</w:t>
                  </w:r>
                  <w:r>
                    <w:rPr>
                      <w:rFonts w:hint="default" w:ascii="Times New Roman" w:hAnsi="Times New Roman" w:eastAsia="宋体" w:cs="Times New Roman"/>
                      <w:color w:val="auto"/>
                      <w:lang w:eastAsia="zh-CN"/>
                    </w:rPr>
                    <w:t>水</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电能</w:t>
                  </w:r>
                  <w:r>
                    <w:rPr>
                      <w:rFonts w:hint="eastAsia" w:ascii="Times New Roman" w:hAnsi="Times New Roman" w:eastAsia="宋体" w:cs="Times New Roman"/>
                      <w:color w:val="auto"/>
                      <w:lang w:val="en-US" w:eastAsia="zh-CN"/>
                    </w:rPr>
                    <w:t>和天然气</w:t>
                  </w:r>
                  <w:r>
                    <w:rPr>
                      <w:rFonts w:hint="default" w:ascii="Times New Roman" w:hAnsi="Times New Roman" w:eastAsia="宋体" w:cs="Times New Roman"/>
                      <w:color w:val="auto"/>
                      <w:lang w:eastAsia="zh-CN"/>
                    </w:rPr>
                    <w:t>，</w:t>
                  </w:r>
                  <w:r>
                    <w:rPr>
                      <w:rFonts w:hint="eastAsia" w:cs="Times New Roman"/>
                      <w:color w:val="auto"/>
                      <w:lang w:val="en-US" w:eastAsia="zh-CN"/>
                    </w:rPr>
                    <w:t>均为清洁能源。</w:t>
                  </w:r>
                  <w:r>
                    <w:rPr>
                      <w:rFonts w:hint="eastAsia" w:ascii="Times New Roman" w:hAnsi="Times New Roman" w:eastAsia="宋体" w:cs="Times New Roman"/>
                      <w:color w:val="auto"/>
                      <w:lang w:eastAsia="zh-CN"/>
                    </w:rPr>
                    <w:t>生产废水</w:t>
                  </w:r>
                  <w:r>
                    <w:rPr>
                      <w:rFonts w:hint="eastAsia" w:cs="Times New Roman"/>
                      <w:color w:val="auto"/>
                      <w:lang w:val="en-US" w:eastAsia="zh-CN"/>
                    </w:rPr>
                    <w:t>经处理后循环使用</w:t>
                  </w:r>
                  <w:r>
                    <w:rPr>
                      <w:rFonts w:hint="eastAsia" w:cs="Times New Roman"/>
                      <w:color w:val="auto"/>
                      <w:lang w:eastAsia="zh-CN"/>
                    </w:rPr>
                    <w:t>，</w:t>
                  </w:r>
                  <w:r>
                    <w:rPr>
                      <w:rFonts w:hint="eastAsia" w:cs="Times New Roman"/>
                      <w:color w:val="auto"/>
                      <w:lang w:val="en-US" w:eastAsia="zh-CN"/>
                    </w:rPr>
                    <w:t>不外排</w:t>
                  </w:r>
                  <w:r>
                    <w:rPr>
                      <w:rFonts w:hint="default" w:ascii="Times New Roman" w:hAnsi="Times New Roman" w:eastAsia="宋体" w:cs="Times New Roman"/>
                      <w:color w:val="auto"/>
                      <w:lang w:eastAsia="zh-CN"/>
                    </w:rPr>
                    <w:t>，满足清洁化、循环化、低碳要求化，能够达到强制性能耗限额标准先进值和污染排放标准。</w:t>
                  </w:r>
                </w:p>
              </w:tc>
              <w:tc>
                <w:tcPr>
                  <w:tcW w:w="588" w:type="pct"/>
                  <w:tcBorders>
                    <w:tl2br w:val="nil"/>
                    <w:tr2bl w:val="nil"/>
                  </w:tcBorders>
                  <w:noWrap w:val="0"/>
                  <w:vAlign w:val="center"/>
                </w:tcPr>
                <w:p w14:paraId="4C4A497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符合</w:t>
                  </w:r>
                </w:p>
              </w:tc>
            </w:tr>
            <w:tr w14:paraId="6186B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6" w:hRule="atLeast"/>
                <w:jc w:val="center"/>
              </w:trPr>
              <w:tc>
                <w:tcPr>
                  <w:tcW w:w="738" w:type="pct"/>
                  <w:vMerge w:val="restart"/>
                  <w:tcBorders>
                    <w:tl2br w:val="nil"/>
                    <w:tr2bl w:val="nil"/>
                  </w:tcBorders>
                  <w:noWrap w:val="0"/>
                  <w:vAlign w:val="center"/>
                </w:tcPr>
                <w:p w14:paraId="465CDF5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rPr>
                    <w:t>《宝鸡市“十</w:t>
                  </w:r>
                  <w:r>
                    <w:rPr>
                      <w:rFonts w:hint="default" w:ascii="Times New Roman" w:hAnsi="Times New Roman" w:eastAsia="宋体" w:cs="Times New Roman"/>
                      <w:color w:val="auto"/>
                      <w:lang w:eastAsia="zh-CN"/>
                    </w:rPr>
                    <w:t>四</w:t>
                  </w:r>
                  <w:r>
                    <w:rPr>
                      <w:rFonts w:hint="default" w:ascii="Times New Roman" w:hAnsi="Times New Roman" w:eastAsia="宋体" w:cs="Times New Roman"/>
                      <w:color w:val="auto"/>
                    </w:rPr>
                    <w:t>五”生态环境保护规划》</w:t>
                  </w:r>
                </w:p>
              </w:tc>
              <w:tc>
                <w:tcPr>
                  <w:tcW w:w="2127" w:type="pct"/>
                  <w:tcBorders>
                    <w:tl2br w:val="nil"/>
                    <w:tr2bl w:val="nil"/>
                  </w:tcBorders>
                  <w:noWrap w:val="0"/>
                  <w:vAlign w:val="center"/>
                </w:tcPr>
                <w:p w14:paraId="367DC0A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val="en-US" w:eastAsia="zh-CN"/>
                    </w:rPr>
                    <w:t>降低电力、水泥、玻璃、石油、化工、有色金属、纺织印染、建材等行业大气污染排放。</w:t>
                  </w:r>
                  <w:r>
                    <w:rPr>
                      <w:rFonts w:hint="default" w:ascii="Times New Roman" w:hAnsi="Times New Roman" w:eastAsia="宋体" w:cs="Times New Roman"/>
                      <w:color w:val="auto"/>
                      <w:lang w:eastAsia="zh-CN"/>
                    </w:rPr>
                    <w:t>严格执行重点行业主要大气污染物排放标准，倒逼相关企业对烟粉尘、二氧化硫、氮氧化物等主要污染物治理设施进行提标改造。</w:t>
                  </w:r>
                </w:p>
              </w:tc>
              <w:tc>
                <w:tcPr>
                  <w:tcW w:w="1546" w:type="pct"/>
                  <w:tcBorders>
                    <w:tl2br w:val="nil"/>
                    <w:tr2bl w:val="nil"/>
                  </w:tcBorders>
                  <w:noWrap w:val="0"/>
                  <w:vAlign w:val="center"/>
                </w:tcPr>
                <w:p w14:paraId="58E74A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本项目</w:t>
                  </w:r>
                  <w:r>
                    <w:rPr>
                      <w:rFonts w:hint="eastAsia" w:cs="Times New Roman"/>
                      <w:color w:val="auto"/>
                      <w:szCs w:val="21"/>
                      <w:lang w:val="en-US" w:eastAsia="zh-CN"/>
                    </w:rPr>
                    <w:t>生产工序涉及喷涂、固化，属于重污染天气重点行业，产生的</w:t>
                  </w:r>
                  <w:r>
                    <w:rPr>
                      <w:rFonts w:hint="eastAsia" w:ascii="Times New Roman" w:hAnsi="Times New Roman" w:cs="Times New Roman"/>
                      <w:color w:val="auto"/>
                      <w:szCs w:val="21"/>
                      <w:lang w:val="en-US" w:eastAsia="zh-CN"/>
                    </w:rPr>
                    <w:t>固化</w:t>
                  </w:r>
                  <w:r>
                    <w:rPr>
                      <w:rFonts w:hint="eastAsia" w:cs="Times New Roman"/>
                      <w:color w:val="auto"/>
                      <w:szCs w:val="21"/>
                      <w:lang w:val="en-US" w:eastAsia="zh-CN"/>
                    </w:rPr>
                    <w:t>废气需满足《挥发性有机物排放控制标准》（DB61/T1061-2017），同时需满足《重污染天气重点行业应急减排措施制定技术指南》（环办大气函〔2020〕340号）中涂装A级企业“排放限值”要求，</w:t>
                  </w:r>
                  <w:r>
                    <w:rPr>
                      <w:rFonts w:hint="eastAsia" w:ascii="Times New Roman" w:hAnsi="Times New Roman" w:cs="Times New Roman"/>
                      <w:color w:val="auto"/>
                      <w:szCs w:val="21"/>
                      <w:lang w:val="en-US" w:eastAsia="zh-CN"/>
                    </w:rPr>
                    <w:t>天然气燃烧废气</w:t>
                  </w:r>
                  <w:r>
                    <w:rPr>
                      <w:rFonts w:hint="eastAsia" w:cs="Times New Roman"/>
                      <w:color w:val="auto"/>
                      <w:szCs w:val="21"/>
                      <w:lang w:val="en-US" w:eastAsia="zh-CN"/>
                    </w:rPr>
                    <w:t>排放浓度需满足《工业炉窑大气污染综合治理方案》（环大气〔2019〕56号）中相应管控要求。</w:t>
                  </w:r>
                </w:p>
              </w:tc>
              <w:tc>
                <w:tcPr>
                  <w:tcW w:w="588" w:type="pct"/>
                  <w:tcBorders>
                    <w:tl2br w:val="nil"/>
                    <w:tr2bl w:val="nil"/>
                  </w:tcBorders>
                  <w:noWrap w:val="0"/>
                  <w:vAlign w:val="center"/>
                </w:tcPr>
                <w:p w14:paraId="381540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符合</w:t>
                  </w:r>
                </w:p>
              </w:tc>
            </w:tr>
            <w:tr w14:paraId="1273AD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8" w:type="pct"/>
                  <w:vMerge w:val="continue"/>
                  <w:tcBorders>
                    <w:tl2br w:val="nil"/>
                    <w:tr2bl w:val="nil"/>
                  </w:tcBorders>
                  <w:noWrap w:val="0"/>
                  <w:vAlign w:val="center"/>
                </w:tcPr>
                <w:p w14:paraId="5A0BBC6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rPr>
                  </w:pPr>
                </w:p>
              </w:tc>
              <w:tc>
                <w:tcPr>
                  <w:tcW w:w="2127" w:type="pct"/>
                  <w:tcBorders>
                    <w:tl2br w:val="nil"/>
                    <w:tr2bl w:val="nil"/>
                  </w:tcBorders>
                  <w:noWrap w:val="0"/>
                  <w:vAlign w:val="center"/>
                </w:tcPr>
                <w:p w14:paraId="67EF56A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强化涉固体废物建设项目的环境准入管理，从源头杜绝工业固体废物产生量大且综合利用率低，难以实现经济效益、环境效益和社会效益相协调的项目落地。</w:t>
                  </w:r>
                </w:p>
              </w:tc>
              <w:tc>
                <w:tcPr>
                  <w:tcW w:w="1546" w:type="pct"/>
                  <w:tcBorders>
                    <w:tl2br w:val="nil"/>
                    <w:tr2bl w:val="nil"/>
                  </w:tcBorders>
                  <w:noWrap w:val="0"/>
                  <w:vAlign w:val="center"/>
                </w:tcPr>
                <w:p w14:paraId="303B9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eastAsia="zh-CN"/>
                    </w:rPr>
                  </w:pPr>
                  <w:r>
                    <w:rPr>
                      <w:rFonts w:hint="default" w:ascii="Times New Roman" w:hAnsi="Times New Roman" w:eastAsia="宋体" w:cs="Times New Roman"/>
                      <w:color w:val="auto"/>
                      <w:lang w:eastAsia="zh-CN"/>
                    </w:rPr>
                    <w:t>本项目一般固废均收集至一般固废暂存区后外售利用，危险废物收集至</w:t>
                  </w:r>
                  <w:r>
                    <w:rPr>
                      <w:rFonts w:hint="eastAsia" w:cs="Times New Roman"/>
                      <w:color w:val="auto"/>
                      <w:lang w:eastAsia="zh-CN"/>
                    </w:rPr>
                    <w:t>危废贮存库</w:t>
                  </w:r>
                  <w:r>
                    <w:rPr>
                      <w:rFonts w:hint="default" w:ascii="Times New Roman" w:hAnsi="Times New Roman" w:eastAsia="宋体" w:cs="Times New Roman"/>
                      <w:color w:val="auto"/>
                      <w:lang w:eastAsia="zh-CN"/>
                    </w:rPr>
                    <w:t>后交由资质单位清运处置</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实现一般固废“资源化”利用，严格落实本评价提出的措施后，固体废物处置率达</w:t>
                  </w:r>
                  <w:r>
                    <w:rPr>
                      <w:rFonts w:hint="default" w:ascii="Times New Roman" w:hAnsi="Times New Roman" w:eastAsia="宋体" w:cs="Times New Roman"/>
                      <w:color w:val="auto"/>
                      <w:lang w:val="en-US" w:eastAsia="zh-CN"/>
                    </w:rPr>
                    <w:t>100%。</w:t>
                  </w:r>
                </w:p>
              </w:tc>
              <w:tc>
                <w:tcPr>
                  <w:tcW w:w="588" w:type="pct"/>
                  <w:tcBorders>
                    <w:tl2br w:val="nil"/>
                    <w:tr2bl w:val="nil"/>
                  </w:tcBorders>
                  <w:noWrap w:val="0"/>
                  <w:vAlign w:val="center"/>
                </w:tcPr>
                <w:p w14:paraId="2BC24E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6C3F8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8" w:type="pct"/>
                  <w:tcBorders>
                    <w:tl2br w:val="nil"/>
                    <w:tr2bl w:val="nil"/>
                  </w:tcBorders>
                  <w:noWrap w:val="0"/>
                  <w:vAlign w:val="center"/>
                </w:tcPr>
                <w:p w14:paraId="63F342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cs="Times New Roman"/>
                      <w:snapToGrid w:val="0"/>
                      <w:color w:val="auto"/>
                      <w:szCs w:val="21"/>
                    </w:rPr>
                    <w:t>《宝鸡市大气污染防治条例》</w:t>
                  </w:r>
                </w:p>
              </w:tc>
              <w:tc>
                <w:tcPr>
                  <w:tcW w:w="2127" w:type="pct"/>
                  <w:tcBorders>
                    <w:tl2br w:val="nil"/>
                    <w:tr2bl w:val="nil"/>
                  </w:tcBorders>
                  <w:noWrap w:val="0"/>
                  <w:vAlign w:val="center"/>
                </w:tcPr>
                <w:p w14:paraId="36419A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钢铁、建材、有色金属、石油、化工、制药、矿产开采等企业，应当加强精细化管理，采取集中收集处理等措施，严格控制粉尘和气态污染物的排放。</w:t>
                  </w:r>
                </w:p>
              </w:tc>
              <w:tc>
                <w:tcPr>
                  <w:tcW w:w="1546" w:type="pct"/>
                  <w:tcBorders>
                    <w:tl2br w:val="nil"/>
                    <w:tr2bl w:val="nil"/>
                  </w:tcBorders>
                  <w:noWrap w:val="0"/>
                  <w:vAlign w:val="center"/>
                </w:tcPr>
                <w:p w14:paraId="73AE13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eastAsia" w:ascii="Times New Roman" w:hAnsi="Times New Roman" w:cs="Times New Roman"/>
                      <w:color w:val="auto"/>
                      <w:szCs w:val="21"/>
                      <w:lang w:val="en-US" w:eastAsia="zh-CN"/>
                    </w:rPr>
                    <w:t>本项目</w:t>
                  </w:r>
                  <w:r>
                    <w:rPr>
                      <w:rFonts w:hint="eastAsia" w:cs="Times New Roman"/>
                      <w:color w:val="auto"/>
                      <w:szCs w:val="21"/>
                      <w:lang w:val="en-US" w:eastAsia="zh-CN"/>
                    </w:rPr>
                    <w:t>抛丸经自带除尘器处理后有组织排放、</w:t>
                  </w:r>
                  <w:r>
                    <w:rPr>
                      <w:rFonts w:hint="eastAsia" w:ascii="Times New Roman" w:hAnsi="Times New Roman" w:cs="Times New Roman"/>
                      <w:color w:val="auto"/>
                      <w:szCs w:val="21"/>
                      <w:lang w:val="en-US" w:eastAsia="zh-CN"/>
                    </w:rPr>
                    <w:t>激光</w:t>
                  </w:r>
                  <w:r>
                    <w:rPr>
                      <w:rFonts w:hint="eastAsia" w:cs="Times New Roman"/>
                      <w:color w:val="auto"/>
                      <w:szCs w:val="21"/>
                      <w:lang w:val="en-US" w:eastAsia="zh-CN"/>
                    </w:rPr>
                    <w:t>切割</w:t>
                  </w:r>
                  <w:r>
                    <w:rPr>
                      <w:rFonts w:hint="eastAsia" w:ascii="Times New Roman" w:hAnsi="Times New Roman" w:cs="Times New Roman"/>
                      <w:color w:val="auto"/>
                      <w:szCs w:val="21"/>
                      <w:lang w:val="en-US" w:eastAsia="zh-CN"/>
                    </w:rPr>
                    <w:t>、焊接的废气经</w:t>
                  </w:r>
                  <w:r>
                    <w:rPr>
                      <w:rFonts w:hint="eastAsia" w:cs="Times New Roman"/>
                      <w:color w:val="auto"/>
                      <w:szCs w:val="21"/>
                      <w:lang w:val="en-US" w:eastAsia="zh-CN"/>
                    </w:rPr>
                    <w:t>密闭收集</w:t>
                  </w:r>
                  <w:r>
                    <w:rPr>
                      <w:rFonts w:hint="eastAsia" w:ascii="Times New Roman" w:hAnsi="Times New Roman" w:cs="Times New Roman"/>
                      <w:color w:val="auto"/>
                      <w:szCs w:val="21"/>
                      <w:lang w:val="en-US" w:eastAsia="zh-CN"/>
                    </w:rPr>
                    <w:t>后进入</w:t>
                  </w:r>
                  <w:r>
                    <w:rPr>
                      <w:rFonts w:hint="eastAsia" w:cs="Times New Roman"/>
                      <w:color w:val="auto"/>
                      <w:szCs w:val="21"/>
                      <w:lang w:val="en-US" w:eastAsia="zh-CN"/>
                    </w:rPr>
                    <w:t>袋式</w:t>
                  </w:r>
                  <w:r>
                    <w:rPr>
                      <w:rFonts w:hint="eastAsia" w:ascii="Times New Roman" w:hAnsi="Times New Roman" w:cs="Times New Roman"/>
                      <w:color w:val="auto"/>
                      <w:szCs w:val="21"/>
                      <w:lang w:val="en-US" w:eastAsia="zh-CN"/>
                    </w:rPr>
                    <w:t>除尘器处理后由15米排气筒（DA001）排放；固化</w:t>
                  </w:r>
                  <w:r>
                    <w:rPr>
                      <w:rFonts w:hint="eastAsia" w:cs="Times New Roman"/>
                      <w:color w:val="auto"/>
                      <w:szCs w:val="21"/>
                      <w:lang w:val="en-US" w:eastAsia="zh-CN"/>
                    </w:rPr>
                    <w:t>废气</w:t>
                  </w:r>
                  <w:r>
                    <w:rPr>
                      <w:rFonts w:hint="eastAsia" w:ascii="Times New Roman" w:hAnsi="Times New Roman" w:cs="Times New Roman"/>
                      <w:color w:val="auto"/>
                      <w:szCs w:val="21"/>
                      <w:lang w:val="en-US" w:eastAsia="zh-CN"/>
                    </w:rPr>
                    <w:t>经二级活性炭吸附处理</w:t>
                  </w:r>
                  <w:r>
                    <w:rPr>
                      <w:rFonts w:hint="eastAsia" w:cs="Times New Roman"/>
                      <w:color w:val="auto"/>
                      <w:szCs w:val="21"/>
                      <w:lang w:val="en-US" w:eastAsia="zh-CN"/>
                    </w:rPr>
                    <w:t>，</w:t>
                  </w:r>
                  <w:r>
                    <w:rPr>
                      <w:rFonts w:hint="eastAsia" w:ascii="Times New Roman" w:hAnsi="Times New Roman" w:cs="Times New Roman"/>
                      <w:color w:val="auto"/>
                      <w:szCs w:val="21"/>
                      <w:lang w:val="en-US" w:eastAsia="zh-CN"/>
                    </w:rPr>
                    <w:t>天然气燃烧废气</w:t>
                  </w:r>
                  <w:r>
                    <w:rPr>
                      <w:rFonts w:hint="eastAsia" w:cs="Times New Roman"/>
                      <w:color w:val="auto"/>
                      <w:szCs w:val="21"/>
                      <w:lang w:val="en-US" w:eastAsia="zh-CN"/>
                    </w:rPr>
                    <w:t>经</w:t>
                  </w:r>
                  <w:r>
                    <w:rPr>
                      <w:rFonts w:hint="eastAsia" w:ascii="Times New Roman" w:hAnsi="Times New Roman" w:cs="Times New Roman"/>
                      <w:color w:val="auto"/>
                      <w:szCs w:val="21"/>
                      <w:lang w:val="en-US" w:eastAsia="zh-CN"/>
                    </w:rPr>
                    <w:t>低氮燃烧器处理后</w:t>
                  </w:r>
                  <w:r>
                    <w:rPr>
                      <w:rFonts w:hint="eastAsia" w:cs="Times New Roman"/>
                      <w:color w:val="auto"/>
                      <w:szCs w:val="21"/>
                      <w:lang w:val="en-US" w:eastAsia="zh-CN"/>
                    </w:rPr>
                    <w:t>与固化废气</w:t>
                  </w:r>
                  <w:r>
                    <w:rPr>
                      <w:rFonts w:hint="eastAsia" w:ascii="Times New Roman" w:hAnsi="Times New Roman" w:cs="Times New Roman"/>
                      <w:color w:val="auto"/>
                      <w:szCs w:val="21"/>
                      <w:lang w:val="en-US" w:eastAsia="zh-CN"/>
                    </w:rPr>
                    <w:t>经同一根15米排气筒（DA00</w:t>
                  </w:r>
                  <w:r>
                    <w:rPr>
                      <w:rFonts w:hint="eastAsia" w:cs="Times New Roman"/>
                      <w:color w:val="auto"/>
                      <w:szCs w:val="21"/>
                      <w:lang w:val="en-US" w:eastAsia="zh-CN"/>
                    </w:rPr>
                    <w:t>3</w:t>
                  </w:r>
                  <w:r>
                    <w:rPr>
                      <w:rFonts w:hint="eastAsia" w:ascii="Times New Roman" w:hAnsi="Times New Roman" w:cs="Times New Roman"/>
                      <w:color w:val="auto"/>
                      <w:szCs w:val="21"/>
                      <w:lang w:val="en-US" w:eastAsia="zh-CN"/>
                    </w:rPr>
                    <w:t>）高空排放；喷粉工序在密闭喷粉室内进行静电喷涂，废气收集经</w:t>
                  </w:r>
                  <w:r>
                    <w:rPr>
                      <w:rFonts w:hint="eastAsia" w:cs="Times New Roman"/>
                      <w:color w:val="auto"/>
                      <w:szCs w:val="21"/>
                      <w:lang w:val="en-US" w:eastAsia="zh-CN"/>
                    </w:rPr>
                    <w:t>大旋风除尘器</w:t>
                  </w:r>
                  <w:r>
                    <w:rPr>
                      <w:rFonts w:hint="eastAsia" w:ascii="Times New Roman" w:hAnsi="Times New Roman" w:cs="Times New Roman"/>
                      <w:color w:val="auto"/>
                      <w:szCs w:val="21"/>
                      <w:lang w:val="en-US" w:eastAsia="zh-CN"/>
                    </w:rPr>
                    <w:t>处理后</w:t>
                  </w:r>
                  <w:r>
                    <w:rPr>
                      <w:rFonts w:hint="eastAsia" w:cs="Times New Roman"/>
                      <w:color w:val="auto"/>
                      <w:szCs w:val="21"/>
                      <w:lang w:val="en-US" w:eastAsia="zh-CN"/>
                    </w:rPr>
                    <w:t>部分</w:t>
                  </w:r>
                  <w:r>
                    <w:rPr>
                      <w:rFonts w:hint="eastAsia" w:ascii="Times New Roman" w:hAnsi="Times New Roman" w:cs="Times New Roman"/>
                      <w:color w:val="auto"/>
                      <w:szCs w:val="21"/>
                      <w:lang w:val="en-US" w:eastAsia="zh-CN"/>
                    </w:rPr>
                    <w:t>回用，部分废粉沉淀收集后外售</w:t>
                  </w:r>
                  <w:r>
                    <w:rPr>
                      <w:rFonts w:hint="eastAsia" w:cs="Times New Roman"/>
                      <w:color w:val="auto"/>
                      <w:szCs w:val="21"/>
                      <w:lang w:val="en-US" w:eastAsia="zh-CN"/>
                    </w:rPr>
                    <w:t>，其余经排气筒DA002高空排放</w:t>
                  </w:r>
                  <w:r>
                    <w:rPr>
                      <w:rFonts w:hint="eastAsia" w:ascii="Times New Roman" w:hAnsi="Times New Roman" w:cs="Times New Roman"/>
                      <w:color w:val="auto"/>
                      <w:szCs w:val="21"/>
                      <w:lang w:val="en-US" w:eastAsia="zh-CN"/>
                    </w:rPr>
                    <w:t>。</w:t>
                  </w:r>
                </w:p>
              </w:tc>
              <w:tc>
                <w:tcPr>
                  <w:tcW w:w="588" w:type="pct"/>
                  <w:tcBorders>
                    <w:tl2br w:val="nil"/>
                    <w:tr2bl w:val="nil"/>
                  </w:tcBorders>
                  <w:noWrap w:val="0"/>
                  <w:vAlign w:val="center"/>
                </w:tcPr>
                <w:p w14:paraId="49F4C8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符合</w:t>
                  </w:r>
                </w:p>
              </w:tc>
            </w:tr>
            <w:tr w14:paraId="4216D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8" w:type="pct"/>
                  <w:vMerge w:val="restart"/>
                  <w:tcBorders>
                    <w:tl2br w:val="nil"/>
                    <w:tr2bl w:val="nil"/>
                  </w:tcBorders>
                  <w:noWrap w:val="0"/>
                  <w:vAlign w:val="center"/>
                </w:tcPr>
                <w:p w14:paraId="1C61AC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szCs w:val="21"/>
                      <w:lang w:eastAsia="zh-CN"/>
                    </w:rPr>
                  </w:pPr>
                  <w:r>
                    <w:rPr>
                      <w:rFonts w:hint="eastAsia" w:ascii="Times New Roman" w:hAnsi="Times New Roman" w:cs="Times New Roman"/>
                      <w:snapToGrid w:val="0"/>
                      <w:color w:val="auto"/>
                      <w:szCs w:val="21"/>
                      <w:lang w:eastAsia="zh-CN"/>
                    </w:rPr>
                    <w:t>《</w:t>
                  </w:r>
                  <w:r>
                    <w:rPr>
                      <w:rFonts w:hint="eastAsia" w:ascii="Times New Roman" w:hAnsi="Times New Roman" w:cs="Times New Roman"/>
                      <w:snapToGrid w:val="0"/>
                      <w:color w:val="auto"/>
                      <w:szCs w:val="21"/>
                      <w:lang w:val="en-US" w:eastAsia="zh-CN"/>
                    </w:rPr>
                    <w:t>宝鸡市大气污染专项行动方案</w:t>
                  </w:r>
                  <w:r>
                    <w:rPr>
                      <w:rFonts w:hint="eastAsia" w:ascii="Times New Roman" w:hAnsi="Times New Roman" w:cs="Times New Roman"/>
                      <w:snapToGrid w:val="0"/>
                      <w:color w:val="auto"/>
                      <w:szCs w:val="21"/>
                      <w:lang w:eastAsia="zh-CN"/>
                    </w:rPr>
                    <w:t>》（</w:t>
                  </w:r>
                  <w:r>
                    <w:rPr>
                      <w:rFonts w:hint="eastAsia" w:ascii="Times New Roman" w:hAnsi="Times New Roman" w:cs="Times New Roman"/>
                      <w:snapToGrid w:val="0"/>
                      <w:color w:val="auto"/>
                      <w:szCs w:val="21"/>
                      <w:lang w:val="en-US" w:eastAsia="zh-CN"/>
                    </w:rPr>
                    <w:t>2023-2027</w:t>
                  </w:r>
                  <w:r>
                    <w:rPr>
                      <w:rFonts w:hint="eastAsia" w:ascii="Times New Roman" w:hAnsi="Times New Roman" w:cs="Times New Roman"/>
                      <w:snapToGrid w:val="0"/>
                      <w:color w:val="auto"/>
                      <w:szCs w:val="21"/>
                      <w:lang w:eastAsia="zh-CN"/>
                    </w:rPr>
                    <w:t>）</w:t>
                  </w:r>
                </w:p>
              </w:tc>
              <w:tc>
                <w:tcPr>
                  <w:tcW w:w="2127" w:type="pct"/>
                  <w:tcBorders>
                    <w:tl2br w:val="nil"/>
                    <w:tr2bl w:val="nil"/>
                  </w:tcBorders>
                  <w:noWrap w:val="0"/>
                  <w:vAlign w:val="center"/>
                </w:tcPr>
                <w:p w14:paraId="351528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深化工业污染治理。动态巩固固定</w:t>
                  </w:r>
                  <w:r>
                    <w:rPr>
                      <w:rFonts w:hint="eastAsia" w:cs="Times New Roman"/>
                      <w:color w:val="auto"/>
                      <w:lang w:val="en-US" w:eastAsia="zh-CN"/>
                    </w:rPr>
                    <w:t>污染源排污许可</w:t>
                  </w:r>
                  <w:r>
                    <w:rPr>
                      <w:rFonts w:hint="eastAsia" w:ascii="Times New Roman" w:hAnsi="Times New Roman" w:cs="Times New Roman"/>
                      <w:color w:val="auto"/>
                      <w:lang w:val="en-US" w:eastAsia="zh-CN"/>
                    </w:rPr>
                    <w:t>管理全覆盖，强化排污许可“一证式”监管，持续推进重点涉气固定污染源治理。</w:t>
                  </w:r>
                </w:p>
              </w:tc>
              <w:tc>
                <w:tcPr>
                  <w:tcW w:w="1546" w:type="pct"/>
                  <w:tcBorders>
                    <w:tl2br w:val="nil"/>
                    <w:tr2bl w:val="nil"/>
                  </w:tcBorders>
                  <w:noWrap w:val="0"/>
                  <w:vAlign w:val="center"/>
                </w:tcPr>
                <w:p w14:paraId="0BCC39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本项目</w:t>
                  </w:r>
                  <w:r>
                    <w:rPr>
                      <w:rFonts w:hint="eastAsia" w:cs="Times New Roman"/>
                      <w:color w:val="auto"/>
                      <w:szCs w:val="21"/>
                      <w:lang w:val="en-US" w:eastAsia="zh-CN"/>
                    </w:rPr>
                    <w:t>抛丸经自带除尘器处理后有组织排放、</w:t>
                  </w:r>
                  <w:r>
                    <w:rPr>
                      <w:rFonts w:hint="eastAsia" w:ascii="Times New Roman" w:hAnsi="Times New Roman" w:cs="Times New Roman"/>
                      <w:color w:val="auto"/>
                      <w:szCs w:val="21"/>
                      <w:lang w:val="en-US" w:eastAsia="zh-CN"/>
                    </w:rPr>
                    <w:t>激光</w:t>
                  </w:r>
                  <w:r>
                    <w:rPr>
                      <w:rFonts w:hint="eastAsia" w:cs="Times New Roman"/>
                      <w:color w:val="auto"/>
                      <w:szCs w:val="21"/>
                      <w:lang w:val="en-US" w:eastAsia="zh-CN"/>
                    </w:rPr>
                    <w:t>切割</w:t>
                  </w:r>
                  <w:r>
                    <w:rPr>
                      <w:rFonts w:hint="eastAsia" w:ascii="Times New Roman" w:hAnsi="Times New Roman" w:cs="Times New Roman"/>
                      <w:color w:val="auto"/>
                      <w:szCs w:val="21"/>
                      <w:lang w:val="en-US" w:eastAsia="zh-CN"/>
                    </w:rPr>
                    <w:t>、焊接的废气经</w:t>
                  </w:r>
                  <w:r>
                    <w:rPr>
                      <w:rFonts w:hint="eastAsia" w:cs="Times New Roman"/>
                      <w:color w:val="auto"/>
                      <w:szCs w:val="21"/>
                      <w:lang w:val="en-US" w:eastAsia="zh-CN"/>
                    </w:rPr>
                    <w:t>密闭收集</w:t>
                  </w:r>
                  <w:r>
                    <w:rPr>
                      <w:rFonts w:hint="eastAsia" w:ascii="Times New Roman" w:hAnsi="Times New Roman" w:cs="Times New Roman"/>
                      <w:color w:val="auto"/>
                      <w:szCs w:val="21"/>
                      <w:lang w:val="en-US" w:eastAsia="zh-CN"/>
                    </w:rPr>
                    <w:t>后进入</w:t>
                  </w:r>
                  <w:r>
                    <w:rPr>
                      <w:rFonts w:hint="eastAsia" w:cs="Times New Roman"/>
                      <w:color w:val="auto"/>
                      <w:szCs w:val="21"/>
                      <w:lang w:val="en-US" w:eastAsia="zh-CN"/>
                    </w:rPr>
                    <w:t>袋式</w:t>
                  </w:r>
                  <w:r>
                    <w:rPr>
                      <w:rFonts w:hint="eastAsia" w:ascii="Times New Roman" w:hAnsi="Times New Roman" w:cs="Times New Roman"/>
                      <w:color w:val="auto"/>
                      <w:szCs w:val="21"/>
                      <w:lang w:val="en-US" w:eastAsia="zh-CN"/>
                    </w:rPr>
                    <w:t>除尘器处理后由15米排气筒（DA001）排放；固化</w:t>
                  </w:r>
                  <w:r>
                    <w:rPr>
                      <w:rFonts w:hint="eastAsia" w:cs="Times New Roman"/>
                      <w:color w:val="auto"/>
                      <w:szCs w:val="21"/>
                      <w:lang w:val="en-US" w:eastAsia="zh-CN"/>
                    </w:rPr>
                    <w:t>废气</w:t>
                  </w:r>
                  <w:r>
                    <w:rPr>
                      <w:rFonts w:hint="eastAsia" w:ascii="Times New Roman" w:hAnsi="Times New Roman" w:cs="Times New Roman"/>
                      <w:color w:val="auto"/>
                      <w:szCs w:val="21"/>
                      <w:lang w:val="en-US" w:eastAsia="zh-CN"/>
                    </w:rPr>
                    <w:t>经二级活性炭吸附处理</w:t>
                  </w:r>
                  <w:r>
                    <w:rPr>
                      <w:rFonts w:hint="eastAsia" w:cs="Times New Roman"/>
                      <w:color w:val="auto"/>
                      <w:szCs w:val="21"/>
                      <w:lang w:val="en-US" w:eastAsia="zh-CN"/>
                    </w:rPr>
                    <w:t>，</w:t>
                  </w:r>
                  <w:r>
                    <w:rPr>
                      <w:rFonts w:hint="eastAsia" w:ascii="Times New Roman" w:hAnsi="Times New Roman" w:cs="Times New Roman"/>
                      <w:color w:val="auto"/>
                      <w:szCs w:val="21"/>
                      <w:lang w:val="en-US" w:eastAsia="zh-CN"/>
                    </w:rPr>
                    <w:t>天然气燃烧废气</w:t>
                  </w:r>
                  <w:r>
                    <w:rPr>
                      <w:rFonts w:hint="eastAsia" w:cs="Times New Roman"/>
                      <w:color w:val="auto"/>
                      <w:szCs w:val="21"/>
                      <w:lang w:val="en-US" w:eastAsia="zh-CN"/>
                    </w:rPr>
                    <w:t>经</w:t>
                  </w:r>
                  <w:r>
                    <w:rPr>
                      <w:rFonts w:hint="eastAsia" w:ascii="Times New Roman" w:hAnsi="Times New Roman" w:cs="Times New Roman"/>
                      <w:color w:val="auto"/>
                      <w:szCs w:val="21"/>
                      <w:lang w:val="en-US" w:eastAsia="zh-CN"/>
                    </w:rPr>
                    <w:t>低氮燃烧器处理后</w:t>
                  </w:r>
                  <w:r>
                    <w:rPr>
                      <w:rFonts w:hint="eastAsia" w:cs="Times New Roman"/>
                      <w:color w:val="auto"/>
                      <w:szCs w:val="21"/>
                      <w:lang w:val="en-US" w:eastAsia="zh-CN"/>
                    </w:rPr>
                    <w:t>与固化废气</w:t>
                  </w:r>
                  <w:r>
                    <w:rPr>
                      <w:rFonts w:hint="eastAsia" w:ascii="Times New Roman" w:hAnsi="Times New Roman" w:cs="Times New Roman"/>
                      <w:color w:val="auto"/>
                      <w:szCs w:val="21"/>
                      <w:lang w:val="en-US" w:eastAsia="zh-CN"/>
                    </w:rPr>
                    <w:t>经同一根15米排气筒（DA00</w:t>
                  </w:r>
                  <w:r>
                    <w:rPr>
                      <w:rFonts w:hint="eastAsia" w:cs="Times New Roman"/>
                      <w:color w:val="auto"/>
                      <w:szCs w:val="21"/>
                      <w:lang w:val="en-US" w:eastAsia="zh-CN"/>
                    </w:rPr>
                    <w:t>3</w:t>
                  </w:r>
                  <w:r>
                    <w:rPr>
                      <w:rFonts w:hint="eastAsia" w:ascii="Times New Roman" w:hAnsi="Times New Roman" w:cs="Times New Roman"/>
                      <w:color w:val="auto"/>
                      <w:szCs w:val="21"/>
                      <w:lang w:val="en-US" w:eastAsia="zh-CN"/>
                    </w:rPr>
                    <w:t>）高空排放；喷粉工序在密闭喷粉室内进行静电喷涂，废气收集经</w:t>
                  </w:r>
                  <w:r>
                    <w:rPr>
                      <w:rFonts w:hint="eastAsia" w:cs="Times New Roman"/>
                      <w:color w:val="auto"/>
                      <w:szCs w:val="21"/>
                      <w:lang w:val="en-US" w:eastAsia="zh-CN"/>
                    </w:rPr>
                    <w:t>大旋风除尘器</w:t>
                  </w:r>
                  <w:r>
                    <w:rPr>
                      <w:rFonts w:hint="eastAsia" w:ascii="Times New Roman" w:hAnsi="Times New Roman" w:cs="Times New Roman"/>
                      <w:color w:val="auto"/>
                      <w:szCs w:val="21"/>
                      <w:lang w:val="en-US" w:eastAsia="zh-CN"/>
                    </w:rPr>
                    <w:t>处理后</w:t>
                  </w:r>
                  <w:r>
                    <w:rPr>
                      <w:rFonts w:hint="eastAsia" w:cs="Times New Roman"/>
                      <w:color w:val="auto"/>
                      <w:szCs w:val="21"/>
                      <w:lang w:val="en-US" w:eastAsia="zh-CN"/>
                    </w:rPr>
                    <w:t>部分</w:t>
                  </w:r>
                  <w:r>
                    <w:rPr>
                      <w:rFonts w:hint="eastAsia" w:ascii="Times New Roman" w:hAnsi="Times New Roman" w:cs="Times New Roman"/>
                      <w:color w:val="auto"/>
                      <w:szCs w:val="21"/>
                      <w:lang w:val="en-US" w:eastAsia="zh-CN"/>
                    </w:rPr>
                    <w:t>回用，部分废粉沉淀收集后外售</w:t>
                  </w:r>
                  <w:r>
                    <w:rPr>
                      <w:rFonts w:hint="eastAsia" w:cs="Times New Roman"/>
                      <w:color w:val="auto"/>
                      <w:szCs w:val="21"/>
                      <w:lang w:val="en-US" w:eastAsia="zh-CN"/>
                    </w:rPr>
                    <w:t>，其余经排气筒DA002高空排放</w:t>
                  </w:r>
                  <w:r>
                    <w:rPr>
                      <w:rFonts w:hint="eastAsia" w:ascii="Times New Roman" w:hAnsi="Times New Roman" w:cs="Times New Roman"/>
                      <w:color w:val="auto"/>
                      <w:szCs w:val="21"/>
                      <w:lang w:val="en-US" w:eastAsia="zh-CN"/>
                    </w:rPr>
                    <w:t>。严格落实排污许可相关要求。</w:t>
                  </w:r>
                </w:p>
              </w:tc>
              <w:tc>
                <w:tcPr>
                  <w:tcW w:w="588" w:type="pct"/>
                  <w:tcBorders>
                    <w:tl2br w:val="nil"/>
                    <w:tr2bl w:val="nil"/>
                  </w:tcBorders>
                  <w:noWrap w:val="0"/>
                  <w:vAlign w:val="center"/>
                </w:tcPr>
                <w:p w14:paraId="5DDB13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符合</w:t>
                  </w:r>
                </w:p>
              </w:tc>
            </w:tr>
            <w:tr w14:paraId="3692E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pct"/>
                  <w:vMerge w:val="continue"/>
                  <w:tcBorders>
                    <w:tl2br w:val="nil"/>
                    <w:tr2bl w:val="nil"/>
                  </w:tcBorders>
                  <w:noWrap w:val="0"/>
                  <w:vAlign w:val="center"/>
                </w:tcPr>
                <w:p w14:paraId="3E141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snapToGrid w:val="0"/>
                      <w:color w:val="auto"/>
                      <w:szCs w:val="21"/>
                      <w:lang w:eastAsia="zh-CN"/>
                    </w:rPr>
                  </w:pPr>
                </w:p>
              </w:tc>
              <w:tc>
                <w:tcPr>
                  <w:tcW w:w="2127" w:type="pct"/>
                  <w:tcBorders>
                    <w:tl2br w:val="nil"/>
                    <w:tr2bl w:val="nil"/>
                  </w:tcBorders>
                  <w:noWrap w:val="0"/>
                  <w:vAlign w:val="center"/>
                </w:tcPr>
                <w:p w14:paraId="4CD542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szCs w:val="21"/>
                      <w:highlight w:val="none"/>
                      <w:lang w:val="en-US" w:eastAsia="zh-CN"/>
                    </w:rPr>
                    <w:t>市辖区及开发区新、改、扩建涉及重点行业企业应达到环保绩效A级、绩效引领性水平。</w:t>
                  </w:r>
                </w:p>
              </w:tc>
              <w:tc>
                <w:tcPr>
                  <w:tcW w:w="1546" w:type="pct"/>
                  <w:tcBorders>
                    <w:tl2br w:val="nil"/>
                    <w:tr2bl w:val="nil"/>
                  </w:tcBorders>
                  <w:noWrap w:val="0"/>
                  <w:vAlign w:val="center"/>
                </w:tcPr>
                <w:p w14:paraId="5BC6E4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cs="Times New Roman"/>
                      <w:color w:val="auto"/>
                      <w:lang w:val="en-US" w:eastAsia="zh-CN"/>
                    </w:rPr>
                    <w:t>本项目生产工序涉及喷涂，故需按</w:t>
                  </w:r>
                  <w:r>
                    <w:rPr>
                      <w:rFonts w:hint="eastAsia" w:ascii="Times New Roman" w:hAnsi="Times New Roman" w:cs="Times New Roman"/>
                      <w:color w:val="auto"/>
                      <w:szCs w:val="21"/>
                      <w:lang w:val="en-US" w:eastAsia="zh-CN"/>
                    </w:rPr>
                    <w:t>照环保绩效A级进行建设</w:t>
                  </w:r>
                  <w:r>
                    <w:rPr>
                      <w:rFonts w:hint="eastAsia" w:cs="Times New Roman"/>
                      <w:color w:val="auto"/>
                      <w:szCs w:val="21"/>
                      <w:lang w:val="en-US" w:eastAsia="zh-CN"/>
                    </w:rPr>
                    <w:t>整改并执行相关限值要求</w:t>
                  </w:r>
                  <w:r>
                    <w:rPr>
                      <w:rFonts w:hint="eastAsia" w:ascii="Times New Roman" w:hAnsi="Times New Roman" w:cs="Times New Roman"/>
                      <w:color w:val="auto"/>
                      <w:szCs w:val="21"/>
                      <w:lang w:val="en-US" w:eastAsia="zh-CN"/>
                    </w:rPr>
                    <w:t>。</w:t>
                  </w:r>
                </w:p>
              </w:tc>
              <w:tc>
                <w:tcPr>
                  <w:tcW w:w="588" w:type="pct"/>
                  <w:tcBorders>
                    <w:tl2br w:val="nil"/>
                    <w:tr2bl w:val="nil"/>
                  </w:tcBorders>
                  <w:noWrap w:val="0"/>
                  <w:vAlign w:val="center"/>
                </w:tcPr>
                <w:p w14:paraId="116FBD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符合</w:t>
                  </w:r>
                </w:p>
              </w:tc>
            </w:tr>
            <w:tr w14:paraId="36CEA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pct"/>
                  <w:vMerge w:val="restart"/>
                  <w:tcBorders>
                    <w:tl2br w:val="nil"/>
                    <w:tr2bl w:val="nil"/>
                  </w:tcBorders>
                  <w:shd w:val="clear" w:color="auto" w:fill="auto"/>
                  <w:noWrap w:val="0"/>
                  <w:vAlign w:val="center"/>
                </w:tcPr>
                <w:p w14:paraId="0F6033A0">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《陈仓区大气污染治理专项行动方案（2023—2027年）》</w:t>
                  </w:r>
                </w:p>
              </w:tc>
              <w:tc>
                <w:tcPr>
                  <w:tcW w:w="2127" w:type="pct"/>
                  <w:tcBorders>
                    <w:tl2br w:val="nil"/>
                    <w:tr2bl w:val="nil"/>
                  </w:tcBorders>
                  <w:shd w:val="clear" w:color="auto" w:fill="auto"/>
                  <w:noWrap w:val="0"/>
                  <w:vAlign w:val="center"/>
                </w:tcPr>
                <w:p w14:paraId="5907A7B2">
                  <w:pPr>
                    <w:pStyle w:val="27"/>
                    <w:keepNext w:val="0"/>
                    <w:keepLines w:val="0"/>
                    <w:pageBreakBefore w:val="0"/>
                    <w:shd w:val="clear" w:color="auto" w:fill="FFFFFF"/>
                    <w:kinsoku/>
                    <w:wordWrap/>
                    <w:overflowPunct/>
                    <w:topLinePunct w:val="0"/>
                    <w:bidi w:val="0"/>
                    <w:adjustRightInd w:val="0"/>
                    <w:snapToGrid w:val="0"/>
                    <w:spacing w:before="0" w:beforeAutospacing="0" w:after="0" w:afterAutospacing="0" w:line="3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Levenim MT" w:cs="Times New Roman"/>
                      <w:i w:val="0"/>
                      <w:iCs w:val="0"/>
                      <w:caps w:val="0"/>
                      <w:color w:val="auto"/>
                      <w:spacing w:val="0"/>
                      <w:sz w:val="21"/>
                      <w:szCs w:val="21"/>
                      <w:shd w:val="clear" w:color="auto" w:fill="FFFFFF"/>
                    </w:rPr>
                    <w:t>严格落实国家产业规划、产业政策、“三线一单”、规划环评以及产能置换、煤炭消费减量替代、区域污染物削减等要求，严禁不符合规定的项目建设。</w:t>
                  </w:r>
                </w:p>
              </w:tc>
              <w:tc>
                <w:tcPr>
                  <w:tcW w:w="1546" w:type="pct"/>
                  <w:tcBorders>
                    <w:tl2br w:val="nil"/>
                    <w:tr2bl w:val="nil"/>
                  </w:tcBorders>
                  <w:shd w:val="clear" w:color="auto" w:fill="auto"/>
                  <w:noWrap w:val="0"/>
                  <w:vAlign w:val="center"/>
                </w:tcPr>
                <w:p w14:paraId="340464F1">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项目严格执行《产业结构调整指导目录》，严格落实国家产业规划、产业政策“三线一单”等要求。项目所用能源为电。</w:t>
                  </w:r>
                </w:p>
              </w:tc>
              <w:tc>
                <w:tcPr>
                  <w:tcW w:w="588" w:type="pct"/>
                  <w:tcBorders>
                    <w:tl2br w:val="nil"/>
                    <w:tr2bl w:val="nil"/>
                  </w:tcBorders>
                  <w:shd w:val="clear" w:color="auto" w:fill="auto"/>
                  <w:noWrap w:val="0"/>
                  <w:vAlign w:val="center"/>
                </w:tcPr>
                <w:p w14:paraId="02DB2CE9">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37206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pct"/>
                  <w:vMerge w:val="continue"/>
                  <w:tcBorders>
                    <w:tl2br w:val="nil"/>
                    <w:tr2bl w:val="nil"/>
                  </w:tcBorders>
                  <w:noWrap w:val="0"/>
                  <w:vAlign w:val="center"/>
                </w:tcPr>
                <w:p w14:paraId="7A2D5B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snapToGrid w:val="0"/>
                      <w:color w:val="auto"/>
                      <w:szCs w:val="21"/>
                      <w:lang w:eastAsia="zh-CN"/>
                    </w:rPr>
                  </w:pPr>
                </w:p>
              </w:tc>
              <w:tc>
                <w:tcPr>
                  <w:tcW w:w="2127" w:type="pct"/>
                  <w:tcBorders>
                    <w:tl2br w:val="nil"/>
                    <w:tr2bl w:val="nil"/>
                  </w:tcBorders>
                  <w:shd w:val="clear" w:color="auto" w:fill="auto"/>
                  <w:noWrap w:val="0"/>
                  <w:vAlign w:val="center"/>
                </w:tcPr>
                <w:p w14:paraId="4A1E2B27">
                  <w:pPr>
                    <w:pStyle w:val="27"/>
                    <w:keepNext w:val="0"/>
                    <w:keepLines w:val="0"/>
                    <w:pageBreakBefore w:val="0"/>
                    <w:shd w:val="clear" w:color="auto" w:fill="FFFFFF"/>
                    <w:kinsoku/>
                    <w:wordWrap/>
                    <w:overflowPunct/>
                    <w:topLinePunct w:val="0"/>
                    <w:bidi w:val="0"/>
                    <w:adjustRightInd w:val="0"/>
                    <w:snapToGrid w:val="0"/>
                    <w:spacing w:before="0" w:beforeAutospacing="0" w:after="0" w:afterAutospacing="0" w:line="3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开发区范围内新、改、扩建涉气重点行业企业达到环保绩效A级、绩效引领性水平。</w:t>
                  </w:r>
                </w:p>
              </w:tc>
              <w:tc>
                <w:tcPr>
                  <w:tcW w:w="1546" w:type="pct"/>
                  <w:tcBorders>
                    <w:tl2br w:val="nil"/>
                    <w:tr2bl w:val="nil"/>
                  </w:tcBorders>
                  <w:shd w:val="clear" w:color="auto" w:fill="auto"/>
                  <w:noWrap w:val="0"/>
                  <w:vAlign w:val="center"/>
                </w:tcPr>
                <w:p w14:paraId="06FC92F4">
                  <w:pPr>
                    <w:pStyle w:val="27"/>
                    <w:keepNext w:val="0"/>
                    <w:keepLines w:val="0"/>
                    <w:pageBreakBefore w:val="0"/>
                    <w:shd w:val="clear" w:color="auto" w:fill="FFFFFF"/>
                    <w:kinsoku/>
                    <w:wordWrap/>
                    <w:overflowPunct/>
                    <w:topLinePunct w:val="0"/>
                    <w:bidi w:val="0"/>
                    <w:adjustRightInd w:val="0"/>
                    <w:snapToGrid w:val="0"/>
                    <w:spacing w:before="0" w:beforeAutospacing="0" w:after="0" w:afterAutospacing="0" w:line="34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本项目生产工序涉及喷涂，故需按照环保绩效A级进行建设并执行相关限值要求。</w:t>
                  </w:r>
                </w:p>
              </w:tc>
              <w:tc>
                <w:tcPr>
                  <w:tcW w:w="588" w:type="pct"/>
                  <w:tcBorders>
                    <w:tl2br w:val="nil"/>
                    <w:tr2bl w:val="nil"/>
                  </w:tcBorders>
                  <w:shd w:val="clear" w:color="auto" w:fill="auto"/>
                  <w:noWrap w:val="0"/>
                  <w:vAlign w:val="center"/>
                </w:tcPr>
                <w:p w14:paraId="1A5D57E7">
                  <w:pPr>
                    <w:pStyle w:val="95"/>
                    <w:keepNext w:val="0"/>
                    <w:keepLines w:val="0"/>
                    <w:pageBreakBefore w:val="0"/>
                    <w:widowControl w:val="0"/>
                    <w:kinsoku/>
                    <w:wordWrap/>
                    <w:overflowPunct/>
                    <w:topLinePunct w:val="0"/>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符合</w:t>
                  </w:r>
                </w:p>
              </w:tc>
            </w:tr>
            <w:tr w14:paraId="7DE09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pct"/>
                  <w:vMerge w:val="continue"/>
                  <w:tcBorders>
                    <w:tl2br w:val="nil"/>
                    <w:tr2bl w:val="nil"/>
                  </w:tcBorders>
                  <w:noWrap w:val="0"/>
                  <w:vAlign w:val="center"/>
                </w:tcPr>
                <w:p w14:paraId="26B4BE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snapToGrid w:val="0"/>
                      <w:color w:val="auto"/>
                      <w:szCs w:val="21"/>
                      <w:lang w:eastAsia="zh-CN"/>
                    </w:rPr>
                  </w:pPr>
                </w:p>
              </w:tc>
              <w:tc>
                <w:tcPr>
                  <w:tcW w:w="2127" w:type="pct"/>
                  <w:tcBorders>
                    <w:tl2br w:val="nil"/>
                    <w:tr2bl w:val="nil"/>
                  </w:tcBorders>
                  <w:shd w:val="clear" w:color="auto" w:fill="auto"/>
                  <w:noWrap w:val="0"/>
                  <w:vAlign w:val="center"/>
                </w:tcPr>
                <w:p w14:paraId="4FD7203B">
                  <w:pPr>
                    <w:pStyle w:val="27"/>
                    <w:keepNext w:val="0"/>
                    <w:keepLines w:val="0"/>
                    <w:pageBreakBefore w:val="0"/>
                    <w:shd w:val="clear" w:color="auto" w:fill="FFFFFF"/>
                    <w:kinsoku/>
                    <w:wordWrap/>
                    <w:overflowPunct/>
                    <w:topLinePunct w:val="0"/>
                    <w:bidi w:val="0"/>
                    <w:adjustRightInd w:val="0"/>
                    <w:snapToGrid w:val="0"/>
                    <w:spacing w:before="0" w:beforeAutospacing="0" w:after="0" w:afterAutospacing="0" w:line="34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lang w:eastAsia="zh-CN"/>
                    </w:rPr>
                    <w:t>新建挥发性有机物治理设施不再采用低温等离子、光氧化、光催化等治理技术，非水溶性挥发性有机物废气不再采用喷淋吸收方式处理。2025年完成使用溶剂型涂料、油墨、胶粘剂、清洗剂以及涉及有机化工生产企业的简易低效污染治理设施升级改造。</w:t>
                  </w:r>
                </w:p>
              </w:tc>
              <w:tc>
                <w:tcPr>
                  <w:tcW w:w="1546" w:type="pct"/>
                  <w:tcBorders>
                    <w:tl2br w:val="nil"/>
                    <w:tr2bl w:val="nil"/>
                  </w:tcBorders>
                  <w:shd w:val="clear" w:color="auto" w:fill="auto"/>
                  <w:noWrap w:val="0"/>
                  <w:vAlign w:val="center"/>
                </w:tcPr>
                <w:p w14:paraId="11F4B541">
                  <w:pPr>
                    <w:pStyle w:val="27"/>
                    <w:keepNext w:val="0"/>
                    <w:keepLines w:val="0"/>
                    <w:pageBreakBefore w:val="0"/>
                    <w:shd w:val="clear" w:color="auto" w:fill="FFFFFF"/>
                    <w:kinsoku/>
                    <w:wordWrap/>
                    <w:overflowPunct/>
                    <w:topLinePunct w:val="0"/>
                    <w:bidi w:val="0"/>
                    <w:adjustRightInd w:val="0"/>
                    <w:snapToGrid w:val="0"/>
                    <w:spacing w:before="0" w:beforeAutospacing="0" w:after="0" w:afterAutospacing="0" w:line="34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lang w:val="en-US" w:eastAsia="zh-CN"/>
                    </w:rPr>
                    <w:t>采用的有机废气</w:t>
                  </w:r>
                  <w:r>
                    <w:rPr>
                      <w:rFonts w:hint="default" w:ascii="Times New Roman" w:hAnsi="Times New Roman" w:eastAsia="宋体" w:cs="Times New Roman"/>
                      <w:b w:val="0"/>
                      <w:bCs w:val="0"/>
                      <w:color w:val="auto"/>
                      <w:sz w:val="21"/>
                      <w:szCs w:val="21"/>
                      <w:lang w:val="en-US" w:eastAsia="zh-CN"/>
                    </w:rPr>
                    <w:t>治理技术（二级活性炭吸附）符合《排污许可证申请与核发技术规范 铁路、船舶、航空航天和其他运输设备制造业》（HJ1124-2020）</w:t>
                  </w:r>
                  <w:r>
                    <w:rPr>
                      <w:rFonts w:hint="default" w:ascii="Times New Roman" w:hAnsi="Times New Roman" w:eastAsia="宋体" w:cs="Times New Roman"/>
                      <w:color w:val="auto"/>
                      <w:sz w:val="21"/>
                      <w:szCs w:val="21"/>
                      <w:lang w:val="en-US" w:eastAsia="zh-CN"/>
                    </w:rPr>
                    <w:t>废气处理可行性技术要求，</w:t>
                  </w:r>
                  <w:r>
                    <w:rPr>
                      <w:rFonts w:hint="default" w:ascii="Times New Roman" w:hAnsi="Times New Roman" w:eastAsia="宋体" w:cs="Times New Roman"/>
                      <w:b w:val="0"/>
                      <w:bCs w:val="0"/>
                      <w:color w:val="auto"/>
                      <w:sz w:val="21"/>
                      <w:szCs w:val="21"/>
                      <w:lang w:val="en-US" w:eastAsia="zh-CN"/>
                    </w:rPr>
                    <w:t>不属于</w:t>
                  </w:r>
                  <w:r>
                    <w:rPr>
                      <w:rFonts w:hint="default" w:ascii="Times New Roman" w:hAnsi="Times New Roman" w:eastAsia="宋体" w:cs="Times New Roman"/>
                      <w:b w:val="0"/>
                      <w:bCs w:val="0"/>
                      <w:color w:val="auto"/>
                      <w:sz w:val="21"/>
                      <w:szCs w:val="21"/>
                      <w:lang w:eastAsia="zh-CN"/>
                    </w:rPr>
                    <w:t>简易低效污染治理设施。</w:t>
                  </w:r>
                </w:p>
              </w:tc>
              <w:tc>
                <w:tcPr>
                  <w:tcW w:w="588" w:type="pct"/>
                  <w:tcBorders>
                    <w:tl2br w:val="nil"/>
                    <w:tr2bl w:val="nil"/>
                  </w:tcBorders>
                  <w:shd w:val="clear" w:color="auto" w:fill="auto"/>
                  <w:noWrap w:val="0"/>
                  <w:vAlign w:val="center"/>
                </w:tcPr>
                <w:p w14:paraId="07A7A10E">
                  <w:pPr>
                    <w:pStyle w:val="95"/>
                    <w:keepNext w:val="0"/>
                    <w:keepLines w:val="0"/>
                    <w:pageBreakBefore w:val="0"/>
                    <w:widowControl w:val="0"/>
                    <w:kinsoku/>
                    <w:wordWrap/>
                    <w:overflowPunct/>
                    <w:topLinePunct w:val="0"/>
                    <w:bidi w:val="0"/>
                    <w:adjustRightInd w:val="0"/>
                    <w:snapToGrid w:val="0"/>
                    <w:spacing w:beforeAutospacing="0" w:afterAutospacing="0" w:line="340" w:lineRule="exact"/>
                    <w:ind w:left="0" w:left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符合</w:t>
                  </w:r>
                </w:p>
              </w:tc>
            </w:tr>
            <w:tr w14:paraId="0B6BE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pct"/>
                  <w:vMerge w:val="restart"/>
                  <w:tcBorders>
                    <w:tl2br w:val="nil"/>
                    <w:tr2bl w:val="nil"/>
                  </w:tcBorders>
                  <w:noWrap w:val="0"/>
                  <w:vAlign w:val="center"/>
                </w:tcPr>
                <w:p w14:paraId="6209E3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snapToGrid w:val="0"/>
                      <w:color w:val="auto"/>
                      <w:szCs w:val="21"/>
                      <w:lang w:eastAsia="zh-CN"/>
                    </w:rPr>
                  </w:pPr>
                  <w:r>
                    <w:rPr>
                      <w:rFonts w:hint="eastAsia" w:cs="Times New Roman"/>
                      <w:snapToGrid w:val="0"/>
                      <w:color w:val="auto"/>
                      <w:szCs w:val="21"/>
                      <w:lang w:eastAsia="zh-CN"/>
                    </w:rPr>
                    <w:t>《</w:t>
                  </w:r>
                  <w:r>
                    <w:rPr>
                      <w:rFonts w:hint="eastAsia" w:cs="Times New Roman"/>
                      <w:snapToGrid w:val="0"/>
                      <w:color w:val="auto"/>
                      <w:szCs w:val="21"/>
                      <w:lang w:val="en-US" w:eastAsia="zh-CN"/>
                    </w:rPr>
                    <w:t>宝鸡市大气污染治理专项行动2026年工作方案</w:t>
                  </w:r>
                  <w:r>
                    <w:rPr>
                      <w:rFonts w:hint="eastAsia" w:cs="Times New Roman"/>
                      <w:snapToGrid w:val="0"/>
                      <w:color w:val="auto"/>
                      <w:szCs w:val="21"/>
                      <w:lang w:eastAsia="zh-CN"/>
                    </w:rPr>
                    <w:t>》（</w:t>
                  </w:r>
                  <w:r>
                    <w:rPr>
                      <w:rFonts w:hint="eastAsia" w:cs="Times New Roman"/>
                      <w:snapToGrid w:val="0"/>
                      <w:color w:val="auto"/>
                      <w:szCs w:val="21"/>
                      <w:lang w:val="en-US" w:eastAsia="zh-CN"/>
                    </w:rPr>
                    <w:t>宝气专办发〔2026〕3号</w:t>
                  </w:r>
                  <w:r>
                    <w:rPr>
                      <w:rFonts w:hint="eastAsia" w:cs="Times New Roman"/>
                      <w:snapToGrid w:val="0"/>
                      <w:color w:val="auto"/>
                      <w:szCs w:val="21"/>
                      <w:lang w:eastAsia="zh-CN"/>
                    </w:rPr>
                    <w:t>）</w:t>
                  </w:r>
                </w:p>
              </w:tc>
              <w:tc>
                <w:tcPr>
                  <w:tcW w:w="2127" w:type="pct"/>
                  <w:tcBorders>
                    <w:tl2br w:val="nil"/>
                    <w:tr2bl w:val="nil"/>
                  </w:tcBorders>
                  <w:shd w:val="clear" w:color="auto" w:fill="auto"/>
                  <w:noWrap w:val="0"/>
                  <w:vAlign w:val="center"/>
                </w:tcPr>
                <w:p w14:paraId="17268293">
                  <w:pPr>
                    <w:pStyle w:val="27"/>
                    <w:keepNext w:val="0"/>
                    <w:keepLines w:val="0"/>
                    <w:pageBreakBefore w:val="0"/>
                    <w:shd w:val="clear" w:color="auto" w:fill="FFFFFF"/>
                    <w:kinsoku/>
                    <w:wordWrap/>
                    <w:overflowPunct/>
                    <w:topLinePunct w:val="0"/>
                    <w:bidi w:val="0"/>
                    <w:adjustRightInd w:val="0"/>
                    <w:snapToGrid w:val="0"/>
                    <w:spacing w:before="0" w:beforeAutospacing="0" w:after="0" w:afterAutospacing="0" w:line="34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9.提升污染天气应对能力。</w:t>
                  </w:r>
                  <w:r>
                    <w:rPr>
                      <w:rFonts w:hint="eastAsia" w:ascii="Times New Roman" w:hAnsi="Times New Roman" w:eastAsia="宋体" w:cs="Times New Roman"/>
                      <w:b w:val="0"/>
                      <w:bCs w:val="0"/>
                      <w:color w:val="auto"/>
                      <w:sz w:val="21"/>
                      <w:szCs w:val="21"/>
                      <w:lang w:val="en-US" w:eastAsia="zh-CN"/>
                    </w:rPr>
                    <w:t>科学精准应对重污染天气，确保减排措施落实成效，深入开展“创A升B减C清D”活动，完成省级下达的B</w:t>
                  </w:r>
                  <w:r>
                    <w:rPr>
                      <w:rFonts w:hint="eastAsia" w:ascii="Times New Roman" w:hAnsi="Times New Roman" w:cs="Times New Roman"/>
                      <w:b w:val="0"/>
                      <w:bCs w:val="0"/>
                      <w:color w:val="auto"/>
                      <w:sz w:val="21"/>
                      <w:szCs w:val="21"/>
                      <w:lang w:val="en-US" w:eastAsia="zh-CN"/>
                    </w:rPr>
                    <w:t>级及以上和引领性企业创建任务。推进水泥、石化、砖瓦窑、陶瓷、工业涂装等重点行业企业环保绩效创A升B工作。淘汰退出未完成改造的涉气高耗能行业企业、依法依规处置评定为环保绩效最低等水平的涉气企业。</w:t>
                  </w:r>
                </w:p>
              </w:tc>
              <w:tc>
                <w:tcPr>
                  <w:tcW w:w="1546" w:type="pct"/>
                  <w:tcBorders>
                    <w:tl2br w:val="nil"/>
                    <w:tr2bl w:val="nil"/>
                  </w:tcBorders>
                  <w:shd w:val="clear" w:color="auto" w:fill="auto"/>
                  <w:noWrap w:val="0"/>
                  <w:vAlign w:val="center"/>
                </w:tcPr>
                <w:p w14:paraId="413AD4FC">
                  <w:pPr>
                    <w:pStyle w:val="27"/>
                    <w:keepNext w:val="0"/>
                    <w:keepLines w:val="0"/>
                    <w:pageBreakBefore w:val="0"/>
                    <w:shd w:val="clear" w:color="auto" w:fill="FFFFFF"/>
                    <w:kinsoku/>
                    <w:wordWrap/>
                    <w:overflowPunct/>
                    <w:topLinePunct w:val="0"/>
                    <w:bidi w:val="0"/>
                    <w:adjustRightInd w:val="0"/>
                    <w:snapToGrid w:val="0"/>
                    <w:spacing w:before="0" w:beforeAutospacing="0" w:after="0" w:afterAutospacing="0" w:line="34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本项目生产工序涉及工业涂装，需严格按照环保绩效A级进行建设和整改已建成部分。</w:t>
                  </w:r>
                </w:p>
              </w:tc>
              <w:tc>
                <w:tcPr>
                  <w:tcW w:w="588" w:type="pct"/>
                  <w:tcBorders>
                    <w:tl2br w:val="nil"/>
                    <w:tr2bl w:val="nil"/>
                  </w:tcBorders>
                  <w:shd w:val="clear" w:color="auto" w:fill="auto"/>
                  <w:noWrap w:val="0"/>
                  <w:vAlign w:val="center"/>
                </w:tcPr>
                <w:p w14:paraId="5D961EBC">
                  <w:pPr>
                    <w:pStyle w:val="95"/>
                    <w:keepNext w:val="0"/>
                    <w:keepLines w:val="0"/>
                    <w:pageBreakBefore w:val="0"/>
                    <w:widowControl w:val="0"/>
                    <w:kinsoku/>
                    <w:wordWrap/>
                    <w:overflowPunct/>
                    <w:topLinePunct w:val="0"/>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14:paraId="018F0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pct"/>
                  <w:vMerge w:val="continue"/>
                  <w:tcBorders>
                    <w:tl2br w:val="nil"/>
                    <w:tr2bl w:val="nil"/>
                  </w:tcBorders>
                  <w:noWrap w:val="0"/>
                  <w:vAlign w:val="center"/>
                </w:tcPr>
                <w:p w14:paraId="311C0E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napToGrid w:val="0"/>
                      <w:color w:val="auto"/>
                      <w:szCs w:val="21"/>
                      <w:lang w:eastAsia="zh-CN"/>
                    </w:rPr>
                  </w:pPr>
                </w:p>
              </w:tc>
              <w:tc>
                <w:tcPr>
                  <w:tcW w:w="2127" w:type="pct"/>
                  <w:tcBorders>
                    <w:tl2br w:val="nil"/>
                    <w:tr2bl w:val="nil"/>
                  </w:tcBorders>
                  <w:shd w:val="clear" w:color="auto" w:fill="auto"/>
                  <w:noWrap w:val="0"/>
                  <w:vAlign w:val="center"/>
                </w:tcPr>
                <w:p w14:paraId="14384DBE">
                  <w:pPr>
                    <w:pStyle w:val="27"/>
                    <w:keepNext w:val="0"/>
                    <w:keepLines w:val="0"/>
                    <w:pageBreakBefore w:val="0"/>
                    <w:shd w:val="clear" w:color="auto" w:fill="FFFFFF"/>
                    <w:kinsoku/>
                    <w:wordWrap/>
                    <w:overflowPunct/>
                    <w:topLinePunct w:val="0"/>
                    <w:bidi w:val="0"/>
                    <w:adjustRightInd w:val="0"/>
                    <w:snapToGrid w:val="0"/>
                    <w:spacing w:before="0" w:beforeAutospacing="0" w:after="0" w:afterAutospacing="0" w:line="34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11.推动声环境质量持续改善。深化噪声污染综合整治，加大噪声违法行为处罚力度，解决噪声投诉重点问题，推动宁静小区建设，全市声环境功能区夜间达标率稳定在85%以上。</w:t>
                  </w:r>
                </w:p>
              </w:tc>
              <w:tc>
                <w:tcPr>
                  <w:tcW w:w="1546" w:type="pct"/>
                  <w:tcBorders>
                    <w:tl2br w:val="nil"/>
                    <w:tr2bl w:val="nil"/>
                  </w:tcBorders>
                  <w:shd w:val="clear" w:color="auto" w:fill="auto"/>
                  <w:noWrap w:val="0"/>
                  <w:vAlign w:val="center"/>
                </w:tcPr>
                <w:p w14:paraId="40B20339">
                  <w:pPr>
                    <w:pStyle w:val="27"/>
                    <w:keepNext w:val="0"/>
                    <w:keepLines w:val="0"/>
                    <w:pageBreakBefore w:val="0"/>
                    <w:shd w:val="clear" w:color="auto" w:fill="FFFFFF"/>
                    <w:kinsoku/>
                    <w:wordWrap/>
                    <w:overflowPunct/>
                    <w:topLinePunct w:val="0"/>
                    <w:bidi w:val="0"/>
                    <w:adjustRightInd w:val="0"/>
                    <w:snapToGrid w:val="0"/>
                    <w:spacing w:before="0" w:beforeAutospacing="0" w:after="0" w:afterAutospacing="0" w:line="340" w:lineRule="exact"/>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本项目通过合理布局设备设施，将大噪声设备布设远离北侧居民区，且夜间不生产，可有效降低项目生产噪声对周边居民的影响。</w:t>
                  </w:r>
                </w:p>
              </w:tc>
              <w:tc>
                <w:tcPr>
                  <w:tcW w:w="588" w:type="pct"/>
                  <w:tcBorders>
                    <w:tl2br w:val="nil"/>
                    <w:tr2bl w:val="nil"/>
                  </w:tcBorders>
                  <w:shd w:val="clear" w:color="auto" w:fill="auto"/>
                  <w:noWrap w:val="0"/>
                  <w:vAlign w:val="center"/>
                </w:tcPr>
                <w:p w14:paraId="63BE0278">
                  <w:pPr>
                    <w:pStyle w:val="95"/>
                    <w:keepNext w:val="0"/>
                    <w:keepLines w:val="0"/>
                    <w:pageBreakBefore w:val="0"/>
                    <w:widowControl w:val="0"/>
                    <w:kinsoku/>
                    <w:wordWrap/>
                    <w:overflowPunct/>
                    <w:topLinePunct w:val="0"/>
                    <w:bidi w:val="0"/>
                    <w:adjustRightInd w:val="0"/>
                    <w:snapToGrid w:val="0"/>
                    <w:spacing w:beforeAutospacing="0" w:afterAutospacing="0" w:line="340" w:lineRule="exact"/>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14:paraId="212E9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pct"/>
                  <w:tcBorders>
                    <w:tl2br w:val="nil"/>
                    <w:tr2bl w:val="nil"/>
                  </w:tcBorders>
                  <w:noWrap w:val="0"/>
                  <w:vAlign w:val="center"/>
                </w:tcPr>
                <w:p w14:paraId="12F4A2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Cs w:val="21"/>
                      <w:lang w:val="en-US" w:eastAsia="zh-CN"/>
                    </w:rPr>
                  </w:pPr>
                  <w:r>
                    <w:rPr>
                      <w:rFonts w:hint="eastAsia" w:ascii="Times New Roman" w:hAnsi="Times New Roman" w:cs="Times New Roman"/>
                      <w:snapToGrid w:val="0"/>
                      <w:color w:val="auto"/>
                      <w:szCs w:val="21"/>
                      <w:lang w:val="en-US" w:eastAsia="zh-CN"/>
                    </w:rPr>
                    <w:t>关于印发《2020年挥发性有机物治理攻坚方案》的通知 （环大气</w:t>
                  </w:r>
                  <w:r>
                    <w:rPr>
                      <w:rFonts w:hint="eastAsia" w:cs="Times New Roman"/>
                      <w:snapToGrid w:val="0"/>
                      <w:color w:val="auto"/>
                      <w:szCs w:val="21"/>
                      <w:lang w:val="en-US" w:eastAsia="zh-CN"/>
                    </w:rPr>
                    <w:t>〔2020〕33号</w:t>
                  </w:r>
                  <w:r>
                    <w:rPr>
                      <w:rFonts w:hint="eastAsia" w:ascii="Times New Roman" w:hAnsi="Times New Roman" w:cs="Times New Roman"/>
                      <w:snapToGrid w:val="0"/>
                      <w:color w:val="auto"/>
                      <w:szCs w:val="21"/>
                      <w:lang w:val="en-US" w:eastAsia="zh-CN"/>
                    </w:rPr>
                    <w:t>）</w:t>
                  </w:r>
                </w:p>
              </w:tc>
              <w:tc>
                <w:tcPr>
                  <w:tcW w:w="2127" w:type="pct"/>
                  <w:tcBorders>
                    <w:tl2br w:val="nil"/>
                    <w:tr2bl w:val="nil"/>
                  </w:tcBorders>
                  <w:noWrap w:val="0"/>
                  <w:vAlign w:val="center"/>
                </w:tcPr>
                <w:p w14:paraId="4672C8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大力推进低（无）VOC</w:t>
                  </w:r>
                  <w:r>
                    <w:rPr>
                      <w:rFonts w:hint="eastAsia" w:ascii="Times New Roman" w:hAnsi="Times New Roman" w:cs="Times New Roman"/>
                      <w:color w:val="auto"/>
                      <w:vertAlign w:val="subscript"/>
                      <w:lang w:val="en-US" w:eastAsia="zh-CN"/>
                    </w:rPr>
                    <w:t>S</w:t>
                  </w:r>
                  <w:r>
                    <w:rPr>
                      <w:rFonts w:hint="eastAsia" w:ascii="Times New Roman" w:hAnsi="Times New Roman" w:cs="Times New Roman"/>
                      <w:color w:val="auto"/>
                      <w:lang w:val="en-US" w:eastAsia="zh-CN"/>
                    </w:rPr>
                    <w:t>含量原辅材料替代。采用符合国家有关低VOC</w:t>
                  </w:r>
                  <w:r>
                    <w:rPr>
                      <w:rFonts w:hint="eastAsia" w:ascii="Times New Roman" w:hAnsi="Times New Roman" w:cs="Times New Roman"/>
                      <w:color w:val="auto"/>
                      <w:vertAlign w:val="subscript"/>
                      <w:lang w:val="en-US" w:eastAsia="zh-CN"/>
                    </w:rPr>
                    <w:t>S</w:t>
                  </w:r>
                  <w:r>
                    <w:rPr>
                      <w:rFonts w:hint="eastAsia" w:ascii="Times New Roman" w:hAnsi="Times New Roman" w:cs="Times New Roman"/>
                      <w:color w:val="auto"/>
                      <w:lang w:val="en-US" w:eastAsia="zh-CN"/>
                    </w:rPr>
                    <w:t>含量产品规定的涂料、油墨、胶黏剂等，排放浓度稳定达标且排放速率满足相关规定的，相应生产工序可不要求建设末端治理设施；使用的原辅材料VOCS含量（质量比）均低于10%的工序，可不要求采取无组织排放收集和处理措施。</w:t>
                  </w:r>
                </w:p>
              </w:tc>
              <w:tc>
                <w:tcPr>
                  <w:tcW w:w="1546" w:type="pct"/>
                  <w:tcBorders>
                    <w:tl2br w:val="nil"/>
                    <w:tr2bl w:val="nil"/>
                  </w:tcBorders>
                  <w:noWrap w:val="0"/>
                  <w:vAlign w:val="center"/>
                </w:tcPr>
                <w:p w14:paraId="18E016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本项目使用的涂料为水性粉末涂料，</w:t>
                  </w:r>
                  <w:r>
                    <w:rPr>
                      <w:rFonts w:hint="eastAsia" w:cs="Times New Roman"/>
                      <w:color w:val="auto"/>
                      <w:szCs w:val="21"/>
                      <w:lang w:val="en-US" w:eastAsia="zh-CN"/>
                    </w:rPr>
                    <w:t>为低</w:t>
                  </w:r>
                  <w:r>
                    <w:rPr>
                      <w:rFonts w:hint="eastAsia" w:ascii="Times New Roman" w:hAnsi="Times New Roman" w:cs="Times New Roman"/>
                      <w:color w:val="auto"/>
                      <w:szCs w:val="21"/>
                      <w:lang w:val="en-US" w:eastAsia="zh-CN"/>
                    </w:rPr>
                    <w:t>VOC</w:t>
                  </w:r>
                  <w:r>
                    <w:rPr>
                      <w:rFonts w:hint="eastAsia" w:ascii="Times New Roman" w:hAnsi="Times New Roman" w:cs="Times New Roman"/>
                      <w:color w:val="auto"/>
                      <w:szCs w:val="21"/>
                      <w:vertAlign w:val="subscript"/>
                      <w:lang w:val="en-US" w:eastAsia="zh-CN"/>
                    </w:rPr>
                    <w:t>S</w:t>
                  </w:r>
                  <w:r>
                    <w:rPr>
                      <w:rFonts w:hint="eastAsia" w:ascii="Times New Roman" w:hAnsi="Times New Roman" w:eastAsia="宋体" w:cs="Times New Roman"/>
                      <w:color w:val="auto"/>
                      <w:szCs w:val="21"/>
                      <w:lang w:val="en-US" w:eastAsia="zh-CN"/>
                    </w:rPr>
                    <w:t>涂料，</w:t>
                  </w:r>
                  <w:r>
                    <w:rPr>
                      <w:rFonts w:hint="eastAsia" w:ascii="Times New Roman" w:hAnsi="Times New Roman" w:cs="Times New Roman"/>
                      <w:color w:val="auto"/>
                      <w:szCs w:val="21"/>
                      <w:lang w:val="en-US" w:eastAsia="zh-CN"/>
                    </w:rPr>
                    <w:t>符合相关要求</w:t>
                  </w:r>
                  <w:r>
                    <w:rPr>
                      <w:rFonts w:hint="eastAsia" w:cs="Times New Roman"/>
                      <w:color w:val="auto"/>
                      <w:szCs w:val="21"/>
                      <w:lang w:val="en-US" w:eastAsia="zh-CN"/>
                    </w:rPr>
                    <w:t>。</w:t>
                  </w:r>
                  <w:r>
                    <w:rPr>
                      <w:rFonts w:hint="eastAsia" w:ascii="Times New Roman" w:hAnsi="Times New Roman" w:cs="Times New Roman"/>
                      <w:color w:val="auto"/>
                      <w:szCs w:val="21"/>
                      <w:lang w:val="en-US" w:eastAsia="zh-CN"/>
                    </w:rPr>
                    <w:t>有机废气</w:t>
                  </w:r>
                  <w:r>
                    <w:rPr>
                      <w:rFonts w:hint="eastAsia" w:cs="Times New Roman"/>
                      <w:color w:val="auto"/>
                      <w:szCs w:val="21"/>
                      <w:lang w:val="en-US" w:eastAsia="zh-CN"/>
                    </w:rPr>
                    <w:t>经</w:t>
                  </w:r>
                  <w:r>
                    <w:rPr>
                      <w:rFonts w:hint="eastAsia" w:ascii="Times New Roman" w:hAnsi="Times New Roman" w:cs="Times New Roman"/>
                      <w:color w:val="auto"/>
                      <w:szCs w:val="21"/>
                      <w:lang w:val="en-US" w:eastAsia="zh-CN"/>
                    </w:rPr>
                    <w:t>收集后经</w:t>
                  </w:r>
                  <w:r>
                    <w:rPr>
                      <w:rFonts w:hint="eastAsia" w:cs="Times New Roman"/>
                      <w:color w:val="auto"/>
                      <w:szCs w:val="21"/>
                      <w:lang w:val="en-US" w:eastAsia="zh-CN"/>
                    </w:rPr>
                    <w:t>二级</w:t>
                  </w:r>
                  <w:r>
                    <w:rPr>
                      <w:rFonts w:hint="eastAsia" w:ascii="Times New Roman" w:hAnsi="Times New Roman" w:cs="Times New Roman"/>
                      <w:color w:val="auto"/>
                      <w:szCs w:val="21"/>
                      <w:lang w:val="en-US" w:eastAsia="zh-CN"/>
                    </w:rPr>
                    <w:t>活性炭吸附处理后由15米排气筒高空排放。</w:t>
                  </w:r>
                </w:p>
              </w:tc>
              <w:tc>
                <w:tcPr>
                  <w:tcW w:w="588" w:type="pct"/>
                  <w:tcBorders>
                    <w:tl2br w:val="nil"/>
                    <w:tr2bl w:val="nil"/>
                  </w:tcBorders>
                  <w:noWrap w:val="0"/>
                  <w:vAlign w:val="center"/>
                </w:tcPr>
                <w:p w14:paraId="652898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符合</w:t>
                  </w:r>
                </w:p>
              </w:tc>
            </w:tr>
            <w:tr w14:paraId="19B04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8" w:type="pct"/>
                  <w:vMerge w:val="restart"/>
                  <w:tcBorders>
                    <w:tl2br w:val="nil"/>
                    <w:tr2bl w:val="nil"/>
                  </w:tcBorders>
                  <w:noWrap w:val="0"/>
                  <w:vAlign w:val="center"/>
                </w:tcPr>
                <w:p w14:paraId="0581B7E2">
                  <w:pPr>
                    <w:widowControl/>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工业炉窑大气污染综合治理方案》环大气</w:t>
                  </w:r>
                  <w:r>
                    <w:rPr>
                      <w:rFonts w:hint="eastAsia" w:cs="Times New Roman"/>
                      <w:color w:val="auto"/>
                      <w:sz w:val="21"/>
                      <w:szCs w:val="21"/>
                      <w:highlight w:val="none"/>
                      <w:lang w:val="en-US" w:eastAsia="zh-CN"/>
                    </w:rPr>
                    <w:t>〔2019〕56号</w:t>
                  </w:r>
                </w:p>
                <w:p w14:paraId="157DF1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snapToGrid w:val="0"/>
                      <w:color w:val="auto"/>
                      <w:szCs w:val="21"/>
                      <w:lang w:val="en-US" w:eastAsia="zh-CN"/>
                    </w:rPr>
                  </w:pPr>
                </w:p>
              </w:tc>
              <w:tc>
                <w:tcPr>
                  <w:tcW w:w="2127" w:type="pct"/>
                  <w:tcBorders>
                    <w:tl2br w:val="nil"/>
                    <w:tr2bl w:val="nil"/>
                  </w:tcBorders>
                  <w:noWrap w:val="0"/>
                  <w:vAlign w:val="center"/>
                </w:tcPr>
                <w:p w14:paraId="5A33CB04">
                  <w:pPr>
                    <w:adjustRightInd w:val="0"/>
                    <w:snapToGrid w:val="0"/>
                    <w:jc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加快燃料清洁低碳化替代。对以煤、渣油、重油等为燃料的工业炉窑，加快使用清洁低碳能源以及利用工厂余热、电厂热力等进行替代。</w:t>
                  </w:r>
                </w:p>
              </w:tc>
              <w:tc>
                <w:tcPr>
                  <w:tcW w:w="1546" w:type="pct"/>
                  <w:tcBorders>
                    <w:tl2br w:val="nil"/>
                    <w:tr2bl w:val="nil"/>
                  </w:tcBorders>
                  <w:noWrap w:val="0"/>
                  <w:vAlign w:val="center"/>
                </w:tcPr>
                <w:p w14:paraId="4F0A7E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本项目烘干、固化工序采用天然气为燃料，属于清洁能源，符合相关要求。</w:t>
                  </w:r>
                </w:p>
              </w:tc>
              <w:tc>
                <w:tcPr>
                  <w:tcW w:w="588" w:type="pct"/>
                  <w:tcBorders>
                    <w:tl2br w:val="nil"/>
                    <w:tr2bl w:val="nil"/>
                  </w:tcBorders>
                  <w:noWrap w:val="0"/>
                  <w:vAlign w:val="center"/>
                </w:tcPr>
                <w:p w14:paraId="6FB4FC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符合</w:t>
                  </w:r>
                </w:p>
              </w:tc>
            </w:tr>
            <w:tr w14:paraId="3D4BD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8" w:type="pct"/>
                  <w:vMerge w:val="continue"/>
                  <w:tcBorders>
                    <w:tl2br w:val="nil"/>
                    <w:tr2bl w:val="nil"/>
                  </w:tcBorders>
                  <w:noWrap w:val="0"/>
                  <w:vAlign w:val="center"/>
                </w:tcPr>
                <w:p w14:paraId="4D17EE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snapToGrid w:val="0"/>
                      <w:color w:val="auto"/>
                      <w:szCs w:val="21"/>
                      <w:lang w:val="en-US" w:eastAsia="zh-CN"/>
                    </w:rPr>
                  </w:pPr>
                </w:p>
              </w:tc>
              <w:tc>
                <w:tcPr>
                  <w:tcW w:w="2127" w:type="pct"/>
                  <w:tcBorders>
                    <w:tl2br w:val="nil"/>
                    <w:tr2bl w:val="nil"/>
                  </w:tcBorders>
                  <w:noWrap w:val="0"/>
                  <w:vAlign w:val="center"/>
                </w:tcPr>
                <w:p w14:paraId="216127F3">
                  <w:pPr>
                    <w:adjustRightInd w:val="0"/>
                    <w:snapToGrid w:val="0"/>
                    <w:jc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加强排污许可证管理。按照排污许可管理名录规定按期完成涉工业炉窑行业排污许可证核发。</w:t>
                  </w:r>
                </w:p>
              </w:tc>
              <w:tc>
                <w:tcPr>
                  <w:tcW w:w="1546" w:type="pct"/>
                  <w:tcBorders>
                    <w:tl2br w:val="nil"/>
                    <w:tr2bl w:val="nil"/>
                  </w:tcBorders>
                  <w:noWrap w:val="0"/>
                  <w:vAlign w:val="center"/>
                </w:tcPr>
                <w:p w14:paraId="19D8D5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Cs w:val="21"/>
                      <w:lang w:val="en-US" w:eastAsia="zh-CN"/>
                    </w:rPr>
                  </w:pPr>
                  <w:r>
                    <w:rPr>
                      <w:rFonts w:hint="eastAsia" w:ascii="Times New Roman" w:hAnsi="Times New Roman" w:eastAsia="宋体" w:cs="Times New Roman"/>
                      <w:color w:val="auto"/>
                      <w:szCs w:val="21"/>
                      <w:highlight w:val="none"/>
                      <w:lang w:val="en-US" w:eastAsia="zh-CN"/>
                    </w:rPr>
                    <w:t>要求</w:t>
                  </w:r>
                  <w:r>
                    <w:rPr>
                      <w:rFonts w:hint="default" w:ascii="Times New Roman" w:hAnsi="Times New Roman" w:eastAsia="宋体" w:cs="Times New Roman"/>
                      <w:color w:val="auto"/>
                      <w:szCs w:val="21"/>
                      <w:highlight w:val="none"/>
                      <w:lang w:val="en-US" w:eastAsia="zh-CN"/>
                    </w:rPr>
                    <w:t>建设单位在项目批准后按时申报排污许可证。</w:t>
                  </w:r>
                </w:p>
              </w:tc>
              <w:tc>
                <w:tcPr>
                  <w:tcW w:w="588" w:type="pct"/>
                  <w:tcBorders>
                    <w:tl2br w:val="nil"/>
                    <w:tr2bl w:val="nil"/>
                  </w:tcBorders>
                  <w:noWrap w:val="0"/>
                  <w:vAlign w:val="center"/>
                </w:tcPr>
                <w:p w14:paraId="1BD573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符合</w:t>
                  </w:r>
                </w:p>
              </w:tc>
            </w:tr>
            <w:tr w14:paraId="64434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8" w:type="pct"/>
                  <w:vMerge w:val="restart"/>
                  <w:tcBorders>
                    <w:tl2br w:val="nil"/>
                    <w:tr2bl w:val="nil"/>
                  </w:tcBorders>
                  <w:noWrap w:val="0"/>
                  <w:vAlign w:val="center"/>
                </w:tcPr>
                <w:p w14:paraId="12D82C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eastAsia="zh-CN"/>
                    </w:rPr>
                    <w:t>《环境噪声与振动控制工程技术导则》</w:t>
                  </w:r>
                </w:p>
              </w:tc>
              <w:tc>
                <w:tcPr>
                  <w:tcW w:w="2127" w:type="pct"/>
                  <w:tcBorders>
                    <w:tl2br w:val="nil"/>
                    <w:tr2bl w:val="nil"/>
                  </w:tcBorders>
                  <w:noWrap w:val="0"/>
                  <w:vAlign w:val="center"/>
                </w:tcPr>
                <w:p w14:paraId="3EEB60B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eastAsia="zh-CN"/>
                    </w:rPr>
                    <w:t>风机和空调机组与风管的隔振连接，宜采用防火帆布接头或弹性橡胶软管；并采用弹性支架进行隔振安装。</w:t>
                  </w:r>
                </w:p>
              </w:tc>
              <w:tc>
                <w:tcPr>
                  <w:tcW w:w="1546" w:type="pct"/>
                  <w:tcBorders>
                    <w:tl2br w:val="nil"/>
                    <w:tr2bl w:val="nil"/>
                  </w:tcBorders>
                  <w:noWrap w:val="0"/>
                  <w:vAlign w:val="center"/>
                </w:tcPr>
                <w:p w14:paraId="763083B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eastAsia="zh-CN"/>
                    </w:rPr>
                    <w:t>本项目设</w:t>
                  </w:r>
                  <w:r>
                    <w:rPr>
                      <w:rFonts w:hint="default" w:ascii="Times New Roman" w:hAnsi="Times New Roman" w:eastAsia="宋体" w:cs="Times New Roman"/>
                      <w:color w:val="auto"/>
                      <w:lang w:val="en-US" w:eastAsia="zh-CN"/>
                    </w:rPr>
                    <w:t>备</w:t>
                  </w:r>
                  <w:r>
                    <w:rPr>
                      <w:rFonts w:hint="default" w:ascii="Times New Roman" w:hAnsi="Times New Roman" w:eastAsia="宋体" w:cs="Times New Roman"/>
                      <w:color w:val="auto"/>
                      <w:lang w:eastAsia="zh-CN"/>
                    </w:rPr>
                    <w:t>接口处均采用橡胶管和软接头连接。</w:t>
                  </w:r>
                </w:p>
              </w:tc>
              <w:tc>
                <w:tcPr>
                  <w:tcW w:w="588" w:type="pct"/>
                  <w:tcBorders>
                    <w:tl2br w:val="nil"/>
                    <w:tr2bl w:val="nil"/>
                  </w:tcBorders>
                  <w:noWrap w:val="0"/>
                  <w:vAlign w:val="center"/>
                </w:tcPr>
                <w:p w14:paraId="1B4FEB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06AB1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8" w:type="pct"/>
                  <w:vMerge w:val="continue"/>
                  <w:tcBorders>
                    <w:tl2br w:val="nil"/>
                    <w:tr2bl w:val="nil"/>
                  </w:tcBorders>
                  <w:noWrap w:val="0"/>
                  <w:vAlign w:val="center"/>
                </w:tcPr>
                <w:p w14:paraId="4BEFE8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c>
                <w:tcPr>
                  <w:tcW w:w="2127" w:type="pct"/>
                  <w:tcBorders>
                    <w:tl2br w:val="nil"/>
                    <w:tr2bl w:val="nil"/>
                  </w:tcBorders>
                  <w:noWrap w:val="0"/>
                  <w:vAlign w:val="center"/>
                </w:tcPr>
                <w:p w14:paraId="7871F1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eastAsia="zh-CN"/>
                    </w:rPr>
                    <w:t>对噪声传播途径进行隔声处理时，可采用具有一定高度的</w:t>
                  </w:r>
                  <w:r>
                    <w:rPr>
                      <w:rFonts w:hint="eastAsia" w:ascii="Times New Roman" w:hAnsi="Times New Roman" w:eastAsia="宋体" w:cs="Times New Roman"/>
                      <w:color w:val="auto"/>
                      <w:lang w:val="en-US" w:eastAsia="zh-CN"/>
                    </w:rPr>
                    <w:t>隔墙或</w:t>
                  </w:r>
                  <w:r>
                    <w:rPr>
                      <w:rFonts w:hint="default" w:ascii="Times New Roman" w:hAnsi="Times New Roman" w:eastAsia="宋体" w:cs="Times New Roman"/>
                      <w:color w:val="auto"/>
                      <w:lang w:eastAsia="zh-CN"/>
                    </w:rPr>
                    <w:t>隔声屏障（如利用路堑、土堤、房屋建筑等）；必要时应同时用上述几种结构相结合的形式。</w:t>
                  </w:r>
                </w:p>
              </w:tc>
              <w:tc>
                <w:tcPr>
                  <w:tcW w:w="1546" w:type="pct"/>
                  <w:tcBorders>
                    <w:tl2br w:val="nil"/>
                    <w:tr2bl w:val="nil"/>
                  </w:tcBorders>
                  <w:noWrap w:val="0"/>
                  <w:vAlign w:val="center"/>
                </w:tcPr>
                <w:p w14:paraId="2CCBC0B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rPr>
                  </w:pPr>
                  <w:r>
                    <w:rPr>
                      <w:rFonts w:hint="default" w:ascii="Times New Roman" w:hAnsi="Times New Roman" w:eastAsia="宋体" w:cs="Times New Roman"/>
                      <w:color w:val="auto"/>
                      <w:lang w:eastAsia="zh-CN"/>
                    </w:rPr>
                    <w:t>本项目</w:t>
                  </w:r>
                  <w:r>
                    <w:rPr>
                      <w:rFonts w:hint="eastAsia" w:ascii="Times New Roman" w:hAnsi="Times New Roman" w:eastAsia="宋体" w:cs="Times New Roman"/>
                      <w:color w:val="auto"/>
                      <w:lang w:eastAsia="zh-CN"/>
                    </w:rPr>
                    <w:t>为</w:t>
                  </w:r>
                  <w:r>
                    <w:rPr>
                      <w:rFonts w:hint="default" w:ascii="Times New Roman" w:hAnsi="Times New Roman" w:eastAsia="宋体" w:cs="Times New Roman"/>
                      <w:color w:val="auto"/>
                      <w:lang w:val="en-US" w:eastAsia="zh-CN"/>
                    </w:rPr>
                    <w:t>砖混</w:t>
                  </w:r>
                  <w:r>
                    <w:rPr>
                      <w:rFonts w:hint="eastAsia" w:ascii="Times New Roman" w:hAnsi="Times New Roman" w:eastAsia="宋体" w:cs="Times New Roman"/>
                      <w:color w:val="auto"/>
                      <w:lang w:val="en-US" w:eastAsia="zh-CN"/>
                    </w:rPr>
                    <w:t>结构，</w:t>
                  </w:r>
                  <w:r>
                    <w:rPr>
                      <w:rFonts w:hint="eastAsia" w:cs="Times New Roman"/>
                      <w:color w:val="auto"/>
                      <w:lang w:val="en-US" w:eastAsia="zh-CN"/>
                    </w:rPr>
                    <w:t>对</w:t>
                  </w:r>
                  <w:r>
                    <w:rPr>
                      <w:rFonts w:hint="default" w:ascii="Times New Roman" w:hAnsi="Times New Roman" w:eastAsia="宋体" w:cs="Times New Roman"/>
                      <w:color w:val="auto"/>
                      <w:lang w:val="en-US" w:eastAsia="zh-CN"/>
                    </w:rPr>
                    <w:t>噪声传播途径进行隔声处理，可满足项目区域噪声排放标准限值要求。</w:t>
                  </w:r>
                </w:p>
              </w:tc>
              <w:tc>
                <w:tcPr>
                  <w:tcW w:w="588" w:type="pct"/>
                  <w:tcBorders>
                    <w:tl2br w:val="nil"/>
                    <w:tr2bl w:val="nil"/>
                  </w:tcBorders>
                  <w:noWrap w:val="0"/>
                  <w:vAlign w:val="center"/>
                </w:tcPr>
                <w:p w14:paraId="07D511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55DEF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8" w:type="pct"/>
                  <w:vMerge w:val="restart"/>
                  <w:tcBorders>
                    <w:tl2br w:val="nil"/>
                    <w:tr2bl w:val="nil"/>
                  </w:tcBorders>
                  <w:noWrap w:val="0"/>
                  <w:vAlign w:val="center"/>
                </w:tcPr>
                <w:p w14:paraId="6F64BAE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陕西省噪声污染防治行动计划</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2023</w:t>
                  </w:r>
                  <w:r>
                    <w:rPr>
                      <w:rFonts w:hint="eastAsia" w:cs="Times New Roman"/>
                      <w:color w:val="auto"/>
                      <w:szCs w:val="21"/>
                      <w:lang w:val="en-US" w:eastAsia="zh-CN"/>
                    </w:rPr>
                    <w:t>—</w:t>
                  </w:r>
                  <w:r>
                    <w:rPr>
                      <w:rFonts w:hint="eastAsia" w:ascii="Times New Roman" w:hAnsi="Times New Roman" w:cs="Times New Roman"/>
                      <w:color w:val="auto"/>
                      <w:szCs w:val="21"/>
                      <w:lang w:val="en-US" w:eastAsia="zh-CN"/>
                    </w:rPr>
                    <w:t>2025年</w:t>
                  </w:r>
                  <w:r>
                    <w:rPr>
                      <w:rFonts w:hint="eastAsia" w:ascii="Times New Roman" w:hAnsi="Times New Roman" w:cs="Times New Roman"/>
                      <w:color w:val="auto"/>
                      <w:szCs w:val="21"/>
                      <w:lang w:eastAsia="zh-CN"/>
                    </w:rPr>
                    <w:t>）</w:t>
                  </w:r>
                </w:p>
              </w:tc>
              <w:tc>
                <w:tcPr>
                  <w:tcW w:w="2127" w:type="pct"/>
                  <w:tcBorders>
                    <w:tl2br w:val="nil"/>
                    <w:tr2bl w:val="nil"/>
                  </w:tcBorders>
                  <w:noWrap w:val="0"/>
                  <w:vAlign w:val="center"/>
                </w:tcPr>
                <w:p w14:paraId="35E336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严格落实噪声污染防治要求。切实加强规划环评工作，充分考虑区域开发等规划内容产生的噪声对声环境质量的影响。可能产生噪声污染的新改扩建项目应当依法开展环评，符合相关规划环评管控要求。建设项目的噪声污染防治设施应当与主体工程同时设计、同时施工、同时投产使用。</w:t>
                  </w:r>
                </w:p>
              </w:tc>
              <w:tc>
                <w:tcPr>
                  <w:tcW w:w="1546" w:type="pct"/>
                  <w:tcBorders>
                    <w:tl2br w:val="nil"/>
                    <w:tr2bl w:val="nil"/>
                  </w:tcBorders>
                  <w:noWrap w:val="0"/>
                  <w:vAlign w:val="center"/>
                </w:tcPr>
                <w:p w14:paraId="43D336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本项目环评正在办理中，项目噪声防治措施拟与主体工程同时设计、同时施工、同时投产使用。</w:t>
                  </w:r>
                </w:p>
              </w:tc>
              <w:tc>
                <w:tcPr>
                  <w:tcW w:w="588" w:type="pct"/>
                  <w:tcBorders>
                    <w:tl2br w:val="nil"/>
                    <w:tr2bl w:val="nil"/>
                  </w:tcBorders>
                  <w:noWrap w:val="0"/>
                  <w:vAlign w:val="center"/>
                </w:tcPr>
                <w:p w14:paraId="294F82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14:paraId="5293D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8" w:type="pct"/>
                  <w:vMerge w:val="continue"/>
                  <w:tcBorders>
                    <w:tl2br w:val="nil"/>
                    <w:tr2bl w:val="nil"/>
                  </w:tcBorders>
                  <w:noWrap w:val="0"/>
                  <w:vAlign w:val="center"/>
                </w:tcPr>
                <w:p w14:paraId="761742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c>
                <w:tcPr>
                  <w:tcW w:w="2127" w:type="pct"/>
                  <w:tcBorders>
                    <w:tl2br w:val="nil"/>
                    <w:tr2bl w:val="nil"/>
                  </w:tcBorders>
                  <w:noWrap w:val="0"/>
                  <w:vAlign w:val="center"/>
                </w:tcPr>
                <w:p w14:paraId="7CC086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落实工业噪声过程控制。噪声排放工业企业切实落实噪声污染防治措施，加强厂区内固定设备、运输工具、货物装卸等声源噪声管理，避免突发噪声扰民。</w:t>
                  </w:r>
                </w:p>
              </w:tc>
              <w:tc>
                <w:tcPr>
                  <w:tcW w:w="1546" w:type="pct"/>
                  <w:tcBorders>
                    <w:tl2br w:val="nil"/>
                    <w:tr2bl w:val="nil"/>
                  </w:tcBorders>
                  <w:noWrap w:val="0"/>
                  <w:vAlign w:val="center"/>
                </w:tcPr>
                <w:p w14:paraId="7DC43E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项目运营后的噪声主要来源于设备噪声，经采取基础减振、厂房隔声、</w:t>
                  </w:r>
                  <w:r>
                    <w:rPr>
                      <w:rFonts w:hint="eastAsia" w:cs="Times New Roman"/>
                      <w:color w:val="auto"/>
                      <w:lang w:val="en-US" w:eastAsia="zh-CN"/>
                    </w:rPr>
                    <w:t>风机设隔声罩</w:t>
                  </w:r>
                  <w:r>
                    <w:rPr>
                      <w:rFonts w:hint="eastAsia" w:ascii="Times New Roman" w:hAnsi="Times New Roman" w:eastAsia="宋体" w:cs="Times New Roman"/>
                      <w:color w:val="auto"/>
                      <w:lang w:val="en-US" w:eastAsia="zh-CN"/>
                    </w:rPr>
                    <w:t>等措施后可达标排放。</w:t>
                  </w:r>
                </w:p>
              </w:tc>
              <w:tc>
                <w:tcPr>
                  <w:tcW w:w="588" w:type="pct"/>
                  <w:tcBorders>
                    <w:tl2br w:val="nil"/>
                    <w:tr2bl w:val="nil"/>
                  </w:tcBorders>
                  <w:noWrap w:val="0"/>
                  <w:vAlign w:val="center"/>
                </w:tcPr>
                <w:p w14:paraId="10BFD9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14:paraId="4A9B8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8" w:type="pct"/>
                  <w:vMerge w:val="restart"/>
                  <w:tcBorders>
                    <w:tl2br w:val="nil"/>
                    <w:tr2bl w:val="nil"/>
                  </w:tcBorders>
                  <w:noWrap w:val="0"/>
                  <w:vAlign w:val="center"/>
                </w:tcPr>
                <w:p w14:paraId="17E9929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陕西省生态环境厅关于进一步加强关中地区涉气重点行业项目环评管理的通知（陕环环评函〔2023〕76</w:t>
                  </w:r>
                  <w:r>
                    <w:rPr>
                      <w:rFonts w:hint="eastAsia" w:cs="Times New Roman"/>
                      <w:color w:val="auto"/>
                      <w:lang w:val="en-US" w:eastAsia="zh-CN"/>
                    </w:rPr>
                    <w:t>号）</w:t>
                  </w:r>
                </w:p>
              </w:tc>
              <w:tc>
                <w:tcPr>
                  <w:tcW w:w="2127" w:type="pct"/>
                  <w:tcBorders>
                    <w:tl2br w:val="nil"/>
                    <w:tr2bl w:val="nil"/>
                  </w:tcBorders>
                  <w:noWrap w:val="0"/>
                  <w:vAlign w:val="center"/>
                </w:tcPr>
                <w:p w14:paraId="229FD4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关中地区涉气重点行业项目范围为生态环境部确定的39个重点行业的新改扩建项目，涉及关中各市（区）辖区及开发区范围内的应达到环保绩效A级、绩效引领性水平要求，西安市、安康市、渭南市的其他区域应达到环保绩效B级及以上要求。</w:t>
                  </w:r>
                </w:p>
              </w:tc>
              <w:tc>
                <w:tcPr>
                  <w:tcW w:w="1546" w:type="pct"/>
                  <w:tcBorders>
                    <w:tl2br w:val="nil"/>
                    <w:tr2bl w:val="nil"/>
                  </w:tcBorders>
                  <w:noWrap w:val="0"/>
                  <w:vAlign w:val="center"/>
                </w:tcPr>
                <w:p w14:paraId="3823EB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本项目位于宝鸡市陈仓区，生产工序涉及喷涂，故需按</w:t>
                  </w:r>
                  <w:r>
                    <w:rPr>
                      <w:rFonts w:hint="eastAsia" w:ascii="Times New Roman" w:hAnsi="Times New Roman" w:cs="Times New Roman"/>
                      <w:color w:val="auto"/>
                      <w:szCs w:val="21"/>
                      <w:lang w:val="en-US" w:eastAsia="zh-CN"/>
                    </w:rPr>
                    <w:t>照环保绩效A级进行建设</w:t>
                  </w:r>
                  <w:r>
                    <w:rPr>
                      <w:rFonts w:hint="eastAsia" w:cs="Times New Roman"/>
                      <w:color w:val="auto"/>
                      <w:szCs w:val="21"/>
                      <w:lang w:val="en-US" w:eastAsia="zh-CN"/>
                    </w:rPr>
                    <w:t>并执行相关限值要求</w:t>
                  </w:r>
                  <w:r>
                    <w:rPr>
                      <w:rFonts w:hint="eastAsia" w:ascii="Times New Roman" w:hAnsi="Times New Roman" w:cs="Times New Roman"/>
                      <w:color w:val="auto"/>
                      <w:szCs w:val="21"/>
                      <w:lang w:val="en-US" w:eastAsia="zh-CN"/>
                    </w:rPr>
                    <w:t>。</w:t>
                  </w:r>
                </w:p>
              </w:tc>
              <w:tc>
                <w:tcPr>
                  <w:tcW w:w="588" w:type="pct"/>
                  <w:tcBorders>
                    <w:tl2br w:val="nil"/>
                    <w:tr2bl w:val="nil"/>
                  </w:tcBorders>
                  <w:noWrap w:val="0"/>
                  <w:vAlign w:val="center"/>
                </w:tcPr>
                <w:p w14:paraId="01FC17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符合</w:t>
                  </w:r>
                </w:p>
              </w:tc>
            </w:tr>
            <w:tr w14:paraId="01028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8" w:type="pct"/>
                  <w:vMerge w:val="continue"/>
                  <w:tcBorders>
                    <w:tl2br w:val="nil"/>
                    <w:tr2bl w:val="nil"/>
                  </w:tcBorders>
                  <w:noWrap w:val="0"/>
                  <w:vAlign w:val="center"/>
                </w:tcPr>
                <w:p w14:paraId="6BB9BF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p>
              </w:tc>
              <w:tc>
                <w:tcPr>
                  <w:tcW w:w="2127" w:type="pct"/>
                  <w:tcBorders>
                    <w:tl2br w:val="nil"/>
                    <w:tr2bl w:val="nil"/>
                  </w:tcBorders>
                  <w:noWrap w:val="0"/>
                  <w:vAlign w:val="center"/>
                </w:tcPr>
                <w:p w14:paraId="7B37FC6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涉及改、扩建项目的企业应出具环保绩效达级承诺书，原则上应在拟建项目建成时且在专项行动方案或市级生态环境部门规定时限内完成环保绩效达级。中、省关于涉气重点行业企业绩效升级的要求，企业建成后，应按程序进行环保验收，验收时按照环评要求对绩效等级水平一并进行验收。环保验收通过后，正常投入生产，并在第一时间向当地生态环境分局申请绩效评级。</w:t>
                  </w:r>
                </w:p>
              </w:tc>
              <w:tc>
                <w:tcPr>
                  <w:tcW w:w="1546" w:type="pct"/>
                  <w:tcBorders>
                    <w:tl2br w:val="nil"/>
                    <w:tr2bl w:val="nil"/>
                  </w:tcBorders>
                  <w:noWrap w:val="0"/>
                  <w:vAlign w:val="center"/>
                </w:tcPr>
                <w:p w14:paraId="55DB21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lang w:val="en-US" w:eastAsia="zh-CN"/>
                    </w:rPr>
                  </w:pPr>
                  <w:r>
                    <w:rPr>
                      <w:rFonts w:hint="eastAsia" w:cs="Times New Roman"/>
                      <w:color w:val="auto"/>
                      <w:lang w:val="en-US" w:eastAsia="zh-CN"/>
                    </w:rPr>
                    <w:t>本项目严格按照要求出具环保绩效达级承诺书，并按照环保绩效A级进行建设、验收。本项目设环保绩效专章，并附环保绩效达级承诺书，具体见附件。</w:t>
                  </w:r>
                </w:p>
              </w:tc>
              <w:tc>
                <w:tcPr>
                  <w:tcW w:w="588" w:type="pct"/>
                  <w:tcBorders>
                    <w:tl2br w:val="nil"/>
                    <w:tr2bl w:val="nil"/>
                  </w:tcBorders>
                  <w:noWrap w:val="0"/>
                  <w:vAlign w:val="center"/>
                </w:tcPr>
                <w:p w14:paraId="5763C83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lang w:val="en-US" w:eastAsia="zh-CN"/>
                    </w:rPr>
                  </w:pPr>
                  <w:r>
                    <w:rPr>
                      <w:rFonts w:hint="eastAsia" w:cs="Times New Roman"/>
                      <w:color w:val="auto"/>
                      <w:lang w:val="en-US" w:eastAsia="zh-CN"/>
                    </w:rPr>
                    <w:t>符合</w:t>
                  </w:r>
                </w:p>
              </w:tc>
            </w:tr>
            <w:tr w14:paraId="54D2C7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8" w:type="pct"/>
                  <w:vMerge w:val="restart"/>
                  <w:tcBorders>
                    <w:tl2br w:val="nil"/>
                    <w:tr2bl w:val="nil"/>
                  </w:tcBorders>
                  <w:noWrap w:val="0"/>
                  <w:vAlign w:val="center"/>
                </w:tcPr>
                <w:p w14:paraId="7E3F14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Regular" w:hAnsi="Times New Roman Regular" w:cs="Times New Roman Regular"/>
                      <w:color w:val="auto"/>
                      <w:sz w:val="24"/>
                      <w:lang w:val="en-US" w:eastAsia="zh-CN"/>
                    </w:rPr>
                    <w:t>《宝鸡市水污染防治工作方案》</w:t>
                  </w:r>
                </w:p>
              </w:tc>
              <w:tc>
                <w:tcPr>
                  <w:tcW w:w="2127" w:type="pct"/>
                  <w:tcBorders>
                    <w:tl2br w:val="nil"/>
                    <w:tr2bl w:val="nil"/>
                  </w:tcBorders>
                  <w:noWrap w:val="0"/>
                  <w:vAlign w:val="center"/>
                </w:tcPr>
                <w:p w14:paraId="5DD340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lang w:val="en-US" w:eastAsia="zh-CN"/>
                    </w:rPr>
                  </w:pPr>
                  <w:r>
                    <w:rPr>
                      <w:rFonts w:hint="eastAsia" w:cs="Times New Roman"/>
                      <w:color w:val="auto"/>
                      <w:lang w:val="en-US" w:eastAsia="zh-CN"/>
                    </w:rPr>
                    <w:t>依法取缔无手续小作坊、暗管偷排小企业，淘汰落后废水处理工艺。</w:t>
                  </w:r>
                </w:p>
              </w:tc>
              <w:tc>
                <w:tcPr>
                  <w:tcW w:w="1546" w:type="pct"/>
                  <w:vMerge w:val="restart"/>
                  <w:tcBorders>
                    <w:tl2br w:val="nil"/>
                    <w:tr2bl w:val="nil"/>
                  </w:tcBorders>
                  <w:noWrap w:val="0"/>
                  <w:vAlign w:val="center"/>
                </w:tcPr>
                <w:p w14:paraId="4B52563E">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textAlignment w:val="auto"/>
                    <w:rPr>
                      <w:rFonts w:hint="default" w:cs="Times New Roman"/>
                      <w:color w:val="auto"/>
                      <w:lang w:val="en-US" w:eastAsia="zh-CN"/>
                    </w:rPr>
                  </w:pPr>
                  <w:r>
                    <w:rPr>
                      <w:rFonts w:hint="eastAsia" w:ascii="Times New Roman" w:hAnsi="Times New Roman" w:eastAsia="宋体" w:cs="Times New Roman"/>
                      <w:color w:val="auto"/>
                      <w:kern w:val="2"/>
                      <w:sz w:val="21"/>
                      <w:szCs w:val="24"/>
                      <w:lang w:val="en-US" w:eastAsia="zh-CN" w:bidi="ar-SA"/>
                    </w:rPr>
                    <w:t>项目不新增任何入河排污口，废水经处理后部分回用，部分浓水按照危废收集处置，无废水直接排入河流。废水处理工艺为“预处理+过滤+膜处理”</w:t>
                  </w:r>
                  <w:r>
                    <w:rPr>
                      <w:rFonts w:hint="eastAsia" w:cs="Times New Roman"/>
                      <w:color w:val="auto"/>
                      <w:kern w:val="2"/>
                      <w:sz w:val="21"/>
                      <w:szCs w:val="24"/>
                      <w:lang w:val="en-US" w:eastAsia="zh-CN" w:bidi="ar-SA"/>
                    </w:rPr>
                    <w:t>，是</w:t>
                  </w:r>
                  <w:r>
                    <w:rPr>
                      <w:rFonts w:hint="eastAsia" w:ascii="Times New Roman" w:hAnsi="Times New Roman" w:eastAsia="宋体" w:cs="Times New Roman"/>
                      <w:color w:val="auto"/>
                      <w:kern w:val="2"/>
                      <w:sz w:val="21"/>
                      <w:szCs w:val="24"/>
                      <w:lang w:val="en-US" w:eastAsia="zh-CN" w:bidi="ar-SA"/>
                    </w:rPr>
                    <w:t>常规回用工艺</w:t>
                  </w:r>
                  <w:r>
                    <w:rPr>
                      <w:rFonts w:hint="eastAsia"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不</w:t>
                  </w:r>
                  <w:r>
                    <w:rPr>
                      <w:rFonts w:hint="eastAsia" w:cs="Times New Roman"/>
                      <w:color w:val="auto"/>
                      <w:kern w:val="2"/>
                      <w:sz w:val="21"/>
                      <w:szCs w:val="24"/>
                      <w:lang w:val="en-US" w:eastAsia="zh-CN" w:bidi="ar-SA"/>
                    </w:rPr>
                    <w:t>属于淘汰</w:t>
                  </w:r>
                  <w:r>
                    <w:rPr>
                      <w:rFonts w:hint="eastAsia" w:ascii="Times New Roman" w:hAnsi="Times New Roman" w:eastAsia="宋体" w:cs="Times New Roman"/>
                      <w:color w:val="auto"/>
                      <w:kern w:val="2"/>
                      <w:sz w:val="21"/>
                      <w:szCs w:val="24"/>
                      <w:lang w:val="en-US" w:eastAsia="zh-CN" w:bidi="ar-SA"/>
                    </w:rPr>
                    <w:t>落后处理工艺。</w:t>
                  </w:r>
                </w:p>
              </w:tc>
              <w:tc>
                <w:tcPr>
                  <w:tcW w:w="588" w:type="pct"/>
                  <w:vMerge w:val="restart"/>
                  <w:tcBorders>
                    <w:tl2br w:val="nil"/>
                    <w:tr2bl w:val="nil"/>
                  </w:tcBorders>
                  <w:noWrap w:val="0"/>
                  <w:vAlign w:val="center"/>
                </w:tcPr>
                <w:p w14:paraId="5FFFD0A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lang w:val="en-US" w:eastAsia="zh-CN"/>
                    </w:rPr>
                  </w:pPr>
                  <w:r>
                    <w:rPr>
                      <w:rFonts w:hint="eastAsia" w:cs="Times New Roman"/>
                      <w:color w:val="auto"/>
                      <w:lang w:val="en-US" w:eastAsia="zh-CN"/>
                    </w:rPr>
                    <w:t>符合</w:t>
                  </w:r>
                </w:p>
              </w:tc>
            </w:tr>
            <w:tr w14:paraId="2F241D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8" w:type="pct"/>
                  <w:vMerge w:val="continue"/>
                  <w:tcBorders>
                    <w:tl2br w:val="nil"/>
                    <w:tr2bl w:val="nil"/>
                  </w:tcBorders>
                  <w:noWrap w:val="0"/>
                  <w:vAlign w:val="center"/>
                </w:tcPr>
                <w:p w14:paraId="5421BE1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Regular" w:hAnsi="Times New Roman Regular" w:cs="Times New Roman Regular"/>
                      <w:color w:val="auto"/>
                      <w:sz w:val="24"/>
                      <w:lang w:val="en-US" w:eastAsia="zh-CN"/>
                    </w:rPr>
                  </w:pPr>
                </w:p>
              </w:tc>
              <w:tc>
                <w:tcPr>
                  <w:tcW w:w="2127" w:type="pct"/>
                  <w:tcBorders>
                    <w:tl2br w:val="nil"/>
                    <w:tr2bl w:val="nil"/>
                  </w:tcBorders>
                  <w:noWrap w:val="0"/>
                  <w:vAlign w:val="center"/>
                </w:tcPr>
                <w:p w14:paraId="1E551E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lang w:val="en-US" w:eastAsia="zh-CN"/>
                    </w:rPr>
                  </w:pPr>
                  <w:r>
                    <w:rPr>
                      <w:rFonts w:hint="eastAsia" w:cs="Times New Roman"/>
                      <w:color w:val="auto"/>
                      <w:lang w:val="en-US" w:eastAsia="zh-CN"/>
                    </w:rPr>
                    <w:t>入河排污口管控：严禁新增非法入河排污口，所有排水实现实时归口监管，一口一档台账管理，杜绝项目自建直排口。</w:t>
                  </w:r>
                </w:p>
              </w:tc>
              <w:tc>
                <w:tcPr>
                  <w:tcW w:w="1546" w:type="pct"/>
                  <w:vMerge w:val="continue"/>
                  <w:tcBorders>
                    <w:tl2br w:val="nil"/>
                    <w:tr2bl w:val="nil"/>
                  </w:tcBorders>
                  <w:noWrap w:val="0"/>
                  <w:vAlign w:val="center"/>
                </w:tcPr>
                <w:p w14:paraId="040B5EC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lang w:val="en-US" w:eastAsia="zh-CN"/>
                    </w:rPr>
                  </w:pPr>
                </w:p>
              </w:tc>
              <w:tc>
                <w:tcPr>
                  <w:tcW w:w="588" w:type="pct"/>
                  <w:vMerge w:val="continue"/>
                  <w:tcBorders>
                    <w:tl2br w:val="nil"/>
                    <w:tr2bl w:val="nil"/>
                  </w:tcBorders>
                  <w:noWrap w:val="0"/>
                  <w:vAlign w:val="center"/>
                </w:tcPr>
                <w:p w14:paraId="01EC5E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lang w:val="en-US" w:eastAsia="zh-CN"/>
                    </w:rPr>
                  </w:pPr>
                </w:p>
              </w:tc>
            </w:tr>
          </w:tbl>
          <w:p w14:paraId="1BA5F8D9">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经与《</w:t>
            </w:r>
            <w:r>
              <w:rPr>
                <w:rFonts w:hint="default" w:ascii="Times New Roman" w:hAnsi="Times New Roman" w:eastAsia="宋体" w:cs="Times New Roman"/>
                <w:color w:val="auto"/>
                <w:sz w:val="24"/>
              </w:rPr>
              <w:t>陕西省“十四五”生态环境保护规划</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宝鸡市“十四五”生态环境保护规划</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宝鸡市大气污染防治条例</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工业炉窑大气污染综合治理方案</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环境噪声与振动控制工程技术导则</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等相关政策和环保政策进行符合性分析，项目建设内容和污染防治措施与以</w:t>
            </w:r>
            <w:r>
              <w:rPr>
                <w:rFonts w:hint="default" w:ascii="Times New Roman" w:hAnsi="Times New Roman" w:cs="Times New Roman"/>
                <w:color w:val="auto"/>
                <w:sz w:val="24"/>
              </w:rPr>
              <w:t>上规划、相关政策相符。</w:t>
            </w:r>
          </w:p>
          <w:p w14:paraId="7FF75E72">
            <w:pPr>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项目选址合理性分析：</w:t>
            </w:r>
          </w:p>
          <w:p w14:paraId="3ABA10F0">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1）本项目选址位于陕西省宝鸡市陈仓</w:t>
            </w:r>
            <w:r>
              <w:rPr>
                <w:rFonts w:hint="default" w:ascii="Times New Roman" w:hAnsi="Times New Roman" w:eastAsia="宋体" w:cs="Times New Roman"/>
                <w:bCs/>
                <w:color w:val="auto"/>
                <w:sz w:val="24"/>
                <w:lang w:val="en-US" w:eastAsia="zh-CN"/>
              </w:rPr>
              <w:t>区</w:t>
            </w:r>
            <w:r>
              <w:rPr>
                <w:rFonts w:hint="eastAsia" w:ascii="Times New Roman" w:hAnsi="Times New Roman" w:eastAsia="宋体" w:cs="Times New Roman"/>
                <w:bCs/>
                <w:color w:val="auto"/>
                <w:sz w:val="24"/>
                <w:lang w:val="en-US" w:eastAsia="zh-CN"/>
              </w:rPr>
              <w:t>科技工业园区科目三东考场院内，</w:t>
            </w:r>
            <w:r>
              <w:rPr>
                <w:rFonts w:hint="default" w:ascii="Times New Roman" w:hAnsi="Times New Roman" w:cs="Times New Roman"/>
                <w:bCs/>
                <w:color w:val="auto"/>
                <w:sz w:val="24"/>
                <w:lang w:val="en-US" w:eastAsia="zh-CN"/>
              </w:rPr>
              <w:t>该地块土地</w:t>
            </w:r>
            <w:r>
              <w:rPr>
                <w:rFonts w:hint="default" w:ascii="Times New Roman" w:hAnsi="Times New Roman" w:eastAsia="宋体" w:cs="Times New Roman"/>
                <w:bCs/>
                <w:color w:val="auto"/>
                <w:sz w:val="24"/>
                <w:lang w:val="en-US" w:eastAsia="zh-CN"/>
              </w:rPr>
              <w:t>性质属于</w:t>
            </w:r>
            <w:r>
              <w:rPr>
                <w:rFonts w:hint="eastAsia" w:cs="Times New Roman"/>
                <w:bCs/>
                <w:color w:val="auto"/>
                <w:sz w:val="24"/>
                <w:lang w:val="en-US" w:eastAsia="zh-CN"/>
              </w:rPr>
              <w:t>工业</w:t>
            </w:r>
            <w:r>
              <w:rPr>
                <w:rFonts w:hint="default" w:ascii="Times New Roman" w:hAnsi="Times New Roman" w:eastAsia="宋体" w:cs="Times New Roman"/>
                <w:bCs/>
                <w:color w:val="auto"/>
                <w:sz w:val="24"/>
                <w:lang w:val="en-US" w:eastAsia="zh-CN"/>
              </w:rPr>
              <w:t>用地，</w:t>
            </w:r>
            <w:r>
              <w:rPr>
                <w:rFonts w:hint="eastAsia" w:ascii="Times New Roman" w:hAnsi="Times New Roman" w:cs="Times New Roman"/>
                <w:bCs/>
                <w:color w:val="auto"/>
                <w:sz w:val="24"/>
                <w:lang w:val="en-US" w:eastAsia="zh-CN"/>
              </w:rPr>
              <w:t>东侧</w:t>
            </w:r>
            <w:r>
              <w:rPr>
                <w:rFonts w:hint="eastAsia" w:cs="Times New Roman"/>
                <w:bCs/>
                <w:color w:val="auto"/>
                <w:sz w:val="24"/>
                <w:lang w:val="en-US" w:eastAsia="zh-CN"/>
              </w:rPr>
              <w:t>为空地、</w:t>
            </w:r>
            <w:r>
              <w:rPr>
                <w:rFonts w:hint="default" w:ascii="Times New Roman" w:hAnsi="Times New Roman" w:cs="Times New Roman"/>
                <w:bCs/>
                <w:color w:val="auto"/>
                <w:sz w:val="24"/>
                <w:lang w:val="en-US" w:eastAsia="zh-CN"/>
              </w:rPr>
              <w:t>南侧</w:t>
            </w:r>
            <w:r>
              <w:rPr>
                <w:rFonts w:hint="eastAsia" w:cs="Times New Roman"/>
                <w:bCs/>
                <w:color w:val="auto"/>
                <w:sz w:val="24"/>
                <w:lang w:val="en-US" w:eastAsia="zh-CN"/>
              </w:rPr>
              <w:t>为废弃加油站</w:t>
            </w:r>
            <w:r>
              <w:rPr>
                <w:rFonts w:hint="default" w:ascii="Times New Roman" w:hAnsi="Times New Roman" w:cs="Times New Roman"/>
                <w:bCs/>
                <w:color w:val="auto"/>
                <w:sz w:val="24"/>
                <w:lang w:val="en-US" w:eastAsia="zh-CN"/>
              </w:rPr>
              <w:t>、</w:t>
            </w:r>
            <w:r>
              <w:rPr>
                <w:rFonts w:hint="eastAsia" w:cs="Times New Roman"/>
                <w:bCs/>
                <w:color w:val="auto"/>
                <w:sz w:val="24"/>
                <w:lang w:val="en-US" w:eastAsia="zh-CN"/>
              </w:rPr>
              <w:t>西侧紧邻志普有色金属加工厂</w:t>
            </w:r>
            <w:r>
              <w:rPr>
                <w:rFonts w:hint="default" w:ascii="Times New Roman" w:hAnsi="Times New Roman" w:cs="Times New Roman"/>
                <w:bCs/>
                <w:color w:val="auto"/>
                <w:sz w:val="24"/>
                <w:lang w:val="en-US" w:eastAsia="zh-CN"/>
              </w:rPr>
              <w:t>、</w:t>
            </w:r>
            <w:r>
              <w:rPr>
                <w:rFonts w:hint="eastAsia" w:ascii="Times New Roman" w:hAnsi="Times New Roman" w:cs="Times New Roman"/>
                <w:bCs/>
                <w:color w:val="auto"/>
                <w:sz w:val="24"/>
                <w:lang w:val="en-US" w:eastAsia="zh-CN"/>
              </w:rPr>
              <w:t>北侧</w:t>
            </w:r>
            <w:r>
              <w:rPr>
                <w:rFonts w:hint="default" w:ascii="Times New Roman" w:hAnsi="Times New Roman" w:cs="Times New Roman"/>
                <w:bCs/>
                <w:color w:val="auto"/>
                <w:sz w:val="24"/>
                <w:lang w:val="en-US" w:eastAsia="zh-CN"/>
              </w:rPr>
              <w:t>为</w:t>
            </w:r>
            <w:r>
              <w:rPr>
                <w:rFonts w:hint="eastAsia" w:ascii="Times New Roman" w:hAnsi="Times New Roman" w:cs="Times New Roman"/>
                <w:bCs/>
                <w:color w:val="auto"/>
                <w:sz w:val="24"/>
                <w:lang w:val="en-US" w:eastAsia="zh-CN"/>
              </w:rPr>
              <w:t>虢蔡路</w:t>
            </w:r>
            <w:r>
              <w:rPr>
                <w:rFonts w:hint="default" w:ascii="Times New Roman" w:hAnsi="Times New Roman" w:cs="Times New Roman"/>
                <w:bCs/>
                <w:color w:val="auto"/>
                <w:sz w:val="24"/>
                <w:lang w:val="en-US" w:eastAsia="zh-CN"/>
              </w:rPr>
              <w:t>，路网完善、交通便利。</w:t>
            </w:r>
          </w:p>
          <w:p w14:paraId="10EEA24F">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shd w:val="clear" w:color="auto" w:fill="auto"/>
              </w:rPr>
            </w:pPr>
            <w:r>
              <w:rPr>
                <w:rFonts w:hint="default" w:ascii="Times New Roman" w:hAnsi="Times New Roman" w:cs="Times New Roman"/>
                <w:bCs/>
                <w:color w:val="auto"/>
                <w:sz w:val="24"/>
                <w:lang w:val="en-US" w:eastAsia="zh-CN"/>
              </w:rPr>
              <w:t>2）</w:t>
            </w:r>
            <w:r>
              <w:rPr>
                <w:rFonts w:hint="default" w:ascii="Times New Roman" w:hAnsi="Times New Roman" w:eastAsia="宋体" w:cs="Times New Roman"/>
                <w:color w:val="auto"/>
                <w:sz w:val="24"/>
                <w:szCs w:val="24"/>
                <w:shd w:val="clear" w:color="auto" w:fill="auto"/>
                <w:lang w:eastAsia="zh-CN"/>
              </w:rPr>
              <w:t>项目</w:t>
            </w:r>
            <w:r>
              <w:rPr>
                <w:rFonts w:hint="default" w:ascii="Times New Roman" w:hAnsi="Times New Roman" w:eastAsia="宋体" w:cs="Times New Roman"/>
                <w:color w:val="auto"/>
                <w:sz w:val="24"/>
                <w:szCs w:val="24"/>
                <w:shd w:val="clear" w:color="auto" w:fill="auto"/>
              </w:rPr>
              <w:t>选址周围无需要特殊保护的野生动植物分布，无与建设项目性质不相符的其他建设项目，项目</w:t>
            </w:r>
            <w:r>
              <w:rPr>
                <w:rFonts w:hint="default" w:ascii="Times New Roman" w:hAnsi="Times New Roman" w:eastAsia="宋体" w:cs="Times New Roman"/>
                <w:color w:val="auto"/>
                <w:sz w:val="24"/>
                <w:szCs w:val="24"/>
                <w:shd w:val="clear" w:color="auto" w:fill="auto"/>
                <w:lang w:val="zh-CN"/>
              </w:rPr>
              <w:t>所在区域不属于自然保护区、森林公园、风景名胜区等禁止开发的生态红线区、重点保护生态红线区以及脆弱生态保护红线区内，项目建设不会占用</w:t>
            </w:r>
            <w:r>
              <w:rPr>
                <w:rFonts w:hint="eastAsia" w:cs="Times New Roman"/>
                <w:color w:val="auto"/>
                <w:sz w:val="24"/>
                <w:szCs w:val="24"/>
                <w:shd w:val="clear" w:color="auto" w:fill="auto"/>
                <w:lang w:val="zh-CN"/>
              </w:rPr>
              <w:t>生态功能保护区</w:t>
            </w:r>
            <w:r>
              <w:rPr>
                <w:rFonts w:hint="default" w:ascii="Times New Roman" w:hAnsi="Times New Roman" w:eastAsia="宋体" w:cs="Times New Roman"/>
                <w:color w:val="auto"/>
                <w:sz w:val="24"/>
                <w:szCs w:val="24"/>
                <w:shd w:val="clear" w:color="auto" w:fill="auto"/>
                <w:lang w:val="zh-CN"/>
              </w:rPr>
              <w:t>。</w:t>
            </w:r>
          </w:p>
          <w:p w14:paraId="294AC59E">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bCs/>
                <w:color w:val="auto"/>
                <w:sz w:val="24"/>
                <w:lang w:val="en-US" w:eastAsia="zh-CN"/>
              </w:rPr>
            </w:pPr>
            <w:r>
              <w:rPr>
                <w:rFonts w:hint="default" w:ascii="Times New Roman" w:hAnsi="Times New Roman" w:eastAsia="宋体" w:cs="Times New Roman"/>
                <w:bCs/>
                <w:color w:val="auto"/>
                <w:sz w:val="24"/>
                <w:lang w:val="en-US" w:eastAsia="zh-CN"/>
              </w:rPr>
              <w:t>3）项目</w:t>
            </w:r>
            <w:r>
              <w:rPr>
                <w:rFonts w:hint="eastAsia" w:cs="Times New Roman"/>
                <w:bCs/>
                <w:color w:val="auto"/>
                <w:sz w:val="24"/>
                <w:lang w:val="en-US" w:eastAsia="zh-CN"/>
              </w:rPr>
              <w:t>切割、焊接</w:t>
            </w:r>
            <w:r>
              <w:rPr>
                <w:rFonts w:hint="default" w:ascii="Times New Roman" w:hAnsi="Times New Roman" w:eastAsia="宋体" w:cs="Times New Roman"/>
                <w:bCs/>
                <w:color w:val="auto"/>
                <w:sz w:val="24"/>
                <w:lang w:val="en-US" w:eastAsia="zh-CN"/>
              </w:rPr>
              <w:t>工序产生</w:t>
            </w:r>
            <w:r>
              <w:rPr>
                <w:rFonts w:hint="eastAsia" w:cs="Times New Roman"/>
                <w:bCs/>
                <w:color w:val="auto"/>
                <w:sz w:val="24"/>
                <w:lang w:val="en-US" w:eastAsia="zh-CN"/>
              </w:rPr>
              <w:t>的废气配套袋式除尘器处理后由</w:t>
            </w:r>
            <w:r>
              <w:rPr>
                <w:rFonts w:hint="default" w:ascii="Times New Roman" w:hAnsi="Times New Roman" w:eastAsia="宋体" w:cs="Times New Roman"/>
                <w:bCs/>
                <w:color w:val="auto"/>
                <w:sz w:val="24"/>
                <w:lang w:val="en-US" w:eastAsia="zh-CN"/>
              </w:rPr>
              <w:t>15米排气筒</w:t>
            </w:r>
            <w:r>
              <w:rPr>
                <w:rFonts w:hint="eastAsia" w:ascii="Times New Roman" w:hAnsi="Times New Roman" w:eastAsia="宋体" w:cs="Times New Roman"/>
                <w:bCs/>
                <w:color w:val="auto"/>
                <w:sz w:val="24"/>
                <w:lang w:val="en-US" w:eastAsia="zh-CN"/>
              </w:rPr>
              <w:t>（DA001）</w:t>
            </w:r>
            <w:r>
              <w:rPr>
                <w:rFonts w:hint="default" w:ascii="Times New Roman" w:hAnsi="Times New Roman" w:eastAsia="宋体" w:cs="Times New Roman"/>
                <w:bCs/>
                <w:color w:val="auto"/>
                <w:sz w:val="24"/>
                <w:lang w:val="en-US" w:eastAsia="zh-CN"/>
              </w:rPr>
              <w:t>高空排放</w:t>
            </w:r>
            <w:r>
              <w:rPr>
                <w:rFonts w:hint="eastAsia" w:cs="Times New Roman"/>
                <w:bCs/>
                <w:color w:val="auto"/>
                <w:sz w:val="24"/>
                <w:lang w:val="en-US" w:eastAsia="zh-CN"/>
              </w:rPr>
              <w:t>、抛丸经自带袋式除尘器和滤筒除尘器处理后由15米排气筒（DA001）高空排放；喷粉设密闭喷房，并设大旋风除尘器+精滤对未被工件吸附的粉末进行收集过滤，精滤后的粉尘一部分为废粉按照固废处置，剩余部分由15米排气筒（DA002）高空排放；固化工序产生的非甲烷总烃经二级活性炭吸附处理后由排气筒（DA003）高空排放；天然气燃烧废气经低氮燃烧处理后由排气筒（DA002）高空排放；清洗废水经一体化污水处理设施处理后循环使用，处理水质可达到工业用水回用标准。</w:t>
            </w:r>
            <w:r>
              <w:rPr>
                <w:rFonts w:hint="eastAsia" w:ascii="Times New Roman" w:hAnsi="Times New Roman" w:eastAsia="宋体" w:cs="Times New Roman"/>
                <w:bCs/>
                <w:color w:val="auto"/>
                <w:sz w:val="24"/>
                <w:lang w:val="en-US" w:eastAsia="zh-CN"/>
              </w:rPr>
              <w:t>设备均</w:t>
            </w:r>
            <w:r>
              <w:rPr>
                <w:rFonts w:hint="eastAsia" w:cs="Times New Roman"/>
                <w:bCs/>
                <w:color w:val="auto"/>
                <w:sz w:val="24"/>
                <w:lang w:val="en-US" w:eastAsia="zh-CN"/>
              </w:rPr>
              <w:t>分散</w:t>
            </w:r>
            <w:r>
              <w:rPr>
                <w:rFonts w:hint="eastAsia" w:ascii="Times New Roman" w:hAnsi="Times New Roman" w:eastAsia="宋体" w:cs="Times New Roman"/>
                <w:bCs/>
                <w:color w:val="auto"/>
                <w:sz w:val="24"/>
                <w:lang w:val="en-US" w:eastAsia="zh-CN"/>
              </w:rPr>
              <w:t>设</w:t>
            </w:r>
            <w:r>
              <w:rPr>
                <w:rFonts w:hint="eastAsia" w:cs="Times New Roman"/>
                <w:bCs/>
                <w:color w:val="auto"/>
                <w:sz w:val="24"/>
                <w:lang w:val="en-US" w:eastAsia="zh-CN"/>
              </w:rPr>
              <w:t>置在</w:t>
            </w:r>
            <w:r>
              <w:rPr>
                <w:rFonts w:hint="eastAsia" w:ascii="Times New Roman" w:hAnsi="Times New Roman" w:eastAsia="宋体" w:cs="Times New Roman"/>
                <w:bCs/>
                <w:color w:val="auto"/>
                <w:sz w:val="24"/>
                <w:lang w:val="en-US" w:eastAsia="zh-CN"/>
              </w:rPr>
              <w:t>厂房内，</w:t>
            </w:r>
            <w:r>
              <w:rPr>
                <w:rFonts w:hint="eastAsia" w:cs="Times New Roman"/>
                <w:bCs/>
                <w:color w:val="auto"/>
                <w:sz w:val="24"/>
                <w:lang w:val="en-US" w:eastAsia="zh-CN"/>
              </w:rPr>
              <w:t>有效合理布局可降低设备噪声对厂界四周环境影响；</w:t>
            </w:r>
            <w:r>
              <w:rPr>
                <w:rFonts w:hint="default" w:ascii="Times New Roman" w:hAnsi="Times New Roman" w:eastAsia="宋体" w:cs="Times New Roman"/>
                <w:color w:val="auto"/>
                <w:kern w:val="0"/>
                <w:sz w:val="24"/>
                <w:szCs w:val="24"/>
                <w:lang w:val="en-US" w:eastAsia="zh-CN"/>
              </w:rPr>
              <w:t>运行期固废采取妥善处置，不会造成二次污染。</w:t>
            </w:r>
            <w:r>
              <w:rPr>
                <w:rFonts w:hint="default" w:ascii="Times New Roman" w:hAnsi="Times New Roman" w:cs="Times New Roman"/>
                <w:bCs/>
                <w:color w:val="auto"/>
                <w:sz w:val="24"/>
                <w:lang w:val="en-US" w:eastAsia="zh-CN"/>
              </w:rPr>
              <w:t>对周边环境不会产生明显不利影响。</w:t>
            </w:r>
          </w:p>
          <w:p w14:paraId="777E2518">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kern w:val="0"/>
                <w:sz w:val="24"/>
                <w:szCs w:val="24"/>
                <w:lang w:val="en-US" w:eastAsia="zh-CN"/>
              </w:rPr>
              <w:t>项目厂界外500m范围不涉及自然保护区、风景名胜区、饮用水源保护区，距离项目最近</w:t>
            </w:r>
            <w:r>
              <w:rPr>
                <w:rFonts w:hint="eastAsia" w:ascii="Times New Roman" w:hAnsi="Times New Roman" w:eastAsia="宋体" w:cs="Times New Roman"/>
                <w:color w:val="auto"/>
                <w:kern w:val="0"/>
                <w:sz w:val="24"/>
                <w:szCs w:val="24"/>
                <w:lang w:val="en-US" w:eastAsia="zh-CN"/>
              </w:rPr>
              <w:t>敏感点</w:t>
            </w:r>
            <w:r>
              <w:rPr>
                <w:rFonts w:hint="default" w:ascii="Times New Roman" w:hAnsi="Times New Roman" w:eastAsia="宋体" w:cs="Times New Roman"/>
                <w:color w:val="auto"/>
                <w:kern w:val="0"/>
                <w:sz w:val="24"/>
                <w:szCs w:val="24"/>
                <w:lang w:val="en-US" w:eastAsia="zh-CN"/>
              </w:rPr>
              <w:t>为项目</w:t>
            </w:r>
            <w:r>
              <w:rPr>
                <w:rFonts w:hint="eastAsia" w:ascii="Times New Roman" w:hAnsi="Times New Roman" w:eastAsia="宋体" w:cs="Times New Roman"/>
                <w:color w:val="auto"/>
                <w:kern w:val="0"/>
                <w:sz w:val="24"/>
                <w:szCs w:val="24"/>
                <w:lang w:val="en-US" w:eastAsia="zh-CN"/>
              </w:rPr>
              <w:t>北</w:t>
            </w:r>
            <w:r>
              <w:rPr>
                <w:rFonts w:hint="default" w:ascii="Times New Roman" w:hAnsi="Times New Roman" w:eastAsia="宋体" w:cs="Times New Roman"/>
                <w:color w:val="auto"/>
                <w:kern w:val="0"/>
                <w:sz w:val="24"/>
                <w:szCs w:val="24"/>
                <w:lang w:val="en-US" w:eastAsia="zh-CN"/>
              </w:rPr>
              <w:t>侧约</w:t>
            </w:r>
            <w:r>
              <w:rPr>
                <w:rFonts w:hint="eastAsia" w:ascii="Times New Roman" w:hAnsi="Times New Roman" w:eastAsia="宋体" w:cs="Times New Roman"/>
                <w:color w:val="auto"/>
                <w:kern w:val="0"/>
                <w:sz w:val="24"/>
                <w:szCs w:val="24"/>
                <w:lang w:val="en-US" w:eastAsia="zh-CN"/>
              </w:rPr>
              <w:t>40</w:t>
            </w:r>
            <w:r>
              <w:rPr>
                <w:rFonts w:hint="default" w:ascii="Times New Roman" w:hAnsi="Times New Roman" w:eastAsia="宋体" w:cs="Times New Roman"/>
                <w:color w:val="auto"/>
                <w:kern w:val="0"/>
                <w:sz w:val="24"/>
                <w:szCs w:val="24"/>
                <w:lang w:val="en-US" w:eastAsia="zh-CN"/>
              </w:rPr>
              <w:t>m</w:t>
            </w:r>
            <w:r>
              <w:rPr>
                <w:rFonts w:hint="eastAsia" w:ascii="Times New Roman" w:hAnsi="Times New Roman" w:eastAsia="宋体" w:cs="Times New Roman"/>
                <w:color w:val="auto"/>
                <w:kern w:val="0"/>
                <w:sz w:val="24"/>
                <w:szCs w:val="24"/>
                <w:lang w:val="en-US" w:eastAsia="zh-CN"/>
              </w:rPr>
              <w:t>五一村，但该敏感点与本项目中间隔一条虢蔡路，本项目运行期对该地影响较小。</w:t>
            </w:r>
            <w:r>
              <w:rPr>
                <w:rFonts w:hint="default" w:ascii="Times New Roman" w:hAnsi="Times New Roman" w:eastAsia="宋体" w:cs="Times New Roman"/>
                <w:color w:val="auto"/>
                <w:kern w:val="0"/>
                <w:sz w:val="24"/>
                <w:szCs w:val="24"/>
                <w:lang w:val="en-US" w:eastAsia="zh-CN"/>
              </w:rPr>
              <w:t>故项目的建设不存在制约因素。</w:t>
            </w:r>
          </w:p>
          <w:p w14:paraId="7D3742F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因此，</w:t>
            </w:r>
            <w:r>
              <w:rPr>
                <w:rFonts w:hint="default" w:ascii="Times New Roman" w:hAnsi="Times New Roman" w:cs="Times New Roman"/>
                <w:color w:val="auto"/>
                <w:sz w:val="24"/>
                <w:lang w:eastAsia="zh-CN"/>
              </w:rPr>
              <w:t>从环境保护方面分析，</w:t>
            </w:r>
            <w:r>
              <w:rPr>
                <w:rFonts w:hint="default" w:ascii="Times New Roman" w:hAnsi="Times New Roman" w:cs="Times New Roman"/>
                <w:color w:val="auto"/>
                <w:sz w:val="24"/>
              </w:rPr>
              <w:t>项目选址基本合理。</w:t>
            </w:r>
          </w:p>
          <w:p w14:paraId="6939E5EB">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p>
          <w:p w14:paraId="24807D29">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color w:val="auto"/>
                <w:kern w:val="0"/>
                <w:szCs w:val="21"/>
              </w:rPr>
            </w:pPr>
          </w:p>
        </w:tc>
      </w:tr>
    </w:tbl>
    <w:p w14:paraId="29BF626E">
      <w:pPr>
        <w:spacing w:line="360" w:lineRule="auto"/>
        <w:outlineLvl w:val="0"/>
        <w:rPr>
          <w:rFonts w:hint="default" w:ascii="Times New Roman" w:hAnsi="Times New Roman" w:eastAsia="黑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588D7AF">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二、建设项目工程分析</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636"/>
      </w:tblGrid>
      <w:tr w14:paraId="3F165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dxa"/>
            <w:noWrap w:val="0"/>
            <w:vAlign w:val="center"/>
          </w:tcPr>
          <w:p w14:paraId="139953C8">
            <w:pPr>
              <w:pStyle w:val="27"/>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8635" w:type="dxa"/>
            <w:noWrap w:val="0"/>
            <w:vAlign w:val="top"/>
          </w:tcPr>
          <w:p w14:paraId="19622C38">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rPr>
            </w:pPr>
            <w:r>
              <w:rPr>
                <w:rFonts w:hint="default"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项目由来</w:t>
            </w:r>
          </w:p>
          <w:p w14:paraId="4EEBD237">
            <w:pPr>
              <w:wordWrap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宝鸡市文达机械制造有限公司于20</w:t>
            </w:r>
            <w:r>
              <w:rPr>
                <w:rFonts w:hint="eastAsia" w:ascii="Times New Roman" w:hAnsi="Times New Roman" w:cs="Times New Roman"/>
                <w:color w:val="auto"/>
                <w:sz w:val="24"/>
                <w:lang w:val="en-US" w:eastAsia="zh-CN"/>
              </w:rPr>
              <w:t>24</w:t>
            </w:r>
            <w:r>
              <w:rPr>
                <w:rFonts w:hint="default" w:ascii="Times New Roman" w:hAnsi="Times New Roman" w:cs="Times New Roman"/>
                <w:color w:val="auto"/>
                <w:sz w:val="24"/>
                <w:lang w:val="en-US" w:eastAsia="zh-CN"/>
              </w:rPr>
              <w:t>年</w:t>
            </w:r>
            <w:r>
              <w:rPr>
                <w:rFonts w:hint="eastAsia" w:ascii="Times New Roman" w:hAnsi="Times New Roman" w:cs="Times New Roman"/>
                <w:color w:val="auto"/>
                <w:sz w:val="24"/>
                <w:lang w:val="en-US" w:eastAsia="zh-CN"/>
              </w:rPr>
              <w:t>11</w:t>
            </w:r>
            <w:r>
              <w:rPr>
                <w:rFonts w:hint="default" w:ascii="Times New Roman" w:hAnsi="Times New Roman" w:cs="Times New Roman"/>
                <w:color w:val="auto"/>
                <w:sz w:val="24"/>
                <w:lang w:val="en-US" w:eastAsia="zh-CN"/>
              </w:rPr>
              <w:t>月</w:t>
            </w:r>
            <w:r>
              <w:rPr>
                <w:rFonts w:hint="eastAsia" w:ascii="Times New Roman" w:hAnsi="Times New Roman" w:cs="Times New Roman"/>
                <w:color w:val="auto"/>
                <w:sz w:val="24"/>
                <w:lang w:val="en-US" w:eastAsia="zh-CN"/>
              </w:rPr>
              <w:t>在本地块布设切割机、剪板机、折弯机、冲床、压力机等</w:t>
            </w:r>
            <w:r>
              <w:rPr>
                <w:rFonts w:hint="default" w:ascii="Times New Roman" w:hAnsi="Times New Roman" w:cs="Times New Roman"/>
                <w:color w:val="auto"/>
                <w:sz w:val="24"/>
                <w:lang w:val="en-US" w:eastAsia="zh-CN"/>
              </w:rPr>
              <w:t>进行机械零件加工（无铆焊、电焊、碰焊及喷漆作业）</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占地面积约</w:t>
            </w:r>
            <w:r>
              <w:rPr>
                <w:rFonts w:hint="eastAsia" w:ascii="Times New Roman" w:hAnsi="Times New Roman" w:cs="Times New Roman"/>
                <w:color w:val="auto"/>
                <w:sz w:val="24"/>
                <w:lang w:val="en-US" w:eastAsia="zh-CN"/>
              </w:rPr>
              <w:t>18413</w:t>
            </w:r>
            <w:r>
              <w:rPr>
                <w:rFonts w:hint="default" w:ascii="Times New Roman" w:hAnsi="Times New Roman" w:cs="Times New Roman"/>
                <w:color w:val="auto"/>
                <w:sz w:val="24"/>
                <w:lang w:val="en-US" w:eastAsia="zh-CN"/>
              </w:rPr>
              <w:t>㎡，</w:t>
            </w:r>
            <w:r>
              <w:rPr>
                <w:rFonts w:hint="eastAsia" w:cs="Times New Roman"/>
                <w:color w:val="auto"/>
                <w:sz w:val="24"/>
                <w:lang w:val="en-US" w:eastAsia="zh-CN"/>
              </w:rPr>
              <w:t>建设单位于2024年11月8日进行备案登记，备案号为：24116103040402576956。</w:t>
            </w:r>
            <w:r>
              <w:rPr>
                <w:rFonts w:hint="eastAsia" w:ascii="Times New Roman" w:hAnsi="Times New Roman" w:cs="Times New Roman"/>
                <w:color w:val="auto"/>
                <w:sz w:val="24"/>
                <w:lang w:val="en-US" w:eastAsia="zh-CN"/>
              </w:rPr>
              <w:t>现</w:t>
            </w:r>
            <w:r>
              <w:rPr>
                <w:rFonts w:hint="default" w:ascii="Times New Roman" w:hAnsi="Times New Roman" w:cs="Times New Roman"/>
                <w:color w:val="auto"/>
                <w:sz w:val="24"/>
                <w:lang w:val="en-US" w:eastAsia="zh-CN"/>
              </w:rPr>
              <w:t>为进一步提高工件品质，</w:t>
            </w:r>
            <w:r>
              <w:rPr>
                <w:rFonts w:hint="eastAsia" w:ascii="Times New Roman" w:hAnsi="Times New Roman" w:cs="Times New Roman"/>
                <w:color w:val="auto"/>
                <w:sz w:val="24"/>
                <w:lang w:val="en-US" w:eastAsia="zh-CN"/>
              </w:rPr>
              <w:t>拟</w:t>
            </w:r>
            <w:r>
              <w:rPr>
                <w:rFonts w:hint="default" w:ascii="Times New Roman" w:hAnsi="Times New Roman" w:cs="Times New Roman"/>
                <w:color w:val="auto"/>
                <w:sz w:val="24"/>
                <w:lang w:val="en-US" w:eastAsia="zh-CN"/>
              </w:rPr>
              <w:t>在</w:t>
            </w:r>
            <w:r>
              <w:rPr>
                <w:rFonts w:hint="eastAsia" w:ascii="Times New Roman" w:hAnsi="Times New Roman" w:cs="Times New Roman"/>
                <w:color w:val="auto"/>
                <w:sz w:val="24"/>
                <w:lang w:val="en-US" w:eastAsia="zh-CN"/>
              </w:rPr>
              <w:t>现有</w:t>
            </w:r>
            <w:r>
              <w:rPr>
                <w:rFonts w:hint="default" w:ascii="Times New Roman" w:hAnsi="Times New Roman" w:cs="Times New Roman"/>
                <w:color w:val="auto"/>
                <w:sz w:val="24"/>
                <w:lang w:val="en-US" w:eastAsia="zh-CN"/>
              </w:rPr>
              <w:t>项目</w:t>
            </w:r>
            <w:r>
              <w:rPr>
                <w:rFonts w:hint="eastAsia" w:ascii="Times New Roman" w:hAnsi="Times New Roman" w:cs="Times New Roman"/>
                <w:color w:val="auto"/>
                <w:sz w:val="24"/>
                <w:lang w:val="en-US" w:eastAsia="zh-CN"/>
              </w:rPr>
              <w:t>厂区</w:t>
            </w:r>
            <w:r>
              <w:rPr>
                <w:rFonts w:hint="default" w:ascii="Times New Roman" w:hAnsi="Times New Roman" w:cs="Times New Roman"/>
                <w:color w:val="auto"/>
                <w:sz w:val="24"/>
                <w:lang w:val="en-US" w:eastAsia="zh-CN"/>
              </w:rPr>
              <w:t>内预留位置安装</w:t>
            </w:r>
            <w:r>
              <w:rPr>
                <w:rFonts w:hint="eastAsia" w:ascii="Times New Roman" w:hAnsi="Times New Roman" w:cs="Times New Roman"/>
                <w:color w:val="auto"/>
                <w:sz w:val="24"/>
                <w:lang w:val="en-US" w:eastAsia="zh-CN"/>
              </w:rPr>
              <w:t>激光切割设备、焊接设备、</w:t>
            </w:r>
            <w:r>
              <w:rPr>
                <w:rFonts w:hint="default" w:ascii="Times New Roman" w:hAnsi="Times New Roman" w:cs="Times New Roman"/>
                <w:color w:val="auto"/>
                <w:sz w:val="24"/>
                <w:lang w:val="en-US" w:eastAsia="zh-CN"/>
              </w:rPr>
              <w:t>抛丸</w:t>
            </w:r>
            <w:r>
              <w:rPr>
                <w:rFonts w:hint="eastAsia" w:ascii="Times New Roman" w:hAnsi="Times New Roman" w:cs="Times New Roman"/>
                <w:color w:val="auto"/>
                <w:sz w:val="24"/>
                <w:lang w:val="en-US" w:eastAsia="zh-CN"/>
              </w:rPr>
              <w:t>设备</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喷粉涂装线</w:t>
            </w:r>
            <w:r>
              <w:rPr>
                <w:rFonts w:hint="default" w:ascii="Times New Roman" w:hAnsi="Times New Roman" w:cs="Times New Roman"/>
                <w:color w:val="auto"/>
                <w:sz w:val="24"/>
                <w:lang w:val="en-US" w:eastAsia="zh-CN"/>
              </w:rPr>
              <w:t>等生产加工设备，进行电气配件加工生产。</w:t>
            </w:r>
          </w:p>
          <w:p w14:paraId="464A98B4">
            <w:pPr>
              <w:wordWrap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cs="Times New Roman"/>
                <w:color w:val="auto"/>
                <w:sz w:val="24"/>
              </w:rPr>
              <w:t>根据《中华人民共和国环境影响评价法</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建设项目环境保护管理条例》和《建设项目环境影响评价分类管理名录》</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2021年版</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本项目主要</w:t>
            </w:r>
            <w:r>
              <w:rPr>
                <w:rFonts w:hint="eastAsia" w:cs="Times New Roman"/>
                <w:color w:val="auto"/>
                <w:sz w:val="24"/>
                <w:lang w:val="en-US" w:eastAsia="zh-CN"/>
              </w:rPr>
              <w:t>生产</w:t>
            </w:r>
            <w:r>
              <w:rPr>
                <w:rFonts w:hint="default" w:ascii="Times New Roman" w:hAnsi="Times New Roman" w:eastAsia="宋体" w:cs="Times New Roman"/>
                <w:color w:val="auto"/>
                <w:sz w:val="24"/>
                <w:lang w:eastAsia="zh-CN"/>
              </w:rPr>
              <w:t>输配电及控制设备</w:t>
            </w:r>
            <w:r>
              <w:rPr>
                <w:rFonts w:hint="eastAsia" w:cs="Times New Roman"/>
                <w:color w:val="auto"/>
                <w:sz w:val="24"/>
                <w:lang w:val="en-US" w:eastAsia="zh-CN"/>
              </w:rPr>
              <w:t>配件</w:t>
            </w:r>
            <w:r>
              <w:rPr>
                <w:rFonts w:hint="eastAsia" w:ascii="Times New Roman" w:hAnsi="Times New Roman" w:eastAsia="宋体" w:cs="Times New Roman"/>
                <w:color w:val="auto"/>
                <w:sz w:val="24"/>
                <w:lang w:eastAsia="zh-CN"/>
              </w:rPr>
              <w:t>，</w:t>
            </w:r>
            <w:r>
              <w:rPr>
                <w:rFonts w:hint="eastAsia" w:cs="Times New Roman"/>
                <w:color w:val="auto"/>
                <w:sz w:val="24"/>
                <w:lang w:val="en-US" w:eastAsia="zh-CN"/>
              </w:rPr>
              <w:t>生产工序主要涉及切割、焊接、抛丸、水洗去油、喷粉、固化，根据《建设项目环境影响评价分类管理名录》常见问题解答，名录“67 金属表面处理及热处理加工”项目类别中，涉及喷砂、抛丸、水洗去油、磷化、酸洗等表面处理的，应编制环境影响报告表。喷粉、喷塑项目，如属于非溶剂型低VOCS含量涂料且年用10吨以下的，不纳入环评管理。因本项目涉及抛丸、水洗去油等表面处理</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故</w:t>
            </w:r>
            <w:r>
              <w:rPr>
                <w:rFonts w:hint="default" w:ascii="Times New Roman" w:hAnsi="Times New Roman" w:eastAsia="宋体" w:cs="Times New Roman"/>
                <w:color w:val="auto"/>
                <w:sz w:val="24"/>
              </w:rPr>
              <w:t>该项目需进行环境影响评价，编制环境影响报告表。</w:t>
            </w:r>
          </w:p>
          <w:p w14:paraId="19FA5E6D">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项目概况</w:t>
            </w:r>
          </w:p>
          <w:p w14:paraId="6AD5D9F5">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项目名称：</w:t>
            </w:r>
            <w:r>
              <w:rPr>
                <w:rFonts w:hint="eastAsia" w:ascii="Times New Roman" w:hAnsi="Times New Roman" w:cs="Times New Roman"/>
                <w:color w:val="auto"/>
                <w:sz w:val="24"/>
                <w:lang w:val="en-US" w:eastAsia="zh-CN"/>
              </w:rPr>
              <w:t>文达机械制造技改项目</w:t>
            </w:r>
          </w:p>
          <w:p w14:paraId="0B01BB99">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建设单位：</w:t>
            </w:r>
            <w:r>
              <w:rPr>
                <w:rFonts w:hint="default" w:ascii="Times New Roman" w:hAnsi="Times New Roman" w:cs="Times New Roman"/>
                <w:color w:val="auto"/>
                <w:sz w:val="24"/>
                <w:lang w:val="en-US" w:eastAsia="zh-CN"/>
              </w:rPr>
              <w:t>宝鸡市文达机械制造有限公司</w:t>
            </w:r>
          </w:p>
          <w:p w14:paraId="60400561">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建设性质：</w:t>
            </w:r>
            <w:r>
              <w:rPr>
                <w:rFonts w:hint="eastAsia" w:cs="Times New Roman"/>
                <w:color w:val="auto"/>
                <w:sz w:val="24"/>
                <w:lang w:val="en-US" w:eastAsia="zh-CN"/>
              </w:rPr>
              <w:t>扩建</w:t>
            </w:r>
          </w:p>
          <w:p w14:paraId="308C314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建设地点：本项目位于</w:t>
            </w:r>
            <w:r>
              <w:rPr>
                <w:rFonts w:hint="default" w:ascii="Times New Roman" w:hAnsi="Times New Roman" w:cs="Times New Roman"/>
                <w:color w:val="auto"/>
                <w:sz w:val="24"/>
                <w:lang w:eastAsia="zh-CN"/>
              </w:rPr>
              <w:t>陕西省宝鸡市陈仓区</w:t>
            </w:r>
            <w:r>
              <w:rPr>
                <w:rFonts w:hint="eastAsia" w:ascii="Times New Roman" w:hAnsi="Times New Roman" w:cs="Times New Roman"/>
                <w:color w:val="auto"/>
                <w:sz w:val="24"/>
                <w:lang w:val="en-US" w:eastAsia="zh-CN"/>
              </w:rPr>
              <w:t>科技工业园区科目三东考场院内</w:t>
            </w:r>
            <w:r>
              <w:rPr>
                <w:rFonts w:hint="default" w:ascii="Times New Roman" w:hAnsi="Times New Roman" w:cs="Times New Roman"/>
                <w:color w:val="auto"/>
                <w:sz w:val="24"/>
              </w:rPr>
              <w:t>，项目中心地理坐标为东经107°</w:t>
            </w:r>
            <w:r>
              <w:rPr>
                <w:rFonts w:hint="default" w:ascii="Times New Roman" w:hAnsi="Times New Roman" w:cs="Times New Roman"/>
                <w:color w:val="auto"/>
                <w:sz w:val="24"/>
                <w:lang w:val="en-US" w:eastAsia="zh-CN"/>
              </w:rPr>
              <w:t>2</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31.266</w:t>
            </w:r>
            <w:r>
              <w:rPr>
                <w:rFonts w:hint="default" w:ascii="Times New Roman" w:hAnsi="Times New Roman" w:cs="Times New Roman"/>
                <w:color w:val="auto"/>
                <w:sz w:val="24"/>
              </w:rPr>
              <w:t>″，北纬34°2</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1.355</w:t>
            </w:r>
            <w:r>
              <w:rPr>
                <w:rFonts w:hint="default" w:ascii="Times New Roman" w:hAnsi="Times New Roman" w:cs="Times New Roman"/>
                <w:color w:val="auto"/>
                <w:sz w:val="24"/>
              </w:rPr>
              <w:t>″。具体建设地理位置如附图1所示。</w:t>
            </w:r>
          </w:p>
          <w:p w14:paraId="707A7DAD">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rPr>
            </w:pPr>
            <w:r>
              <w:rPr>
                <w:rFonts w:hint="default" w:ascii="Times New Roman" w:hAnsi="Times New Roman" w:eastAsia="宋体" w:cs="Times New Roman"/>
                <w:b/>
                <w:bCs/>
                <w:color w:val="auto"/>
                <w:sz w:val="24"/>
                <w:lang w:val="en-US" w:eastAsia="zh-CN"/>
              </w:rPr>
              <w:t>3</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建设工程内容及规模</w:t>
            </w:r>
          </w:p>
          <w:p w14:paraId="0AD7BD1E">
            <w:pPr>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color w:val="auto"/>
                <w:sz w:val="24"/>
                <w:lang w:eastAsia="zh-CN"/>
              </w:rPr>
              <w:t>本</w:t>
            </w:r>
            <w:r>
              <w:rPr>
                <w:rFonts w:hint="default" w:ascii="Times New Roman" w:hAnsi="Times New Roman" w:cs="Times New Roman"/>
                <w:color w:val="auto"/>
                <w:sz w:val="24"/>
              </w:rPr>
              <w:t>项目</w:t>
            </w:r>
            <w:r>
              <w:rPr>
                <w:rFonts w:hint="default" w:ascii="Times New Roman" w:hAnsi="Times New Roman" w:cs="Times New Roman"/>
                <w:color w:val="auto"/>
                <w:sz w:val="24"/>
                <w:lang w:val="en-US" w:eastAsia="zh-CN"/>
              </w:rPr>
              <w:t>在</w:t>
            </w:r>
            <w:r>
              <w:rPr>
                <w:rFonts w:hint="eastAsia" w:ascii="Times New Roman" w:hAnsi="Times New Roman" w:cs="Times New Roman"/>
                <w:color w:val="auto"/>
                <w:sz w:val="24"/>
                <w:lang w:val="en-US" w:eastAsia="zh-CN"/>
              </w:rPr>
              <w:t>现有项目厂区内</w:t>
            </w:r>
            <w:r>
              <w:rPr>
                <w:rFonts w:hint="default" w:ascii="Times New Roman" w:hAnsi="Times New Roman" w:cs="Times New Roman"/>
                <w:color w:val="auto"/>
                <w:sz w:val="24"/>
                <w:lang w:val="en-US" w:eastAsia="zh-CN"/>
              </w:rPr>
              <w:t>预留位置安装抛丸</w:t>
            </w:r>
            <w:r>
              <w:rPr>
                <w:rFonts w:hint="eastAsia" w:ascii="Times New Roman" w:hAnsi="Times New Roman" w:cs="Times New Roman"/>
                <w:color w:val="auto"/>
                <w:sz w:val="24"/>
                <w:lang w:val="en-US" w:eastAsia="zh-CN"/>
              </w:rPr>
              <w:t>设备</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焊接设备</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激光切割设备、</w:t>
            </w:r>
            <w:r>
              <w:rPr>
                <w:rFonts w:hint="eastAsia" w:cs="Times New Roman"/>
                <w:color w:val="auto"/>
                <w:sz w:val="24"/>
                <w:lang w:val="en-US" w:eastAsia="zh-CN"/>
              </w:rPr>
              <w:t>喷塑</w:t>
            </w:r>
            <w:r>
              <w:rPr>
                <w:rFonts w:hint="eastAsia" w:ascii="Times New Roman" w:hAnsi="Times New Roman" w:cs="Times New Roman"/>
                <w:color w:val="auto"/>
                <w:sz w:val="24"/>
                <w:lang w:val="en-US" w:eastAsia="zh-CN"/>
              </w:rPr>
              <w:t>生产线</w:t>
            </w:r>
            <w:r>
              <w:rPr>
                <w:rFonts w:hint="default" w:ascii="Times New Roman" w:hAnsi="Times New Roman" w:cs="Times New Roman"/>
                <w:color w:val="auto"/>
                <w:sz w:val="24"/>
                <w:lang w:val="en-US" w:eastAsia="zh-CN"/>
              </w:rPr>
              <w:t>等生产加工设备，进行电气配件加工生产，并配套相应的环保设施</w:t>
            </w:r>
            <w:r>
              <w:rPr>
                <w:rFonts w:hint="default" w:ascii="Times New Roman" w:hAnsi="Times New Roman" w:cs="Times New Roman"/>
                <w:color w:val="auto"/>
                <w:sz w:val="24"/>
              </w:rPr>
              <w:t>。本项目组成详见表2-1。</w:t>
            </w:r>
          </w:p>
          <w:p w14:paraId="665F175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表2-1  项目组成一览表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426"/>
              <w:gridCol w:w="209"/>
              <w:gridCol w:w="217"/>
              <w:gridCol w:w="640"/>
              <w:gridCol w:w="4323"/>
              <w:gridCol w:w="2073"/>
            </w:tblGrid>
            <w:tr w14:paraId="79DE0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298" w:type="pct"/>
                  <w:noWrap w:val="0"/>
                  <w:vAlign w:val="center"/>
                </w:tcPr>
                <w:p w14:paraId="3F29B4B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888" w:type="pct"/>
                  <w:gridSpan w:val="4"/>
                  <w:noWrap w:val="0"/>
                  <w:vAlign w:val="center"/>
                </w:tcPr>
                <w:p w14:paraId="0C76B13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项目名称</w:t>
                  </w:r>
                </w:p>
              </w:tc>
              <w:tc>
                <w:tcPr>
                  <w:tcW w:w="2577" w:type="pct"/>
                  <w:noWrap w:val="0"/>
                  <w:vAlign w:val="center"/>
                </w:tcPr>
                <w:p w14:paraId="349A97F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项目组成</w:t>
                  </w:r>
                </w:p>
              </w:tc>
              <w:tc>
                <w:tcPr>
                  <w:tcW w:w="1235" w:type="pct"/>
                  <w:noWrap w:val="0"/>
                  <w:vAlign w:val="center"/>
                </w:tcPr>
                <w:p w14:paraId="360FA3A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14:paraId="3F67C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298" w:type="pct"/>
                  <w:vMerge w:val="restart"/>
                  <w:noWrap w:val="0"/>
                  <w:vAlign w:val="center"/>
                </w:tcPr>
                <w:p w14:paraId="06A4D4F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主体</w:t>
                  </w:r>
                </w:p>
                <w:p w14:paraId="61A6CF9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工程</w:t>
                  </w:r>
                </w:p>
                <w:p w14:paraId="2D3FC24F">
                  <w:pPr>
                    <w:adjustRightInd w:val="0"/>
                    <w:snapToGrid w:val="0"/>
                    <w:jc w:val="center"/>
                    <w:rPr>
                      <w:rFonts w:hint="default" w:ascii="Times New Roman" w:hAnsi="Times New Roman" w:cs="Times New Roman"/>
                      <w:color w:val="auto"/>
                      <w:szCs w:val="21"/>
                    </w:rPr>
                  </w:pPr>
                </w:p>
                <w:p w14:paraId="7AC41C07">
                  <w:pPr>
                    <w:pStyle w:val="16"/>
                    <w:jc w:val="center"/>
                    <w:rPr>
                      <w:rFonts w:hint="default" w:ascii="Times New Roman" w:hAnsi="Times New Roman" w:cs="Times New Roman"/>
                      <w:color w:val="auto"/>
                      <w:szCs w:val="21"/>
                    </w:rPr>
                  </w:pPr>
                </w:p>
                <w:p w14:paraId="606EFCF8">
                  <w:pPr>
                    <w:jc w:val="center"/>
                    <w:rPr>
                      <w:rFonts w:hint="default"/>
                      <w:color w:val="auto"/>
                    </w:rPr>
                  </w:pPr>
                </w:p>
                <w:p w14:paraId="317B7047">
                  <w:pPr>
                    <w:adjustRightInd w:val="0"/>
                    <w:snapToGrid w:val="0"/>
                    <w:jc w:val="center"/>
                    <w:rPr>
                      <w:rFonts w:hint="eastAsia" w:ascii="Times New Roman" w:hAnsi="Times New Roman" w:cs="Times New Roman"/>
                      <w:color w:val="auto"/>
                      <w:lang w:eastAsia="zh-CN"/>
                    </w:rPr>
                  </w:pPr>
                </w:p>
                <w:p w14:paraId="5903892C">
                  <w:pPr>
                    <w:pStyle w:val="16"/>
                    <w:jc w:val="center"/>
                    <w:rPr>
                      <w:rFonts w:hint="eastAsia" w:ascii="Times New Roman" w:hAnsi="Times New Roman" w:cs="Times New Roman"/>
                      <w:color w:val="auto"/>
                      <w:lang w:eastAsia="zh-CN"/>
                    </w:rPr>
                  </w:pPr>
                </w:p>
                <w:p w14:paraId="36CE0BF8">
                  <w:pPr>
                    <w:jc w:val="center"/>
                    <w:rPr>
                      <w:rFonts w:hint="eastAsia" w:ascii="Times New Roman" w:hAnsi="Times New Roman" w:cs="Times New Roman"/>
                      <w:color w:val="auto"/>
                      <w:lang w:eastAsia="zh-CN"/>
                    </w:rPr>
                  </w:pPr>
                </w:p>
                <w:p w14:paraId="4322BCC1">
                  <w:pPr>
                    <w:pStyle w:val="16"/>
                    <w:jc w:val="center"/>
                    <w:rPr>
                      <w:rFonts w:hint="eastAsia" w:ascii="Times New Roman" w:hAnsi="Times New Roman" w:cs="Times New Roman"/>
                      <w:color w:val="auto"/>
                      <w:lang w:eastAsia="zh-CN"/>
                    </w:rPr>
                  </w:pPr>
                </w:p>
                <w:p w14:paraId="3556B45F">
                  <w:pPr>
                    <w:jc w:val="center"/>
                    <w:rPr>
                      <w:rFonts w:hint="eastAsia" w:ascii="Times New Roman" w:hAnsi="Times New Roman" w:cs="Times New Roman"/>
                      <w:color w:val="auto"/>
                      <w:lang w:eastAsia="zh-CN"/>
                    </w:rPr>
                  </w:pPr>
                </w:p>
                <w:p w14:paraId="51504281">
                  <w:pPr>
                    <w:pStyle w:val="16"/>
                    <w:jc w:val="center"/>
                    <w:rPr>
                      <w:rFonts w:hint="eastAsia"/>
                      <w:color w:val="auto"/>
                      <w:lang w:eastAsia="zh-CN"/>
                    </w:rPr>
                  </w:pPr>
                </w:p>
              </w:tc>
              <w:tc>
                <w:tcPr>
                  <w:tcW w:w="253" w:type="pct"/>
                  <w:vMerge w:val="restart"/>
                  <w:noWrap w:val="0"/>
                  <w:vAlign w:val="center"/>
                </w:tcPr>
                <w:p w14:paraId="7C63180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生产车间</w:t>
                  </w:r>
                </w:p>
              </w:tc>
              <w:tc>
                <w:tcPr>
                  <w:tcW w:w="634" w:type="pct"/>
                  <w:gridSpan w:val="3"/>
                  <w:noWrap w:val="0"/>
                  <w:vAlign w:val="center"/>
                </w:tcPr>
                <w:p w14:paraId="393979C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激光切割区</w:t>
                  </w:r>
                </w:p>
              </w:tc>
              <w:tc>
                <w:tcPr>
                  <w:tcW w:w="2577" w:type="pct"/>
                  <w:noWrap w:val="0"/>
                  <w:vAlign w:val="center"/>
                </w:tcPr>
                <w:p w14:paraId="17C86D2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1层</w:t>
                  </w:r>
                  <w:r>
                    <w:rPr>
                      <w:rFonts w:hint="eastAsia" w:ascii="Times New Roman" w:hAnsi="Times New Roman" w:cs="Times New Roman"/>
                      <w:color w:val="auto"/>
                      <w:szCs w:val="21"/>
                      <w:lang w:val="en-US" w:eastAsia="zh-CN"/>
                    </w:rPr>
                    <w:t>钢</w:t>
                  </w:r>
                  <w:r>
                    <w:rPr>
                      <w:rFonts w:hint="default" w:ascii="Times New Roman" w:hAnsi="Times New Roman" w:cs="Times New Roman"/>
                      <w:color w:val="auto"/>
                      <w:szCs w:val="21"/>
                      <w:lang w:val="en-US" w:eastAsia="zh-CN"/>
                    </w:rPr>
                    <w:t>结构，</w:t>
                  </w:r>
                  <w:r>
                    <w:rPr>
                      <w:rFonts w:hint="eastAsia" w:ascii="Times New Roman" w:hAnsi="Times New Roman" w:cs="Times New Roman"/>
                      <w:color w:val="auto"/>
                      <w:szCs w:val="21"/>
                      <w:lang w:val="en-US" w:eastAsia="zh-CN"/>
                    </w:rPr>
                    <w:t>分为4跨，激光切割区位于厂房第2跨东侧位置，</w:t>
                  </w:r>
                  <w:r>
                    <w:rPr>
                      <w:rFonts w:hint="default" w:ascii="Times New Roman" w:hAnsi="Times New Roman" w:cs="Times New Roman"/>
                      <w:color w:val="auto"/>
                      <w:szCs w:val="21"/>
                      <w:lang w:eastAsia="zh-CN"/>
                    </w:rPr>
                    <w:t>占地面积</w:t>
                  </w:r>
                  <w:r>
                    <w:rPr>
                      <w:rFonts w:hint="eastAsia" w:ascii="Times New Roman" w:hAnsi="Times New Roman" w:cs="Times New Roman"/>
                      <w:color w:val="auto"/>
                      <w:szCs w:val="21"/>
                      <w:lang w:eastAsia="zh-CN"/>
                    </w:rPr>
                    <w:t>共计</w:t>
                  </w:r>
                  <w:r>
                    <w:rPr>
                      <w:rFonts w:hint="eastAsia" w:ascii="Times New Roman" w:hAnsi="Times New Roman" w:cs="Times New Roman"/>
                      <w:color w:val="auto"/>
                      <w:szCs w:val="21"/>
                      <w:lang w:val="en-US" w:eastAsia="zh-CN"/>
                    </w:rPr>
                    <w:t>288</w:t>
                  </w:r>
                  <w:r>
                    <w:rPr>
                      <w:rFonts w:hint="default" w:ascii="Times New Roman" w:hAnsi="Times New Roman" w:cs="Times New Roman"/>
                      <w:color w:val="auto"/>
                      <w:szCs w:val="21"/>
                      <w:lang w:val="en-US" w:eastAsia="zh-CN"/>
                    </w:rPr>
                    <w:t>㎡，长*宽*高=（</w:t>
                  </w:r>
                  <w:r>
                    <w:rPr>
                      <w:rFonts w:hint="eastAsia" w:ascii="Times New Roman" w:hAnsi="Times New Roman" w:cs="Times New Roman"/>
                      <w:color w:val="auto"/>
                      <w:szCs w:val="21"/>
                      <w:lang w:val="en-US" w:eastAsia="zh-CN"/>
                    </w:rPr>
                    <w:t>24</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12</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13</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新增激光切割设备。</w:t>
                  </w:r>
                </w:p>
              </w:tc>
              <w:tc>
                <w:tcPr>
                  <w:tcW w:w="1235" w:type="pct"/>
                  <w:vMerge w:val="restart"/>
                  <w:noWrap w:val="0"/>
                  <w:vAlign w:val="center"/>
                </w:tcPr>
                <w:p w14:paraId="4EDA1993">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依托厂房，新增设备及环保设施</w:t>
                  </w:r>
                </w:p>
              </w:tc>
            </w:tr>
            <w:tr w14:paraId="736DC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298" w:type="pct"/>
                  <w:vMerge w:val="continue"/>
                  <w:noWrap w:val="0"/>
                  <w:vAlign w:val="center"/>
                </w:tcPr>
                <w:p w14:paraId="0BB035B3">
                  <w:pPr>
                    <w:rPr>
                      <w:rFonts w:hint="default"/>
                      <w:color w:val="auto"/>
                    </w:rPr>
                  </w:pPr>
                </w:p>
              </w:tc>
              <w:tc>
                <w:tcPr>
                  <w:tcW w:w="253" w:type="pct"/>
                  <w:vMerge w:val="continue"/>
                  <w:noWrap w:val="0"/>
                  <w:vAlign w:val="center"/>
                </w:tcPr>
                <w:p w14:paraId="7D688094">
                  <w:pPr>
                    <w:adjustRightInd w:val="0"/>
                    <w:snapToGrid w:val="0"/>
                    <w:jc w:val="center"/>
                    <w:rPr>
                      <w:rFonts w:hint="default" w:ascii="Times New Roman" w:hAnsi="Times New Roman" w:cs="Times New Roman"/>
                      <w:color w:val="auto"/>
                      <w:szCs w:val="21"/>
                    </w:rPr>
                  </w:pPr>
                </w:p>
              </w:tc>
              <w:tc>
                <w:tcPr>
                  <w:tcW w:w="634" w:type="pct"/>
                  <w:gridSpan w:val="3"/>
                  <w:noWrap w:val="0"/>
                  <w:vAlign w:val="center"/>
                </w:tcPr>
                <w:p w14:paraId="0F6E0A8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焊接区</w:t>
                  </w:r>
                </w:p>
              </w:tc>
              <w:tc>
                <w:tcPr>
                  <w:tcW w:w="2577" w:type="pct"/>
                  <w:noWrap w:val="0"/>
                  <w:vAlign w:val="center"/>
                </w:tcPr>
                <w:p w14:paraId="0607014E">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1层</w:t>
                  </w:r>
                  <w:r>
                    <w:rPr>
                      <w:rFonts w:hint="eastAsia" w:ascii="Times New Roman" w:hAnsi="Times New Roman" w:cs="Times New Roman"/>
                      <w:color w:val="auto"/>
                      <w:szCs w:val="21"/>
                      <w:lang w:val="en-US" w:eastAsia="zh-CN"/>
                    </w:rPr>
                    <w:t>钢</w:t>
                  </w:r>
                  <w:r>
                    <w:rPr>
                      <w:rFonts w:hint="default" w:ascii="Times New Roman" w:hAnsi="Times New Roman" w:cs="Times New Roman"/>
                      <w:color w:val="auto"/>
                      <w:szCs w:val="21"/>
                      <w:lang w:val="en-US" w:eastAsia="zh-CN"/>
                    </w:rPr>
                    <w:t>结构，</w:t>
                  </w:r>
                  <w:r>
                    <w:rPr>
                      <w:rFonts w:hint="eastAsia" w:ascii="Times New Roman" w:hAnsi="Times New Roman" w:cs="Times New Roman"/>
                      <w:color w:val="auto"/>
                      <w:szCs w:val="21"/>
                      <w:lang w:val="en-US" w:eastAsia="zh-CN"/>
                    </w:rPr>
                    <w:t>分为4跨，焊接区位于厂房第2跨中间位置，设</w:t>
                  </w:r>
                  <w:r>
                    <w:rPr>
                      <w:rFonts w:hint="eastAsia" w:cs="Times New Roman"/>
                      <w:color w:val="auto"/>
                      <w:szCs w:val="21"/>
                      <w:lang w:val="en-US" w:eastAsia="zh-CN"/>
                    </w:rPr>
                    <w:t>密闭</w:t>
                  </w:r>
                  <w:r>
                    <w:rPr>
                      <w:rFonts w:hint="eastAsia" w:ascii="Times New Roman" w:hAnsi="Times New Roman" w:cs="Times New Roman"/>
                      <w:color w:val="auto"/>
                      <w:szCs w:val="21"/>
                      <w:lang w:val="en-US" w:eastAsia="zh-CN"/>
                    </w:rPr>
                    <w:t>焊接房，</w:t>
                  </w:r>
                  <w:r>
                    <w:rPr>
                      <w:rFonts w:hint="default" w:ascii="Times New Roman" w:hAnsi="Times New Roman" w:cs="Times New Roman"/>
                      <w:color w:val="auto"/>
                      <w:szCs w:val="21"/>
                      <w:lang w:eastAsia="zh-CN"/>
                    </w:rPr>
                    <w:t>占地面积</w:t>
                  </w:r>
                  <w:r>
                    <w:rPr>
                      <w:rFonts w:hint="eastAsia" w:ascii="Times New Roman" w:hAnsi="Times New Roman" w:cs="Times New Roman"/>
                      <w:color w:val="auto"/>
                      <w:szCs w:val="21"/>
                      <w:lang w:eastAsia="zh-CN"/>
                    </w:rPr>
                    <w:t>共计</w:t>
                  </w:r>
                  <w:r>
                    <w:rPr>
                      <w:rFonts w:hint="eastAsia" w:ascii="Times New Roman" w:hAnsi="Times New Roman" w:cs="Times New Roman"/>
                      <w:color w:val="auto"/>
                      <w:szCs w:val="21"/>
                      <w:lang w:val="en-US" w:eastAsia="zh-CN"/>
                    </w:rPr>
                    <w:t>180</w:t>
                  </w:r>
                  <w:r>
                    <w:rPr>
                      <w:rFonts w:hint="default" w:ascii="Times New Roman" w:hAnsi="Times New Roman" w:cs="Times New Roman"/>
                      <w:color w:val="auto"/>
                      <w:szCs w:val="21"/>
                      <w:lang w:val="en-US" w:eastAsia="zh-CN"/>
                    </w:rPr>
                    <w:t>㎡，长*宽*高=（</w:t>
                  </w:r>
                  <w:r>
                    <w:rPr>
                      <w:rFonts w:hint="eastAsia" w:ascii="Times New Roman" w:hAnsi="Times New Roman" w:cs="Times New Roman"/>
                      <w:color w:val="auto"/>
                      <w:szCs w:val="21"/>
                      <w:lang w:val="en-US" w:eastAsia="zh-CN"/>
                    </w:rPr>
                    <w:t>15</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12</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6</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新增焊接设备</w:t>
                  </w:r>
                  <w:r>
                    <w:rPr>
                      <w:rFonts w:hint="eastAsia" w:cs="Times New Roman"/>
                      <w:color w:val="auto"/>
                      <w:szCs w:val="21"/>
                      <w:lang w:val="en-US" w:eastAsia="zh-CN"/>
                    </w:rPr>
                    <w:t>，焊接房上方设三个风扇</w:t>
                  </w:r>
                  <w:r>
                    <w:rPr>
                      <w:rFonts w:hint="eastAsia" w:ascii="Times New Roman" w:hAnsi="Times New Roman" w:cs="Times New Roman"/>
                      <w:color w:val="auto"/>
                      <w:szCs w:val="21"/>
                      <w:lang w:val="en-US" w:eastAsia="zh-CN"/>
                    </w:rPr>
                    <w:t>。</w:t>
                  </w:r>
                </w:p>
              </w:tc>
              <w:tc>
                <w:tcPr>
                  <w:tcW w:w="1235" w:type="pct"/>
                  <w:vMerge w:val="continue"/>
                  <w:noWrap w:val="0"/>
                  <w:vAlign w:val="center"/>
                </w:tcPr>
                <w:p w14:paraId="649160FF">
                  <w:pPr>
                    <w:adjustRightInd w:val="0"/>
                    <w:snapToGrid w:val="0"/>
                    <w:jc w:val="center"/>
                    <w:rPr>
                      <w:rFonts w:hint="default" w:ascii="Times New Roman" w:hAnsi="Times New Roman" w:cs="Times New Roman"/>
                      <w:color w:val="auto"/>
                      <w:szCs w:val="21"/>
                      <w:lang w:eastAsia="zh-CN"/>
                    </w:rPr>
                  </w:pPr>
                </w:p>
              </w:tc>
            </w:tr>
            <w:tr w14:paraId="5E673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298" w:type="pct"/>
                  <w:vMerge w:val="continue"/>
                  <w:noWrap w:val="0"/>
                  <w:vAlign w:val="center"/>
                </w:tcPr>
                <w:p w14:paraId="43BB83BE">
                  <w:pPr>
                    <w:rPr>
                      <w:rFonts w:hint="default"/>
                      <w:color w:val="auto"/>
                    </w:rPr>
                  </w:pPr>
                </w:p>
              </w:tc>
              <w:tc>
                <w:tcPr>
                  <w:tcW w:w="253" w:type="pct"/>
                  <w:vMerge w:val="continue"/>
                  <w:noWrap w:val="0"/>
                  <w:vAlign w:val="center"/>
                </w:tcPr>
                <w:p w14:paraId="11C1D6E7">
                  <w:pPr>
                    <w:adjustRightInd w:val="0"/>
                    <w:snapToGrid w:val="0"/>
                    <w:jc w:val="center"/>
                    <w:rPr>
                      <w:rFonts w:hint="default" w:ascii="Times New Roman" w:hAnsi="Times New Roman" w:cs="Times New Roman"/>
                      <w:color w:val="auto"/>
                      <w:szCs w:val="21"/>
                    </w:rPr>
                  </w:pPr>
                </w:p>
              </w:tc>
              <w:tc>
                <w:tcPr>
                  <w:tcW w:w="634" w:type="pct"/>
                  <w:gridSpan w:val="3"/>
                  <w:noWrap w:val="0"/>
                  <w:vAlign w:val="center"/>
                </w:tcPr>
                <w:p w14:paraId="7536424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抛丸区</w:t>
                  </w:r>
                </w:p>
              </w:tc>
              <w:tc>
                <w:tcPr>
                  <w:tcW w:w="2577" w:type="pct"/>
                  <w:noWrap w:val="0"/>
                  <w:vAlign w:val="center"/>
                </w:tcPr>
                <w:p w14:paraId="77B4F673">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抛丸区位于厂房第2跨西侧位置，共设3台，占地面积共计96㎡，</w:t>
                  </w:r>
                  <w:r>
                    <w:rPr>
                      <w:rFonts w:hint="default" w:ascii="Times New Roman" w:hAnsi="Times New Roman" w:cs="Times New Roman"/>
                      <w:color w:val="auto"/>
                      <w:szCs w:val="21"/>
                      <w:lang w:val="en-US" w:eastAsia="zh-CN"/>
                    </w:rPr>
                    <w:t>长*宽*高</w:t>
                  </w:r>
                  <w:r>
                    <w:rPr>
                      <w:rFonts w:hint="eastAsia" w:ascii="Times New Roman" w:hAnsi="Times New Roman" w:cs="Times New Roman"/>
                      <w:color w:val="auto"/>
                      <w:szCs w:val="21"/>
                      <w:lang w:val="en-US" w:eastAsia="zh-CN"/>
                    </w:rPr>
                    <w:t>（12m*8m*13m），用于工件表面的抛丸处理。</w:t>
                  </w:r>
                </w:p>
              </w:tc>
              <w:tc>
                <w:tcPr>
                  <w:tcW w:w="1235" w:type="pct"/>
                  <w:vMerge w:val="continue"/>
                  <w:noWrap w:val="0"/>
                  <w:vAlign w:val="center"/>
                </w:tcPr>
                <w:p w14:paraId="6BE6652E">
                  <w:pPr>
                    <w:adjustRightInd w:val="0"/>
                    <w:snapToGrid w:val="0"/>
                    <w:jc w:val="center"/>
                    <w:rPr>
                      <w:rFonts w:hint="default" w:ascii="Times New Roman" w:hAnsi="Times New Roman" w:cs="Times New Roman"/>
                      <w:color w:val="auto"/>
                      <w:szCs w:val="21"/>
                      <w:lang w:eastAsia="zh-CN"/>
                    </w:rPr>
                  </w:pPr>
                </w:p>
              </w:tc>
            </w:tr>
            <w:tr w14:paraId="249C8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 w:type="pct"/>
                  <w:vMerge w:val="continue"/>
                  <w:noWrap w:val="0"/>
                  <w:vAlign w:val="center"/>
                </w:tcPr>
                <w:p w14:paraId="26DD5564">
                  <w:pPr>
                    <w:pStyle w:val="16"/>
                    <w:rPr>
                      <w:rFonts w:hint="eastAsia"/>
                      <w:color w:val="auto"/>
                      <w:lang w:eastAsia="zh-CN"/>
                    </w:rPr>
                  </w:pPr>
                </w:p>
              </w:tc>
              <w:tc>
                <w:tcPr>
                  <w:tcW w:w="253" w:type="pct"/>
                  <w:vMerge w:val="continue"/>
                  <w:noWrap w:val="0"/>
                  <w:vAlign w:val="center"/>
                </w:tcPr>
                <w:p w14:paraId="0E7413FA">
                  <w:pPr>
                    <w:adjustRightInd w:val="0"/>
                    <w:snapToGrid w:val="0"/>
                    <w:jc w:val="center"/>
                    <w:rPr>
                      <w:rFonts w:hint="default" w:ascii="Times New Roman" w:hAnsi="Times New Roman" w:cs="Times New Roman"/>
                      <w:color w:val="auto"/>
                    </w:rPr>
                  </w:pPr>
                </w:p>
              </w:tc>
              <w:tc>
                <w:tcPr>
                  <w:tcW w:w="253" w:type="pct"/>
                  <w:gridSpan w:val="2"/>
                  <w:vMerge w:val="restart"/>
                  <w:noWrap w:val="0"/>
                  <w:vAlign w:val="center"/>
                </w:tcPr>
                <w:p w14:paraId="19408154">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1#喷塑</w:t>
                  </w:r>
                  <w:r>
                    <w:rPr>
                      <w:rFonts w:hint="eastAsia" w:ascii="Times New Roman" w:hAnsi="Times New Roman" w:cs="Times New Roman"/>
                      <w:color w:val="auto"/>
                      <w:szCs w:val="21"/>
                      <w:lang w:val="en-US" w:eastAsia="zh-CN"/>
                    </w:rPr>
                    <w:t>区</w:t>
                  </w:r>
                </w:p>
              </w:tc>
              <w:tc>
                <w:tcPr>
                  <w:tcW w:w="380" w:type="pct"/>
                  <w:noWrap w:val="0"/>
                  <w:vAlign w:val="center"/>
                </w:tcPr>
                <w:p w14:paraId="2C7287C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工件清洗</w:t>
                  </w:r>
                </w:p>
              </w:tc>
              <w:tc>
                <w:tcPr>
                  <w:tcW w:w="2577" w:type="pct"/>
                  <w:noWrap w:val="0"/>
                  <w:vAlign w:val="center"/>
                </w:tcPr>
                <w:p w14:paraId="55B2D448">
                  <w:pPr>
                    <w:adjustRightInd w:val="0"/>
                    <w:snapToGrid w:val="0"/>
                    <w:jc w:val="center"/>
                    <w:rPr>
                      <w:rFonts w:hint="default" w:ascii="Times New Roman" w:hAnsi="Times New Roman" w:cs="Times New Roman"/>
                      <w:color w:val="auto"/>
                      <w:szCs w:val="21"/>
                      <w:lang w:val="en-US"/>
                    </w:rPr>
                  </w:pPr>
                  <w:r>
                    <w:rPr>
                      <w:rFonts w:hint="eastAsia" w:ascii="Times New Roman" w:hAnsi="Times New Roman" w:cs="Times New Roman"/>
                      <w:color w:val="auto"/>
                      <w:szCs w:val="21"/>
                      <w:lang w:val="en-US" w:eastAsia="zh-CN"/>
                    </w:rPr>
                    <w:t>1层钢结构，位于第4跨</w:t>
                  </w:r>
                  <w:r>
                    <w:rPr>
                      <w:rFonts w:hint="eastAsia" w:cs="Times New Roman"/>
                      <w:color w:val="auto"/>
                      <w:szCs w:val="21"/>
                      <w:lang w:val="en-US" w:eastAsia="zh-CN"/>
                    </w:rPr>
                    <w:t>车间内北侧位置，为隧道式，内设6个清洗槽，分别为预脱脂、主脱脂、1#水洗、2#水洗、硅烷和3#水洗，槽体分别为3.1m³、6.1m³、2.4m³、3.5m³、2.4m³，槽体均设溢流口。工件均经人工上件、人工下件，采用喷淋式清洗，输送机运行速度为2.0m/min。</w:t>
                  </w:r>
                </w:p>
              </w:tc>
              <w:tc>
                <w:tcPr>
                  <w:tcW w:w="1235" w:type="pct"/>
                  <w:vMerge w:val="restart"/>
                  <w:noWrap w:val="0"/>
                  <w:vAlign w:val="center"/>
                </w:tcPr>
                <w:p w14:paraId="57952274">
                  <w:pPr>
                    <w:adjustRightInd w:val="0"/>
                    <w:snapToGrid w:val="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占地面积为</w:t>
                  </w:r>
                  <w:r>
                    <w:rPr>
                      <w:rFonts w:hint="eastAsia" w:ascii="Times New Roman" w:hAnsi="Times New Roman" w:cs="Times New Roman"/>
                      <w:color w:val="auto"/>
                      <w:szCs w:val="21"/>
                      <w:lang w:val="en-US" w:eastAsia="zh-CN"/>
                    </w:rPr>
                    <w:t>820</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长*宽*高=（</w:t>
                  </w:r>
                  <w:r>
                    <w:rPr>
                      <w:rFonts w:hint="eastAsia" w:ascii="Times New Roman" w:hAnsi="Times New Roman" w:cs="Times New Roman"/>
                      <w:color w:val="auto"/>
                      <w:szCs w:val="21"/>
                      <w:lang w:val="en-US" w:eastAsia="zh-CN"/>
                    </w:rPr>
                    <w:t>58</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14</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4</w:t>
                  </w:r>
                  <w:r>
                    <w:rPr>
                      <w:rFonts w:hint="default" w:ascii="Times New Roman" w:hAnsi="Times New Roman" w:cs="Times New Roman"/>
                      <w:color w:val="auto"/>
                      <w:szCs w:val="21"/>
                      <w:lang w:val="en-US" w:eastAsia="zh-CN"/>
                    </w:rPr>
                    <w:t>m）</w:t>
                  </w:r>
                  <w:r>
                    <w:rPr>
                      <w:rFonts w:hint="eastAsia" w:cs="Times New Roman"/>
                      <w:color w:val="auto"/>
                      <w:szCs w:val="21"/>
                      <w:lang w:val="en-US" w:eastAsia="zh-CN"/>
                    </w:rPr>
                    <w:t>，已建</w:t>
                  </w:r>
                </w:p>
              </w:tc>
            </w:tr>
            <w:tr w14:paraId="650B8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 w:type="pct"/>
                  <w:vMerge w:val="continue"/>
                  <w:noWrap w:val="0"/>
                  <w:vAlign w:val="center"/>
                </w:tcPr>
                <w:p w14:paraId="18E67833">
                  <w:pPr>
                    <w:pStyle w:val="16"/>
                    <w:rPr>
                      <w:rFonts w:hint="eastAsia"/>
                      <w:color w:val="auto"/>
                      <w:lang w:eastAsia="zh-CN"/>
                    </w:rPr>
                  </w:pPr>
                </w:p>
              </w:tc>
              <w:tc>
                <w:tcPr>
                  <w:tcW w:w="253" w:type="pct"/>
                  <w:vMerge w:val="continue"/>
                  <w:noWrap w:val="0"/>
                  <w:vAlign w:val="center"/>
                </w:tcPr>
                <w:p w14:paraId="472E3976">
                  <w:pPr>
                    <w:adjustRightInd w:val="0"/>
                    <w:snapToGrid w:val="0"/>
                    <w:jc w:val="center"/>
                    <w:rPr>
                      <w:rFonts w:hint="default" w:ascii="Times New Roman" w:hAnsi="Times New Roman" w:cs="Times New Roman"/>
                      <w:color w:val="auto"/>
                    </w:rPr>
                  </w:pPr>
                </w:p>
              </w:tc>
              <w:tc>
                <w:tcPr>
                  <w:tcW w:w="253" w:type="pct"/>
                  <w:gridSpan w:val="2"/>
                  <w:vMerge w:val="continue"/>
                  <w:noWrap w:val="0"/>
                  <w:vAlign w:val="center"/>
                </w:tcPr>
                <w:p w14:paraId="6DC9C106">
                  <w:pPr>
                    <w:adjustRightInd w:val="0"/>
                    <w:snapToGrid w:val="0"/>
                    <w:jc w:val="center"/>
                    <w:rPr>
                      <w:rFonts w:hint="eastAsia" w:cs="Times New Roman"/>
                      <w:color w:val="auto"/>
                      <w:szCs w:val="21"/>
                      <w:lang w:val="en-US" w:eastAsia="zh-CN"/>
                    </w:rPr>
                  </w:pPr>
                </w:p>
              </w:tc>
              <w:tc>
                <w:tcPr>
                  <w:tcW w:w="380" w:type="pct"/>
                  <w:noWrap w:val="0"/>
                  <w:vAlign w:val="center"/>
                </w:tcPr>
                <w:p w14:paraId="6751127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烘干</w:t>
                  </w:r>
                </w:p>
              </w:tc>
              <w:tc>
                <w:tcPr>
                  <w:tcW w:w="2577" w:type="pct"/>
                  <w:noWrap w:val="0"/>
                  <w:vAlign w:val="center"/>
                </w:tcPr>
                <w:p w14:paraId="402F760D">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烘干炉（水份炉）位于工件清洗东侧位置，廊道式，内设循环风机，炉内温度153.5℃，采用天然气加热烘干，输送机运行速度为2.0m/min。</w:t>
                  </w:r>
                </w:p>
              </w:tc>
              <w:tc>
                <w:tcPr>
                  <w:tcW w:w="1235" w:type="pct"/>
                  <w:vMerge w:val="continue"/>
                  <w:noWrap w:val="0"/>
                  <w:vAlign w:val="center"/>
                </w:tcPr>
                <w:p w14:paraId="51E2477D">
                  <w:pPr>
                    <w:adjustRightInd w:val="0"/>
                    <w:snapToGrid w:val="0"/>
                    <w:jc w:val="center"/>
                    <w:rPr>
                      <w:rFonts w:hint="default" w:ascii="Times New Roman" w:hAnsi="Times New Roman" w:cs="Times New Roman"/>
                      <w:color w:val="auto"/>
                      <w:szCs w:val="21"/>
                    </w:rPr>
                  </w:pPr>
                </w:p>
              </w:tc>
            </w:tr>
            <w:tr w14:paraId="30D3C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 w:type="pct"/>
                  <w:vMerge w:val="continue"/>
                  <w:noWrap w:val="0"/>
                  <w:vAlign w:val="center"/>
                </w:tcPr>
                <w:p w14:paraId="4BB369D7">
                  <w:pPr>
                    <w:pStyle w:val="16"/>
                    <w:rPr>
                      <w:rFonts w:hint="eastAsia"/>
                      <w:color w:val="auto"/>
                      <w:lang w:eastAsia="zh-CN"/>
                    </w:rPr>
                  </w:pPr>
                </w:p>
              </w:tc>
              <w:tc>
                <w:tcPr>
                  <w:tcW w:w="253" w:type="pct"/>
                  <w:vMerge w:val="continue"/>
                  <w:noWrap w:val="0"/>
                  <w:vAlign w:val="center"/>
                </w:tcPr>
                <w:p w14:paraId="57835EF1">
                  <w:pPr>
                    <w:adjustRightInd w:val="0"/>
                    <w:snapToGrid w:val="0"/>
                    <w:jc w:val="center"/>
                    <w:rPr>
                      <w:rFonts w:hint="default" w:ascii="Times New Roman" w:hAnsi="Times New Roman" w:cs="Times New Roman"/>
                      <w:color w:val="auto"/>
                    </w:rPr>
                  </w:pPr>
                </w:p>
              </w:tc>
              <w:tc>
                <w:tcPr>
                  <w:tcW w:w="253" w:type="pct"/>
                  <w:gridSpan w:val="2"/>
                  <w:vMerge w:val="continue"/>
                  <w:noWrap w:val="0"/>
                  <w:vAlign w:val="center"/>
                </w:tcPr>
                <w:p w14:paraId="1A8EBAF6">
                  <w:pPr>
                    <w:adjustRightInd w:val="0"/>
                    <w:snapToGrid w:val="0"/>
                    <w:jc w:val="center"/>
                    <w:rPr>
                      <w:rFonts w:hint="eastAsia" w:cs="Times New Roman"/>
                      <w:color w:val="auto"/>
                      <w:szCs w:val="21"/>
                      <w:lang w:val="en-US" w:eastAsia="zh-CN"/>
                    </w:rPr>
                  </w:pPr>
                </w:p>
              </w:tc>
              <w:tc>
                <w:tcPr>
                  <w:tcW w:w="380" w:type="pct"/>
                  <w:noWrap w:val="0"/>
                  <w:vAlign w:val="center"/>
                </w:tcPr>
                <w:p w14:paraId="302C077D">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喷粉</w:t>
                  </w:r>
                </w:p>
              </w:tc>
              <w:tc>
                <w:tcPr>
                  <w:tcW w:w="2577" w:type="pct"/>
                  <w:noWrap w:val="0"/>
                  <w:vAlign w:val="center"/>
                </w:tcPr>
                <w:p w14:paraId="7B7C1E58">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大旋风喷粉房，密闭，位于烘干炉东南侧位置，采用静电喷涂。</w:t>
                  </w:r>
                </w:p>
              </w:tc>
              <w:tc>
                <w:tcPr>
                  <w:tcW w:w="1235" w:type="pct"/>
                  <w:vMerge w:val="continue"/>
                  <w:noWrap w:val="0"/>
                  <w:vAlign w:val="center"/>
                </w:tcPr>
                <w:p w14:paraId="0B498CD9">
                  <w:pPr>
                    <w:adjustRightInd w:val="0"/>
                    <w:snapToGrid w:val="0"/>
                    <w:jc w:val="center"/>
                    <w:rPr>
                      <w:rFonts w:hint="default" w:ascii="Times New Roman" w:hAnsi="Times New Roman" w:cs="Times New Roman"/>
                      <w:color w:val="auto"/>
                      <w:szCs w:val="21"/>
                    </w:rPr>
                  </w:pPr>
                </w:p>
              </w:tc>
            </w:tr>
            <w:tr w14:paraId="13111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 w:type="pct"/>
                  <w:vMerge w:val="continue"/>
                  <w:noWrap w:val="0"/>
                  <w:vAlign w:val="center"/>
                </w:tcPr>
                <w:p w14:paraId="230C4E86">
                  <w:pPr>
                    <w:pStyle w:val="16"/>
                    <w:rPr>
                      <w:rFonts w:hint="eastAsia"/>
                      <w:color w:val="auto"/>
                      <w:lang w:eastAsia="zh-CN"/>
                    </w:rPr>
                  </w:pPr>
                </w:p>
              </w:tc>
              <w:tc>
                <w:tcPr>
                  <w:tcW w:w="253" w:type="pct"/>
                  <w:vMerge w:val="continue"/>
                  <w:noWrap w:val="0"/>
                  <w:vAlign w:val="center"/>
                </w:tcPr>
                <w:p w14:paraId="009CB5DB">
                  <w:pPr>
                    <w:adjustRightInd w:val="0"/>
                    <w:snapToGrid w:val="0"/>
                    <w:jc w:val="center"/>
                    <w:rPr>
                      <w:rFonts w:hint="default" w:ascii="Times New Roman" w:hAnsi="Times New Roman" w:cs="Times New Roman"/>
                      <w:color w:val="auto"/>
                    </w:rPr>
                  </w:pPr>
                </w:p>
              </w:tc>
              <w:tc>
                <w:tcPr>
                  <w:tcW w:w="253" w:type="pct"/>
                  <w:gridSpan w:val="2"/>
                  <w:vMerge w:val="continue"/>
                  <w:noWrap w:val="0"/>
                  <w:vAlign w:val="center"/>
                </w:tcPr>
                <w:p w14:paraId="63FAD078">
                  <w:pPr>
                    <w:adjustRightInd w:val="0"/>
                    <w:snapToGrid w:val="0"/>
                    <w:jc w:val="center"/>
                    <w:rPr>
                      <w:rFonts w:hint="eastAsia" w:cs="Times New Roman"/>
                      <w:color w:val="auto"/>
                      <w:szCs w:val="21"/>
                      <w:lang w:val="en-US" w:eastAsia="zh-CN"/>
                    </w:rPr>
                  </w:pPr>
                </w:p>
              </w:tc>
              <w:tc>
                <w:tcPr>
                  <w:tcW w:w="380" w:type="pct"/>
                  <w:noWrap w:val="0"/>
                  <w:vAlign w:val="center"/>
                </w:tcPr>
                <w:p w14:paraId="278528A6">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固化</w:t>
                  </w:r>
                </w:p>
              </w:tc>
              <w:tc>
                <w:tcPr>
                  <w:tcW w:w="2577" w:type="pct"/>
                  <w:noWrap w:val="0"/>
                  <w:vAlign w:val="center"/>
                </w:tcPr>
                <w:p w14:paraId="7585F5C5">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在厂区最北侧位置，</w:t>
                  </w:r>
                  <w:r>
                    <w:rPr>
                      <w:rFonts w:hint="eastAsia" w:cs="Times New Roman"/>
                      <w:color w:val="auto"/>
                      <w:szCs w:val="21"/>
                      <w:lang w:val="en-US" w:eastAsia="zh-CN"/>
                    </w:rPr>
                    <w:t>设</w:t>
                  </w:r>
                  <w:r>
                    <w:rPr>
                      <w:rFonts w:hint="eastAsia" w:ascii="Times New Roman" w:hAnsi="Times New Roman" w:cs="Times New Roman"/>
                      <w:color w:val="auto"/>
                      <w:szCs w:val="21"/>
                      <w:lang w:val="en-US" w:eastAsia="zh-CN"/>
                    </w:rPr>
                    <w:t>喷涂生产线，含除油、水洗、烘干、</w:t>
                  </w:r>
                  <w:r>
                    <w:rPr>
                      <w:rFonts w:hint="eastAsia" w:cs="Times New Roman"/>
                      <w:color w:val="auto"/>
                      <w:szCs w:val="21"/>
                      <w:lang w:val="en-US" w:eastAsia="zh-CN"/>
                    </w:rPr>
                    <w:t>喷粉</w:t>
                  </w:r>
                  <w:r>
                    <w:rPr>
                      <w:rFonts w:hint="eastAsia" w:ascii="Times New Roman" w:hAnsi="Times New Roman" w:cs="Times New Roman"/>
                      <w:color w:val="auto"/>
                      <w:szCs w:val="21"/>
                      <w:lang w:val="en-US" w:eastAsia="zh-CN"/>
                    </w:rPr>
                    <w:t>、固化</w:t>
                  </w:r>
                  <w:r>
                    <w:rPr>
                      <w:rFonts w:hint="eastAsia" w:cs="Times New Roman"/>
                      <w:color w:val="auto"/>
                      <w:szCs w:val="21"/>
                      <w:lang w:val="en-US" w:eastAsia="zh-CN"/>
                    </w:rPr>
                    <w:t>，</w:t>
                  </w:r>
                </w:p>
              </w:tc>
              <w:tc>
                <w:tcPr>
                  <w:tcW w:w="1235" w:type="pct"/>
                  <w:vMerge w:val="continue"/>
                  <w:noWrap w:val="0"/>
                  <w:vAlign w:val="center"/>
                </w:tcPr>
                <w:p w14:paraId="424869C6">
                  <w:pPr>
                    <w:adjustRightInd w:val="0"/>
                    <w:snapToGrid w:val="0"/>
                    <w:jc w:val="center"/>
                    <w:rPr>
                      <w:rFonts w:hint="default" w:ascii="Times New Roman" w:hAnsi="Times New Roman" w:cs="Times New Roman"/>
                      <w:color w:val="auto"/>
                      <w:szCs w:val="21"/>
                    </w:rPr>
                  </w:pPr>
                </w:p>
              </w:tc>
            </w:tr>
            <w:tr w14:paraId="08E88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 w:type="pct"/>
                  <w:vMerge w:val="continue"/>
                  <w:noWrap w:val="0"/>
                  <w:vAlign w:val="center"/>
                </w:tcPr>
                <w:p w14:paraId="75FCCAC6">
                  <w:pPr>
                    <w:pStyle w:val="16"/>
                    <w:rPr>
                      <w:rFonts w:hint="eastAsia"/>
                      <w:color w:val="auto"/>
                      <w:lang w:eastAsia="zh-CN"/>
                    </w:rPr>
                  </w:pPr>
                </w:p>
              </w:tc>
              <w:tc>
                <w:tcPr>
                  <w:tcW w:w="253" w:type="pct"/>
                  <w:vMerge w:val="continue"/>
                  <w:noWrap w:val="0"/>
                  <w:vAlign w:val="center"/>
                </w:tcPr>
                <w:p w14:paraId="0D7A6ED8">
                  <w:pPr>
                    <w:adjustRightInd w:val="0"/>
                    <w:snapToGrid w:val="0"/>
                    <w:jc w:val="center"/>
                    <w:rPr>
                      <w:rFonts w:hint="default" w:ascii="Times New Roman" w:hAnsi="Times New Roman" w:cs="Times New Roman"/>
                      <w:color w:val="auto"/>
                    </w:rPr>
                  </w:pPr>
                </w:p>
              </w:tc>
              <w:tc>
                <w:tcPr>
                  <w:tcW w:w="253" w:type="pct"/>
                  <w:gridSpan w:val="2"/>
                  <w:noWrap w:val="0"/>
                  <w:vAlign w:val="center"/>
                </w:tcPr>
                <w:p w14:paraId="4630563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2#喷塑区</w:t>
                  </w:r>
                </w:p>
              </w:tc>
              <w:tc>
                <w:tcPr>
                  <w:tcW w:w="380" w:type="pct"/>
                  <w:noWrap w:val="0"/>
                  <w:vAlign w:val="center"/>
                </w:tcPr>
                <w:p w14:paraId="4BD91A0D">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喷粉、固化</w:t>
                  </w:r>
                </w:p>
              </w:tc>
              <w:tc>
                <w:tcPr>
                  <w:tcW w:w="2577" w:type="pct"/>
                  <w:noWrap w:val="0"/>
                  <w:vAlign w:val="center"/>
                </w:tcPr>
                <w:p w14:paraId="751CFC16">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位于1#喷塑区南侧位置，设置一间独立喷粉房和一台面包炉，喷粉房和面包炉均设独立密闭房，主要用于大工件喷粉、固化，经表面处理后直接喷粉固化，不经水洗。</w:t>
                  </w:r>
                </w:p>
              </w:tc>
              <w:tc>
                <w:tcPr>
                  <w:tcW w:w="1235" w:type="pct"/>
                  <w:noWrap w:val="0"/>
                  <w:vAlign w:val="center"/>
                </w:tcPr>
                <w:p w14:paraId="54D10DC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未建，要求密闭，废气经收集后有组织排放。</w:t>
                  </w:r>
                </w:p>
              </w:tc>
            </w:tr>
            <w:tr w14:paraId="357F5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98" w:type="pct"/>
                  <w:noWrap w:val="0"/>
                  <w:vAlign w:val="center"/>
                </w:tcPr>
                <w:p w14:paraId="403ED7A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辅助</w:t>
                  </w:r>
                </w:p>
                <w:p w14:paraId="4374577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工程</w:t>
                  </w:r>
                </w:p>
              </w:tc>
              <w:tc>
                <w:tcPr>
                  <w:tcW w:w="888" w:type="pct"/>
                  <w:gridSpan w:val="4"/>
                  <w:tcBorders>
                    <w:top w:val="single" w:color="auto" w:sz="4" w:space="0"/>
                  </w:tcBorders>
                  <w:noWrap w:val="0"/>
                  <w:vAlign w:val="center"/>
                </w:tcPr>
                <w:p w14:paraId="4153E931">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办公</w:t>
                  </w:r>
                  <w:r>
                    <w:rPr>
                      <w:rFonts w:hint="eastAsia" w:ascii="Times New Roman" w:hAnsi="Times New Roman" w:cs="Times New Roman"/>
                      <w:color w:val="auto"/>
                      <w:szCs w:val="21"/>
                      <w:lang w:eastAsia="zh-CN"/>
                    </w:rPr>
                    <w:t>室</w:t>
                  </w:r>
                </w:p>
              </w:tc>
              <w:tc>
                <w:tcPr>
                  <w:tcW w:w="2577" w:type="pct"/>
                  <w:noWrap w:val="0"/>
                  <w:vAlign w:val="center"/>
                </w:tcPr>
                <w:p w14:paraId="7A724B9C">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层，砖混结构，占地面积</w:t>
                  </w:r>
                  <w:r>
                    <w:rPr>
                      <w:rFonts w:hint="eastAsia" w:ascii="Times New Roman" w:hAnsi="Times New Roman" w:eastAsia="宋体" w:cs="Times New Roman"/>
                      <w:color w:val="auto"/>
                      <w:szCs w:val="21"/>
                      <w:lang w:val="en-US" w:eastAsia="zh-CN"/>
                    </w:rPr>
                    <w:t>180</w:t>
                  </w:r>
                  <w:r>
                    <w:rPr>
                      <w:rFonts w:hint="default"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eastAsia="zh-CN"/>
                    </w:rPr>
                    <w:t>（</w:t>
                  </w:r>
                  <w:r>
                    <w:rPr>
                      <w:rFonts w:hint="eastAsia" w:ascii="Times New Roman" w:hAnsi="Times New Roman" w:cs="Times New Roman"/>
                      <w:color w:val="auto"/>
                      <w:szCs w:val="21"/>
                      <w:lang w:val="en-US" w:eastAsia="zh-CN"/>
                    </w:rPr>
                    <w:t>18</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10</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m</w:t>
                  </w:r>
                  <w:r>
                    <w:rPr>
                      <w:rFonts w:hint="eastAsia" w:ascii="Times New Roman" w:hAnsi="Times New Roman" w:eastAsia="宋体" w:cs="Times New Roman"/>
                      <w:color w:val="auto"/>
                      <w:szCs w:val="21"/>
                      <w:lang w:eastAsia="zh-CN"/>
                    </w:rPr>
                    <w:t>）</w:t>
                  </w:r>
                  <w:r>
                    <w:rPr>
                      <w:rFonts w:hint="default" w:ascii="Times New Roman" w:hAnsi="Times New Roman" w:cs="Times New Roman"/>
                      <w:color w:val="auto"/>
                      <w:szCs w:val="21"/>
                    </w:rPr>
                    <w:t>，位于</w:t>
                  </w:r>
                  <w:r>
                    <w:rPr>
                      <w:rFonts w:hint="eastAsia" w:ascii="Times New Roman" w:hAnsi="Times New Roman" w:cs="Times New Roman"/>
                      <w:color w:val="auto"/>
                      <w:szCs w:val="21"/>
                      <w:lang w:eastAsia="zh-CN"/>
                    </w:rPr>
                    <w:t>项目</w:t>
                  </w:r>
                  <w:r>
                    <w:rPr>
                      <w:rFonts w:hint="default" w:ascii="Times New Roman" w:hAnsi="Times New Roman" w:cs="Times New Roman"/>
                      <w:color w:val="auto"/>
                      <w:szCs w:val="21"/>
                      <w:lang w:eastAsia="zh-CN"/>
                    </w:rPr>
                    <w:t>东</w:t>
                  </w:r>
                  <w:r>
                    <w:rPr>
                      <w:rFonts w:hint="eastAsia" w:ascii="Times New Roman" w:hAnsi="Times New Roman" w:cs="Times New Roman"/>
                      <w:color w:val="auto"/>
                      <w:szCs w:val="21"/>
                      <w:lang w:val="en-US" w:eastAsia="zh-CN"/>
                    </w:rPr>
                    <w:t>南位置</w:t>
                  </w:r>
                  <w:r>
                    <w:rPr>
                      <w:rFonts w:hint="eastAsia" w:ascii="Times New Roman" w:hAnsi="Times New Roman" w:cs="Times New Roman"/>
                      <w:color w:val="auto"/>
                      <w:szCs w:val="21"/>
                      <w:lang w:eastAsia="zh-CN"/>
                    </w:rPr>
                    <w:t>，项目入口处</w:t>
                  </w:r>
                  <w:r>
                    <w:rPr>
                      <w:rFonts w:hint="eastAsia" w:ascii="Times New Roman" w:hAnsi="Times New Roman" w:cs="Times New Roman"/>
                      <w:color w:val="auto"/>
                      <w:szCs w:val="21"/>
                      <w:lang w:val="en-US" w:eastAsia="zh-CN"/>
                    </w:rPr>
                    <w:t>北</w:t>
                  </w:r>
                  <w:r>
                    <w:rPr>
                      <w:rFonts w:hint="eastAsia" w:ascii="Times New Roman" w:hAnsi="Times New Roman" w:cs="Times New Roman"/>
                      <w:color w:val="auto"/>
                      <w:szCs w:val="21"/>
                      <w:lang w:eastAsia="zh-CN"/>
                    </w:rPr>
                    <w:t>侧位置，用于行政办公。</w:t>
                  </w:r>
                </w:p>
              </w:tc>
              <w:tc>
                <w:tcPr>
                  <w:tcW w:w="1235" w:type="pct"/>
                  <w:vMerge w:val="restart"/>
                  <w:noWrap w:val="0"/>
                  <w:vAlign w:val="center"/>
                </w:tcPr>
                <w:p w14:paraId="33B362F4">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本次扩建，只新增设备设施，不增加产能及工作时间，故对依托设备和成品区无影响，可依托。</w:t>
                  </w:r>
                </w:p>
              </w:tc>
            </w:tr>
            <w:tr w14:paraId="0AA5D0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98" w:type="pct"/>
                  <w:vMerge w:val="restart"/>
                  <w:noWrap w:val="0"/>
                  <w:vAlign w:val="center"/>
                </w:tcPr>
                <w:p w14:paraId="5F212A08">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依托</w:t>
                  </w:r>
                </w:p>
                <w:p w14:paraId="2C1F21F5">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工程</w:t>
                  </w:r>
                </w:p>
              </w:tc>
              <w:tc>
                <w:tcPr>
                  <w:tcW w:w="888" w:type="pct"/>
                  <w:gridSpan w:val="4"/>
                  <w:tcBorders>
                    <w:top w:val="single" w:color="auto" w:sz="4" w:space="0"/>
                  </w:tcBorders>
                  <w:noWrap w:val="0"/>
                  <w:vAlign w:val="center"/>
                </w:tcPr>
                <w:p w14:paraId="07765CEB">
                  <w:pPr>
                    <w:adjustRightInd w:val="0"/>
                    <w:snapToGrid w:val="0"/>
                    <w:jc w:val="center"/>
                    <w:rPr>
                      <w:rFonts w:hint="default" w:ascii="Times New Roman" w:hAnsi="Times New Roman" w:cs="Times New Roman"/>
                      <w:color w:val="auto"/>
                      <w:szCs w:val="21"/>
                    </w:rPr>
                  </w:pPr>
                  <w:r>
                    <w:rPr>
                      <w:color w:val="auto"/>
                      <w:szCs w:val="21"/>
                    </w:rPr>
                    <w:t>下料区</w:t>
                  </w:r>
                </w:p>
              </w:tc>
              <w:tc>
                <w:tcPr>
                  <w:tcW w:w="2577" w:type="pct"/>
                  <w:noWrap w:val="0"/>
                  <w:vAlign w:val="center"/>
                </w:tcPr>
                <w:p w14:paraId="3E840484">
                  <w:pPr>
                    <w:adjustRightInd w:val="0"/>
                    <w:snapToGrid w:val="0"/>
                    <w:jc w:val="center"/>
                    <w:rPr>
                      <w:rFonts w:hint="eastAsia" w:ascii="Times New Roman" w:hAnsi="Times New Roman" w:eastAsia="宋体" w:cs="Times New Roman"/>
                      <w:color w:val="auto"/>
                      <w:szCs w:val="21"/>
                      <w:lang w:val="en-US" w:eastAsia="zh-CN"/>
                    </w:rPr>
                  </w:pPr>
                  <w:r>
                    <w:rPr>
                      <w:color w:val="auto"/>
                      <w:szCs w:val="21"/>
                    </w:rPr>
                    <w:t>1层</w:t>
                  </w:r>
                  <w:r>
                    <w:rPr>
                      <w:rFonts w:hint="eastAsia"/>
                      <w:color w:val="auto"/>
                      <w:szCs w:val="21"/>
                      <w:lang w:val="en-US" w:eastAsia="zh-CN"/>
                    </w:rPr>
                    <w:t>钢结构</w:t>
                  </w:r>
                  <w:r>
                    <w:rPr>
                      <w:color w:val="auto"/>
                      <w:szCs w:val="21"/>
                    </w:rPr>
                    <w:t>，</w:t>
                  </w:r>
                  <w:r>
                    <w:rPr>
                      <w:rFonts w:hint="eastAsia" w:ascii="Times New Roman" w:hAnsi="Times New Roman" w:cs="Times New Roman"/>
                      <w:color w:val="auto"/>
                      <w:szCs w:val="21"/>
                      <w:lang w:val="en-US" w:eastAsia="zh-CN"/>
                    </w:rPr>
                    <w:t>分为4跨，位于第1跨东侧位置</w:t>
                  </w:r>
                  <w:r>
                    <w:rPr>
                      <w:color w:val="auto"/>
                      <w:szCs w:val="21"/>
                    </w:rPr>
                    <w:t>，占地面积</w:t>
                  </w:r>
                  <w:r>
                    <w:rPr>
                      <w:rFonts w:hint="eastAsia"/>
                      <w:color w:val="auto"/>
                      <w:szCs w:val="21"/>
                    </w:rPr>
                    <w:t>220</w:t>
                  </w:r>
                  <w:r>
                    <w:rPr>
                      <w:color w:val="auto"/>
                      <w:szCs w:val="21"/>
                    </w:rPr>
                    <w:t>㎡，长*宽*高=（</w:t>
                  </w:r>
                  <w:r>
                    <w:rPr>
                      <w:rFonts w:hint="eastAsia"/>
                      <w:color w:val="auto"/>
                      <w:szCs w:val="21"/>
                    </w:rPr>
                    <w:t>20</w:t>
                  </w:r>
                  <w:r>
                    <w:rPr>
                      <w:color w:val="auto"/>
                      <w:szCs w:val="21"/>
                    </w:rPr>
                    <w:t>m*</w:t>
                  </w:r>
                  <w:r>
                    <w:rPr>
                      <w:rFonts w:hint="eastAsia"/>
                      <w:color w:val="auto"/>
                      <w:szCs w:val="21"/>
                    </w:rPr>
                    <w:t>11</w:t>
                  </w:r>
                  <w:r>
                    <w:rPr>
                      <w:color w:val="auto"/>
                      <w:szCs w:val="21"/>
                    </w:rPr>
                    <w:t>m*</w:t>
                  </w:r>
                  <w:r>
                    <w:rPr>
                      <w:rFonts w:hint="eastAsia"/>
                      <w:color w:val="auto"/>
                      <w:szCs w:val="21"/>
                    </w:rPr>
                    <w:t>3</w:t>
                  </w:r>
                  <w:r>
                    <w:rPr>
                      <w:color w:val="auto"/>
                      <w:szCs w:val="21"/>
                    </w:rPr>
                    <w:t>m），主要设置</w:t>
                  </w:r>
                  <w:r>
                    <w:rPr>
                      <w:rFonts w:hint="eastAsia"/>
                      <w:color w:val="auto"/>
                      <w:szCs w:val="21"/>
                    </w:rPr>
                    <w:t>剪板机等下料设备</w:t>
                  </w:r>
                  <w:r>
                    <w:rPr>
                      <w:rFonts w:hint="eastAsia"/>
                      <w:color w:val="auto"/>
                      <w:szCs w:val="21"/>
                      <w:lang w:eastAsia="zh-CN"/>
                    </w:rPr>
                    <w:t>。</w:t>
                  </w:r>
                </w:p>
              </w:tc>
              <w:tc>
                <w:tcPr>
                  <w:tcW w:w="1235" w:type="pct"/>
                  <w:vMerge w:val="continue"/>
                  <w:noWrap w:val="0"/>
                  <w:vAlign w:val="center"/>
                </w:tcPr>
                <w:p w14:paraId="75FC4A16">
                  <w:pPr>
                    <w:adjustRightInd w:val="0"/>
                    <w:snapToGrid w:val="0"/>
                    <w:jc w:val="center"/>
                    <w:rPr>
                      <w:rFonts w:hint="eastAsia" w:ascii="Times New Roman" w:hAnsi="Times New Roman" w:eastAsia="宋体" w:cs="Times New Roman"/>
                      <w:color w:val="auto"/>
                      <w:szCs w:val="21"/>
                      <w:lang w:eastAsia="zh-CN"/>
                    </w:rPr>
                  </w:pPr>
                </w:p>
              </w:tc>
            </w:tr>
            <w:tr w14:paraId="3FCA5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98" w:type="pct"/>
                  <w:vMerge w:val="continue"/>
                  <w:noWrap w:val="0"/>
                  <w:vAlign w:val="center"/>
                </w:tcPr>
                <w:p w14:paraId="4046D65B">
                  <w:pPr>
                    <w:adjustRightInd w:val="0"/>
                    <w:snapToGrid w:val="0"/>
                    <w:jc w:val="center"/>
                    <w:rPr>
                      <w:rFonts w:hint="eastAsia" w:ascii="Times New Roman" w:hAnsi="Times New Roman" w:cs="Times New Roman"/>
                      <w:color w:val="auto"/>
                      <w:szCs w:val="21"/>
                      <w:lang w:val="en-US" w:eastAsia="zh-CN"/>
                    </w:rPr>
                  </w:pPr>
                </w:p>
              </w:tc>
              <w:tc>
                <w:tcPr>
                  <w:tcW w:w="888" w:type="pct"/>
                  <w:gridSpan w:val="4"/>
                  <w:tcBorders>
                    <w:top w:val="single" w:color="auto" w:sz="4" w:space="0"/>
                  </w:tcBorders>
                  <w:noWrap w:val="0"/>
                  <w:vAlign w:val="center"/>
                </w:tcPr>
                <w:p w14:paraId="587A6B8C">
                  <w:pPr>
                    <w:adjustRightInd w:val="0"/>
                    <w:snapToGrid w:val="0"/>
                    <w:jc w:val="center"/>
                    <w:rPr>
                      <w:rFonts w:hint="default" w:eastAsia="宋体"/>
                      <w:color w:val="auto"/>
                      <w:szCs w:val="21"/>
                      <w:lang w:val="en-US" w:eastAsia="zh-CN"/>
                    </w:rPr>
                  </w:pPr>
                  <w:r>
                    <w:rPr>
                      <w:rFonts w:hint="eastAsia"/>
                      <w:color w:val="auto"/>
                      <w:szCs w:val="21"/>
                      <w:lang w:val="en-US" w:eastAsia="zh-CN"/>
                    </w:rPr>
                    <w:t>机加区</w:t>
                  </w:r>
                </w:p>
              </w:tc>
              <w:tc>
                <w:tcPr>
                  <w:tcW w:w="2577" w:type="pct"/>
                  <w:noWrap w:val="0"/>
                  <w:vAlign w:val="center"/>
                </w:tcPr>
                <w:p w14:paraId="0F210556">
                  <w:pPr>
                    <w:adjustRightInd w:val="0"/>
                    <w:snapToGrid w:val="0"/>
                    <w:jc w:val="both"/>
                    <w:rPr>
                      <w:rFonts w:hint="eastAsia" w:eastAsia="宋体"/>
                      <w:color w:val="auto"/>
                      <w:szCs w:val="21"/>
                      <w:lang w:val="en-US" w:eastAsia="zh-CN"/>
                    </w:rPr>
                  </w:pPr>
                  <w:r>
                    <w:rPr>
                      <w:rFonts w:hint="eastAsia"/>
                      <w:color w:val="auto"/>
                      <w:szCs w:val="21"/>
                      <w:lang w:val="en-US" w:eastAsia="zh-CN"/>
                    </w:rPr>
                    <w:t>位于第1跨北侧位置，主要设置冲床、折弯机、压力机、钻床等机加设备，</w:t>
                  </w:r>
                  <w:r>
                    <w:rPr>
                      <w:color w:val="auto"/>
                      <w:szCs w:val="21"/>
                    </w:rPr>
                    <w:t>占地面积</w:t>
                  </w:r>
                  <w:r>
                    <w:rPr>
                      <w:rFonts w:hint="eastAsia"/>
                      <w:color w:val="auto"/>
                      <w:szCs w:val="21"/>
                      <w:lang w:val="en-US" w:eastAsia="zh-CN"/>
                    </w:rPr>
                    <w:t>1067</w:t>
                  </w:r>
                  <w:r>
                    <w:rPr>
                      <w:color w:val="auto"/>
                      <w:szCs w:val="21"/>
                    </w:rPr>
                    <w:t>㎡，长*宽*高=（</w:t>
                  </w:r>
                  <w:r>
                    <w:rPr>
                      <w:rFonts w:hint="eastAsia"/>
                      <w:color w:val="auto"/>
                      <w:szCs w:val="21"/>
                      <w:lang w:val="en-US" w:eastAsia="zh-CN"/>
                    </w:rPr>
                    <w:t>97</w:t>
                  </w:r>
                  <w:r>
                    <w:rPr>
                      <w:color w:val="auto"/>
                      <w:szCs w:val="21"/>
                    </w:rPr>
                    <w:t>m*</w:t>
                  </w:r>
                  <w:r>
                    <w:rPr>
                      <w:rFonts w:hint="eastAsia"/>
                      <w:color w:val="auto"/>
                      <w:szCs w:val="21"/>
                    </w:rPr>
                    <w:t>11</w:t>
                  </w:r>
                  <w:r>
                    <w:rPr>
                      <w:color w:val="auto"/>
                      <w:szCs w:val="21"/>
                    </w:rPr>
                    <w:t>m*</w:t>
                  </w:r>
                  <w:r>
                    <w:rPr>
                      <w:rFonts w:hint="eastAsia"/>
                      <w:color w:val="auto"/>
                      <w:szCs w:val="21"/>
                      <w:lang w:val="en-US" w:eastAsia="zh-CN"/>
                    </w:rPr>
                    <w:t>1</w:t>
                  </w:r>
                  <w:r>
                    <w:rPr>
                      <w:rFonts w:hint="eastAsia"/>
                      <w:color w:val="auto"/>
                      <w:szCs w:val="21"/>
                    </w:rPr>
                    <w:t>3</w:t>
                  </w:r>
                  <w:r>
                    <w:rPr>
                      <w:color w:val="auto"/>
                      <w:szCs w:val="21"/>
                    </w:rPr>
                    <w:t>m）</w:t>
                  </w:r>
                  <w:r>
                    <w:rPr>
                      <w:rFonts w:hint="eastAsia"/>
                      <w:color w:val="auto"/>
                      <w:szCs w:val="21"/>
                      <w:lang w:eastAsia="zh-CN"/>
                    </w:rPr>
                    <w:t>。</w:t>
                  </w:r>
                </w:p>
              </w:tc>
              <w:tc>
                <w:tcPr>
                  <w:tcW w:w="1235" w:type="pct"/>
                  <w:vMerge w:val="continue"/>
                  <w:noWrap w:val="0"/>
                  <w:vAlign w:val="center"/>
                </w:tcPr>
                <w:p w14:paraId="291D7ACF">
                  <w:pPr>
                    <w:adjustRightInd w:val="0"/>
                    <w:snapToGrid w:val="0"/>
                    <w:jc w:val="center"/>
                    <w:rPr>
                      <w:rFonts w:hint="default" w:ascii="Times New Roman" w:hAnsi="Times New Roman" w:eastAsia="宋体" w:cs="Times New Roman"/>
                      <w:color w:val="auto"/>
                      <w:szCs w:val="21"/>
                      <w:lang w:val="en-US" w:eastAsia="zh-CN"/>
                    </w:rPr>
                  </w:pPr>
                </w:p>
              </w:tc>
            </w:tr>
            <w:tr w14:paraId="4C9BC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 w:type="pct"/>
                  <w:vMerge w:val="continue"/>
                  <w:noWrap w:val="0"/>
                  <w:vAlign w:val="center"/>
                </w:tcPr>
                <w:p w14:paraId="500811C5">
                  <w:pPr>
                    <w:adjustRightInd w:val="0"/>
                    <w:snapToGrid w:val="0"/>
                    <w:jc w:val="center"/>
                    <w:rPr>
                      <w:rFonts w:hint="default" w:ascii="Times New Roman" w:hAnsi="Times New Roman" w:cs="Times New Roman"/>
                      <w:color w:val="auto"/>
                      <w:szCs w:val="21"/>
                    </w:rPr>
                  </w:pPr>
                </w:p>
              </w:tc>
              <w:tc>
                <w:tcPr>
                  <w:tcW w:w="888" w:type="pct"/>
                  <w:gridSpan w:val="4"/>
                  <w:tcBorders>
                    <w:top w:val="single" w:color="auto" w:sz="4" w:space="0"/>
                  </w:tcBorders>
                  <w:noWrap w:val="0"/>
                  <w:vAlign w:val="center"/>
                </w:tcPr>
                <w:p w14:paraId="7ACA407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原料区</w:t>
                  </w:r>
                </w:p>
              </w:tc>
              <w:tc>
                <w:tcPr>
                  <w:tcW w:w="2577" w:type="pct"/>
                  <w:noWrap w:val="0"/>
                  <w:vAlign w:val="center"/>
                </w:tcPr>
                <w:p w14:paraId="47622D9B">
                  <w:pPr>
                    <w:adjustRightInd w:val="0"/>
                    <w:snapToGrid w:val="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1层，</w:t>
                  </w:r>
                  <w:r>
                    <w:rPr>
                      <w:rFonts w:hint="eastAsia" w:ascii="Times New Roman" w:hAnsi="Times New Roman" w:cs="Times New Roman"/>
                      <w:color w:val="auto"/>
                      <w:szCs w:val="21"/>
                      <w:lang w:val="en-US" w:eastAsia="zh-CN"/>
                    </w:rPr>
                    <w:t>位于第1</w:t>
                  </w:r>
                  <w:r>
                    <w:rPr>
                      <w:rFonts w:hint="eastAsia" w:cs="Times New Roman"/>
                      <w:color w:val="auto"/>
                      <w:szCs w:val="21"/>
                      <w:lang w:val="en-US" w:eastAsia="zh-CN"/>
                    </w:rPr>
                    <w:t>跨</w:t>
                  </w:r>
                  <w:r>
                    <w:rPr>
                      <w:rFonts w:hint="eastAsia" w:ascii="Times New Roman" w:hAnsi="Times New Roman" w:cs="Times New Roman"/>
                      <w:color w:val="auto"/>
                      <w:szCs w:val="21"/>
                      <w:lang w:val="en-US" w:eastAsia="zh-CN"/>
                    </w:rPr>
                    <w:t>南侧位置</w:t>
                  </w:r>
                  <w:r>
                    <w:rPr>
                      <w:rFonts w:hint="default" w:ascii="Times New Roman" w:hAnsi="Times New Roman" w:cs="Times New Roman"/>
                      <w:color w:val="auto"/>
                      <w:szCs w:val="21"/>
                    </w:rPr>
                    <w:t>，用于本项目原料的堆放</w:t>
                  </w:r>
                  <w:r>
                    <w:rPr>
                      <w:rFonts w:hint="default" w:ascii="Times New Roman" w:hAnsi="Times New Roman" w:cs="Times New Roman"/>
                      <w:color w:val="auto"/>
                      <w:szCs w:val="21"/>
                      <w:lang w:val="en-US" w:eastAsia="zh-CN"/>
                    </w:rPr>
                    <w:t>；</w:t>
                  </w:r>
                  <w:r>
                    <w:rPr>
                      <w:color w:val="auto"/>
                      <w:szCs w:val="21"/>
                    </w:rPr>
                    <w:t>占地面积</w:t>
                  </w:r>
                  <w:r>
                    <w:rPr>
                      <w:rFonts w:hint="eastAsia"/>
                      <w:color w:val="auto"/>
                      <w:szCs w:val="21"/>
                      <w:lang w:val="en-US" w:eastAsia="zh-CN"/>
                    </w:rPr>
                    <w:t>300</w:t>
                  </w:r>
                  <w:r>
                    <w:rPr>
                      <w:color w:val="auto"/>
                      <w:szCs w:val="21"/>
                    </w:rPr>
                    <w:t>㎡，长*宽*高=（</w:t>
                  </w:r>
                  <w:r>
                    <w:rPr>
                      <w:rFonts w:hint="eastAsia"/>
                      <w:color w:val="auto"/>
                      <w:szCs w:val="21"/>
                      <w:lang w:val="en-US" w:eastAsia="zh-CN"/>
                    </w:rPr>
                    <w:t>50</w:t>
                  </w:r>
                  <w:r>
                    <w:rPr>
                      <w:color w:val="auto"/>
                      <w:szCs w:val="21"/>
                    </w:rPr>
                    <w:t>m*</w:t>
                  </w:r>
                  <w:r>
                    <w:rPr>
                      <w:rFonts w:hint="eastAsia"/>
                      <w:color w:val="auto"/>
                      <w:szCs w:val="21"/>
                      <w:lang w:val="en-US" w:eastAsia="zh-CN"/>
                    </w:rPr>
                    <w:t>6</w:t>
                  </w:r>
                  <w:r>
                    <w:rPr>
                      <w:color w:val="auto"/>
                      <w:szCs w:val="21"/>
                    </w:rPr>
                    <w:t>m*</w:t>
                  </w:r>
                  <w:r>
                    <w:rPr>
                      <w:rFonts w:hint="eastAsia"/>
                      <w:color w:val="auto"/>
                      <w:szCs w:val="21"/>
                      <w:lang w:val="en-US" w:eastAsia="zh-CN"/>
                    </w:rPr>
                    <w:t>1</w:t>
                  </w:r>
                  <w:r>
                    <w:rPr>
                      <w:rFonts w:hint="eastAsia"/>
                      <w:color w:val="auto"/>
                      <w:szCs w:val="21"/>
                    </w:rPr>
                    <w:t>3</w:t>
                  </w:r>
                  <w:r>
                    <w:rPr>
                      <w:color w:val="auto"/>
                      <w:szCs w:val="21"/>
                    </w:rPr>
                    <w:t>m）</w:t>
                  </w:r>
                  <w:r>
                    <w:rPr>
                      <w:rFonts w:hint="eastAsia"/>
                      <w:color w:val="auto"/>
                      <w:szCs w:val="21"/>
                      <w:lang w:eastAsia="zh-CN"/>
                    </w:rPr>
                    <w:t>。</w:t>
                  </w:r>
                </w:p>
              </w:tc>
              <w:tc>
                <w:tcPr>
                  <w:tcW w:w="1235" w:type="pct"/>
                  <w:vMerge w:val="continue"/>
                  <w:noWrap w:val="0"/>
                  <w:vAlign w:val="center"/>
                </w:tcPr>
                <w:p w14:paraId="60CC8912">
                  <w:pPr>
                    <w:adjustRightInd w:val="0"/>
                    <w:snapToGrid w:val="0"/>
                    <w:jc w:val="center"/>
                    <w:rPr>
                      <w:rFonts w:hint="eastAsia" w:ascii="Times New Roman" w:hAnsi="Times New Roman" w:eastAsia="宋体" w:cs="Times New Roman"/>
                      <w:color w:val="auto"/>
                      <w:szCs w:val="21"/>
                      <w:lang w:eastAsia="zh-CN"/>
                    </w:rPr>
                  </w:pPr>
                </w:p>
              </w:tc>
            </w:tr>
            <w:tr w14:paraId="39E1E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98" w:type="pct"/>
                  <w:vMerge w:val="continue"/>
                  <w:noWrap w:val="0"/>
                  <w:vAlign w:val="center"/>
                </w:tcPr>
                <w:p w14:paraId="7519B937">
                  <w:pPr>
                    <w:adjustRightInd w:val="0"/>
                    <w:snapToGrid w:val="0"/>
                    <w:jc w:val="center"/>
                    <w:rPr>
                      <w:rFonts w:hint="default" w:ascii="Times New Roman" w:hAnsi="Times New Roman" w:cs="Times New Roman"/>
                      <w:color w:val="auto"/>
                      <w:szCs w:val="21"/>
                    </w:rPr>
                  </w:pPr>
                </w:p>
              </w:tc>
              <w:tc>
                <w:tcPr>
                  <w:tcW w:w="888" w:type="pct"/>
                  <w:gridSpan w:val="4"/>
                  <w:tcBorders>
                    <w:top w:val="single" w:color="auto" w:sz="4" w:space="0"/>
                  </w:tcBorders>
                  <w:noWrap w:val="0"/>
                  <w:vAlign w:val="center"/>
                </w:tcPr>
                <w:p w14:paraId="5A69467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成品区</w:t>
                  </w:r>
                </w:p>
              </w:tc>
              <w:tc>
                <w:tcPr>
                  <w:tcW w:w="2577" w:type="pct"/>
                  <w:noWrap w:val="0"/>
                  <w:vAlign w:val="center"/>
                </w:tcPr>
                <w:p w14:paraId="01F86275">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1层，</w:t>
                  </w:r>
                  <w:r>
                    <w:rPr>
                      <w:rFonts w:hint="eastAsia" w:ascii="Times New Roman" w:hAnsi="Times New Roman" w:cs="Times New Roman"/>
                      <w:color w:val="auto"/>
                      <w:szCs w:val="21"/>
                      <w:lang w:val="en-US" w:eastAsia="zh-CN"/>
                    </w:rPr>
                    <w:t>钢结构</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位于第三</w:t>
                  </w:r>
                  <w:r>
                    <w:rPr>
                      <w:rFonts w:hint="eastAsia" w:cs="Times New Roman"/>
                      <w:color w:val="auto"/>
                      <w:szCs w:val="21"/>
                      <w:lang w:val="en-US" w:eastAsia="zh-CN"/>
                    </w:rPr>
                    <w:t>跨</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占地面积</w:t>
                  </w:r>
                  <w:r>
                    <w:rPr>
                      <w:rFonts w:hint="eastAsia" w:ascii="Times New Roman" w:hAnsi="Times New Roman" w:cs="Times New Roman"/>
                      <w:color w:val="auto"/>
                      <w:szCs w:val="21"/>
                      <w:lang w:val="en-US" w:eastAsia="zh-CN"/>
                    </w:rPr>
                    <w:t>485</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w:t>
                  </w:r>
                  <w:r>
                    <w:rPr>
                      <w:color w:val="auto"/>
                      <w:szCs w:val="21"/>
                    </w:rPr>
                    <w:t>长*宽*高（</w:t>
                  </w:r>
                  <w:r>
                    <w:rPr>
                      <w:rFonts w:hint="eastAsia"/>
                      <w:color w:val="auto"/>
                      <w:szCs w:val="21"/>
                      <w:lang w:val="en-US" w:eastAsia="zh-CN"/>
                    </w:rPr>
                    <w:t>97</w:t>
                  </w:r>
                  <w:r>
                    <w:rPr>
                      <w:color w:val="auto"/>
                      <w:szCs w:val="21"/>
                    </w:rPr>
                    <w:t>m*</w:t>
                  </w:r>
                  <w:r>
                    <w:rPr>
                      <w:rFonts w:hint="eastAsia"/>
                      <w:color w:val="auto"/>
                      <w:szCs w:val="21"/>
                      <w:lang w:val="en-US" w:eastAsia="zh-CN"/>
                    </w:rPr>
                    <w:t>5</w:t>
                  </w:r>
                  <w:r>
                    <w:rPr>
                      <w:color w:val="auto"/>
                      <w:szCs w:val="21"/>
                    </w:rPr>
                    <w:t>m*</w:t>
                  </w:r>
                  <w:r>
                    <w:rPr>
                      <w:rFonts w:hint="eastAsia"/>
                      <w:color w:val="auto"/>
                      <w:szCs w:val="21"/>
                      <w:lang w:val="en-US" w:eastAsia="zh-CN"/>
                    </w:rPr>
                    <w:t>1</w:t>
                  </w:r>
                  <w:r>
                    <w:rPr>
                      <w:rFonts w:hint="eastAsia"/>
                      <w:color w:val="auto"/>
                      <w:szCs w:val="21"/>
                    </w:rPr>
                    <w:t>3</w:t>
                  </w:r>
                  <w:r>
                    <w:rPr>
                      <w:color w:val="auto"/>
                      <w:szCs w:val="21"/>
                    </w:rPr>
                    <w:t>m）</w:t>
                  </w:r>
                  <w:r>
                    <w:rPr>
                      <w:rFonts w:hint="default" w:ascii="Times New Roman" w:hAnsi="Times New Roman" w:cs="Times New Roman"/>
                      <w:color w:val="auto"/>
                      <w:szCs w:val="21"/>
                    </w:rPr>
                    <w:t>用于成品</w:t>
                  </w:r>
                  <w:r>
                    <w:rPr>
                      <w:rFonts w:hint="eastAsia" w:ascii="Times New Roman" w:hAnsi="Times New Roman" w:cs="Times New Roman"/>
                      <w:color w:val="auto"/>
                      <w:szCs w:val="21"/>
                      <w:lang w:eastAsia="zh-CN"/>
                    </w:rPr>
                    <w:t>暂存。</w:t>
                  </w:r>
                </w:p>
              </w:tc>
              <w:tc>
                <w:tcPr>
                  <w:tcW w:w="1235" w:type="pct"/>
                  <w:vMerge w:val="continue"/>
                  <w:noWrap w:val="0"/>
                  <w:vAlign w:val="center"/>
                </w:tcPr>
                <w:p w14:paraId="35BA9711">
                  <w:pPr>
                    <w:adjustRightInd w:val="0"/>
                    <w:snapToGrid w:val="0"/>
                    <w:jc w:val="center"/>
                    <w:rPr>
                      <w:rFonts w:hint="eastAsia" w:ascii="Times New Roman" w:hAnsi="Times New Roman" w:eastAsia="宋体" w:cs="Times New Roman"/>
                      <w:color w:val="auto"/>
                      <w:szCs w:val="21"/>
                      <w:lang w:eastAsia="zh-CN"/>
                    </w:rPr>
                  </w:pPr>
                </w:p>
              </w:tc>
            </w:tr>
            <w:tr w14:paraId="1CCB7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98" w:type="pct"/>
                  <w:vMerge w:val="continue"/>
                  <w:noWrap w:val="0"/>
                  <w:vAlign w:val="center"/>
                </w:tcPr>
                <w:p w14:paraId="55F01929">
                  <w:pPr>
                    <w:adjustRightInd w:val="0"/>
                    <w:snapToGrid w:val="0"/>
                    <w:jc w:val="center"/>
                    <w:rPr>
                      <w:rFonts w:hint="default" w:ascii="Times New Roman" w:hAnsi="Times New Roman" w:cs="Times New Roman"/>
                      <w:color w:val="auto"/>
                      <w:szCs w:val="21"/>
                    </w:rPr>
                  </w:pPr>
                </w:p>
              </w:tc>
              <w:tc>
                <w:tcPr>
                  <w:tcW w:w="377" w:type="pct"/>
                  <w:gridSpan w:val="2"/>
                  <w:vMerge w:val="restart"/>
                  <w:tcBorders>
                    <w:top w:val="single" w:color="auto" w:sz="4" w:space="0"/>
                  </w:tcBorders>
                  <w:noWrap w:val="0"/>
                  <w:vAlign w:val="center"/>
                </w:tcPr>
                <w:p w14:paraId="5541AE5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510" w:type="pct"/>
                  <w:gridSpan w:val="2"/>
                  <w:tcBorders>
                    <w:top w:val="single" w:color="auto" w:sz="4" w:space="0"/>
                  </w:tcBorders>
                  <w:noWrap w:val="0"/>
                  <w:vAlign w:val="center"/>
                </w:tcPr>
                <w:p w14:paraId="2A2B861E">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一般</w:t>
                  </w:r>
                </w:p>
                <w:p w14:paraId="1E61C10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固废</w:t>
                  </w:r>
                </w:p>
              </w:tc>
              <w:tc>
                <w:tcPr>
                  <w:tcW w:w="2577" w:type="pct"/>
                  <w:noWrap w:val="0"/>
                  <w:vAlign w:val="center"/>
                </w:tcPr>
                <w:p w14:paraId="781CDECF">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snapToGrid w:val="0"/>
                      <w:color w:val="auto"/>
                      <w:szCs w:val="21"/>
                      <w:lang w:eastAsia="zh-CN"/>
                    </w:rPr>
                    <w:t>废金属屑、废边角料</w:t>
                  </w:r>
                  <w:r>
                    <w:rPr>
                      <w:rFonts w:hint="eastAsia" w:ascii="Times New Roman" w:hAnsi="Times New Roman" w:eastAsia="宋体" w:cs="Times New Roman"/>
                      <w:snapToGrid w:val="0"/>
                      <w:color w:val="auto"/>
                      <w:szCs w:val="21"/>
                      <w:lang w:eastAsia="zh-CN"/>
                    </w:rPr>
                    <w:t>、废钢丸、</w:t>
                  </w:r>
                  <w:r>
                    <w:rPr>
                      <w:rFonts w:hint="eastAsia" w:ascii="Times New Roman" w:hAnsi="Times New Roman" w:eastAsia="宋体" w:cs="Times New Roman"/>
                      <w:snapToGrid w:val="0"/>
                      <w:color w:val="auto"/>
                      <w:szCs w:val="21"/>
                      <w:lang w:val="en-US" w:eastAsia="zh-CN"/>
                    </w:rPr>
                    <w:t>废粉</w:t>
                  </w:r>
                  <w:r>
                    <w:rPr>
                      <w:rFonts w:hint="eastAsia" w:ascii="Times New Roman" w:hAnsi="Times New Roman" w:eastAsia="宋体" w:cs="Times New Roman"/>
                      <w:snapToGrid w:val="0"/>
                      <w:color w:val="auto"/>
                      <w:szCs w:val="21"/>
                      <w:lang w:eastAsia="zh-CN"/>
                    </w:rPr>
                    <w:t>、收尘灰</w:t>
                  </w:r>
                  <w:r>
                    <w:rPr>
                      <w:rFonts w:hint="default" w:ascii="Times New Roman" w:hAnsi="Times New Roman" w:eastAsia="宋体" w:cs="Times New Roman"/>
                      <w:snapToGrid w:val="0"/>
                      <w:color w:val="auto"/>
                      <w:szCs w:val="21"/>
                      <w:lang w:eastAsia="zh-CN"/>
                    </w:rPr>
                    <w:t>暂存一般固废暂存区（占地</w:t>
                  </w:r>
                  <w:r>
                    <w:rPr>
                      <w:rFonts w:hint="eastAsia" w:cs="Times New Roman"/>
                      <w:snapToGrid w:val="0"/>
                      <w:color w:val="auto"/>
                      <w:szCs w:val="21"/>
                      <w:lang w:val="en-US" w:eastAsia="zh-CN"/>
                    </w:rPr>
                    <w:t>2</w:t>
                  </w:r>
                  <w:r>
                    <w:rPr>
                      <w:rFonts w:hint="default" w:ascii="Times New Roman" w:hAnsi="Times New Roman" w:eastAsia="宋体" w:cs="Times New Roman"/>
                      <w:snapToGrid w:val="0"/>
                      <w:color w:val="auto"/>
                      <w:szCs w:val="21"/>
                      <w:lang w:val="en-US" w:eastAsia="zh-CN"/>
                    </w:rPr>
                    <w:t>0㎡</w:t>
                  </w:r>
                  <w:r>
                    <w:rPr>
                      <w:rFonts w:hint="default" w:ascii="Times New Roman" w:hAnsi="Times New Roman" w:eastAsia="宋体" w:cs="Times New Roman"/>
                      <w:snapToGrid w:val="0"/>
                      <w:color w:val="auto"/>
                      <w:szCs w:val="21"/>
                      <w:lang w:eastAsia="zh-CN"/>
                    </w:rPr>
                    <w:t>）后定期外售处理</w:t>
                  </w:r>
                  <w:r>
                    <w:rPr>
                      <w:rFonts w:hint="eastAsia" w:ascii="Times New Roman" w:hAnsi="Times New Roman" w:eastAsia="宋体" w:cs="Times New Roman"/>
                      <w:snapToGrid w:val="0"/>
                      <w:color w:val="auto"/>
                      <w:szCs w:val="21"/>
                      <w:lang w:eastAsia="zh-CN"/>
                    </w:rPr>
                    <w:t>。</w:t>
                  </w:r>
                </w:p>
              </w:tc>
              <w:tc>
                <w:tcPr>
                  <w:tcW w:w="1235" w:type="pct"/>
                  <w:noWrap w:val="0"/>
                  <w:vAlign w:val="center"/>
                </w:tcPr>
                <w:p w14:paraId="252DEC60">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依托</w:t>
                  </w:r>
                </w:p>
              </w:tc>
            </w:tr>
            <w:tr w14:paraId="35C1C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98" w:type="pct"/>
                  <w:vMerge w:val="continue"/>
                  <w:noWrap w:val="0"/>
                  <w:vAlign w:val="center"/>
                </w:tcPr>
                <w:p w14:paraId="31A9FC45">
                  <w:pPr>
                    <w:adjustRightInd w:val="0"/>
                    <w:snapToGrid w:val="0"/>
                    <w:jc w:val="center"/>
                    <w:rPr>
                      <w:rFonts w:hint="default" w:ascii="Times New Roman" w:hAnsi="Times New Roman" w:cs="Times New Roman"/>
                      <w:color w:val="auto"/>
                      <w:szCs w:val="21"/>
                    </w:rPr>
                  </w:pPr>
                </w:p>
              </w:tc>
              <w:tc>
                <w:tcPr>
                  <w:tcW w:w="377" w:type="pct"/>
                  <w:gridSpan w:val="2"/>
                  <w:vMerge w:val="continue"/>
                  <w:noWrap w:val="0"/>
                  <w:vAlign w:val="center"/>
                </w:tcPr>
                <w:p w14:paraId="62E8739C">
                  <w:pPr>
                    <w:adjustRightInd w:val="0"/>
                    <w:snapToGrid w:val="0"/>
                    <w:jc w:val="center"/>
                    <w:rPr>
                      <w:rFonts w:hint="default" w:ascii="Times New Roman" w:hAnsi="Times New Roman" w:cs="Times New Roman"/>
                      <w:color w:val="auto"/>
                      <w:szCs w:val="21"/>
                    </w:rPr>
                  </w:pPr>
                </w:p>
              </w:tc>
              <w:tc>
                <w:tcPr>
                  <w:tcW w:w="510" w:type="pct"/>
                  <w:gridSpan w:val="2"/>
                  <w:tcBorders>
                    <w:top w:val="single" w:color="auto" w:sz="4" w:space="0"/>
                  </w:tcBorders>
                  <w:noWrap w:val="0"/>
                  <w:vAlign w:val="center"/>
                </w:tcPr>
                <w:p w14:paraId="0D2A0CB7">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危险</w:t>
                  </w:r>
                </w:p>
                <w:p w14:paraId="46A6C14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废物</w:t>
                  </w:r>
                </w:p>
              </w:tc>
              <w:tc>
                <w:tcPr>
                  <w:tcW w:w="2577" w:type="pct"/>
                  <w:noWrap w:val="0"/>
                  <w:vAlign w:val="center"/>
                </w:tcPr>
                <w:p w14:paraId="4403FC0E">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snapToGrid w:val="0"/>
                      <w:color w:val="auto"/>
                      <w:szCs w:val="21"/>
                      <w:lang w:eastAsia="zh-CN"/>
                    </w:rPr>
                    <w:t>危险废物（</w:t>
                  </w:r>
                  <w:r>
                    <w:rPr>
                      <w:rFonts w:hint="eastAsia" w:cs="Times New Roman"/>
                      <w:snapToGrid w:val="0"/>
                      <w:color w:val="auto"/>
                      <w:szCs w:val="21"/>
                      <w:lang w:val="en-US" w:eastAsia="zh-CN"/>
                    </w:rPr>
                    <w:t>污泥、</w:t>
                  </w:r>
                  <w:r>
                    <w:rPr>
                      <w:rFonts w:hint="eastAsia" w:ascii="Times New Roman" w:hAnsi="Times New Roman" w:eastAsia="宋体" w:cs="Times New Roman"/>
                      <w:snapToGrid w:val="0"/>
                      <w:color w:val="auto"/>
                      <w:szCs w:val="21"/>
                      <w:lang w:val="en-US" w:eastAsia="zh-CN"/>
                    </w:rPr>
                    <w:t>废活性炭、</w:t>
                  </w:r>
                  <w:r>
                    <w:rPr>
                      <w:rFonts w:hint="default" w:ascii="Times New Roman" w:hAnsi="Times New Roman" w:eastAsia="宋体" w:cs="Times New Roman"/>
                      <w:snapToGrid w:val="0"/>
                      <w:color w:val="auto"/>
                      <w:szCs w:val="21"/>
                      <w:lang w:eastAsia="zh-CN"/>
                    </w:rPr>
                    <w:t>废</w:t>
                  </w:r>
                  <w:r>
                    <w:rPr>
                      <w:rFonts w:hint="eastAsia" w:ascii="Times New Roman" w:hAnsi="Times New Roman" w:eastAsia="宋体" w:cs="Times New Roman"/>
                      <w:snapToGrid w:val="0"/>
                      <w:color w:val="auto"/>
                      <w:szCs w:val="21"/>
                      <w:lang w:eastAsia="zh-CN"/>
                    </w:rPr>
                    <w:t>矿物</w:t>
                  </w:r>
                  <w:r>
                    <w:rPr>
                      <w:rFonts w:hint="default" w:ascii="Times New Roman" w:hAnsi="Times New Roman" w:eastAsia="宋体" w:cs="Times New Roman"/>
                      <w:snapToGrid w:val="0"/>
                      <w:color w:val="auto"/>
                      <w:szCs w:val="21"/>
                      <w:lang w:eastAsia="zh-CN"/>
                    </w:rPr>
                    <w:t>油、废油桶、</w:t>
                  </w:r>
                  <w:r>
                    <w:rPr>
                      <w:rFonts w:hint="eastAsia" w:ascii="Times New Roman" w:hAnsi="Times New Roman" w:eastAsia="宋体" w:cs="Times New Roman"/>
                      <w:snapToGrid w:val="0"/>
                      <w:color w:val="auto"/>
                      <w:szCs w:val="21"/>
                      <w:lang w:eastAsia="zh-CN"/>
                    </w:rPr>
                    <w:t>废切削液</w:t>
                  </w:r>
                  <w:r>
                    <w:rPr>
                      <w:rFonts w:hint="eastAsia" w:ascii="Times New Roman" w:hAnsi="Times New Roman" w:eastAsia="宋体" w:cs="Times New Roman"/>
                      <w:snapToGrid w:val="0"/>
                      <w:color w:val="auto"/>
                      <w:szCs w:val="21"/>
                      <w:lang w:val="en-US" w:eastAsia="zh-CN"/>
                    </w:rPr>
                    <w:t>桶、废</w:t>
                  </w:r>
                  <w:r>
                    <w:rPr>
                      <w:rFonts w:hint="default" w:ascii="Times New Roman" w:hAnsi="Times New Roman" w:eastAsia="宋体" w:cs="Times New Roman"/>
                      <w:snapToGrid w:val="0"/>
                      <w:color w:val="auto"/>
                      <w:szCs w:val="21"/>
                      <w:lang w:eastAsia="zh-CN"/>
                    </w:rPr>
                    <w:t>含油抹布、手套）暂存于</w:t>
                  </w:r>
                  <w:r>
                    <w:rPr>
                      <w:rFonts w:hint="eastAsia" w:cs="Times New Roman"/>
                      <w:snapToGrid w:val="0"/>
                      <w:color w:val="auto"/>
                      <w:szCs w:val="21"/>
                      <w:lang w:eastAsia="zh-CN"/>
                    </w:rPr>
                    <w:t>危废贮存库</w:t>
                  </w:r>
                  <w:r>
                    <w:rPr>
                      <w:rFonts w:hint="default" w:ascii="Times New Roman" w:hAnsi="Times New Roman" w:eastAsia="宋体" w:cs="Times New Roman"/>
                      <w:snapToGrid w:val="0"/>
                      <w:color w:val="auto"/>
                      <w:szCs w:val="21"/>
                      <w:lang w:eastAsia="zh-CN"/>
                    </w:rPr>
                    <w:t>（占地</w:t>
                  </w:r>
                  <w:r>
                    <w:rPr>
                      <w:rFonts w:hint="eastAsia" w:cs="Times New Roman"/>
                      <w:snapToGrid w:val="0"/>
                      <w:color w:val="auto"/>
                      <w:szCs w:val="21"/>
                      <w:lang w:val="en-US" w:eastAsia="zh-CN"/>
                    </w:rPr>
                    <w:t>12</w:t>
                  </w:r>
                  <w:r>
                    <w:rPr>
                      <w:rFonts w:hint="default" w:ascii="Times New Roman" w:hAnsi="Times New Roman" w:eastAsia="宋体" w:cs="Times New Roman"/>
                      <w:snapToGrid w:val="0"/>
                      <w:color w:val="auto"/>
                      <w:szCs w:val="21"/>
                      <w:lang w:val="en-US" w:eastAsia="zh-CN"/>
                    </w:rPr>
                    <w:t>㎡</w:t>
                  </w:r>
                  <w:r>
                    <w:rPr>
                      <w:rFonts w:hint="default" w:ascii="Times New Roman" w:hAnsi="Times New Roman" w:eastAsia="宋体" w:cs="Times New Roman"/>
                      <w:snapToGrid w:val="0"/>
                      <w:color w:val="auto"/>
                      <w:szCs w:val="21"/>
                      <w:lang w:eastAsia="zh-CN"/>
                    </w:rPr>
                    <w:t>），定期交由</w:t>
                  </w:r>
                  <w:r>
                    <w:rPr>
                      <w:rFonts w:hint="eastAsia" w:ascii="Times New Roman" w:hAnsi="Times New Roman" w:eastAsia="宋体" w:cs="Times New Roman"/>
                      <w:snapToGrid w:val="0"/>
                      <w:color w:val="auto"/>
                      <w:szCs w:val="21"/>
                      <w:lang w:eastAsia="zh-CN"/>
                    </w:rPr>
                    <w:t>宝鸡明瑞昕盛环保科技有限公司</w:t>
                  </w:r>
                  <w:r>
                    <w:rPr>
                      <w:rFonts w:hint="default" w:ascii="Times New Roman" w:hAnsi="Times New Roman" w:eastAsia="宋体" w:cs="Times New Roman"/>
                      <w:snapToGrid w:val="0"/>
                      <w:color w:val="auto"/>
                      <w:szCs w:val="21"/>
                      <w:lang w:eastAsia="zh-CN"/>
                    </w:rPr>
                    <w:t>处理</w:t>
                  </w:r>
                  <w:r>
                    <w:rPr>
                      <w:rFonts w:hint="eastAsia" w:ascii="Times New Roman" w:hAnsi="Times New Roman" w:eastAsia="宋体" w:cs="Times New Roman"/>
                      <w:snapToGrid w:val="0"/>
                      <w:color w:val="auto"/>
                      <w:szCs w:val="21"/>
                      <w:lang w:eastAsia="zh-CN"/>
                    </w:rPr>
                    <w:t>。</w:t>
                  </w:r>
                </w:p>
              </w:tc>
              <w:tc>
                <w:tcPr>
                  <w:tcW w:w="1235" w:type="pct"/>
                  <w:noWrap w:val="0"/>
                  <w:vAlign w:val="center"/>
                </w:tcPr>
                <w:p w14:paraId="6FAE28B2">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依托</w:t>
                  </w:r>
                </w:p>
              </w:tc>
            </w:tr>
            <w:tr w14:paraId="50EFF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98" w:type="pct"/>
                  <w:vMerge w:val="restart"/>
                  <w:noWrap w:val="0"/>
                  <w:vAlign w:val="center"/>
                </w:tcPr>
                <w:p w14:paraId="3360209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公用</w:t>
                  </w:r>
                </w:p>
                <w:p w14:paraId="1C43FCF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工程</w:t>
                  </w:r>
                </w:p>
              </w:tc>
              <w:tc>
                <w:tcPr>
                  <w:tcW w:w="888" w:type="pct"/>
                  <w:gridSpan w:val="4"/>
                  <w:noWrap w:val="0"/>
                  <w:vAlign w:val="center"/>
                </w:tcPr>
                <w:p w14:paraId="72A15B7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供电</w:t>
                  </w:r>
                </w:p>
              </w:tc>
              <w:tc>
                <w:tcPr>
                  <w:tcW w:w="2577" w:type="pct"/>
                  <w:noWrap w:val="0"/>
                  <w:vAlign w:val="center"/>
                </w:tcPr>
                <w:p w14:paraId="7A6229C1">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由供电系统供给</w:t>
                  </w:r>
                  <w:r>
                    <w:rPr>
                      <w:rFonts w:hint="eastAsia" w:ascii="Times New Roman" w:hAnsi="Times New Roman" w:cs="Times New Roman"/>
                      <w:color w:val="auto"/>
                      <w:szCs w:val="21"/>
                      <w:lang w:eastAsia="zh-CN"/>
                    </w:rPr>
                    <w:t>。</w:t>
                  </w:r>
                </w:p>
              </w:tc>
              <w:tc>
                <w:tcPr>
                  <w:tcW w:w="1235" w:type="pct"/>
                  <w:noWrap w:val="0"/>
                  <w:vAlign w:val="top"/>
                </w:tcPr>
                <w:p w14:paraId="38413683">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依托</w:t>
                  </w:r>
                </w:p>
              </w:tc>
            </w:tr>
            <w:tr w14:paraId="18528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98" w:type="pct"/>
                  <w:vMerge w:val="continue"/>
                  <w:noWrap w:val="0"/>
                  <w:vAlign w:val="center"/>
                </w:tcPr>
                <w:p w14:paraId="4945267A">
                  <w:pPr>
                    <w:adjustRightInd w:val="0"/>
                    <w:snapToGrid w:val="0"/>
                    <w:jc w:val="center"/>
                    <w:rPr>
                      <w:rFonts w:hint="default" w:ascii="Times New Roman" w:hAnsi="Times New Roman" w:cs="Times New Roman"/>
                      <w:color w:val="auto"/>
                      <w:szCs w:val="21"/>
                    </w:rPr>
                  </w:pPr>
                </w:p>
              </w:tc>
              <w:tc>
                <w:tcPr>
                  <w:tcW w:w="888" w:type="pct"/>
                  <w:gridSpan w:val="4"/>
                  <w:noWrap w:val="0"/>
                  <w:vAlign w:val="center"/>
                </w:tcPr>
                <w:p w14:paraId="1DA7490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供水</w:t>
                  </w:r>
                </w:p>
              </w:tc>
              <w:tc>
                <w:tcPr>
                  <w:tcW w:w="2577" w:type="pct"/>
                  <w:noWrap w:val="0"/>
                  <w:vAlign w:val="center"/>
                </w:tcPr>
                <w:p w14:paraId="22334FD9">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由供水管网供给</w:t>
                  </w:r>
                  <w:r>
                    <w:rPr>
                      <w:rFonts w:hint="eastAsia" w:ascii="Times New Roman" w:hAnsi="Times New Roman" w:cs="Times New Roman"/>
                      <w:color w:val="auto"/>
                      <w:szCs w:val="21"/>
                      <w:lang w:eastAsia="zh-CN"/>
                    </w:rPr>
                    <w:t>。</w:t>
                  </w:r>
                </w:p>
              </w:tc>
              <w:tc>
                <w:tcPr>
                  <w:tcW w:w="1235" w:type="pct"/>
                  <w:noWrap w:val="0"/>
                  <w:vAlign w:val="top"/>
                </w:tcPr>
                <w:p w14:paraId="747F64DA">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依托</w:t>
                  </w:r>
                </w:p>
              </w:tc>
            </w:tr>
            <w:tr w14:paraId="62D84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98" w:type="pct"/>
                  <w:vMerge w:val="restart"/>
                  <w:noWrap w:val="0"/>
                  <w:vAlign w:val="center"/>
                </w:tcPr>
                <w:p w14:paraId="12EDB3E5">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环保</w:t>
                  </w:r>
                </w:p>
                <w:p w14:paraId="095C7606">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工程</w:t>
                  </w:r>
                </w:p>
              </w:tc>
              <w:tc>
                <w:tcPr>
                  <w:tcW w:w="888" w:type="pct"/>
                  <w:gridSpan w:val="4"/>
                  <w:vMerge w:val="restart"/>
                  <w:noWrap w:val="0"/>
                  <w:vAlign w:val="center"/>
                </w:tcPr>
                <w:p w14:paraId="71C77D3A">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废气处理系统</w:t>
                  </w:r>
                </w:p>
              </w:tc>
              <w:tc>
                <w:tcPr>
                  <w:tcW w:w="2577" w:type="pct"/>
                  <w:noWrap w:val="0"/>
                  <w:vAlign w:val="center"/>
                </w:tcPr>
                <w:p w14:paraId="75483CB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激光切割废气在切割处设集气口，将废气收集后通过管道进入</w:t>
                  </w:r>
                  <w:r>
                    <w:rPr>
                      <w:rFonts w:hint="eastAsia" w:cs="Times New Roman"/>
                      <w:color w:val="auto"/>
                      <w:szCs w:val="21"/>
                      <w:lang w:val="en-US" w:eastAsia="zh-CN"/>
                    </w:rPr>
                    <w:t>袋式</w:t>
                  </w:r>
                  <w:r>
                    <w:rPr>
                      <w:rFonts w:hint="eastAsia" w:ascii="Times New Roman" w:hAnsi="Times New Roman" w:cs="Times New Roman"/>
                      <w:color w:val="auto"/>
                      <w:szCs w:val="21"/>
                      <w:lang w:val="en-US" w:eastAsia="zh-CN"/>
                    </w:rPr>
                    <w:t>除尘器进行处理，处理后经15</w:t>
                  </w:r>
                  <w:r>
                    <w:rPr>
                      <w:rFonts w:hint="default" w:ascii="Times New Roman" w:hAnsi="Times New Roman" w:cs="Times New Roman"/>
                      <w:color w:val="auto"/>
                      <w:szCs w:val="21"/>
                      <w:lang w:val="en-US" w:eastAsia="zh-CN"/>
                    </w:rPr>
                    <w:t>米排气筒</w:t>
                  </w:r>
                  <w:r>
                    <w:rPr>
                      <w:rFonts w:hint="eastAsia" w:ascii="Times New Roman" w:hAnsi="Times New Roman" w:cs="Times New Roman"/>
                      <w:color w:val="auto"/>
                      <w:szCs w:val="21"/>
                      <w:lang w:val="en-US" w:eastAsia="zh-CN"/>
                    </w:rPr>
                    <w:t>（DA001）</w:t>
                  </w:r>
                  <w:r>
                    <w:rPr>
                      <w:rFonts w:hint="default" w:ascii="Times New Roman" w:hAnsi="Times New Roman" w:cs="Times New Roman"/>
                      <w:color w:val="auto"/>
                      <w:szCs w:val="21"/>
                      <w:lang w:val="en-US" w:eastAsia="zh-CN"/>
                    </w:rPr>
                    <w:t>高空排放</w:t>
                  </w:r>
                  <w:r>
                    <w:rPr>
                      <w:rFonts w:hint="eastAsia" w:ascii="Times New Roman" w:hAnsi="Times New Roman" w:cs="Times New Roman"/>
                      <w:color w:val="auto"/>
                      <w:szCs w:val="21"/>
                      <w:lang w:val="en-US" w:eastAsia="zh-CN"/>
                    </w:rPr>
                    <w:t>。</w:t>
                  </w:r>
                </w:p>
              </w:tc>
              <w:tc>
                <w:tcPr>
                  <w:tcW w:w="1235" w:type="pct"/>
                  <w:noWrap w:val="0"/>
                  <w:vAlign w:val="center"/>
                </w:tcPr>
                <w:p w14:paraId="21AEC85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已建</w:t>
                  </w:r>
                </w:p>
              </w:tc>
            </w:tr>
            <w:tr w14:paraId="6934E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98" w:type="pct"/>
                  <w:vMerge w:val="continue"/>
                  <w:noWrap w:val="0"/>
                  <w:vAlign w:val="center"/>
                </w:tcPr>
                <w:p w14:paraId="3B16A7E3">
                  <w:pPr>
                    <w:adjustRightInd w:val="0"/>
                    <w:snapToGrid w:val="0"/>
                    <w:jc w:val="center"/>
                    <w:rPr>
                      <w:rFonts w:hint="eastAsia" w:ascii="Times New Roman" w:hAnsi="Times New Roman" w:cs="Times New Roman"/>
                      <w:color w:val="auto"/>
                      <w:szCs w:val="21"/>
                      <w:lang w:eastAsia="zh-CN"/>
                    </w:rPr>
                  </w:pPr>
                </w:p>
              </w:tc>
              <w:tc>
                <w:tcPr>
                  <w:tcW w:w="888" w:type="pct"/>
                  <w:gridSpan w:val="4"/>
                  <w:vMerge w:val="continue"/>
                  <w:noWrap w:val="0"/>
                  <w:vAlign w:val="center"/>
                </w:tcPr>
                <w:p w14:paraId="4F8AC6C3">
                  <w:pPr>
                    <w:adjustRightInd w:val="0"/>
                    <w:snapToGrid w:val="0"/>
                    <w:jc w:val="center"/>
                    <w:rPr>
                      <w:rFonts w:hint="default" w:ascii="Times New Roman" w:hAnsi="Times New Roman" w:cs="Times New Roman"/>
                      <w:color w:val="auto"/>
                      <w:szCs w:val="21"/>
                      <w:lang w:eastAsia="zh-CN"/>
                    </w:rPr>
                  </w:pPr>
                </w:p>
              </w:tc>
              <w:tc>
                <w:tcPr>
                  <w:tcW w:w="2577" w:type="pct"/>
                  <w:noWrap w:val="0"/>
                  <w:vAlign w:val="center"/>
                </w:tcPr>
                <w:p w14:paraId="52922A38">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焊接废气设密闭焊接房，并在焊接房上方设</w:t>
                  </w:r>
                  <w:r>
                    <w:rPr>
                      <w:rFonts w:hint="eastAsia" w:cs="Times New Roman"/>
                      <w:color w:val="auto"/>
                      <w:szCs w:val="21"/>
                      <w:lang w:val="en-US" w:eastAsia="zh-CN"/>
                    </w:rPr>
                    <w:t>三个送风风扇与烟尘收集口配合，形成吹吸式定向气流，构建密闭气流屏障，有效束缚焊接烟尘扩散，引导烟气定向汇入收集系统</w:t>
                  </w:r>
                  <w:r>
                    <w:rPr>
                      <w:rFonts w:hint="eastAsia" w:ascii="Times New Roman" w:hAnsi="Times New Roman" w:cs="Times New Roman"/>
                      <w:color w:val="auto"/>
                      <w:szCs w:val="21"/>
                      <w:lang w:val="en-US" w:eastAsia="zh-CN"/>
                    </w:rPr>
                    <w:t>，废气经收集后通过管道进入</w:t>
                  </w:r>
                  <w:r>
                    <w:rPr>
                      <w:rFonts w:hint="eastAsia" w:cs="Times New Roman"/>
                      <w:color w:val="auto"/>
                      <w:szCs w:val="21"/>
                      <w:lang w:val="en-US" w:eastAsia="zh-CN"/>
                    </w:rPr>
                    <w:t>袋式</w:t>
                  </w:r>
                  <w:r>
                    <w:rPr>
                      <w:rFonts w:hint="eastAsia" w:ascii="Times New Roman" w:hAnsi="Times New Roman" w:cs="Times New Roman"/>
                      <w:color w:val="auto"/>
                      <w:szCs w:val="21"/>
                      <w:lang w:val="en-US" w:eastAsia="zh-CN"/>
                    </w:rPr>
                    <w:t>除尘器进行处理，处理后经15</w:t>
                  </w:r>
                  <w:r>
                    <w:rPr>
                      <w:rFonts w:hint="default" w:ascii="Times New Roman" w:hAnsi="Times New Roman" w:cs="Times New Roman"/>
                      <w:color w:val="auto"/>
                      <w:szCs w:val="21"/>
                      <w:lang w:val="en-US" w:eastAsia="zh-CN"/>
                    </w:rPr>
                    <w:t>米排气筒</w:t>
                  </w:r>
                  <w:r>
                    <w:rPr>
                      <w:rFonts w:hint="eastAsia" w:ascii="Times New Roman" w:hAnsi="Times New Roman" w:cs="Times New Roman"/>
                      <w:color w:val="auto"/>
                      <w:szCs w:val="21"/>
                      <w:lang w:val="en-US" w:eastAsia="zh-CN"/>
                    </w:rPr>
                    <w:t>（DA001）</w:t>
                  </w:r>
                  <w:r>
                    <w:rPr>
                      <w:rFonts w:hint="default" w:ascii="Times New Roman" w:hAnsi="Times New Roman" w:cs="Times New Roman"/>
                      <w:color w:val="auto"/>
                      <w:szCs w:val="21"/>
                      <w:lang w:val="en-US" w:eastAsia="zh-CN"/>
                    </w:rPr>
                    <w:t>高空排放</w:t>
                  </w:r>
                  <w:r>
                    <w:rPr>
                      <w:rFonts w:hint="eastAsia" w:ascii="Times New Roman" w:hAnsi="Times New Roman" w:cs="Times New Roman"/>
                      <w:color w:val="auto"/>
                      <w:szCs w:val="21"/>
                      <w:lang w:val="en-US" w:eastAsia="zh-CN"/>
                    </w:rPr>
                    <w:t>。</w:t>
                  </w:r>
                </w:p>
              </w:tc>
              <w:tc>
                <w:tcPr>
                  <w:tcW w:w="1235" w:type="pct"/>
                  <w:noWrap w:val="0"/>
                  <w:vAlign w:val="center"/>
                </w:tcPr>
                <w:p w14:paraId="1849334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已建部分</w:t>
                  </w:r>
                </w:p>
              </w:tc>
            </w:tr>
            <w:tr w14:paraId="77B8F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98" w:type="pct"/>
                  <w:vMerge w:val="continue"/>
                  <w:noWrap w:val="0"/>
                  <w:vAlign w:val="center"/>
                </w:tcPr>
                <w:p w14:paraId="51BE03D7">
                  <w:pPr>
                    <w:adjustRightInd w:val="0"/>
                    <w:snapToGrid w:val="0"/>
                    <w:jc w:val="center"/>
                    <w:rPr>
                      <w:rFonts w:hint="eastAsia" w:ascii="Times New Roman" w:hAnsi="Times New Roman" w:cs="Times New Roman"/>
                      <w:color w:val="auto"/>
                      <w:szCs w:val="21"/>
                      <w:lang w:eastAsia="zh-CN"/>
                    </w:rPr>
                  </w:pPr>
                </w:p>
              </w:tc>
              <w:tc>
                <w:tcPr>
                  <w:tcW w:w="888" w:type="pct"/>
                  <w:gridSpan w:val="4"/>
                  <w:vMerge w:val="continue"/>
                  <w:noWrap w:val="0"/>
                  <w:vAlign w:val="center"/>
                </w:tcPr>
                <w:p w14:paraId="57D2EB97">
                  <w:pPr>
                    <w:adjustRightInd w:val="0"/>
                    <w:snapToGrid w:val="0"/>
                    <w:jc w:val="center"/>
                    <w:rPr>
                      <w:rFonts w:hint="default" w:ascii="Times New Roman" w:hAnsi="Times New Roman" w:cs="Times New Roman"/>
                      <w:color w:val="auto"/>
                      <w:szCs w:val="21"/>
                      <w:lang w:eastAsia="zh-CN"/>
                    </w:rPr>
                  </w:pPr>
                </w:p>
              </w:tc>
              <w:tc>
                <w:tcPr>
                  <w:tcW w:w="2577" w:type="pct"/>
                  <w:noWrap w:val="0"/>
                  <w:vAlign w:val="center"/>
                </w:tcPr>
                <w:p w14:paraId="28069447">
                  <w:pPr>
                    <w:adjustRightInd w:val="0"/>
                    <w:snapToGrid w:val="0"/>
                    <w:jc w:val="center"/>
                    <w:rPr>
                      <w:rFonts w:hint="eastAsia"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抛丸</w:t>
                  </w:r>
                  <w:r>
                    <w:rPr>
                      <w:rFonts w:hint="eastAsia" w:ascii="Times New Roman" w:hAnsi="Times New Roman" w:cs="Times New Roman"/>
                      <w:color w:val="auto"/>
                      <w:szCs w:val="21"/>
                      <w:lang w:val="en-US" w:eastAsia="zh-CN"/>
                    </w:rPr>
                    <w:t>设备运行</w:t>
                  </w:r>
                  <w:r>
                    <w:rPr>
                      <w:rFonts w:hint="default" w:ascii="Times New Roman" w:hAnsi="Times New Roman" w:cs="Times New Roman"/>
                      <w:color w:val="auto"/>
                      <w:szCs w:val="21"/>
                      <w:lang w:val="en-US" w:eastAsia="zh-CN"/>
                    </w:rPr>
                    <w:t>产生的废气经</w:t>
                  </w:r>
                  <w:r>
                    <w:rPr>
                      <w:rFonts w:hint="default" w:ascii="Times New Roman" w:hAnsi="Times New Roman" w:cs="Times New Roman"/>
                      <w:color w:val="auto"/>
                      <w:szCs w:val="21"/>
                      <w:lang w:eastAsia="zh-CN"/>
                    </w:rPr>
                    <w:t>集气系统收集后由</w:t>
                  </w:r>
                  <w:r>
                    <w:rPr>
                      <w:rFonts w:hint="eastAsia" w:ascii="Times New Roman" w:hAnsi="Times New Roman" w:cs="Times New Roman"/>
                      <w:color w:val="auto"/>
                      <w:szCs w:val="21"/>
                      <w:lang w:val="en-US" w:eastAsia="zh-CN"/>
                    </w:rPr>
                    <w:t>自带除尘器处理后</w:t>
                  </w:r>
                  <w:r>
                    <w:rPr>
                      <w:rFonts w:hint="default" w:ascii="Times New Roman" w:hAnsi="Times New Roman" w:cs="Times New Roman"/>
                      <w:color w:val="auto"/>
                      <w:szCs w:val="21"/>
                      <w:lang w:eastAsia="zh-CN"/>
                    </w:rPr>
                    <w:t>经</w:t>
                  </w:r>
                  <w:r>
                    <w:rPr>
                      <w:rFonts w:hint="default" w:ascii="Times New Roman" w:hAnsi="Times New Roman" w:cs="Times New Roman"/>
                      <w:color w:val="auto"/>
                      <w:szCs w:val="21"/>
                      <w:lang w:val="en-US" w:eastAsia="zh-CN"/>
                    </w:rPr>
                    <w:t>15米排气筒</w:t>
                  </w:r>
                  <w:r>
                    <w:rPr>
                      <w:rFonts w:hint="eastAsia" w:ascii="Times New Roman" w:hAnsi="Times New Roman" w:cs="Times New Roman"/>
                      <w:color w:val="auto"/>
                      <w:szCs w:val="21"/>
                      <w:lang w:val="en-US" w:eastAsia="zh-CN"/>
                    </w:rPr>
                    <w:t>（DA001）</w:t>
                  </w:r>
                  <w:r>
                    <w:rPr>
                      <w:rFonts w:hint="default" w:ascii="Times New Roman" w:hAnsi="Times New Roman" w:cs="Times New Roman"/>
                      <w:color w:val="auto"/>
                      <w:szCs w:val="21"/>
                      <w:lang w:val="en-US" w:eastAsia="zh-CN"/>
                    </w:rPr>
                    <w:t>高空排放</w:t>
                  </w:r>
                  <w:r>
                    <w:rPr>
                      <w:rFonts w:hint="eastAsia" w:cs="Times New Roman"/>
                      <w:color w:val="auto"/>
                      <w:szCs w:val="21"/>
                      <w:lang w:val="en-US" w:eastAsia="zh-CN"/>
                    </w:rPr>
                    <w:t>（履带式抛丸机自带袋式除尘器、挂钩式抛丸机自带滤筒除尘器）</w:t>
                  </w:r>
                  <w:r>
                    <w:rPr>
                      <w:rFonts w:hint="eastAsia" w:ascii="Times New Roman" w:hAnsi="Times New Roman" w:cs="Times New Roman"/>
                      <w:color w:val="auto"/>
                      <w:szCs w:val="21"/>
                      <w:lang w:val="en-US" w:eastAsia="zh-CN"/>
                    </w:rPr>
                    <w:t>。</w:t>
                  </w:r>
                </w:p>
              </w:tc>
              <w:tc>
                <w:tcPr>
                  <w:tcW w:w="1235" w:type="pct"/>
                  <w:noWrap w:val="0"/>
                  <w:vAlign w:val="center"/>
                </w:tcPr>
                <w:p w14:paraId="16533E0D">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已建</w:t>
                  </w:r>
                </w:p>
              </w:tc>
            </w:tr>
            <w:tr w14:paraId="7A2AD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98" w:type="pct"/>
                  <w:vMerge w:val="continue"/>
                  <w:noWrap w:val="0"/>
                  <w:vAlign w:val="center"/>
                </w:tcPr>
                <w:p w14:paraId="633E8695">
                  <w:pPr>
                    <w:adjustRightInd w:val="0"/>
                    <w:snapToGrid w:val="0"/>
                    <w:jc w:val="center"/>
                    <w:rPr>
                      <w:rFonts w:hint="eastAsia" w:ascii="Times New Roman" w:hAnsi="Times New Roman" w:cs="Times New Roman"/>
                      <w:color w:val="auto"/>
                      <w:szCs w:val="21"/>
                      <w:lang w:eastAsia="zh-CN"/>
                    </w:rPr>
                  </w:pPr>
                </w:p>
              </w:tc>
              <w:tc>
                <w:tcPr>
                  <w:tcW w:w="888" w:type="pct"/>
                  <w:gridSpan w:val="4"/>
                  <w:vMerge w:val="continue"/>
                  <w:noWrap w:val="0"/>
                  <w:vAlign w:val="center"/>
                </w:tcPr>
                <w:p w14:paraId="7DFE7EC7">
                  <w:pPr>
                    <w:adjustRightInd w:val="0"/>
                    <w:snapToGrid w:val="0"/>
                    <w:jc w:val="center"/>
                    <w:rPr>
                      <w:rFonts w:hint="default" w:ascii="Times New Roman" w:hAnsi="Times New Roman" w:cs="Times New Roman"/>
                      <w:color w:val="auto"/>
                      <w:szCs w:val="21"/>
                      <w:lang w:eastAsia="zh-CN"/>
                    </w:rPr>
                  </w:pPr>
                </w:p>
              </w:tc>
              <w:tc>
                <w:tcPr>
                  <w:tcW w:w="2577" w:type="pct"/>
                  <w:noWrap w:val="0"/>
                  <w:vAlign w:val="center"/>
                </w:tcPr>
                <w:p w14:paraId="6C851819">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1#、2#喷粉工序产生的喷粉废气</w:t>
                  </w:r>
                  <w:r>
                    <w:rPr>
                      <w:rFonts w:hint="eastAsia" w:ascii="Times New Roman" w:hAnsi="Times New Roman" w:cs="Times New Roman"/>
                      <w:color w:val="auto"/>
                      <w:szCs w:val="21"/>
                      <w:lang w:val="en-US" w:eastAsia="zh-CN"/>
                    </w:rPr>
                    <w:t>经收集后进入</w:t>
                  </w:r>
                  <w:r>
                    <w:rPr>
                      <w:rFonts w:hint="eastAsia" w:cs="Times New Roman"/>
                      <w:color w:val="auto"/>
                      <w:szCs w:val="21"/>
                      <w:lang w:val="en-US" w:eastAsia="zh-CN"/>
                    </w:rPr>
                    <w:t>大</w:t>
                  </w:r>
                  <w:r>
                    <w:rPr>
                      <w:rFonts w:hint="eastAsia" w:ascii="Times New Roman" w:hAnsi="Times New Roman" w:cs="Times New Roman"/>
                      <w:color w:val="auto"/>
                      <w:szCs w:val="21"/>
                      <w:lang w:val="en-US" w:eastAsia="zh-CN"/>
                    </w:rPr>
                    <w:t>旋风除尘器后回用，</w:t>
                  </w:r>
                  <w:r>
                    <w:rPr>
                      <w:rFonts w:hint="eastAsia" w:cs="Times New Roman"/>
                      <w:color w:val="auto"/>
                      <w:szCs w:val="21"/>
                      <w:lang w:val="en-US" w:eastAsia="zh-CN"/>
                    </w:rPr>
                    <w:t>处理后废气由15米排气筒（DA002）高空排放</w:t>
                  </w:r>
                  <w:r>
                    <w:rPr>
                      <w:rFonts w:hint="eastAsia" w:ascii="Times New Roman" w:hAnsi="Times New Roman" w:cs="Times New Roman"/>
                      <w:color w:val="auto"/>
                      <w:szCs w:val="21"/>
                      <w:lang w:val="en-US" w:eastAsia="zh-CN"/>
                    </w:rPr>
                    <w:t>。</w:t>
                  </w:r>
                </w:p>
              </w:tc>
              <w:tc>
                <w:tcPr>
                  <w:tcW w:w="1235" w:type="pct"/>
                  <w:noWrap w:val="0"/>
                  <w:vAlign w:val="center"/>
                </w:tcPr>
                <w:p w14:paraId="664E300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已建</w:t>
                  </w:r>
                </w:p>
              </w:tc>
            </w:tr>
            <w:tr w14:paraId="120AB5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 w:type="pct"/>
                  <w:vMerge w:val="continue"/>
                  <w:noWrap w:val="0"/>
                  <w:vAlign w:val="center"/>
                </w:tcPr>
                <w:p w14:paraId="7C11855C">
                  <w:pPr>
                    <w:adjustRightInd w:val="0"/>
                    <w:snapToGrid w:val="0"/>
                    <w:jc w:val="center"/>
                    <w:rPr>
                      <w:rFonts w:hint="eastAsia" w:ascii="Times New Roman" w:hAnsi="Times New Roman" w:cs="Times New Roman"/>
                      <w:color w:val="auto"/>
                      <w:szCs w:val="21"/>
                      <w:lang w:eastAsia="zh-CN"/>
                    </w:rPr>
                  </w:pPr>
                </w:p>
              </w:tc>
              <w:tc>
                <w:tcPr>
                  <w:tcW w:w="888" w:type="pct"/>
                  <w:gridSpan w:val="4"/>
                  <w:vMerge w:val="continue"/>
                  <w:noWrap w:val="0"/>
                  <w:vAlign w:val="center"/>
                </w:tcPr>
                <w:p w14:paraId="0C5AF2E9">
                  <w:pPr>
                    <w:adjustRightInd w:val="0"/>
                    <w:snapToGrid w:val="0"/>
                    <w:jc w:val="center"/>
                    <w:rPr>
                      <w:rFonts w:hint="default" w:ascii="Times New Roman" w:hAnsi="Times New Roman" w:cs="Times New Roman"/>
                      <w:color w:val="auto"/>
                      <w:szCs w:val="21"/>
                      <w:lang w:eastAsia="zh-CN"/>
                    </w:rPr>
                  </w:pPr>
                </w:p>
              </w:tc>
              <w:tc>
                <w:tcPr>
                  <w:tcW w:w="2577" w:type="pct"/>
                  <w:noWrap w:val="0"/>
                  <w:vAlign w:val="center"/>
                </w:tcPr>
                <w:p w14:paraId="1705ACB6">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廊道式固化炉和面包</w:t>
                  </w:r>
                  <w:r>
                    <w:rPr>
                      <w:rFonts w:hint="eastAsia" w:ascii="Times New Roman" w:hAnsi="Times New Roman" w:cs="Times New Roman"/>
                      <w:color w:val="auto"/>
                      <w:szCs w:val="21"/>
                      <w:lang w:val="en-US" w:eastAsia="zh-CN"/>
                    </w:rPr>
                    <w:t>固化</w:t>
                  </w:r>
                  <w:r>
                    <w:rPr>
                      <w:rFonts w:hint="eastAsia" w:cs="Times New Roman"/>
                      <w:color w:val="auto"/>
                      <w:szCs w:val="21"/>
                      <w:lang w:val="en-US" w:eastAsia="zh-CN"/>
                    </w:rPr>
                    <w:t>炉运行产生的</w:t>
                  </w:r>
                  <w:r>
                    <w:rPr>
                      <w:rFonts w:hint="eastAsia" w:ascii="Times New Roman" w:hAnsi="Times New Roman" w:cs="Times New Roman"/>
                      <w:color w:val="auto"/>
                      <w:szCs w:val="21"/>
                      <w:lang w:val="en-US" w:eastAsia="zh-CN"/>
                    </w:rPr>
                    <w:t>有机废气经收集后由二级活性炭处理后经15米排气筒（DA00</w:t>
                  </w:r>
                  <w:r>
                    <w:rPr>
                      <w:rFonts w:hint="eastAsia" w:cs="Times New Roman"/>
                      <w:color w:val="auto"/>
                      <w:szCs w:val="21"/>
                      <w:lang w:val="en-US" w:eastAsia="zh-CN"/>
                    </w:rPr>
                    <w:t>3</w:t>
                  </w:r>
                  <w:r>
                    <w:rPr>
                      <w:rFonts w:hint="eastAsia" w:ascii="Times New Roman" w:hAnsi="Times New Roman" w:cs="Times New Roman"/>
                      <w:color w:val="auto"/>
                      <w:szCs w:val="21"/>
                      <w:lang w:val="en-US" w:eastAsia="zh-CN"/>
                    </w:rPr>
                    <w:t>）高空排放。</w:t>
                  </w:r>
                </w:p>
              </w:tc>
              <w:tc>
                <w:tcPr>
                  <w:tcW w:w="1235" w:type="pct"/>
                  <w:noWrap w:val="0"/>
                  <w:vAlign w:val="center"/>
                </w:tcPr>
                <w:p w14:paraId="03D8A50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已建</w:t>
                  </w:r>
                </w:p>
              </w:tc>
            </w:tr>
            <w:tr w14:paraId="2D389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98" w:type="pct"/>
                  <w:vMerge w:val="continue"/>
                  <w:noWrap w:val="0"/>
                  <w:vAlign w:val="center"/>
                </w:tcPr>
                <w:p w14:paraId="44E574B5">
                  <w:pPr>
                    <w:adjustRightInd w:val="0"/>
                    <w:snapToGrid w:val="0"/>
                    <w:jc w:val="center"/>
                    <w:rPr>
                      <w:rFonts w:hint="eastAsia" w:ascii="Times New Roman" w:hAnsi="Times New Roman" w:cs="Times New Roman"/>
                      <w:color w:val="auto"/>
                      <w:szCs w:val="21"/>
                      <w:lang w:eastAsia="zh-CN"/>
                    </w:rPr>
                  </w:pPr>
                </w:p>
              </w:tc>
              <w:tc>
                <w:tcPr>
                  <w:tcW w:w="888" w:type="pct"/>
                  <w:gridSpan w:val="4"/>
                  <w:vMerge w:val="continue"/>
                  <w:tcBorders>
                    <w:bottom w:val="single" w:color="auto" w:sz="4" w:space="0"/>
                  </w:tcBorders>
                  <w:noWrap w:val="0"/>
                  <w:vAlign w:val="center"/>
                </w:tcPr>
                <w:p w14:paraId="0E8C8FAD">
                  <w:pPr>
                    <w:adjustRightInd w:val="0"/>
                    <w:snapToGrid w:val="0"/>
                    <w:jc w:val="center"/>
                    <w:rPr>
                      <w:rFonts w:hint="default" w:ascii="Times New Roman" w:hAnsi="Times New Roman" w:cs="Times New Roman"/>
                      <w:color w:val="auto"/>
                      <w:szCs w:val="21"/>
                      <w:lang w:eastAsia="zh-CN"/>
                    </w:rPr>
                  </w:pPr>
                </w:p>
              </w:tc>
              <w:tc>
                <w:tcPr>
                  <w:tcW w:w="2577" w:type="pct"/>
                  <w:noWrap w:val="0"/>
                  <w:vAlign w:val="center"/>
                </w:tcPr>
                <w:p w14:paraId="50590FB2">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天然气燃烧废气经收集后由低氮燃烧器处理后由15米排气筒（DA00</w:t>
                  </w:r>
                  <w:r>
                    <w:rPr>
                      <w:rFonts w:hint="eastAsia" w:cs="Times New Roman"/>
                      <w:color w:val="auto"/>
                      <w:szCs w:val="21"/>
                      <w:lang w:val="en-US" w:eastAsia="zh-CN"/>
                    </w:rPr>
                    <w:t>3</w:t>
                  </w:r>
                  <w:r>
                    <w:rPr>
                      <w:rFonts w:hint="eastAsia" w:ascii="Times New Roman" w:hAnsi="Times New Roman" w:cs="Times New Roman"/>
                      <w:color w:val="auto"/>
                      <w:szCs w:val="21"/>
                      <w:lang w:val="en-US" w:eastAsia="zh-CN"/>
                    </w:rPr>
                    <w:t>）高空排放。</w:t>
                  </w:r>
                </w:p>
              </w:tc>
              <w:tc>
                <w:tcPr>
                  <w:tcW w:w="1235" w:type="pct"/>
                  <w:noWrap w:val="0"/>
                  <w:vAlign w:val="center"/>
                </w:tcPr>
                <w:p w14:paraId="39BC2279">
                  <w:pPr>
                    <w:adjustRightInd w:val="0"/>
                    <w:snapToGrid w:val="0"/>
                    <w:jc w:val="center"/>
                    <w:rPr>
                      <w:rFonts w:hint="default" w:ascii="Times New Roman" w:hAnsi="Times New Roman" w:eastAsia="宋体" w:cs="Times New Roman"/>
                      <w:color w:val="auto"/>
                      <w:szCs w:val="21"/>
                      <w:lang w:eastAsia="zh-CN"/>
                    </w:rPr>
                  </w:pPr>
                  <w:r>
                    <w:rPr>
                      <w:rFonts w:hint="eastAsia" w:cs="Times New Roman"/>
                      <w:color w:val="auto"/>
                      <w:szCs w:val="21"/>
                      <w:lang w:val="en-US" w:eastAsia="zh-CN"/>
                    </w:rPr>
                    <w:t>已建</w:t>
                  </w:r>
                </w:p>
              </w:tc>
            </w:tr>
            <w:tr w14:paraId="0D152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98" w:type="pct"/>
                  <w:vMerge w:val="continue"/>
                  <w:noWrap w:val="0"/>
                  <w:vAlign w:val="center"/>
                </w:tcPr>
                <w:p w14:paraId="6D3ABC3D">
                  <w:pPr>
                    <w:adjustRightInd w:val="0"/>
                    <w:snapToGrid w:val="0"/>
                    <w:jc w:val="center"/>
                    <w:rPr>
                      <w:rFonts w:hint="eastAsia" w:ascii="Times New Roman" w:hAnsi="Times New Roman" w:cs="Times New Roman"/>
                      <w:color w:val="auto"/>
                      <w:szCs w:val="21"/>
                      <w:lang w:eastAsia="zh-CN"/>
                    </w:rPr>
                  </w:pPr>
                </w:p>
              </w:tc>
              <w:tc>
                <w:tcPr>
                  <w:tcW w:w="888" w:type="pct"/>
                  <w:gridSpan w:val="4"/>
                  <w:tcBorders>
                    <w:bottom w:val="single" w:color="auto" w:sz="4" w:space="0"/>
                  </w:tcBorders>
                  <w:noWrap w:val="0"/>
                  <w:vAlign w:val="center"/>
                </w:tcPr>
                <w:p w14:paraId="4E1737DC">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废水处理系统</w:t>
                  </w:r>
                </w:p>
              </w:tc>
              <w:tc>
                <w:tcPr>
                  <w:tcW w:w="2577" w:type="pct"/>
                  <w:noWrap w:val="0"/>
                  <w:vAlign w:val="center"/>
                </w:tcPr>
                <w:p w14:paraId="0B366F21">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本项目工件清洗废水经污水处理设施处理后循环使用，处理后的</w:t>
                  </w:r>
                  <w:r>
                    <w:rPr>
                      <w:rFonts w:hint="eastAsia" w:ascii="Times New Roman" w:hAnsi="Times New Roman" w:eastAsia="宋体" w:cs="Times New Roman"/>
                      <w:color w:val="auto"/>
                      <w:kern w:val="2"/>
                      <w:sz w:val="21"/>
                      <w:szCs w:val="21"/>
                      <w:lang w:val="en-US" w:eastAsia="zh-CN" w:bidi="ar-SA"/>
                    </w:rPr>
                    <w:t>水质</w:t>
                  </w:r>
                  <w:r>
                    <w:rPr>
                      <w:rFonts w:hint="eastAsia" w:cs="Times New Roman"/>
                      <w:color w:val="auto"/>
                      <w:kern w:val="2"/>
                      <w:sz w:val="21"/>
                      <w:szCs w:val="21"/>
                      <w:lang w:val="en-US" w:eastAsia="zh-CN" w:bidi="ar-SA"/>
                    </w:rPr>
                    <w:t>需满足</w:t>
                  </w:r>
                  <w:r>
                    <w:rPr>
                      <w:rFonts w:hint="eastAsia" w:ascii="Times New Roman" w:hAnsi="Times New Roman" w:eastAsia="宋体" w:cs="Times New Roman"/>
                      <w:color w:val="auto"/>
                      <w:kern w:val="2"/>
                      <w:sz w:val="21"/>
                      <w:szCs w:val="21"/>
                      <w:lang w:val="en-US" w:eastAsia="zh-CN" w:bidi="ar-SA"/>
                    </w:rPr>
                    <w:t>《城市污水再生利用 工业用水水质》（GB/T 19923-20</w:t>
                  </w:r>
                  <w:r>
                    <w:rPr>
                      <w:rFonts w:hint="eastAsia" w:cs="Times New Roman"/>
                      <w:color w:val="auto"/>
                      <w:kern w:val="2"/>
                      <w:sz w:val="21"/>
                      <w:szCs w:val="21"/>
                      <w:lang w:val="en-US" w:eastAsia="zh-CN" w:bidi="ar-SA"/>
                    </w:rPr>
                    <w:t>24</w:t>
                  </w:r>
                  <w:r>
                    <w:rPr>
                      <w:rFonts w:hint="eastAsia" w:ascii="Times New Roman" w:hAnsi="Times New Roman" w:eastAsia="宋体" w:cs="Times New Roman"/>
                      <w:color w:val="auto"/>
                      <w:kern w:val="2"/>
                      <w:sz w:val="21"/>
                      <w:szCs w:val="21"/>
                      <w:lang w:val="en-US" w:eastAsia="zh-CN" w:bidi="ar-SA"/>
                    </w:rPr>
                    <w:t>）表1中洗涤用水水质标准限值</w:t>
                  </w:r>
                  <w:r>
                    <w:rPr>
                      <w:rFonts w:hint="eastAsia" w:cs="Times New Roman"/>
                      <w:color w:val="auto"/>
                      <w:kern w:val="2"/>
                      <w:sz w:val="21"/>
                      <w:szCs w:val="21"/>
                      <w:lang w:val="en-US" w:eastAsia="zh-CN" w:bidi="ar-SA"/>
                    </w:rPr>
                    <w:t>。</w:t>
                  </w:r>
                </w:p>
              </w:tc>
              <w:tc>
                <w:tcPr>
                  <w:tcW w:w="1235" w:type="pct"/>
                  <w:noWrap w:val="0"/>
                  <w:vAlign w:val="center"/>
                </w:tcPr>
                <w:p w14:paraId="53E757B6">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已建</w:t>
                  </w:r>
                </w:p>
              </w:tc>
            </w:tr>
            <w:tr w14:paraId="352CD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98" w:type="pct"/>
                  <w:vMerge w:val="continue"/>
                  <w:noWrap w:val="0"/>
                  <w:vAlign w:val="center"/>
                </w:tcPr>
                <w:p w14:paraId="328535C5">
                  <w:pPr>
                    <w:adjustRightInd w:val="0"/>
                    <w:snapToGrid w:val="0"/>
                    <w:jc w:val="center"/>
                    <w:rPr>
                      <w:rFonts w:hint="default" w:ascii="Times New Roman" w:hAnsi="Times New Roman" w:cs="Times New Roman"/>
                      <w:color w:val="auto"/>
                      <w:szCs w:val="21"/>
                    </w:rPr>
                  </w:pPr>
                </w:p>
              </w:tc>
              <w:tc>
                <w:tcPr>
                  <w:tcW w:w="888" w:type="pct"/>
                  <w:gridSpan w:val="4"/>
                  <w:noWrap w:val="0"/>
                  <w:vAlign w:val="center"/>
                </w:tcPr>
                <w:p w14:paraId="6704983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噪声处理系统</w:t>
                  </w:r>
                </w:p>
              </w:tc>
              <w:tc>
                <w:tcPr>
                  <w:tcW w:w="2577" w:type="pct"/>
                  <w:noWrap w:val="0"/>
                  <w:vAlign w:val="center"/>
                </w:tcPr>
                <w:p w14:paraId="117DEB50">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snapToGrid w:val="0"/>
                      <w:color w:val="auto"/>
                      <w:szCs w:val="21"/>
                      <w:lang w:eastAsia="zh-CN"/>
                    </w:rPr>
                    <w:t>风机与风管处采用橡胶软连接、</w:t>
                  </w:r>
                  <w:r>
                    <w:rPr>
                      <w:rFonts w:hint="eastAsia" w:cs="Times New Roman"/>
                      <w:snapToGrid w:val="0"/>
                      <w:color w:val="auto"/>
                      <w:szCs w:val="21"/>
                      <w:lang w:val="en-US" w:eastAsia="zh-CN"/>
                    </w:rPr>
                    <w:t>设隔声罩、</w:t>
                  </w:r>
                  <w:r>
                    <w:rPr>
                      <w:rFonts w:hint="default" w:ascii="Times New Roman" w:hAnsi="Times New Roman" w:cs="Times New Roman"/>
                      <w:snapToGrid w:val="0"/>
                      <w:color w:val="auto"/>
                      <w:szCs w:val="21"/>
                      <w:lang w:eastAsia="zh-CN"/>
                    </w:rPr>
                    <w:t>设备润滑、墙体隔声、</w:t>
                  </w:r>
                  <w:r>
                    <w:rPr>
                      <w:rFonts w:hint="default" w:ascii="Times New Roman" w:hAnsi="Times New Roman" w:cs="Times New Roman"/>
                      <w:snapToGrid w:val="0"/>
                      <w:color w:val="auto"/>
                      <w:szCs w:val="21"/>
                    </w:rPr>
                    <w:t>距离衰减等</w:t>
                  </w:r>
                  <w:r>
                    <w:rPr>
                      <w:rFonts w:hint="eastAsia" w:ascii="Times New Roman" w:hAnsi="Times New Roman" w:cs="Times New Roman"/>
                      <w:snapToGrid w:val="0"/>
                      <w:color w:val="auto"/>
                      <w:szCs w:val="21"/>
                      <w:lang w:eastAsia="zh-CN"/>
                    </w:rPr>
                    <w:t>。</w:t>
                  </w:r>
                </w:p>
              </w:tc>
              <w:tc>
                <w:tcPr>
                  <w:tcW w:w="1235" w:type="pct"/>
                  <w:noWrap w:val="0"/>
                  <w:vAlign w:val="center"/>
                </w:tcPr>
                <w:p w14:paraId="00D8252A">
                  <w:pPr>
                    <w:adjustRightInd w:val="0"/>
                    <w:snapToGrid w:val="0"/>
                    <w:jc w:val="center"/>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rPr>
                    <w:t>新建</w:t>
                  </w:r>
                  <w:r>
                    <w:rPr>
                      <w:rFonts w:hint="eastAsia" w:ascii="Times New Roman" w:hAnsi="Times New Roman" w:cs="Times New Roman"/>
                      <w:snapToGrid w:val="0"/>
                      <w:color w:val="auto"/>
                      <w:szCs w:val="21"/>
                      <w:lang w:val="en-US" w:eastAsia="zh-CN"/>
                    </w:rPr>
                    <w:t>+依托</w:t>
                  </w:r>
                </w:p>
              </w:tc>
            </w:tr>
            <w:tr w14:paraId="55FB1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98" w:type="pct"/>
                  <w:vMerge w:val="continue"/>
                  <w:noWrap w:val="0"/>
                  <w:vAlign w:val="center"/>
                </w:tcPr>
                <w:p w14:paraId="4438B58C">
                  <w:pPr>
                    <w:adjustRightInd w:val="0"/>
                    <w:snapToGrid w:val="0"/>
                    <w:jc w:val="center"/>
                    <w:rPr>
                      <w:rFonts w:hint="default" w:ascii="Times New Roman" w:hAnsi="Times New Roman" w:cs="Times New Roman"/>
                      <w:color w:val="auto"/>
                      <w:szCs w:val="21"/>
                    </w:rPr>
                  </w:pPr>
                </w:p>
              </w:tc>
              <w:tc>
                <w:tcPr>
                  <w:tcW w:w="377" w:type="pct"/>
                  <w:gridSpan w:val="2"/>
                  <w:vMerge w:val="restart"/>
                  <w:noWrap w:val="0"/>
                  <w:vAlign w:val="center"/>
                </w:tcPr>
                <w:p w14:paraId="7DB6BECE">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固废处理系统</w:t>
                  </w:r>
                </w:p>
              </w:tc>
              <w:tc>
                <w:tcPr>
                  <w:tcW w:w="510" w:type="pct"/>
                  <w:gridSpan w:val="2"/>
                  <w:noWrap w:val="0"/>
                  <w:vAlign w:val="center"/>
                </w:tcPr>
                <w:p w14:paraId="6D7702FA">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一般固废</w:t>
                  </w:r>
                </w:p>
              </w:tc>
              <w:tc>
                <w:tcPr>
                  <w:tcW w:w="2577" w:type="pct"/>
                  <w:noWrap w:val="0"/>
                  <w:vAlign w:val="center"/>
                </w:tcPr>
                <w:p w14:paraId="35FD8F12">
                  <w:pPr>
                    <w:adjustRightInd w:val="0"/>
                    <w:snapToGrid w:val="0"/>
                    <w:jc w:val="center"/>
                    <w:rPr>
                      <w:rFonts w:hint="default" w:ascii="Times New Roman" w:hAnsi="Times New Roman" w:cs="Times New Roman"/>
                      <w:snapToGrid w:val="0"/>
                      <w:color w:val="auto"/>
                      <w:szCs w:val="21"/>
                      <w:lang w:val="en-US" w:eastAsia="zh-CN"/>
                    </w:rPr>
                  </w:pPr>
                  <w:r>
                    <w:rPr>
                      <w:rFonts w:hint="default" w:ascii="Times New Roman" w:hAnsi="Times New Roman" w:eastAsia="宋体" w:cs="Times New Roman"/>
                      <w:snapToGrid w:val="0"/>
                      <w:color w:val="auto"/>
                      <w:szCs w:val="21"/>
                      <w:lang w:eastAsia="zh-CN"/>
                    </w:rPr>
                    <w:t>废金属屑、废边角料</w:t>
                  </w:r>
                  <w:r>
                    <w:rPr>
                      <w:rFonts w:hint="eastAsia" w:ascii="Times New Roman" w:hAnsi="Times New Roman" w:eastAsia="宋体" w:cs="Times New Roman"/>
                      <w:snapToGrid w:val="0"/>
                      <w:color w:val="auto"/>
                      <w:szCs w:val="21"/>
                      <w:lang w:eastAsia="zh-CN"/>
                    </w:rPr>
                    <w:t>、废钢丸、</w:t>
                  </w:r>
                  <w:r>
                    <w:rPr>
                      <w:rFonts w:hint="eastAsia" w:ascii="Times New Roman" w:hAnsi="Times New Roman" w:eastAsia="宋体" w:cs="Times New Roman"/>
                      <w:snapToGrid w:val="0"/>
                      <w:color w:val="auto"/>
                      <w:szCs w:val="21"/>
                      <w:lang w:val="en-US" w:eastAsia="zh-CN"/>
                    </w:rPr>
                    <w:t>废粉</w:t>
                  </w:r>
                  <w:r>
                    <w:rPr>
                      <w:rFonts w:hint="eastAsia" w:ascii="Times New Roman" w:hAnsi="Times New Roman" w:eastAsia="宋体" w:cs="Times New Roman"/>
                      <w:snapToGrid w:val="0"/>
                      <w:color w:val="auto"/>
                      <w:szCs w:val="21"/>
                      <w:lang w:eastAsia="zh-CN"/>
                    </w:rPr>
                    <w:t>、收尘灰</w:t>
                  </w:r>
                  <w:r>
                    <w:rPr>
                      <w:rFonts w:hint="default" w:ascii="Times New Roman" w:hAnsi="Times New Roman" w:eastAsia="宋体" w:cs="Times New Roman"/>
                      <w:snapToGrid w:val="0"/>
                      <w:color w:val="auto"/>
                      <w:szCs w:val="21"/>
                      <w:lang w:eastAsia="zh-CN"/>
                    </w:rPr>
                    <w:t>暂存一般固废暂存区（占地</w:t>
                  </w:r>
                  <w:r>
                    <w:rPr>
                      <w:rFonts w:hint="eastAsia" w:cs="Times New Roman"/>
                      <w:snapToGrid w:val="0"/>
                      <w:color w:val="auto"/>
                      <w:szCs w:val="21"/>
                      <w:lang w:val="en-US" w:eastAsia="zh-CN"/>
                    </w:rPr>
                    <w:t>2</w:t>
                  </w:r>
                  <w:r>
                    <w:rPr>
                      <w:rFonts w:hint="default" w:ascii="Times New Roman" w:hAnsi="Times New Roman" w:eastAsia="宋体" w:cs="Times New Roman"/>
                      <w:snapToGrid w:val="0"/>
                      <w:color w:val="auto"/>
                      <w:szCs w:val="21"/>
                      <w:lang w:val="en-US" w:eastAsia="zh-CN"/>
                    </w:rPr>
                    <w:t>0㎡</w:t>
                  </w:r>
                  <w:r>
                    <w:rPr>
                      <w:rFonts w:hint="default" w:ascii="Times New Roman" w:hAnsi="Times New Roman" w:eastAsia="宋体" w:cs="Times New Roman"/>
                      <w:snapToGrid w:val="0"/>
                      <w:color w:val="auto"/>
                      <w:szCs w:val="21"/>
                      <w:lang w:eastAsia="zh-CN"/>
                    </w:rPr>
                    <w:t>）后定期外售处理</w:t>
                  </w:r>
                  <w:r>
                    <w:rPr>
                      <w:rFonts w:hint="eastAsia" w:ascii="Times New Roman" w:hAnsi="Times New Roman" w:eastAsia="宋体" w:cs="Times New Roman"/>
                      <w:snapToGrid w:val="0"/>
                      <w:color w:val="auto"/>
                      <w:szCs w:val="21"/>
                      <w:lang w:eastAsia="zh-CN"/>
                    </w:rPr>
                    <w:t>。</w:t>
                  </w:r>
                </w:p>
              </w:tc>
              <w:tc>
                <w:tcPr>
                  <w:tcW w:w="1235" w:type="pct"/>
                  <w:noWrap w:val="0"/>
                  <w:vAlign w:val="center"/>
                </w:tcPr>
                <w:p w14:paraId="09FDB34F">
                  <w:pPr>
                    <w:adjustRightInd w:val="0"/>
                    <w:snapToGrid w:val="0"/>
                    <w:jc w:val="center"/>
                    <w:rPr>
                      <w:rFonts w:hint="eastAsia"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依托</w:t>
                  </w:r>
                </w:p>
              </w:tc>
            </w:tr>
            <w:tr w14:paraId="25B5DE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98" w:type="pct"/>
                  <w:vMerge w:val="continue"/>
                  <w:noWrap w:val="0"/>
                  <w:vAlign w:val="center"/>
                </w:tcPr>
                <w:p w14:paraId="688E48F9">
                  <w:pPr>
                    <w:adjustRightInd w:val="0"/>
                    <w:snapToGrid w:val="0"/>
                    <w:jc w:val="center"/>
                    <w:rPr>
                      <w:color w:val="auto"/>
                    </w:rPr>
                  </w:pPr>
                </w:p>
              </w:tc>
              <w:tc>
                <w:tcPr>
                  <w:tcW w:w="377" w:type="pct"/>
                  <w:gridSpan w:val="2"/>
                  <w:vMerge w:val="continue"/>
                  <w:noWrap w:val="0"/>
                  <w:vAlign w:val="center"/>
                </w:tcPr>
                <w:p w14:paraId="30CE94EC">
                  <w:pPr>
                    <w:adjustRightInd w:val="0"/>
                    <w:snapToGrid w:val="0"/>
                    <w:jc w:val="center"/>
                    <w:rPr>
                      <w:color w:val="auto"/>
                    </w:rPr>
                  </w:pPr>
                </w:p>
              </w:tc>
              <w:tc>
                <w:tcPr>
                  <w:tcW w:w="510" w:type="pct"/>
                  <w:gridSpan w:val="2"/>
                  <w:noWrap w:val="0"/>
                  <w:vAlign w:val="center"/>
                </w:tcPr>
                <w:p w14:paraId="5C3034EB">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危险废物</w:t>
                  </w:r>
                </w:p>
              </w:tc>
              <w:tc>
                <w:tcPr>
                  <w:tcW w:w="2577" w:type="pct"/>
                  <w:noWrap w:val="0"/>
                  <w:vAlign w:val="center"/>
                </w:tcPr>
                <w:p w14:paraId="4A05A863">
                  <w:pPr>
                    <w:adjustRightInd w:val="0"/>
                    <w:snapToGrid w:val="0"/>
                    <w:jc w:val="center"/>
                    <w:rPr>
                      <w:rFonts w:hint="eastAsia" w:cs="Times New Roman"/>
                      <w:color w:val="auto"/>
                      <w:szCs w:val="21"/>
                      <w:lang w:val="en-US" w:eastAsia="zh-CN"/>
                    </w:rPr>
                  </w:pPr>
                  <w:r>
                    <w:rPr>
                      <w:rFonts w:hint="default" w:ascii="Times New Roman" w:hAnsi="Times New Roman" w:eastAsia="宋体" w:cs="Times New Roman"/>
                      <w:snapToGrid w:val="0"/>
                      <w:color w:val="auto"/>
                      <w:szCs w:val="21"/>
                      <w:lang w:eastAsia="zh-CN"/>
                    </w:rPr>
                    <w:t>危险废物（</w:t>
                  </w:r>
                  <w:r>
                    <w:rPr>
                      <w:rFonts w:hint="eastAsia" w:cs="Times New Roman"/>
                      <w:snapToGrid w:val="0"/>
                      <w:color w:val="auto"/>
                      <w:szCs w:val="21"/>
                      <w:lang w:val="en-US" w:eastAsia="zh-CN"/>
                    </w:rPr>
                    <w:t>污泥、</w:t>
                  </w:r>
                  <w:r>
                    <w:rPr>
                      <w:rFonts w:hint="eastAsia" w:ascii="Times New Roman" w:hAnsi="Times New Roman" w:eastAsia="宋体" w:cs="Times New Roman"/>
                      <w:snapToGrid w:val="0"/>
                      <w:color w:val="auto"/>
                      <w:szCs w:val="21"/>
                      <w:lang w:val="en-US" w:eastAsia="zh-CN"/>
                    </w:rPr>
                    <w:t>废活性炭、</w:t>
                  </w:r>
                  <w:r>
                    <w:rPr>
                      <w:rFonts w:hint="eastAsia" w:cs="Times New Roman"/>
                      <w:snapToGrid w:val="0"/>
                      <w:color w:val="auto"/>
                      <w:szCs w:val="21"/>
                      <w:lang w:val="en-US" w:eastAsia="zh-CN"/>
                    </w:rPr>
                    <w:t>废滤袋、废超滤膜、废槽液、浓盐水、</w:t>
                  </w:r>
                  <w:r>
                    <w:rPr>
                      <w:rFonts w:hint="default" w:ascii="Times New Roman" w:hAnsi="Times New Roman" w:eastAsia="宋体" w:cs="Times New Roman"/>
                      <w:snapToGrid w:val="0"/>
                      <w:color w:val="auto"/>
                      <w:szCs w:val="21"/>
                      <w:lang w:eastAsia="zh-CN"/>
                    </w:rPr>
                    <w:t>废</w:t>
                  </w:r>
                  <w:r>
                    <w:rPr>
                      <w:rFonts w:hint="eastAsia" w:ascii="Times New Roman" w:hAnsi="Times New Roman" w:eastAsia="宋体" w:cs="Times New Roman"/>
                      <w:snapToGrid w:val="0"/>
                      <w:color w:val="auto"/>
                      <w:szCs w:val="21"/>
                      <w:lang w:eastAsia="zh-CN"/>
                    </w:rPr>
                    <w:t>矿物</w:t>
                  </w:r>
                  <w:r>
                    <w:rPr>
                      <w:rFonts w:hint="default" w:ascii="Times New Roman" w:hAnsi="Times New Roman" w:eastAsia="宋体" w:cs="Times New Roman"/>
                      <w:snapToGrid w:val="0"/>
                      <w:color w:val="auto"/>
                      <w:szCs w:val="21"/>
                      <w:lang w:eastAsia="zh-CN"/>
                    </w:rPr>
                    <w:t>油、废油桶、</w:t>
                  </w:r>
                  <w:r>
                    <w:rPr>
                      <w:rFonts w:hint="eastAsia" w:ascii="Times New Roman" w:hAnsi="Times New Roman" w:eastAsia="宋体" w:cs="Times New Roman"/>
                      <w:snapToGrid w:val="0"/>
                      <w:color w:val="auto"/>
                      <w:szCs w:val="21"/>
                      <w:lang w:eastAsia="zh-CN"/>
                    </w:rPr>
                    <w:t>废切削液</w:t>
                  </w:r>
                  <w:r>
                    <w:rPr>
                      <w:rFonts w:hint="eastAsia" w:ascii="Times New Roman" w:hAnsi="Times New Roman" w:eastAsia="宋体" w:cs="Times New Roman"/>
                      <w:snapToGrid w:val="0"/>
                      <w:color w:val="auto"/>
                      <w:szCs w:val="21"/>
                      <w:lang w:val="en-US" w:eastAsia="zh-CN"/>
                    </w:rPr>
                    <w:t>桶、废</w:t>
                  </w:r>
                  <w:r>
                    <w:rPr>
                      <w:rFonts w:hint="default" w:ascii="Times New Roman" w:hAnsi="Times New Roman" w:eastAsia="宋体" w:cs="Times New Roman"/>
                      <w:snapToGrid w:val="0"/>
                      <w:color w:val="auto"/>
                      <w:szCs w:val="21"/>
                      <w:lang w:eastAsia="zh-CN"/>
                    </w:rPr>
                    <w:t>含油抹布、手套）暂存于</w:t>
                  </w:r>
                  <w:r>
                    <w:rPr>
                      <w:rFonts w:hint="eastAsia" w:cs="Times New Roman"/>
                      <w:snapToGrid w:val="0"/>
                      <w:color w:val="auto"/>
                      <w:szCs w:val="21"/>
                      <w:lang w:eastAsia="zh-CN"/>
                    </w:rPr>
                    <w:t>危废贮存库</w:t>
                  </w:r>
                  <w:r>
                    <w:rPr>
                      <w:rFonts w:hint="default" w:ascii="Times New Roman" w:hAnsi="Times New Roman" w:eastAsia="宋体" w:cs="Times New Roman"/>
                      <w:snapToGrid w:val="0"/>
                      <w:color w:val="auto"/>
                      <w:szCs w:val="21"/>
                      <w:lang w:eastAsia="zh-CN"/>
                    </w:rPr>
                    <w:t>（占地</w:t>
                  </w:r>
                  <w:r>
                    <w:rPr>
                      <w:rFonts w:hint="eastAsia" w:cs="Times New Roman"/>
                      <w:snapToGrid w:val="0"/>
                      <w:color w:val="auto"/>
                      <w:szCs w:val="21"/>
                      <w:lang w:val="en-US" w:eastAsia="zh-CN"/>
                    </w:rPr>
                    <w:t>12</w:t>
                  </w:r>
                  <w:r>
                    <w:rPr>
                      <w:rFonts w:hint="default" w:ascii="Times New Roman" w:hAnsi="Times New Roman" w:eastAsia="宋体" w:cs="Times New Roman"/>
                      <w:snapToGrid w:val="0"/>
                      <w:color w:val="auto"/>
                      <w:szCs w:val="21"/>
                      <w:lang w:val="en-US" w:eastAsia="zh-CN"/>
                    </w:rPr>
                    <w:t>㎡</w:t>
                  </w:r>
                  <w:r>
                    <w:rPr>
                      <w:rFonts w:hint="default" w:ascii="Times New Roman" w:hAnsi="Times New Roman" w:eastAsia="宋体" w:cs="Times New Roman"/>
                      <w:snapToGrid w:val="0"/>
                      <w:color w:val="auto"/>
                      <w:szCs w:val="21"/>
                      <w:lang w:eastAsia="zh-CN"/>
                    </w:rPr>
                    <w:t>），定期交由</w:t>
                  </w:r>
                  <w:r>
                    <w:rPr>
                      <w:rFonts w:hint="eastAsia" w:ascii="Times New Roman" w:hAnsi="Times New Roman" w:eastAsia="宋体" w:cs="Times New Roman"/>
                      <w:snapToGrid w:val="0"/>
                      <w:color w:val="auto"/>
                      <w:szCs w:val="21"/>
                      <w:lang w:eastAsia="zh-CN"/>
                    </w:rPr>
                    <w:t>宝鸡明瑞昕盛环保科技有限公司</w:t>
                  </w:r>
                  <w:r>
                    <w:rPr>
                      <w:rFonts w:hint="default" w:ascii="Times New Roman" w:hAnsi="Times New Roman" w:eastAsia="宋体" w:cs="Times New Roman"/>
                      <w:snapToGrid w:val="0"/>
                      <w:color w:val="auto"/>
                      <w:szCs w:val="21"/>
                      <w:lang w:eastAsia="zh-CN"/>
                    </w:rPr>
                    <w:t>处理</w:t>
                  </w:r>
                  <w:r>
                    <w:rPr>
                      <w:rFonts w:hint="eastAsia" w:ascii="Times New Roman" w:hAnsi="Times New Roman" w:eastAsia="宋体" w:cs="Times New Roman"/>
                      <w:snapToGrid w:val="0"/>
                      <w:color w:val="auto"/>
                      <w:szCs w:val="21"/>
                      <w:lang w:eastAsia="zh-CN"/>
                    </w:rPr>
                    <w:t>。</w:t>
                  </w:r>
                </w:p>
              </w:tc>
              <w:tc>
                <w:tcPr>
                  <w:tcW w:w="1235" w:type="pct"/>
                  <w:noWrap w:val="0"/>
                  <w:vAlign w:val="center"/>
                </w:tcPr>
                <w:p w14:paraId="690481AA">
                  <w:pPr>
                    <w:adjustRightInd w:val="0"/>
                    <w:snapToGrid w:val="0"/>
                    <w:jc w:val="center"/>
                    <w:rPr>
                      <w:rFonts w:hint="eastAsia" w:cs="Times New Roman"/>
                      <w:color w:val="auto"/>
                      <w:szCs w:val="21"/>
                      <w:lang w:val="en-US" w:eastAsia="zh-CN"/>
                    </w:rPr>
                  </w:pPr>
                  <w:r>
                    <w:rPr>
                      <w:rFonts w:hint="eastAsia" w:cs="Times New Roman"/>
                      <w:snapToGrid w:val="0"/>
                      <w:color w:val="auto"/>
                      <w:szCs w:val="21"/>
                      <w:lang w:val="en-US" w:eastAsia="zh-CN"/>
                    </w:rPr>
                    <w:t>依托</w:t>
                  </w:r>
                </w:p>
              </w:tc>
            </w:tr>
          </w:tbl>
          <w:p w14:paraId="509972E9">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rPr>
            </w:pPr>
            <w:r>
              <w:rPr>
                <w:rFonts w:hint="eastAsia" w:cs="Times New Roman"/>
                <w:b/>
                <w:bCs/>
                <w:color w:val="auto"/>
                <w:sz w:val="24"/>
                <w:lang w:val="en-US" w:eastAsia="zh-CN"/>
              </w:rPr>
              <w:t>4.</w:t>
            </w:r>
            <w:r>
              <w:rPr>
                <w:rFonts w:hint="default" w:ascii="Times New Roman" w:hAnsi="Times New Roman" w:eastAsia="宋体" w:cs="Times New Roman"/>
                <w:b/>
                <w:bCs/>
                <w:color w:val="auto"/>
                <w:sz w:val="24"/>
                <w:lang w:val="en-US" w:eastAsia="zh-CN"/>
              </w:rPr>
              <w:t>产品方案及原辅材料</w:t>
            </w:r>
          </w:p>
          <w:p w14:paraId="4AFA0DC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rPr>
            </w:pPr>
            <w:r>
              <w:rPr>
                <w:rFonts w:hint="eastAsia" w:cs="Times New Roman"/>
                <w:color w:val="auto"/>
                <w:sz w:val="24"/>
                <w:lang w:val="en-US" w:eastAsia="zh-CN"/>
              </w:rPr>
              <w:t>项目</w:t>
            </w:r>
            <w:r>
              <w:rPr>
                <w:rFonts w:hint="default" w:ascii="Times New Roman" w:hAnsi="Times New Roman" w:cs="Times New Roman"/>
                <w:color w:val="auto"/>
                <w:sz w:val="24"/>
              </w:rPr>
              <w:t>产品方案见表2-</w:t>
            </w:r>
            <w:r>
              <w:rPr>
                <w:rFonts w:hint="eastAsia" w:cs="Times New Roman"/>
                <w:color w:val="auto"/>
                <w:sz w:val="24"/>
                <w:lang w:val="en-US" w:eastAsia="zh-CN"/>
              </w:rPr>
              <w:t>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主要原辅材料及其</w:t>
            </w:r>
            <w:r>
              <w:rPr>
                <w:rFonts w:hint="eastAsia" w:cs="Times New Roman"/>
                <w:color w:val="auto"/>
                <w:sz w:val="24"/>
                <w:lang w:eastAsia="zh-CN"/>
              </w:rPr>
              <w:t>消耗量</w:t>
            </w:r>
            <w:r>
              <w:rPr>
                <w:rFonts w:hint="default" w:ascii="Times New Roman" w:hAnsi="Times New Roman" w:cs="Times New Roman"/>
                <w:color w:val="auto"/>
                <w:sz w:val="24"/>
              </w:rPr>
              <w:t>见表2-3</w:t>
            </w:r>
            <w:r>
              <w:rPr>
                <w:rFonts w:hint="eastAsia" w:cs="Times New Roman"/>
                <w:color w:val="auto"/>
                <w:sz w:val="24"/>
                <w:lang w:eastAsia="zh-CN"/>
              </w:rPr>
              <w:t>。</w:t>
            </w:r>
          </w:p>
          <w:p w14:paraId="760A3C7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项目产品方案一览表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0"/>
              <w:gridCol w:w="1337"/>
              <w:gridCol w:w="1289"/>
              <w:gridCol w:w="1624"/>
              <w:gridCol w:w="1307"/>
              <w:gridCol w:w="2080"/>
            </w:tblGrid>
            <w:tr w14:paraId="2C0D70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7" w:type="pct"/>
                  <w:noWrap w:val="0"/>
                  <w:vAlign w:val="center"/>
                </w:tcPr>
                <w:p w14:paraId="35AA0C61">
                  <w:pPr>
                    <w:pStyle w:val="165"/>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565" w:type="pct"/>
                  <w:gridSpan w:val="2"/>
                  <w:noWrap w:val="0"/>
                  <w:vAlign w:val="center"/>
                </w:tcPr>
                <w:p w14:paraId="151927F6">
                  <w:pPr>
                    <w:pStyle w:val="165"/>
                    <w:rPr>
                      <w:rFonts w:hint="default" w:ascii="Times New Roman" w:hAnsi="Times New Roman" w:cs="Times New Roman"/>
                      <w:color w:val="auto"/>
                      <w:szCs w:val="21"/>
                    </w:rPr>
                  </w:pPr>
                  <w:r>
                    <w:rPr>
                      <w:rFonts w:hint="default" w:ascii="Times New Roman" w:hAnsi="Times New Roman" w:cs="Times New Roman"/>
                      <w:color w:val="auto"/>
                      <w:szCs w:val="21"/>
                    </w:rPr>
                    <w:t>产品名称</w:t>
                  </w:r>
                </w:p>
              </w:tc>
              <w:tc>
                <w:tcPr>
                  <w:tcW w:w="968" w:type="pct"/>
                  <w:noWrap w:val="0"/>
                  <w:vAlign w:val="center"/>
                </w:tcPr>
                <w:p w14:paraId="03705FAD">
                  <w:pPr>
                    <w:pStyle w:val="165"/>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产量</w:t>
                  </w:r>
                </w:p>
              </w:tc>
              <w:tc>
                <w:tcPr>
                  <w:tcW w:w="779" w:type="pct"/>
                  <w:noWrap w:val="0"/>
                  <w:vAlign w:val="center"/>
                </w:tcPr>
                <w:p w14:paraId="6031D545">
                  <w:pPr>
                    <w:pStyle w:val="165"/>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单位</w:t>
                  </w:r>
                </w:p>
              </w:tc>
              <w:tc>
                <w:tcPr>
                  <w:tcW w:w="1239" w:type="pct"/>
                  <w:noWrap w:val="0"/>
                  <w:vAlign w:val="center"/>
                </w:tcPr>
                <w:p w14:paraId="76092694">
                  <w:pPr>
                    <w:pStyle w:val="165"/>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14:paraId="78AA57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7" w:type="pct"/>
                  <w:noWrap w:val="0"/>
                  <w:vAlign w:val="center"/>
                </w:tcPr>
                <w:p w14:paraId="6366AD60">
                  <w:pPr>
                    <w:pStyle w:val="165"/>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97" w:type="pct"/>
                  <w:vMerge w:val="restart"/>
                  <w:noWrap w:val="0"/>
                  <w:vAlign w:val="center"/>
                </w:tcPr>
                <w:p w14:paraId="16B34BE6">
                  <w:pPr>
                    <w:pStyle w:val="165"/>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电力配件</w:t>
                  </w:r>
                </w:p>
                <w:p w14:paraId="08D02ACF">
                  <w:pPr>
                    <w:pStyle w:val="165"/>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（零部件）</w:t>
                  </w:r>
                </w:p>
              </w:tc>
              <w:tc>
                <w:tcPr>
                  <w:tcW w:w="768" w:type="pct"/>
                  <w:noWrap w:val="0"/>
                  <w:vAlign w:val="center"/>
                </w:tcPr>
                <w:p w14:paraId="5B507280">
                  <w:pPr>
                    <w:pStyle w:val="165"/>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板</w:t>
                  </w:r>
                </w:p>
              </w:tc>
              <w:tc>
                <w:tcPr>
                  <w:tcW w:w="968" w:type="pct"/>
                  <w:noWrap w:val="0"/>
                  <w:vAlign w:val="center"/>
                </w:tcPr>
                <w:p w14:paraId="6C982B93">
                  <w:pPr>
                    <w:pStyle w:val="165"/>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302.474</w:t>
                  </w:r>
                </w:p>
              </w:tc>
              <w:tc>
                <w:tcPr>
                  <w:tcW w:w="779" w:type="pct"/>
                  <w:vMerge w:val="restart"/>
                  <w:noWrap w:val="0"/>
                  <w:vAlign w:val="center"/>
                </w:tcPr>
                <w:p w14:paraId="37E24FF7">
                  <w:pPr>
                    <w:pStyle w:val="165"/>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t/a</w:t>
                  </w:r>
                </w:p>
              </w:tc>
              <w:tc>
                <w:tcPr>
                  <w:tcW w:w="1239" w:type="pct"/>
                  <w:noWrap w:val="0"/>
                  <w:vAlign w:val="center"/>
                </w:tcPr>
                <w:p w14:paraId="017874CD">
                  <w:pPr>
                    <w:pStyle w:val="16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产品重量：</w:t>
                  </w:r>
                </w:p>
                <w:p w14:paraId="0B330A36">
                  <w:pPr>
                    <w:pStyle w:val="16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lang w:val="en-US" w:eastAsia="zh-CN"/>
                    </w:rPr>
                    <w:t>g</w:t>
                  </w: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lang w:val="en-US" w:eastAsia="zh-CN"/>
                    </w:rPr>
                    <w:t>50g</w:t>
                  </w:r>
                </w:p>
              </w:tc>
            </w:tr>
            <w:tr w14:paraId="1C3971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7" w:type="pct"/>
                  <w:noWrap w:val="0"/>
                  <w:vAlign w:val="center"/>
                </w:tcPr>
                <w:p w14:paraId="707597FE">
                  <w:pPr>
                    <w:pStyle w:val="165"/>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w:t>
                  </w:r>
                </w:p>
              </w:tc>
              <w:tc>
                <w:tcPr>
                  <w:tcW w:w="797" w:type="pct"/>
                  <w:vMerge w:val="continue"/>
                  <w:noWrap w:val="0"/>
                  <w:vAlign w:val="center"/>
                </w:tcPr>
                <w:p w14:paraId="17B72966">
                  <w:pPr>
                    <w:pStyle w:val="165"/>
                    <w:rPr>
                      <w:rFonts w:hint="default" w:ascii="Times New Roman" w:hAnsi="Times New Roman" w:eastAsia="宋体" w:cs="Times New Roman"/>
                      <w:color w:val="auto"/>
                      <w:szCs w:val="21"/>
                      <w:lang w:val="en-US" w:eastAsia="zh-CN"/>
                    </w:rPr>
                  </w:pPr>
                </w:p>
              </w:tc>
              <w:tc>
                <w:tcPr>
                  <w:tcW w:w="768" w:type="pct"/>
                  <w:noWrap w:val="0"/>
                  <w:vAlign w:val="center"/>
                </w:tcPr>
                <w:p w14:paraId="5B9A5718">
                  <w:pPr>
                    <w:pStyle w:val="165"/>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弯板</w:t>
                  </w:r>
                </w:p>
              </w:tc>
              <w:tc>
                <w:tcPr>
                  <w:tcW w:w="968" w:type="pct"/>
                  <w:noWrap w:val="0"/>
                  <w:vAlign w:val="center"/>
                </w:tcPr>
                <w:p w14:paraId="779A57E0">
                  <w:pPr>
                    <w:pStyle w:val="165"/>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302.474</w:t>
                  </w:r>
                </w:p>
              </w:tc>
              <w:tc>
                <w:tcPr>
                  <w:tcW w:w="779" w:type="pct"/>
                  <w:vMerge w:val="continue"/>
                  <w:noWrap w:val="0"/>
                  <w:vAlign w:val="center"/>
                </w:tcPr>
                <w:p w14:paraId="49EBC175">
                  <w:pPr>
                    <w:pStyle w:val="165"/>
                    <w:rPr>
                      <w:rFonts w:hint="default" w:ascii="Times New Roman" w:hAnsi="Times New Roman" w:eastAsia="宋体" w:cs="Times New Roman"/>
                      <w:color w:val="auto"/>
                      <w:szCs w:val="21"/>
                      <w:lang w:val="en-US" w:eastAsia="zh-CN"/>
                    </w:rPr>
                  </w:pPr>
                </w:p>
              </w:tc>
              <w:tc>
                <w:tcPr>
                  <w:tcW w:w="1239" w:type="pct"/>
                  <w:noWrap w:val="0"/>
                  <w:vAlign w:val="center"/>
                </w:tcPr>
                <w:p w14:paraId="489DD61F">
                  <w:pPr>
                    <w:pStyle w:val="165"/>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160</w:t>
                  </w:r>
                  <w:r>
                    <w:rPr>
                      <w:rFonts w:hint="default" w:ascii="Times New Roman" w:hAnsi="Times New Roman" w:eastAsia="宋体" w:cs="Times New Roman"/>
                      <w:color w:val="auto"/>
                      <w:szCs w:val="21"/>
                      <w:lang w:val="en-US" w:eastAsia="zh-CN"/>
                    </w:rPr>
                    <w:t>g</w:t>
                  </w:r>
                  <w:r>
                    <w:rPr>
                      <w:rFonts w:hint="eastAsia" w:ascii="Times New Roman" w:hAnsi="Times New Roman" w:eastAsia="宋体" w:cs="Times New Roman"/>
                      <w:color w:val="auto"/>
                      <w:szCs w:val="21"/>
                      <w:lang w:val="en-US" w:eastAsia="zh-CN"/>
                    </w:rPr>
                    <w:t>—250g</w:t>
                  </w:r>
                </w:p>
              </w:tc>
            </w:tr>
            <w:tr w14:paraId="2C519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7" w:type="pct"/>
                  <w:noWrap w:val="0"/>
                  <w:vAlign w:val="center"/>
                </w:tcPr>
                <w:p w14:paraId="58DE21D1">
                  <w:pPr>
                    <w:pStyle w:val="165"/>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w:t>
                  </w:r>
                </w:p>
              </w:tc>
              <w:tc>
                <w:tcPr>
                  <w:tcW w:w="797" w:type="pct"/>
                  <w:vMerge w:val="continue"/>
                  <w:noWrap w:val="0"/>
                  <w:vAlign w:val="center"/>
                </w:tcPr>
                <w:p w14:paraId="7EA4421C">
                  <w:pPr>
                    <w:pStyle w:val="165"/>
                    <w:rPr>
                      <w:rFonts w:hint="default" w:ascii="Times New Roman" w:hAnsi="Times New Roman" w:eastAsia="宋体" w:cs="Times New Roman"/>
                      <w:color w:val="auto"/>
                      <w:szCs w:val="21"/>
                      <w:lang w:val="en-US" w:eastAsia="zh-CN"/>
                    </w:rPr>
                  </w:pPr>
                </w:p>
              </w:tc>
              <w:tc>
                <w:tcPr>
                  <w:tcW w:w="768" w:type="pct"/>
                  <w:noWrap w:val="0"/>
                  <w:vAlign w:val="center"/>
                </w:tcPr>
                <w:p w14:paraId="11F0D194">
                  <w:pPr>
                    <w:pStyle w:val="165"/>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结构件</w:t>
                  </w:r>
                </w:p>
              </w:tc>
              <w:tc>
                <w:tcPr>
                  <w:tcW w:w="968" w:type="pct"/>
                  <w:noWrap w:val="0"/>
                  <w:vAlign w:val="center"/>
                </w:tcPr>
                <w:p w14:paraId="664A401F">
                  <w:pPr>
                    <w:pStyle w:val="165"/>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201.65</w:t>
                  </w:r>
                </w:p>
              </w:tc>
              <w:tc>
                <w:tcPr>
                  <w:tcW w:w="779" w:type="pct"/>
                  <w:vMerge w:val="continue"/>
                  <w:noWrap w:val="0"/>
                  <w:vAlign w:val="center"/>
                </w:tcPr>
                <w:p w14:paraId="45A6FD55">
                  <w:pPr>
                    <w:pStyle w:val="165"/>
                    <w:rPr>
                      <w:rFonts w:hint="default" w:ascii="Times New Roman" w:hAnsi="Times New Roman" w:eastAsia="宋体" w:cs="Times New Roman"/>
                      <w:color w:val="auto"/>
                      <w:szCs w:val="21"/>
                      <w:lang w:val="en-US" w:eastAsia="zh-CN"/>
                    </w:rPr>
                  </w:pPr>
                </w:p>
              </w:tc>
              <w:tc>
                <w:tcPr>
                  <w:tcW w:w="1239" w:type="pct"/>
                  <w:noWrap w:val="0"/>
                  <w:vAlign w:val="center"/>
                </w:tcPr>
                <w:p w14:paraId="153A7B43">
                  <w:pPr>
                    <w:pStyle w:val="165"/>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300kg—350kg</w:t>
                  </w:r>
                </w:p>
              </w:tc>
            </w:tr>
          </w:tbl>
          <w:p w14:paraId="2415C3A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表2-3  原辅材料总消耗量</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1301"/>
              <w:gridCol w:w="745"/>
              <w:gridCol w:w="856"/>
              <w:gridCol w:w="995"/>
              <w:gridCol w:w="1091"/>
              <w:gridCol w:w="2972"/>
            </w:tblGrid>
            <w:tr w14:paraId="3025A3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noWrap w:val="0"/>
                  <w:vAlign w:val="center"/>
                </w:tcPr>
                <w:p w14:paraId="5FADAE13">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775" w:type="pct"/>
                  <w:noWrap w:val="0"/>
                  <w:vAlign w:val="center"/>
                </w:tcPr>
                <w:p w14:paraId="371C2C08">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名称</w:t>
                  </w:r>
                </w:p>
              </w:tc>
              <w:tc>
                <w:tcPr>
                  <w:tcW w:w="444" w:type="pct"/>
                  <w:noWrap w:val="0"/>
                  <w:vAlign w:val="center"/>
                </w:tcPr>
                <w:p w14:paraId="2E7078FF">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单位</w:t>
                  </w:r>
                </w:p>
              </w:tc>
              <w:tc>
                <w:tcPr>
                  <w:tcW w:w="510" w:type="pct"/>
                  <w:noWrap w:val="0"/>
                  <w:vAlign w:val="center"/>
                </w:tcPr>
                <w:p w14:paraId="1F417AED">
                  <w:pPr>
                    <w:adjustRightInd w:val="0"/>
                    <w:snapToGrid w:val="0"/>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en-US" w:eastAsia="zh-CN"/>
                    </w:rPr>
                    <w:t>扩建前</w:t>
                  </w:r>
                </w:p>
              </w:tc>
              <w:tc>
                <w:tcPr>
                  <w:tcW w:w="593" w:type="pct"/>
                  <w:noWrap w:val="0"/>
                  <w:vAlign w:val="center"/>
                </w:tcPr>
                <w:p w14:paraId="4C3BE6FC">
                  <w:pPr>
                    <w:adjustRightInd w:val="0"/>
                    <w:snapToGrid w:val="0"/>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en-US" w:eastAsia="zh-CN"/>
                    </w:rPr>
                    <w:t>扩建后</w:t>
                  </w:r>
                </w:p>
              </w:tc>
              <w:tc>
                <w:tcPr>
                  <w:tcW w:w="650" w:type="pct"/>
                  <w:noWrap w:val="0"/>
                  <w:vAlign w:val="center"/>
                </w:tcPr>
                <w:p w14:paraId="1C024634">
                  <w:pPr>
                    <w:adjustRightInd w:val="0"/>
                    <w:snapToGrid w:val="0"/>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en-US" w:eastAsia="zh-CN"/>
                    </w:rPr>
                    <w:t>变化量</w:t>
                  </w:r>
                </w:p>
              </w:tc>
              <w:tc>
                <w:tcPr>
                  <w:tcW w:w="1771" w:type="pct"/>
                  <w:noWrap w:val="0"/>
                  <w:vAlign w:val="center"/>
                </w:tcPr>
                <w:p w14:paraId="666FB598">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备注</w:t>
                  </w:r>
                </w:p>
              </w:tc>
            </w:tr>
            <w:tr w14:paraId="1DF8FA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noWrap w:val="0"/>
                  <w:vAlign w:val="center"/>
                </w:tcPr>
                <w:p w14:paraId="5786FAE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75" w:type="pct"/>
                  <w:noWrap w:val="0"/>
                  <w:vAlign w:val="center"/>
                </w:tcPr>
                <w:p w14:paraId="1955313A">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钢板</w:t>
                  </w:r>
                </w:p>
              </w:tc>
              <w:tc>
                <w:tcPr>
                  <w:tcW w:w="444" w:type="pct"/>
                  <w:noWrap w:val="0"/>
                  <w:vAlign w:val="center"/>
                </w:tcPr>
                <w:p w14:paraId="3539420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10" w:type="pct"/>
                  <w:noWrap w:val="0"/>
                  <w:vAlign w:val="center"/>
                </w:tcPr>
                <w:p w14:paraId="7979B501">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800</w:t>
                  </w:r>
                </w:p>
              </w:tc>
              <w:tc>
                <w:tcPr>
                  <w:tcW w:w="593" w:type="pct"/>
                  <w:noWrap w:val="0"/>
                  <w:vAlign w:val="center"/>
                </w:tcPr>
                <w:p w14:paraId="50E01AC7">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800</w:t>
                  </w:r>
                </w:p>
              </w:tc>
              <w:tc>
                <w:tcPr>
                  <w:tcW w:w="650" w:type="pct"/>
                  <w:noWrap w:val="0"/>
                  <w:vAlign w:val="center"/>
                </w:tcPr>
                <w:p w14:paraId="73F3CED2">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1771" w:type="pct"/>
                  <w:noWrap w:val="0"/>
                  <w:vAlign w:val="center"/>
                </w:tcPr>
                <w:p w14:paraId="771ECAB8">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长*宽*厚（6</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12m*1</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2m*1</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14mm）</w:t>
                  </w:r>
                </w:p>
              </w:tc>
            </w:tr>
            <w:tr w14:paraId="7D5201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noWrap w:val="0"/>
                  <w:vAlign w:val="center"/>
                </w:tcPr>
                <w:p w14:paraId="235521C0">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2</w:t>
                  </w:r>
                </w:p>
              </w:tc>
              <w:tc>
                <w:tcPr>
                  <w:tcW w:w="775" w:type="pct"/>
                  <w:noWrap w:val="0"/>
                  <w:vAlign w:val="center"/>
                </w:tcPr>
                <w:p w14:paraId="1A91D1D9">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铝板</w:t>
                  </w:r>
                </w:p>
              </w:tc>
              <w:tc>
                <w:tcPr>
                  <w:tcW w:w="444" w:type="pct"/>
                  <w:noWrap w:val="0"/>
                  <w:vAlign w:val="center"/>
                </w:tcPr>
                <w:p w14:paraId="0915C4D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10" w:type="pct"/>
                  <w:noWrap w:val="0"/>
                  <w:vAlign w:val="center"/>
                </w:tcPr>
                <w:p w14:paraId="41FEBF01">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2</w:t>
                  </w:r>
                </w:p>
              </w:tc>
              <w:tc>
                <w:tcPr>
                  <w:tcW w:w="593" w:type="pct"/>
                  <w:noWrap w:val="0"/>
                  <w:vAlign w:val="center"/>
                </w:tcPr>
                <w:p w14:paraId="475D9F59">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650" w:type="pct"/>
                  <w:noWrap w:val="0"/>
                  <w:vAlign w:val="center"/>
                </w:tcPr>
                <w:p w14:paraId="578F4D52">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1771" w:type="pct"/>
                  <w:noWrap w:val="0"/>
                  <w:vAlign w:val="center"/>
                </w:tcPr>
                <w:p w14:paraId="2DEF536A">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长*宽*厚（</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0</w:t>
                  </w:r>
                  <w:r>
                    <w:rPr>
                      <w:rFonts w:hint="default" w:ascii="Times New Roman" w:hAnsi="Times New Roman" w:cs="Times New Roman"/>
                      <w:color w:val="auto"/>
                      <w:szCs w:val="21"/>
                      <w:lang w:val="en-US" w:eastAsia="zh-CN"/>
                    </w:rPr>
                    <w:t>m*1</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2m*1</w:t>
                  </w:r>
                  <w:r>
                    <w:rPr>
                      <w:rFonts w:hint="eastAsia" w:ascii="Times New Roman" w:hAnsi="Times New Roman" w:cs="Times New Roman"/>
                      <w:color w:val="auto"/>
                      <w:szCs w:val="21"/>
                      <w:lang w:val="en-US" w:eastAsia="zh-CN"/>
                    </w:rPr>
                    <w:t>—16</w:t>
                  </w:r>
                  <w:r>
                    <w:rPr>
                      <w:rFonts w:hint="default" w:ascii="Times New Roman" w:hAnsi="Times New Roman" w:cs="Times New Roman"/>
                      <w:color w:val="auto"/>
                      <w:szCs w:val="21"/>
                      <w:lang w:val="en-US" w:eastAsia="zh-CN"/>
                    </w:rPr>
                    <w:t>mm）</w:t>
                  </w:r>
                </w:p>
              </w:tc>
            </w:tr>
            <w:tr w14:paraId="66F1C7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noWrap w:val="0"/>
                  <w:vAlign w:val="center"/>
                </w:tcPr>
                <w:p w14:paraId="7C5D879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w:t>
                  </w:r>
                </w:p>
              </w:tc>
              <w:tc>
                <w:tcPr>
                  <w:tcW w:w="775" w:type="pct"/>
                  <w:noWrap w:val="0"/>
                  <w:vAlign w:val="center"/>
                </w:tcPr>
                <w:p w14:paraId="6E779F88">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焊丝</w:t>
                  </w:r>
                </w:p>
              </w:tc>
              <w:tc>
                <w:tcPr>
                  <w:tcW w:w="444" w:type="pct"/>
                  <w:noWrap w:val="0"/>
                  <w:vAlign w:val="center"/>
                </w:tcPr>
                <w:p w14:paraId="6EB9A47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10" w:type="pct"/>
                  <w:noWrap w:val="0"/>
                  <w:vAlign w:val="center"/>
                </w:tcPr>
                <w:p w14:paraId="047BD0F8">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93" w:type="pct"/>
                  <w:noWrap w:val="0"/>
                  <w:vAlign w:val="center"/>
                </w:tcPr>
                <w:p w14:paraId="59AEB183">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650" w:type="pct"/>
                  <w:noWrap w:val="0"/>
                  <w:vAlign w:val="center"/>
                </w:tcPr>
                <w:p w14:paraId="7518414B">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1771" w:type="pct"/>
                  <w:noWrap w:val="0"/>
                  <w:vAlign w:val="center"/>
                </w:tcPr>
                <w:p w14:paraId="212206E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焊接</w:t>
                  </w:r>
                </w:p>
              </w:tc>
            </w:tr>
            <w:tr w14:paraId="42D69E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noWrap w:val="0"/>
                  <w:vAlign w:val="center"/>
                </w:tcPr>
                <w:p w14:paraId="472AFB84">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4</w:t>
                  </w:r>
                </w:p>
              </w:tc>
              <w:tc>
                <w:tcPr>
                  <w:tcW w:w="775" w:type="pct"/>
                  <w:noWrap w:val="0"/>
                  <w:vAlign w:val="center"/>
                </w:tcPr>
                <w:p w14:paraId="2BC5BB2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二氧化碳</w:t>
                  </w:r>
                </w:p>
              </w:tc>
              <w:tc>
                <w:tcPr>
                  <w:tcW w:w="444" w:type="pct"/>
                  <w:noWrap w:val="0"/>
                  <w:vAlign w:val="center"/>
                </w:tcPr>
                <w:p w14:paraId="7A74E00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10" w:type="pct"/>
                  <w:noWrap w:val="0"/>
                  <w:vAlign w:val="center"/>
                </w:tcPr>
                <w:p w14:paraId="1915F95E">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2</w:t>
                  </w:r>
                </w:p>
              </w:tc>
              <w:tc>
                <w:tcPr>
                  <w:tcW w:w="593" w:type="pct"/>
                  <w:noWrap w:val="0"/>
                  <w:vAlign w:val="center"/>
                </w:tcPr>
                <w:p w14:paraId="479570A9">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650" w:type="pct"/>
                  <w:noWrap w:val="0"/>
                  <w:vAlign w:val="center"/>
                </w:tcPr>
                <w:p w14:paraId="1F9A8099">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1771" w:type="pct"/>
                  <w:noWrap w:val="0"/>
                  <w:vAlign w:val="center"/>
                </w:tcPr>
                <w:p w14:paraId="3672442A">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焊接保护气</w:t>
                  </w:r>
                </w:p>
              </w:tc>
            </w:tr>
            <w:tr w14:paraId="58AE0C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noWrap w:val="0"/>
                  <w:vAlign w:val="center"/>
                </w:tcPr>
                <w:p w14:paraId="66E25968">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5</w:t>
                  </w:r>
                </w:p>
              </w:tc>
              <w:tc>
                <w:tcPr>
                  <w:tcW w:w="775" w:type="pct"/>
                  <w:noWrap w:val="0"/>
                  <w:vAlign w:val="center"/>
                </w:tcPr>
                <w:p w14:paraId="4FF28EEB">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钢丸</w:t>
                  </w:r>
                </w:p>
              </w:tc>
              <w:tc>
                <w:tcPr>
                  <w:tcW w:w="444" w:type="pct"/>
                  <w:noWrap w:val="0"/>
                  <w:vAlign w:val="center"/>
                </w:tcPr>
                <w:p w14:paraId="3A1C208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10" w:type="pct"/>
                  <w:noWrap w:val="0"/>
                  <w:vAlign w:val="center"/>
                </w:tcPr>
                <w:p w14:paraId="34C5F38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593" w:type="pct"/>
                  <w:noWrap w:val="0"/>
                  <w:vAlign w:val="center"/>
                </w:tcPr>
                <w:p w14:paraId="637FCBA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w:t>
                  </w:r>
                </w:p>
              </w:tc>
              <w:tc>
                <w:tcPr>
                  <w:tcW w:w="650" w:type="pct"/>
                  <w:noWrap w:val="0"/>
                  <w:vAlign w:val="center"/>
                </w:tcPr>
                <w:p w14:paraId="6D3596C1">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8</w:t>
                  </w:r>
                </w:p>
              </w:tc>
              <w:tc>
                <w:tcPr>
                  <w:tcW w:w="1771" w:type="pct"/>
                  <w:noWrap w:val="0"/>
                  <w:vAlign w:val="center"/>
                </w:tcPr>
                <w:p w14:paraId="622F0B66">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规格：0.5mm</w:t>
                  </w:r>
                  <w:r>
                    <w:rPr>
                      <w:rFonts w:hint="eastAsia" w:ascii="Times New Roman" w:hAnsi="Times New Roman" w:eastAsia="宋体" w:cs="Times New Roman"/>
                      <w:color w:val="auto"/>
                      <w:szCs w:val="21"/>
                      <w:lang w:val="en-US" w:eastAsia="zh-CN"/>
                    </w:rPr>
                    <w:t>，材质：钢</w:t>
                  </w:r>
                </w:p>
              </w:tc>
            </w:tr>
            <w:tr w14:paraId="34CCAC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254" w:type="pct"/>
                  <w:noWrap w:val="0"/>
                  <w:vAlign w:val="center"/>
                </w:tcPr>
                <w:p w14:paraId="17E43AAB">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6</w:t>
                  </w:r>
                </w:p>
              </w:tc>
              <w:tc>
                <w:tcPr>
                  <w:tcW w:w="775" w:type="pct"/>
                  <w:noWrap w:val="0"/>
                  <w:vAlign w:val="center"/>
                </w:tcPr>
                <w:p w14:paraId="7CE41497">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液氧</w:t>
                  </w:r>
                </w:p>
              </w:tc>
              <w:tc>
                <w:tcPr>
                  <w:tcW w:w="444" w:type="pct"/>
                  <w:noWrap w:val="0"/>
                  <w:vAlign w:val="center"/>
                </w:tcPr>
                <w:p w14:paraId="4F0F4A5D">
                  <w:pPr>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吨</w:t>
                  </w:r>
                  <w:r>
                    <w:rPr>
                      <w:rFonts w:hint="default" w:ascii="Times New Roman" w:hAnsi="Times New Roman" w:cs="Times New Roman"/>
                      <w:color w:val="auto"/>
                      <w:szCs w:val="21"/>
                      <w:lang w:val="en-US" w:eastAsia="zh-CN"/>
                    </w:rPr>
                    <w:t>/a</w:t>
                  </w:r>
                </w:p>
              </w:tc>
              <w:tc>
                <w:tcPr>
                  <w:tcW w:w="510" w:type="pct"/>
                  <w:noWrap w:val="0"/>
                  <w:vAlign w:val="center"/>
                </w:tcPr>
                <w:p w14:paraId="01EBD69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80</w:t>
                  </w:r>
                </w:p>
              </w:tc>
              <w:tc>
                <w:tcPr>
                  <w:tcW w:w="593" w:type="pct"/>
                  <w:noWrap w:val="0"/>
                  <w:vAlign w:val="center"/>
                </w:tcPr>
                <w:p w14:paraId="7749570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30</w:t>
                  </w:r>
                </w:p>
              </w:tc>
              <w:tc>
                <w:tcPr>
                  <w:tcW w:w="650" w:type="pct"/>
                  <w:noWrap w:val="0"/>
                  <w:vAlign w:val="center"/>
                </w:tcPr>
                <w:p w14:paraId="58A2A73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1771" w:type="pct"/>
                  <w:noWrap w:val="0"/>
                  <w:vAlign w:val="center"/>
                </w:tcPr>
                <w:p w14:paraId="62F69F77">
                  <w:pPr>
                    <w:adjustRightInd w:val="0"/>
                    <w:snapToGrid w:val="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rPr>
                    <w:t>外购</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用于激光切割机</w:t>
                  </w:r>
                  <w:r>
                    <w:rPr>
                      <w:rFonts w:hint="eastAsia" w:ascii="Times New Roman" w:hAnsi="Times New Roman" w:cs="Times New Roman"/>
                      <w:color w:val="auto"/>
                      <w:szCs w:val="21"/>
                      <w:lang w:val="en-US" w:eastAsia="zh-CN"/>
                    </w:rPr>
                    <w:t>，最大储存量10瓶</w:t>
                  </w:r>
                </w:p>
              </w:tc>
            </w:tr>
            <w:tr w14:paraId="765E54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254" w:type="pct"/>
                  <w:noWrap w:val="0"/>
                  <w:vAlign w:val="center"/>
                </w:tcPr>
                <w:p w14:paraId="2330DDD5">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7</w:t>
                  </w:r>
                </w:p>
              </w:tc>
              <w:tc>
                <w:tcPr>
                  <w:tcW w:w="775" w:type="pct"/>
                  <w:noWrap w:val="0"/>
                  <w:vAlign w:val="center"/>
                </w:tcPr>
                <w:p w14:paraId="1BB5054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氩</w:t>
                  </w:r>
                  <w:r>
                    <w:rPr>
                      <w:rFonts w:hint="default" w:ascii="Times New Roman" w:hAnsi="Times New Roman" w:cs="Times New Roman"/>
                      <w:color w:val="auto"/>
                      <w:szCs w:val="21"/>
                      <w:lang w:val="en-US" w:eastAsia="zh-CN"/>
                    </w:rPr>
                    <w:t>气</w:t>
                  </w:r>
                </w:p>
              </w:tc>
              <w:tc>
                <w:tcPr>
                  <w:tcW w:w="444" w:type="pct"/>
                  <w:noWrap w:val="0"/>
                  <w:vAlign w:val="center"/>
                </w:tcPr>
                <w:p w14:paraId="2D8E86EE">
                  <w:pPr>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m³</w:t>
                  </w:r>
                  <w:r>
                    <w:rPr>
                      <w:rFonts w:hint="default" w:ascii="Times New Roman" w:hAnsi="Times New Roman" w:cs="Times New Roman"/>
                      <w:color w:val="auto"/>
                      <w:szCs w:val="21"/>
                      <w:lang w:val="en-US" w:eastAsia="zh-CN"/>
                    </w:rPr>
                    <w:t>/a</w:t>
                  </w:r>
                </w:p>
              </w:tc>
              <w:tc>
                <w:tcPr>
                  <w:tcW w:w="510" w:type="pct"/>
                  <w:noWrap w:val="0"/>
                  <w:vAlign w:val="center"/>
                </w:tcPr>
                <w:p w14:paraId="5138CE61">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2000</w:t>
                  </w:r>
                </w:p>
              </w:tc>
              <w:tc>
                <w:tcPr>
                  <w:tcW w:w="593" w:type="pct"/>
                  <w:noWrap w:val="0"/>
                  <w:vAlign w:val="center"/>
                </w:tcPr>
                <w:p w14:paraId="3868CA38">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2000</w:t>
                  </w:r>
                </w:p>
              </w:tc>
              <w:tc>
                <w:tcPr>
                  <w:tcW w:w="650" w:type="pct"/>
                  <w:noWrap w:val="0"/>
                  <w:vAlign w:val="center"/>
                </w:tcPr>
                <w:p w14:paraId="0C3C6B5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1771" w:type="pct"/>
                  <w:noWrap w:val="0"/>
                  <w:vAlign w:val="center"/>
                </w:tcPr>
                <w:p w14:paraId="71CA6F4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外购，</w:t>
                  </w:r>
                  <w:r>
                    <w:rPr>
                      <w:rFonts w:hint="default" w:ascii="Times New Roman" w:hAnsi="Times New Roman" w:cs="Times New Roman"/>
                      <w:color w:val="auto"/>
                      <w:szCs w:val="21"/>
                      <w:lang w:val="en-US" w:eastAsia="zh-CN"/>
                    </w:rPr>
                    <w:t>用于激光焊</w:t>
                  </w:r>
                  <w:r>
                    <w:rPr>
                      <w:rFonts w:hint="eastAsia" w:ascii="Times New Roman" w:hAnsi="Times New Roman" w:cs="Times New Roman"/>
                      <w:color w:val="auto"/>
                      <w:szCs w:val="21"/>
                      <w:lang w:val="en-US" w:eastAsia="zh-CN"/>
                    </w:rPr>
                    <w:t>，最大储存量10瓶</w:t>
                  </w:r>
                </w:p>
              </w:tc>
            </w:tr>
            <w:tr w14:paraId="5623F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254" w:type="pct"/>
                  <w:noWrap w:val="0"/>
                  <w:vAlign w:val="center"/>
                </w:tcPr>
                <w:p w14:paraId="11781F22">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8</w:t>
                  </w:r>
                </w:p>
              </w:tc>
              <w:tc>
                <w:tcPr>
                  <w:tcW w:w="775" w:type="pct"/>
                  <w:noWrap w:val="0"/>
                  <w:vAlign w:val="center"/>
                </w:tcPr>
                <w:p w14:paraId="705B735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切削液</w:t>
                  </w:r>
                  <w:r>
                    <w:rPr>
                      <w:rFonts w:hint="default" w:ascii="Times New Roman" w:hAnsi="Times New Roman" w:cs="Times New Roman"/>
                      <w:color w:val="auto"/>
                      <w:szCs w:val="21"/>
                    </w:rPr>
                    <w:t>原液</w:t>
                  </w:r>
                </w:p>
              </w:tc>
              <w:tc>
                <w:tcPr>
                  <w:tcW w:w="444" w:type="pct"/>
                  <w:noWrap w:val="0"/>
                  <w:vAlign w:val="center"/>
                </w:tcPr>
                <w:p w14:paraId="1A3F185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10" w:type="pct"/>
                  <w:noWrap w:val="0"/>
                  <w:vAlign w:val="center"/>
                </w:tcPr>
                <w:p w14:paraId="2AC9146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593" w:type="pct"/>
                  <w:noWrap w:val="0"/>
                  <w:vAlign w:val="center"/>
                </w:tcPr>
                <w:p w14:paraId="155B709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w:t>
                  </w:r>
                </w:p>
              </w:tc>
              <w:tc>
                <w:tcPr>
                  <w:tcW w:w="650" w:type="pct"/>
                  <w:noWrap w:val="0"/>
                  <w:vAlign w:val="center"/>
                </w:tcPr>
                <w:p w14:paraId="4CC764D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1771" w:type="pct"/>
                  <w:noWrap w:val="0"/>
                  <w:vAlign w:val="center"/>
                </w:tcPr>
                <w:p w14:paraId="678687D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切削液</w:t>
                  </w:r>
                  <w:r>
                    <w:rPr>
                      <w:rFonts w:hint="default" w:ascii="Times New Roman" w:hAnsi="Times New Roman" w:cs="Times New Roman"/>
                      <w:color w:val="auto"/>
                      <w:szCs w:val="21"/>
                    </w:rPr>
                    <w:t>：水=1:20</w:t>
                  </w:r>
                </w:p>
              </w:tc>
            </w:tr>
            <w:tr w14:paraId="698085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noWrap w:val="0"/>
                  <w:vAlign w:val="center"/>
                </w:tcPr>
                <w:p w14:paraId="42558BB7">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9</w:t>
                  </w:r>
                </w:p>
              </w:tc>
              <w:tc>
                <w:tcPr>
                  <w:tcW w:w="775" w:type="pct"/>
                  <w:noWrap w:val="0"/>
                  <w:vAlign w:val="center"/>
                </w:tcPr>
                <w:p w14:paraId="6BEEE6A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液压油</w:t>
                  </w:r>
                </w:p>
              </w:tc>
              <w:tc>
                <w:tcPr>
                  <w:tcW w:w="444" w:type="pct"/>
                  <w:noWrap w:val="0"/>
                  <w:vAlign w:val="center"/>
                </w:tcPr>
                <w:p w14:paraId="691A753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10" w:type="pct"/>
                  <w:noWrap w:val="0"/>
                  <w:vAlign w:val="center"/>
                </w:tcPr>
                <w:p w14:paraId="348F7FB7">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0.02</w:t>
                  </w:r>
                </w:p>
              </w:tc>
              <w:tc>
                <w:tcPr>
                  <w:tcW w:w="593" w:type="pct"/>
                  <w:noWrap w:val="0"/>
                  <w:vAlign w:val="center"/>
                </w:tcPr>
                <w:p w14:paraId="7389A09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0.07</w:t>
                  </w:r>
                </w:p>
              </w:tc>
              <w:tc>
                <w:tcPr>
                  <w:tcW w:w="650" w:type="pct"/>
                  <w:noWrap w:val="0"/>
                  <w:vAlign w:val="center"/>
                </w:tcPr>
                <w:p w14:paraId="35E440D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+0.05</w:t>
                  </w:r>
                </w:p>
              </w:tc>
              <w:tc>
                <w:tcPr>
                  <w:tcW w:w="1771" w:type="pct"/>
                  <w:noWrap w:val="0"/>
                  <w:vAlign w:val="center"/>
                </w:tcPr>
                <w:p w14:paraId="0F426FA8">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空压机用，最大储存量0.01t</w:t>
                  </w:r>
                </w:p>
              </w:tc>
            </w:tr>
            <w:tr w14:paraId="135F63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4" w:type="pct"/>
                  <w:shd w:val="clear" w:color="auto" w:fill="auto"/>
                  <w:noWrap w:val="0"/>
                  <w:vAlign w:val="center"/>
                </w:tcPr>
                <w:p w14:paraId="604A986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10</w:t>
                  </w:r>
                </w:p>
              </w:tc>
              <w:tc>
                <w:tcPr>
                  <w:tcW w:w="775" w:type="pct"/>
                  <w:noWrap w:val="0"/>
                  <w:vAlign w:val="center"/>
                </w:tcPr>
                <w:p w14:paraId="3206E1A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润滑油</w:t>
                  </w:r>
                </w:p>
              </w:tc>
              <w:tc>
                <w:tcPr>
                  <w:tcW w:w="444" w:type="pct"/>
                  <w:noWrap w:val="0"/>
                  <w:vAlign w:val="center"/>
                </w:tcPr>
                <w:p w14:paraId="1EBE12E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10" w:type="pct"/>
                  <w:noWrap w:val="0"/>
                  <w:vAlign w:val="center"/>
                </w:tcPr>
                <w:p w14:paraId="236E567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w:t>
                  </w:r>
                </w:p>
              </w:tc>
              <w:tc>
                <w:tcPr>
                  <w:tcW w:w="593" w:type="pct"/>
                  <w:noWrap w:val="0"/>
                  <w:vAlign w:val="center"/>
                </w:tcPr>
                <w:p w14:paraId="4AA647B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w:t>
                  </w:r>
                </w:p>
              </w:tc>
              <w:tc>
                <w:tcPr>
                  <w:tcW w:w="650" w:type="pct"/>
                  <w:noWrap w:val="0"/>
                  <w:vAlign w:val="center"/>
                </w:tcPr>
                <w:p w14:paraId="74A42A2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1771" w:type="pct"/>
                  <w:noWrap w:val="0"/>
                  <w:vAlign w:val="center"/>
                </w:tcPr>
                <w:p w14:paraId="3E13C17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设备维护、润滑</w:t>
                  </w:r>
                </w:p>
              </w:tc>
            </w:tr>
            <w:tr w14:paraId="3576E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shd w:val="clear" w:color="auto" w:fill="auto"/>
                  <w:noWrap w:val="0"/>
                  <w:vAlign w:val="center"/>
                </w:tcPr>
                <w:p w14:paraId="4F3543F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11</w:t>
                  </w:r>
                </w:p>
              </w:tc>
              <w:tc>
                <w:tcPr>
                  <w:tcW w:w="775" w:type="pct"/>
                  <w:noWrap w:val="0"/>
                  <w:vAlign w:val="center"/>
                </w:tcPr>
                <w:p w14:paraId="4BDBB05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砂轮片</w:t>
                  </w:r>
                </w:p>
              </w:tc>
              <w:tc>
                <w:tcPr>
                  <w:tcW w:w="444" w:type="pct"/>
                  <w:noWrap w:val="0"/>
                  <w:vAlign w:val="center"/>
                </w:tcPr>
                <w:p w14:paraId="3226EA1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10" w:type="pct"/>
                  <w:noWrap w:val="0"/>
                  <w:vAlign w:val="center"/>
                </w:tcPr>
                <w:p w14:paraId="4693990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593" w:type="pct"/>
                  <w:noWrap w:val="0"/>
                  <w:vAlign w:val="center"/>
                </w:tcPr>
                <w:p w14:paraId="3317F8C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650" w:type="pct"/>
                  <w:noWrap w:val="0"/>
                  <w:vAlign w:val="center"/>
                </w:tcPr>
                <w:p w14:paraId="7F8BF3E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1771" w:type="pct"/>
                  <w:noWrap w:val="0"/>
                  <w:vAlign w:val="center"/>
                </w:tcPr>
                <w:p w14:paraId="44AFB5DB">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2000片，0.5kg/片</w:t>
                  </w:r>
                </w:p>
                <w:p w14:paraId="54C08A9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用于角磨机，陶瓷</w:t>
                  </w:r>
                </w:p>
              </w:tc>
            </w:tr>
            <w:tr w14:paraId="581E07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shd w:val="clear" w:color="auto" w:fill="auto"/>
                  <w:noWrap w:val="0"/>
                  <w:vAlign w:val="center"/>
                </w:tcPr>
                <w:p w14:paraId="148F82C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12</w:t>
                  </w:r>
                </w:p>
              </w:tc>
              <w:tc>
                <w:tcPr>
                  <w:tcW w:w="775" w:type="pct"/>
                  <w:noWrap w:val="0"/>
                  <w:vAlign w:val="center"/>
                </w:tcPr>
                <w:p w14:paraId="4049F62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塑粉</w:t>
                  </w:r>
                </w:p>
              </w:tc>
              <w:tc>
                <w:tcPr>
                  <w:tcW w:w="444" w:type="pct"/>
                  <w:noWrap w:val="0"/>
                  <w:vAlign w:val="center"/>
                </w:tcPr>
                <w:p w14:paraId="4A37001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10" w:type="pct"/>
                  <w:noWrap w:val="0"/>
                  <w:vAlign w:val="center"/>
                </w:tcPr>
                <w:p w14:paraId="3D76E65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593" w:type="pct"/>
                  <w:noWrap w:val="0"/>
                  <w:vAlign w:val="center"/>
                </w:tcPr>
                <w:p w14:paraId="0FFCB34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w:t>
                  </w:r>
                </w:p>
              </w:tc>
              <w:tc>
                <w:tcPr>
                  <w:tcW w:w="650" w:type="pct"/>
                  <w:noWrap w:val="0"/>
                  <w:vAlign w:val="center"/>
                </w:tcPr>
                <w:p w14:paraId="7C7EBCAC">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color w:val="auto"/>
                      <w:szCs w:val="21"/>
                      <w:lang w:val="en-US" w:eastAsia="zh-CN"/>
                    </w:rPr>
                    <w:t>+8</w:t>
                  </w:r>
                </w:p>
              </w:tc>
              <w:tc>
                <w:tcPr>
                  <w:tcW w:w="1771" w:type="pct"/>
                  <w:noWrap w:val="0"/>
                  <w:vAlign w:val="center"/>
                </w:tcPr>
                <w:p w14:paraId="42F52607">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喷粉</w:t>
                  </w:r>
                  <w:r>
                    <w:rPr>
                      <w:rFonts w:hint="eastAsia" w:ascii="Times New Roman" w:hAnsi="Times New Roman" w:eastAsia="宋体" w:cs="Times New Roman"/>
                      <w:color w:val="auto"/>
                      <w:szCs w:val="21"/>
                      <w:lang w:val="en-US" w:eastAsia="zh-CN"/>
                    </w:rPr>
                    <w:t>，20kg/箱</w:t>
                  </w:r>
                </w:p>
              </w:tc>
            </w:tr>
            <w:tr w14:paraId="4840D0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shd w:val="clear" w:color="auto" w:fill="auto"/>
                  <w:noWrap w:val="0"/>
                  <w:vAlign w:val="center"/>
                </w:tcPr>
                <w:p w14:paraId="0929775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13</w:t>
                  </w:r>
                </w:p>
              </w:tc>
              <w:tc>
                <w:tcPr>
                  <w:tcW w:w="775" w:type="pct"/>
                  <w:noWrap w:val="0"/>
                  <w:vAlign w:val="center"/>
                </w:tcPr>
                <w:p w14:paraId="12691C4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活性炭</w:t>
                  </w:r>
                </w:p>
              </w:tc>
              <w:tc>
                <w:tcPr>
                  <w:tcW w:w="444" w:type="pct"/>
                  <w:noWrap w:val="0"/>
                  <w:vAlign w:val="center"/>
                </w:tcPr>
                <w:p w14:paraId="0CCE83D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10" w:type="pct"/>
                  <w:noWrap w:val="0"/>
                  <w:vAlign w:val="center"/>
                </w:tcPr>
                <w:p w14:paraId="00B9F99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593" w:type="pct"/>
                  <w:noWrap w:val="0"/>
                  <w:vAlign w:val="center"/>
                </w:tcPr>
                <w:p w14:paraId="0E871D3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6.55</w:t>
                  </w:r>
                </w:p>
              </w:tc>
              <w:tc>
                <w:tcPr>
                  <w:tcW w:w="650" w:type="pct"/>
                  <w:noWrap w:val="0"/>
                  <w:vAlign w:val="center"/>
                </w:tcPr>
                <w:p w14:paraId="55C1C642">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6.55</w:t>
                  </w:r>
                </w:p>
              </w:tc>
              <w:tc>
                <w:tcPr>
                  <w:tcW w:w="1771" w:type="pct"/>
                  <w:noWrap w:val="0"/>
                  <w:vAlign w:val="center"/>
                </w:tcPr>
                <w:p w14:paraId="681CA35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废气</w:t>
                  </w:r>
                  <w:r>
                    <w:rPr>
                      <w:rFonts w:hint="eastAsia" w:cs="Times New Roman"/>
                      <w:color w:val="auto"/>
                      <w:szCs w:val="21"/>
                      <w:lang w:val="en-US" w:eastAsia="zh-CN"/>
                    </w:rPr>
                    <w:t>处理/水处理</w:t>
                  </w:r>
                </w:p>
              </w:tc>
            </w:tr>
            <w:tr w14:paraId="72D4BD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shd w:val="clear" w:color="auto" w:fill="auto"/>
                  <w:noWrap w:val="0"/>
                  <w:vAlign w:val="center"/>
                </w:tcPr>
                <w:p w14:paraId="46AD8C3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14</w:t>
                  </w:r>
                </w:p>
              </w:tc>
              <w:tc>
                <w:tcPr>
                  <w:tcW w:w="775" w:type="pct"/>
                  <w:noWrap w:val="0"/>
                  <w:vAlign w:val="center"/>
                </w:tcPr>
                <w:p w14:paraId="7B466454">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PAM</w:t>
                  </w:r>
                </w:p>
              </w:tc>
              <w:tc>
                <w:tcPr>
                  <w:tcW w:w="444" w:type="pct"/>
                  <w:noWrap w:val="0"/>
                  <w:vAlign w:val="center"/>
                </w:tcPr>
                <w:p w14:paraId="16E2CE7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10" w:type="pct"/>
                  <w:noWrap w:val="0"/>
                  <w:vAlign w:val="center"/>
                </w:tcPr>
                <w:p w14:paraId="0B2E3601">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w:t>
                  </w:r>
                </w:p>
              </w:tc>
              <w:tc>
                <w:tcPr>
                  <w:tcW w:w="593" w:type="pct"/>
                  <w:noWrap w:val="0"/>
                  <w:vAlign w:val="center"/>
                </w:tcPr>
                <w:p w14:paraId="0DBA88F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0.03</w:t>
                  </w:r>
                </w:p>
              </w:tc>
              <w:tc>
                <w:tcPr>
                  <w:tcW w:w="650" w:type="pct"/>
                  <w:noWrap w:val="0"/>
                  <w:vAlign w:val="center"/>
                </w:tcPr>
                <w:p w14:paraId="45CB0F1B">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.003</w:t>
                  </w:r>
                </w:p>
              </w:tc>
              <w:tc>
                <w:tcPr>
                  <w:tcW w:w="1771" w:type="pct"/>
                  <w:noWrap w:val="0"/>
                  <w:vAlign w:val="center"/>
                </w:tcPr>
                <w:p w14:paraId="5ABCBDE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水处理</w:t>
                  </w:r>
                  <w:r>
                    <w:rPr>
                      <w:rFonts w:hint="eastAsia" w:cs="Times New Roman"/>
                      <w:color w:val="auto"/>
                      <w:szCs w:val="21"/>
                      <w:lang w:val="en-US" w:eastAsia="zh-CN"/>
                    </w:rPr>
                    <w:t>，袋装</w:t>
                  </w:r>
                </w:p>
              </w:tc>
            </w:tr>
            <w:tr w14:paraId="756D1D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4" w:type="pct"/>
                  <w:shd w:val="clear" w:color="auto" w:fill="auto"/>
                  <w:noWrap w:val="0"/>
                  <w:vAlign w:val="center"/>
                </w:tcPr>
                <w:p w14:paraId="2CFB0EE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15</w:t>
                  </w:r>
                </w:p>
              </w:tc>
              <w:tc>
                <w:tcPr>
                  <w:tcW w:w="775" w:type="pct"/>
                  <w:noWrap w:val="0"/>
                  <w:vAlign w:val="center"/>
                </w:tcPr>
                <w:p w14:paraId="37FDE38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PAC</w:t>
                  </w:r>
                </w:p>
              </w:tc>
              <w:tc>
                <w:tcPr>
                  <w:tcW w:w="444" w:type="pct"/>
                  <w:noWrap w:val="0"/>
                  <w:vAlign w:val="center"/>
                </w:tcPr>
                <w:p w14:paraId="2673B3B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10" w:type="pct"/>
                  <w:noWrap w:val="0"/>
                  <w:vAlign w:val="center"/>
                </w:tcPr>
                <w:p w14:paraId="4F178C4B">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w:t>
                  </w:r>
                </w:p>
              </w:tc>
              <w:tc>
                <w:tcPr>
                  <w:tcW w:w="593" w:type="pct"/>
                  <w:noWrap w:val="0"/>
                  <w:vAlign w:val="center"/>
                </w:tcPr>
                <w:p w14:paraId="6C5ED842">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0.85</w:t>
                  </w:r>
                </w:p>
              </w:tc>
              <w:tc>
                <w:tcPr>
                  <w:tcW w:w="650" w:type="pct"/>
                  <w:noWrap w:val="0"/>
                  <w:vAlign w:val="center"/>
                </w:tcPr>
                <w:p w14:paraId="54F246A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+0.085</w:t>
                  </w:r>
                </w:p>
              </w:tc>
              <w:tc>
                <w:tcPr>
                  <w:tcW w:w="1771" w:type="pct"/>
                  <w:noWrap w:val="0"/>
                  <w:vAlign w:val="center"/>
                </w:tcPr>
                <w:p w14:paraId="6A97AD7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水处理</w:t>
                  </w:r>
                  <w:r>
                    <w:rPr>
                      <w:rFonts w:hint="eastAsia" w:cs="Times New Roman"/>
                      <w:color w:val="auto"/>
                      <w:szCs w:val="21"/>
                      <w:lang w:val="en-US" w:eastAsia="zh-CN"/>
                    </w:rPr>
                    <w:t>，袋装</w:t>
                  </w:r>
                </w:p>
              </w:tc>
            </w:tr>
            <w:tr w14:paraId="730B7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shd w:val="clear" w:color="auto" w:fill="auto"/>
                  <w:noWrap w:val="0"/>
                  <w:vAlign w:val="center"/>
                </w:tcPr>
                <w:p w14:paraId="475BC99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16</w:t>
                  </w:r>
                </w:p>
              </w:tc>
              <w:tc>
                <w:tcPr>
                  <w:tcW w:w="775" w:type="pct"/>
                  <w:noWrap w:val="0"/>
                  <w:vAlign w:val="center"/>
                </w:tcPr>
                <w:p w14:paraId="16297C7E">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氢氧化钠</w:t>
                  </w:r>
                </w:p>
              </w:tc>
              <w:tc>
                <w:tcPr>
                  <w:tcW w:w="444" w:type="pct"/>
                  <w:shd w:val="clear" w:color="auto" w:fill="auto"/>
                  <w:noWrap w:val="0"/>
                  <w:vAlign w:val="center"/>
                </w:tcPr>
                <w:p w14:paraId="7DA08FC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kg/a</w:t>
                  </w:r>
                </w:p>
              </w:tc>
              <w:tc>
                <w:tcPr>
                  <w:tcW w:w="510" w:type="pct"/>
                  <w:shd w:val="clear" w:color="auto" w:fill="auto"/>
                  <w:noWrap w:val="0"/>
                  <w:vAlign w:val="center"/>
                </w:tcPr>
                <w:p w14:paraId="3263247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w:t>
                  </w:r>
                </w:p>
              </w:tc>
              <w:tc>
                <w:tcPr>
                  <w:tcW w:w="593" w:type="pct"/>
                  <w:shd w:val="clear" w:color="auto" w:fill="auto"/>
                  <w:noWrap w:val="0"/>
                  <w:vAlign w:val="center"/>
                </w:tcPr>
                <w:p w14:paraId="5BB7566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35.82</w:t>
                  </w:r>
                </w:p>
              </w:tc>
              <w:tc>
                <w:tcPr>
                  <w:tcW w:w="650" w:type="pct"/>
                  <w:noWrap w:val="0"/>
                  <w:vAlign w:val="center"/>
                </w:tcPr>
                <w:p w14:paraId="653ED700">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w:t>
                  </w:r>
                </w:p>
              </w:tc>
              <w:tc>
                <w:tcPr>
                  <w:tcW w:w="1771" w:type="pct"/>
                  <w:noWrap w:val="0"/>
                  <w:vAlign w:val="center"/>
                </w:tcPr>
                <w:p w14:paraId="5FBF0E5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水处理</w:t>
                  </w:r>
                  <w:r>
                    <w:rPr>
                      <w:rFonts w:hint="eastAsia" w:cs="Times New Roman"/>
                      <w:color w:val="auto"/>
                      <w:szCs w:val="21"/>
                      <w:lang w:val="en-US" w:eastAsia="zh-CN"/>
                    </w:rPr>
                    <w:t>，防潮袋装</w:t>
                  </w:r>
                </w:p>
              </w:tc>
            </w:tr>
            <w:tr w14:paraId="782CF4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shd w:val="clear" w:color="auto" w:fill="auto"/>
                  <w:noWrap w:val="0"/>
                  <w:vAlign w:val="center"/>
                </w:tcPr>
                <w:p w14:paraId="03C6D17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17</w:t>
                  </w:r>
                </w:p>
              </w:tc>
              <w:tc>
                <w:tcPr>
                  <w:tcW w:w="775" w:type="pct"/>
                  <w:noWrap w:val="0"/>
                  <w:vAlign w:val="center"/>
                </w:tcPr>
                <w:p w14:paraId="3962A15A">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30%盐酸</w:t>
                  </w:r>
                </w:p>
              </w:tc>
              <w:tc>
                <w:tcPr>
                  <w:tcW w:w="444" w:type="pct"/>
                  <w:noWrap w:val="0"/>
                  <w:vAlign w:val="center"/>
                </w:tcPr>
                <w:p w14:paraId="60952507">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kg/a</w:t>
                  </w:r>
                </w:p>
              </w:tc>
              <w:tc>
                <w:tcPr>
                  <w:tcW w:w="510" w:type="pct"/>
                  <w:noWrap w:val="0"/>
                  <w:vAlign w:val="center"/>
                </w:tcPr>
                <w:p w14:paraId="035708EF">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0</w:t>
                  </w:r>
                </w:p>
              </w:tc>
              <w:tc>
                <w:tcPr>
                  <w:tcW w:w="593" w:type="pct"/>
                  <w:noWrap w:val="0"/>
                  <w:vAlign w:val="center"/>
                </w:tcPr>
                <w:p w14:paraId="7A2D578B">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179.1</w:t>
                  </w:r>
                </w:p>
              </w:tc>
              <w:tc>
                <w:tcPr>
                  <w:tcW w:w="650" w:type="pct"/>
                  <w:noWrap w:val="0"/>
                  <w:vAlign w:val="center"/>
                </w:tcPr>
                <w:p w14:paraId="063F314D">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+179.1</w:t>
                  </w:r>
                </w:p>
              </w:tc>
              <w:tc>
                <w:tcPr>
                  <w:tcW w:w="1771" w:type="pct"/>
                  <w:noWrap w:val="0"/>
                  <w:vAlign w:val="center"/>
                </w:tcPr>
                <w:p w14:paraId="2FE67BC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桶装</w:t>
                  </w:r>
                </w:p>
              </w:tc>
            </w:tr>
            <w:tr w14:paraId="7D8999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shd w:val="clear" w:color="auto" w:fill="auto"/>
                  <w:noWrap w:val="0"/>
                  <w:vAlign w:val="center"/>
                </w:tcPr>
                <w:p w14:paraId="72D0B2E7">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18</w:t>
                  </w:r>
                </w:p>
              </w:tc>
              <w:tc>
                <w:tcPr>
                  <w:tcW w:w="775" w:type="pct"/>
                  <w:noWrap w:val="0"/>
                  <w:vAlign w:val="center"/>
                </w:tcPr>
                <w:p w14:paraId="106BE1E5">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破乳剂</w:t>
                  </w:r>
                </w:p>
              </w:tc>
              <w:tc>
                <w:tcPr>
                  <w:tcW w:w="444" w:type="pct"/>
                  <w:noWrap w:val="0"/>
                  <w:vAlign w:val="center"/>
                </w:tcPr>
                <w:p w14:paraId="7D09C14C">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kg/a</w:t>
                  </w:r>
                </w:p>
              </w:tc>
              <w:tc>
                <w:tcPr>
                  <w:tcW w:w="510" w:type="pct"/>
                  <w:noWrap w:val="0"/>
                  <w:vAlign w:val="center"/>
                </w:tcPr>
                <w:p w14:paraId="1380B18F">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0</w:t>
                  </w:r>
                </w:p>
              </w:tc>
              <w:tc>
                <w:tcPr>
                  <w:tcW w:w="593" w:type="pct"/>
                  <w:noWrap w:val="0"/>
                  <w:vAlign w:val="center"/>
                </w:tcPr>
                <w:p w14:paraId="4B95ED00">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89.55</w:t>
                  </w:r>
                </w:p>
              </w:tc>
              <w:tc>
                <w:tcPr>
                  <w:tcW w:w="650" w:type="pct"/>
                  <w:noWrap w:val="0"/>
                  <w:vAlign w:val="center"/>
                </w:tcPr>
                <w:p w14:paraId="2B1FC6E7">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+89.55</w:t>
                  </w:r>
                </w:p>
              </w:tc>
              <w:tc>
                <w:tcPr>
                  <w:tcW w:w="1771" w:type="pct"/>
                  <w:noWrap w:val="0"/>
                  <w:vAlign w:val="center"/>
                </w:tcPr>
                <w:p w14:paraId="138242F6">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密闭桶装</w:t>
                  </w:r>
                </w:p>
              </w:tc>
            </w:tr>
            <w:tr w14:paraId="04994A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shd w:val="clear" w:color="auto" w:fill="auto"/>
                  <w:noWrap w:val="0"/>
                  <w:vAlign w:val="center"/>
                </w:tcPr>
                <w:p w14:paraId="6DB30BE9">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19</w:t>
                  </w:r>
                </w:p>
              </w:tc>
              <w:tc>
                <w:tcPr>
                  <w:tcW w:w="775" w:type="pct"/>
                  <w:noWrap w:val="0"/>
                  <w:vAlign w:val="center"/>
                </w:tcPr>
                <w:p w14:paraId="0311B13C">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石英砂</w:t>
                  </w:r>
                </w:p>
              </w:tc>
              <w:tc>
                <w:tcPr>
                  <w:tcW w:w="444" w:type="pct"/>
                  <w:noWrap w:val="0"/>
                  <w:vAlign w:val="center"/>
                </w:tcPr>
                <w:p w14:paraId="48D3BD08">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t/a</w:t>
                  </w:r>
                </w:p>
              </w:tc>
              <w:tc>
                <w:tcPr>
                  <w:tcW w:w="510" w:type="pct"/>
                  <w:noWrap w:val="0"/>
                  <w:vAlign w:val="center"/>
                </w:tcPr>
                <w:p w14:paraId="055A864E">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0</w:t>
                  </w:r>
                </w:p>
              </w:tc>
              <w:tc>
                <w:tcPr>
                  <w:tcW w:w="593" w:type="pct"/>
                  <w:noWrap w:val="0"/>
                  <w:vAlign w:val="center"/>
                </w:tcPr>
                <w:p w14:paraId="7A1A567B">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0.06</w:t>
                  </w:r>
                </w:p>
              </w:tc>
              <w:tc>
                <w:tcPr>
                  <w:tcW w:w="650" w:type="pct"/>
                  <w:noWrap w:val="0"/>
                  <w:vAlign w:val="center"/>
                </w:tcPr>
                <w:p w14:paraId="0B46F42B">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0.06</w:t>
                  </w:r>
                </w:p>
              </w:tc>
              <w:tc>
                <w:tcPr>
                  <w:tcW w:w="1771" w:type="pct"/>
                  <w:noWrap w:val="0"/>
                  <w:vAlign w:val="center"/>
                </w:tcPr>
                <w:p w14:paraId="38348CE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桶装</w:t>
                  </w:r>
                </w:p>
              </w:tc>
            </w:tr>
            <w:tr w14:paraId="4D6C77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shd w:val="clear" w:color="auto" w:fill="auto"/>
                  <w:noWrap w:val="0"/>
                  <w:vAlign w:val="center"/>
                </w:tcPr>
                <w:p w14:paraId="6D3FAF2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20</w:t>
                  </w:r>
                </w:p>
              </w:tc>
              <w:tc>
                <w:tcPr>
                  <w:tcW w:w="775" w:type="pct"/>
                  <w:noWrap w:val="0"/>
                  <w:vAlign w:val="center"/>
                </w:tcPr>
                <w:p w14:paraId="605ED6FA">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颗粒活性炭</w:t>
                  </w:r>
                </w:p>
              </w:tc>
              <w:tc>
                <w:tcPr>
                  <w:tcW w:w="444" w:type="pct"/>
                  <w:noWrap w:val="0"/>
                  <w:vAlign w:val="center"/>
                </w:tcPr>
                <w:p w14:paraId="6E50645C">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t/a</w:t>
                  </w:r>
                </w:p>
              </w:tc>
              <w:tc>
                <w:tcPr>
                  <w:tcW w:w="510" w:type="pct"/>
                  <w:noWrap w:val="0"/>
                  <w:vAlign w:val="center"/>
                </w:tcPr>
                <w:p w14:paraId="220810F4">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0</w:t>
                  </w:r>
                </w:p>
              </w:tc>
              <w:tc>
                <w:tcPr>
                  <w:tcW w:w="593" w:type="pct"/>
                  <w:noWrap w:val="0"/>
                  <w:vAlign w:val="center"/>
                </w:tcPr>
                <w:p w14:paraId="7DBB1B3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0.053</w:t>
                  </w:r>
                </w:p>
              </w:tc>
              <w:tc>
                <w:tcPr>
                  <w:tcW w:w="650" w:type="pct"/>
                  <w:noWrap w:val="0"/>
                  <w:vAlign w:val="center"/>
                </w:tcPr>
                <w:p w14:paraId="7ACCABA7">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+0.053</w:t>
                  </w:r>
                </w:p>
              </w:tc>
              <w:tc>
                <w:tcPr>
                  <w:tcW w:w="1771" w:type="pct"/>
                  <w:noWrap w:val="0"/>
                  <w:vAlign w:val="center"/>
                </w:tcPr>
                <w:p w14:paraId="4090E9B4">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袋装</w:t>
                  </w:r>
                </w:p>
              </w:tc>
            </w:tr>
            <w:tr w14:paraId="34340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shd w:val="clear" w:color="auto" w:fill="auto"/>
                  <w:noWrap w:val="0"/>
                  <w:vAlign w:val="center"/>
                </w:tcPr>
                <w:p w14:paraId="4D94F421">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21</w:t>
                  </w:r>
                </w:p>
              </w:tc>
              <w:tc>
                <w:tcPr>
                  <w:tcW w:w="775" w:type="pct"/>
                  <w:noWrap w:val="0"/>
                  <w:vAlign w:val="center"/>
                </w:tcPr>
                <w:p w14:paraId="4535BC6D">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5μm滤袋</w:t>
                  </w:r>
                </w:p>
              </w:tc>
              <w:tc>
                <w:tcPr>
                  <w:tcW w:w="444" w:type="pct"/>
                  <w:noWrap w:val="0"/>
                  <w:vAlign w:val="center"/>
                </w:tcPr>
                <w:p w14:paraId="2820AACA">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kg/a</w:t>
                  </w:r>
                </w:p>
              </w:tc>
              <w:tc>
                <w:tcPr>
                  <w:tcW w:w="510" w:type="pct"/>
                  <w:noWrap w:val="0"/>
                  <w:vAlign w:val="center"/>
                </w:tcPr>
                <w:p w14:paraId="5C38A7FE">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0</w:t>
                  </w:r>
                </w:p>
              </w:tc>
              <w:tc>
                <w:tcPr>
                  <w:tcW w:w="593" w:type="pct"/>
                  <w:noWrap w:val="0"/>
                  <w:vAlign w:val="center"/>
                </w:tcPr>
                <w:p w14:paraId="7A8A0098">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12</w:t>
                  </w:r>
                </w:p>
              </w:tc>
              <w:tc>
                <w:tcPr>
                  <w:tcW w:w="650" w:type="pct"/>
                  <w:noWrap w:val="0"/>
                  <w:vAlign w:val="center"/>
                </w:tcPr>
                <w:p w14:paraId="04502234">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+12</w:t>
                  </w:r>
                </w:p>
              </w:tc>
              <w:tc>
                <w:tcPr>
                  <w:tcW w:w="1771" w:type="pct"/>
                  <w:noWrap w:val="0"/>
                  <w:vAlign w:val="center"/>
                </w:tcPr>
                <w:p w14:paraId="0FF5349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袋装</w:t>
                  </w:r>
                </w:p>
              </w:tc>
            </w:tr>
            <w:tr w14:paraId="0C5DAA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shd w:val="clear" w:color="auto" w:fill="auto"/>
                  <w:noWrap w:val="0"/>
                  <w:vAlign w:val="center"/>
                </w:tcPr>
                <w:p w14:paraId="1632D65D">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22</w:t>
                  </w:r>
                </w:p>
              </w:tc>
              <w:tc>
                <w:tcPr>
                  <w:tcW w:w="775" w:type="pct"/>
                  <w:noWrap w:val="0"/>
                  <w:vAlign w:val="center"/>
                </w:tcPr>
                <w:p w14:paraId="36D5BAF8">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超滤膜</w:t>
                  </w:r>
                </w:p>
              </w:tc>
              <w:tc>
                <w:tcPr>
                  <w:tcW w:w="444" w:type="pct"/>
                  <w:noWrap w:val="0"/>
                  <w:vAlign w:val="center"/>
                </w:tcPr>
                <w:p w14:paraId="6F4DA8B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支/a</w:t>
                  </w:r>
                </w:p>
              </w:tc>
              <w:tc>
                <w:tcPr>
                  <w:tcW w:w="510" w:type="pct"/>
                  <w:noWrap w:val="0"/>
                  <w:vAlign w:val="center"/>
                </w:tcPr>
                <w:p w14:paraId="57D1DD3E">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0</w:t>
                  </w:r>
                </w:p>
              </w:tc>
              <w:tc>
                <w:tcPr>
                  <w:tcW w:w="593" w:type="pct"/>
                  <w:noWrap w:val="0"/>
                  <w:vAlign w:val="center"/>
                </w:tcPr>
                <w:p w14:paraId="54CDF863">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w:t>
                  </w:r>
                </w:p>
              </w:tc>
              <w:tc>
                <w:tcPr>
                  <w:tcW w:w="650" w:type="pct"/>
                  <w:noWrap w:val="0"/>
                  <w:vAlign w:val="center"/>
                </w:tcPr>
                <w:p w14:paraId="2A33B14F">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w:t>
                  </w:r>
                </w:p>
              </w:tc>
              <w:tc>
                <w:tcPr>
                  <w:tcW w:w="1771" w:type="pct"/>
                  <w:noWrap w:val="0"/>
                  <w:vAlign w:val="center"/>
                </w:tcPr>
                <w:p w14:paraId="47F2F251">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袋装</w:t>
                  </w:r>
                </w:p>
              </w:tc>
            </w:tr>
            <w:tr w14:paraId="6D3A24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shd w:val="clear" w:color="auto" w:fill="auto"/>
                  <w:noWrap w:val="0"/>
                  <w:vAlign w:val="center"/>
                </w:tcPr>
                <w:p w14:paraId="6D90CA8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23</w:t>
                  </w:r>
                </w:p>
              </w:tc>
              <w:tc>
                <w:tcPr>
                  <w:tcW w:w="775" w:type="pct"/>
                  <w:noWrap w:val="0"/>
                  <w:vAlign w:val="center"/>
                </w:tcPr>
                <w:p w14:paraId="01CF319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脱脂剂</w:t>
                  </w:r>
                </w:p>
              </w:tc>
              <w:tc>
                <w:tcPr>
                  <w:tcW w:w="444" w:type="pct"/>
                  <w:noWrap w:val="0"/>
                  <w:vAlign w:val="center"/>
                </w:tcPr>
                <w:p w14:paraId="00EE474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10" w:type="pct"/>
                  <w:noWrap w:val="0"/>
                  <w:vAlign w:val="center"/>
                </w:tcPr>
                <w:p w14:paraId="712E78A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593" w:type="pct"/>
                  <w:noWrap w:val="0"/>
                  <w:vAlign w:val="center"/>
                </w:tcPr>
                <w:p w14:paraId="33D3700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0.8</w:t>
                  </w:r>
                </w:p>
              </w:tc>
              <w:tc>
                <w:tcPr>
                  <w:tcW w:w="650" w:type="pct"/>
                  <w:noWrap w:val="0"/>
                  <w:vAlign w:val="center"/>
                </w:tcPr>
                <w:p w14:paraId="60A78A7D">
                  <w:pPr>
                    <w:adjustRightInd w:val="0"/>
                    <w:snapToGrid w:val="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color w:val="auto"/>
                      <w:szCs w:val="21"/>
                      <w:lang w:val="en-US" w:eastAsia="zh-CN"/>
                    </w:rPr>
                    <w:t>+0.8</w:t>
                  </w:r>
                </w:p>
              </w:tc>
              <w:tc>
                <w:tcPr>
                  <w:tcW w:w="1771" w:type="pct"/>
                  <w:noWrap w:val="0"/>
                  <w:vAlign w:val="center"/>
                </w:tcPr>
                <w:p w14:paraId="27C38B94">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清洗除油，1kg/袋</w:t>
                  </w:r>
                  <w:r>
                    <w:rPr>
                      <w:rFonts w:hint="eastAsia" w:cs="Times New Roman"/>
                      <w:color w:val="auto"/>
                      <w:szCs w:val="21"/>
                      <w:lang w:val="en-US" w:eastAsia="zh-CN"/>
                    </w:rPr>
                    <w:t>，与新鲜水配比0.04:1（主除油）</w:t>
                  </w:r>
                </w:p>
              </w:tc>
            </w:tr>
            <w:tr w14:paraId="515D2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noWrap w:val="0"/>
                  <w:vAlign w:val="center"/>
                </w:tcPr>
                <w:p w14:paraId="71499303">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24</w:t>
                  </w:r>
                </w:p>
              </w:tc>
              <w:tc>
                <w:tcPr>
                  <w:tcW w:w="775" w:type="pct"/>
                  <w:noWrap w:val="0"/>
                  <w:vAlign w:val="center"/>
                </w:tcPr>
                <w:p w14:paraId="484CB68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活性剂</w:t>
                  </w:r>
                </w:p>
              </w:tc>
              <w:tc>
                <w:tcPr>
                  <w:tcW w:w="444" w:type="pct"/>
                  <w:noWrap w:val="0"/>
                  <w:vAlign w:val="center"/>
                </w:tcPr>
                <w:p w14:paraId="08A69D9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10" w:type="pct"/>
                  <w:noWrap w:val="0"/>
                  <w:vAlign w:val="center"/>
                </w:tcPr>
                <w:p w14:paraId="401D243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593" w:type="pct"/>
                  <w:noWrap w:val="0"/>
                  <w:vAlign w:val="center"/>
                </w:tcPr>
                <w:p w14:paraId="08C8278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w:t>
                  </w:r>
                </w:p>
              </w:tc>
              <w:tc>
                <w:tcPr>
                  <w:tcW w:w="650" w:type="pct"/>
                  <w:noWrap w:val="0"/>
                  <w:vAlign w:val="center"/>
                </w:tcPr>
                <w:p w14:paraId="320A227C">
                  <w:pPr>
                    <w:adjustRightInd w:val="0"/>
                    <w:snapToGrid w:val="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color w:val="auto"/>
                      <w:szCs w:val="21"/>
                      <w:lang w:val="en-US" w:eastAsia="zh-CN"/>
                    </w:rPr>
                    <w:t>+0.1</w:t>
                  </w:r>
                </w:p>
              </w:tc>
              <w:tc>
                <w:tcPr>
                  <w:tcW w:w="1771" w:type="pct"/>
                  <w:noWrap w:val="0"/>
                  <w:vAlign w:val="center"/>
                </w:tcPr>
                <w:p w14:paraId="3288817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清洗除油</w:t>
                  </w:r>
                  <w:r>
                    <w:rPr>
                      <w:rFonts w:hint="eastAsia" w:cs="Times New Roman"/>
                      <w:color w:val="auto"/>
                      <w:szCs w:val="21"/>
                      <w:lang w:val="en-US" w:eastAsia="zh-CN"/>
                    </w:rPr>
                    <w:t>，与新鲜水配比0.004:1（主除油）</w:t>
                  </w:r>
                </w:p>
              </w:tc>
            </w:tr>
            <w:tr w14:paraId="24BE73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noWrap w:val="0"/>
                  <w:vAlign w:val="center"/>
                </w:tcPr>
                <w:p w14:paraId="497C8EC8">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25</w:t>
                  </w:r>
                </w:p>
              </w:tc>
              <w:tc>
                <w:tcPr>
                  <w:tcW w:w="775" w:type="pct"/>
                  <w:noWrap w:val="0"/>
                  <w:vAlign w:val="center"/>
                </w:tcPr>
                <w:p w14:paraId="4DEE68F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硅烷</w:t>
                  </w:r>
                </w:p>
              </w:tc>
              <w:tc>
                <w:tcPr>
                  <w:tcW w:w="444" w:type="pct"/>
                  <w:noWrap w:val="0"/>
                  <w:vAlign w:val="center"/>
                </w:tcPr>
                <w:p w14:paraId="5A3AED2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10" w:type="pct"/>
                  <w:noWrap w:val="0"/>
                  <w:vAlign w:val="center"/>
                </w:tcPr>
                <w:p w14:paraId="3D99050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593" w:type="pct"/>
                  <w:noWrap w:val="0"/>
                  <w:vAlign w:val="center"/>
                </w:tcPr>
                <w:p w14:paraId="0010657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w:t>
                  </w:r>
                </w:p>
              </w:tc>
              <w:tc>
                <w:tcPr>
                  <w:tcW w:w="650" w:type="pct"/>
                  <w:noWrap w:val="0"/>
                  <w:vAlign w:val="center"/>
                </w:tcPr>
                <w:p w14:paraId="63522487">
                  <w:pPr>
                    <w:adjustRightInd w:val="0"/>
                    <w:snapToGrid w:val="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color w:val="auto"/>
                      <w:szCs w:val="21"/>
                      <w:lang w:val="en-US" w:eastAsia="zh-CN"/>
                    </w:rPr>
                    <w:t>+0.2</w:t>
                  </w:r>
                </w:p>
              </w:tc>
              <w:tc>
                <w:tcPr>
                  <w:tcW w:w="1771" w:type="pct"/>
                  <w:noWrap w:val="0"/>
                  <w:vAlign w:val="center"/>
                </w:tcPr>
                <w:p w14:paraId="11E8F92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表面防锈处理</w:t>
                  </w:r>
                  <w:r>
                    <w:rPr>
                      <w:rFonts w:hint="eastAsia" w:cs="Times New Roman"/>
                      <w:color w:val="auto"/>
                      <w:szCs w:val="21"/>
                      <w:lang w:val="en-US" w:eastAsia="zh-CN"/>
                    </w:rPr>
                    <w:t>，液态，与新鲜水配比为0.02:1</w:t>
                  </w:r>
                </w:p>
              </w:tc>
            </w:tr>
            <w:tr w14:paraId="0EC3B4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4" w:type="pct"/>
                  <w:noWrap w:val="0"/>
                  <w:vAlign w:val="center"/>
                </w:tcPr>
                <w:p w14:paraId="6B4893B8">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26</w:t>
                  </w:r>
                </w:p>
              </w:tc>
              <w:tc>
                <w:tcPr>
                  <w:tcW w:w="775" w:type="pct"/>
                  <w:noWrap w:val="0"/>
                  <w:vAlign w:val="center"/>
                </w:tcPr>
                <w:p w14:paraId="7E42045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天然气</w:t>
                  </w:r>
                </w:p>
              </w:tc>
              <w:tc>
                <w:tcPr>
                  <w:tcW w:w="444" w:type="pct"/>
                  <w:noWrap w:val="0"/>
                  <w:vAlign w:val="center"/>
                </w:tcPr>
                <w:p w14:paraId="2598F44E">
                  <w:pPr>
                    <w:adjustRightInd w:val="0"/>
                    <w:snapToGrid w:val="0"/>
                    <w:jc w:val="center"/>
                    <w:rPr>
                      <w:rFonts w:hint="default" w:ascii="Times New Roman" w:hAnsi="Times New Roman" w:cs="Times New Roman"/>
                      <w:color w:val="auto"/>
                      <w:szCs w:val="21"/>
                      <w:lang w:val="en-US"/>
                    </w:rPr>
                  </w:pPr>
                  <w:r>
                    <w:rPr>
                      <w:rFonts w:hint="eastAsia" w:ascii="Times New Roman" w:hAnsi="Times New Roman" w:eastAsia="宋体" w:cs="Times New Roman"/>
                      <w:color w:val="auto"/>
                      <w:szCs w:val="21"/>
                      <w:lang w:val="en-US" w:eastAsia="zh-CN"/>
                    </w:rPr>
                    <w:t>m³/a</w:t>
                  </w:r>
                </w:p>
              </w:tc>
              <w:tc>
                <w:tcPr>
                  <w:tcW w:w="510" w:type="pct"/>
                  <w:noWrap w:val="0"/>
                  <w:vAlign w:val="center"/>
                </w:tcPr>
                <w:p w14:paraId="0CDBF60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593" w:type="pct"/>
                  <w:noWrap w:val="0"/>
                  <w:vAlign w:val="center"/>
                </w:tcPr>
                <w:p w14:paraId="5EB6C15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60000</w:t>
                  </w:r>
                </w:p>
              </w:tc>
              <w:tc>
                <w:tcPr>
                  <w:tcW w:w="650" w:type="pct"/>
                  <w:noWrap w:val="0"/>
                  <w:vAlign w:val="center"/>
                </w:tcPr>
                <w:p w14:paraId="513186CB">
                  <w:pPr>
                    <w:adjustRightInd w:val="0"/>
                    <w:snapToGrid w:val="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color w:val="auto"/>
                      <w:szCs w:val="21"/>
                      <w:lang w:val="en-US" w:eastAsia="zh-CN"/>
                    </w:rPr>
                    <w:t>+60000</w:t>
                  </w:r>
                </w:p>
              </w:tc>
              <w:tc>
                <w:tcPr>
                  <w:tcW w:w="1771" w:type="pct"/>
                  <w:noWrap w:val="0"/>
                  <w:vAlign w:val="center"/>
                </w:tcPr>
                <w:p w14:paraId="7B38BBF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烘干、固化</w:t>
                  </w:r>
                </w:p>
              </w:tc>
            </w:tr>
          </w:tbl>
          <w:p w14:paraId="046F6431">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原辅料理化性质：</w:t>
            </w:r>
            <w:r>
              <w:rPr>
                <w:rFonts w:hint="default" w:ascii="Times New Roman" w:hAnsi="Times New Roman" w:cs="Times New Roman"/>
                <w:b/>
                <w:bCs/>
                <w:color w:val="auto"/>
                <w:sz w:val="24"/>
                <w:szCs w:val="24"/>
                <w:lang w:val="en-US" w:eastAsia="zh-CN"/>
              </w:rPr>
              <w:br w:type="textWrapping"/>
            </w:r>
            <w:r>
              <w:rPr>
                <w:rFonts w:hint="eastAsia"/>
                <w:color w:val="auto"/>
                <w:lang w:val="en-US" w:eastAsia="zh-CN"/>
              </w:rPr>
              <w:t xml:space="preserve">    </w:t>
            </w:r>
            <w:r>
              <w:rPr>
                <w:rFonts w:hint="default" w:ascii="Times New Roman" w:hAnsi="Times New Roman" w:eastAsia="宋体" w:cs="Times New Roman"/>
                <w:b/>
                <w:bCs/>
                <w:color w:val="auto"/>
                <w:sz w:val="24"/>
                <w:szCs w:val="24"/>
                <w:lang w:val="en-US" w:eastAsia="zh-CN"/>
              </w:rPr>
              <w:t>脱脂剂</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color w:val="auto"/>
                <w:sz w:val="24"/>
                <w:szCs w:val="24"/>
                <w:lang w:val="en-US" w:eastAsia="zh-CN"/>
              </w:rPr>
              <w:t>又称碳酰胺，是由碳、氮、氧、氢组成的有机化合物</w:t>
            </w:r>
            <w:r>
              <w:rPr>
                <w:rFonts w:hint="eastAsia" w:cs="Times New Roman"/>
                <w:color w:val="auto"/>
                <w:sz w:val="24"/>
                <w:szCs w:val="24"/>
                <w:lang w:val="en-US" w:eastAsia="zh-CN"/>
              </w:rPr>
              <w:t>，是</w:t>
            </w:r>
            <w:r>
              <w:rPr>
                <w:rFonts w:hint="default" w:ascii="Times New Roman" w:hAnsi="Times New Roman" w:cs="Times New Roman"/>
                <w:color w:val="auto"/>
                <w:sz w:val="24"/>
                <w:szCs w:val="24"/>
                <w:lang w:val="en-US" w:eastAsia="zh-CN"/>
              </w:rPr>
              <w:t>一种白色晶体，为弱碱性，对金属无腐蚀，无臭无味。含氮量约为46.67%。密度1.335g/cm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。熔点132.7℃。溶于水、醇，难溶于乙醚、氯仿。具有清洗速度快，用量少，其用量为4%至8%，在清洗槽中加入计量的水与除油粉</w:t>
            </w:r>
            <w:r>
              <w:rPr>
                <w:rFonts w:hint="eastAsia" w:cs="Times New Roman"/>
                <w:color w:val="auto"/>
                <w:sz w:val="24"/>
                <w:szCs w:val="24"/>
                <w:lang w:val="en-US" w:eastAsia="zh-CN"/>
              </w:rPr>
              <w:t>，适当</w:t>
            </w:r>
            <w:r>
              <w:rPr>
                <w:rFonts w:hint="default" w:ascii="Times New Roman" w:hAnsi="Times New Roman" w:cs="Times New Roman"/>
                <w:color w:val="auto"/>
                <w:sz w:val="24"/>
                <w:szCs w:val="24"/>
                <w:lang w:val="en-US" w:eastAsia="zh-CN"/>
              </w:rPr>
              <w:t>搅拌直至完全溶解，常温状态使用</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不加热，无挥发性有机物产生。</w:t>
            </w:r>
          </w:p>
          <w:p w14:paraId="37396B07">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bCs/>
                <w:color w:val="auto"/>
                <w:sz w:val="24"/>
                <w:szCs w:val="24"/>
                <w:lang w:val="en-US" w:eastAsia="zh-CN"/>
              </w:rPr>
              <w:t>活性剂</w:t>
            </w:r>
            <w:r>
              <w:rPr>
                <w:rFonts w:hint="default" w:ascii="Times New Roman" w:hAnsi="Times New Roman" w:cs="Times New Roman"/>
                <w:b/>
                <w:bCs/>
                <w:color w:val="auto"/>
                <w:sz w:val="24"/>
                <w:szCs w:val="24"/>
                <w:lang w:val="en-US" w:eastAsia="zh-CN"/>
              </w:rPr>
              <w:t>：</w:t>
            </w:r>
            <w:r>
              <w:rPr>
                <w:rFonts w:hint="eastAsia" w:ascii="Times New Roman" w:hAnsi="Times New Roman" w:eastAsia="宋体" w:cs="Times New Roman"/>
                <w:color w:val="auto"/>
                <w:sz w:val="24"/>
                <w:szCs w:val="24"/>
                <w:lang w:val="en-US" w:eastAsia="zh-CN"/>
              </w:rPr>
              <w:t>表面活性剂是</w:t>
            </w:r>
            <w:r>
              <w:rPr>
                <w:rFonts w:hint="eastAsia" w:cs="Times New Roman"/>
                <w:color w:val="auto"/>
                <w:sz w:val="24"/>
                <w:szCs w:val="24"/>
                <w:lang w:val="en-US" w:eastAsia="zh-CN"/>
              </w:rPr>
              <w:t>一种</w:t>
            </w:r>
            <w:r>
              <w:rPr>
                <w:rFonts w:hint="eastAsia" w:ascii="Times New Roman" w:hAnsi="Times New Roman" w:eastAsia="宋体" w:cs="Times New Roman"/>
                <w:color w:val="auto"/>
                <w:sz w:val="24"/>
                <w:szCs w:val="24"/>
                <w:lang w:val="en-US" w:eastAsia="zh-CN"/>
              </w:rPr>
              <w:t>能降低液体表面张力，增强油污剥离与分散，保障工件表面洁净无残留</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辅助提升脱脂液的渗透力，配合碱液等成分快速分解油脂，为后续喷塑的附着力打基础。</w:t>
            </w:r>
          </w:p>
          <w:p w14:paraId="3CDE950C">
            <w:pPr>
              <w:spacing w:line="360" w:lineRule="auto"/>
              <w:ind w:firstLine="482" w:firstLineChars="200"/>
              <w:jc w:val="both"/>
              <w:rPr>
                <w:rFonts w:hint="default" w:ascii="Times New Roman" w:hAnsi="Times New Roman" w:cs="Times New Roman"/>
                <w:color w:val="auto"/>
                <w:sz w:val="24"/>
                <w:szCs w:val="24"/>
                <w:lang w:val="en-US" w:eastAsia="zh-CN"/>
              </w:rPr>
            </w:pPr>
            <w:r>
              <w:rPr>
                <w:rFonts w:hint="eastAsia" w:cs="Times New Roman"/>
                <w:b/>
                <w:bCs/>
                <w:color w:val="auto"/>
                <w:sz w:val="24"/>
                <w:szCs w:val="24"/>
                <w:lang w:val="en-US" w:eastAsia="zh-CN"/>
              </w:rPr>
              <w:t>塑粉</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color w:val="auto"/>
                <w:sz w:val="24"/>
                <w:szCs w:val="24"/>
                <w:lang w:val="en-US" w:eastAsia="zh-CN"/>
              </w:rPr>
              <w:t>热固性树脂，是指树脂加热后逐渐硬化成型，再受热也不软化，也不能溶解的一种树脂，是一种新型的不含溶剂的100%固体粉末状涂料，具有良好的化学稳定性，广泛应用于各种室内金属制品的涂装。该涂料不燃、不爆、无毒无害，由聚酯树脂、填料和助剂组成。本项目采用环氧</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聚酯型热固性聚酯涂料主要成分为聚酯树脂55%、固化剂4.2%、助剂1%、填料15.8%、颜料24%，属于低温固化型树脂，固化条件：150-180℃（工件温度）下15分钟固化，分解温度220-440℃。</w:t>
            </w:r>
          </w:p>
          <w:p w14:paraId="273D567F">
            <w:pPr>
              <w:spacing w:line="360" w:lineRule="auto"/>
              <w:ind w:firstLine="480" w:firstLineChars="20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根据建设单位提供的原料</w:t>
            </w:r>
            <w:r>
              <w:rPr>
                <w:rFonts w:hint="eastAsia" w:cs="Times New Roman"/>
                <w:color w:val="auto"/>
                <w:sz w:val="24"/>
                <w:szCs w:val="24"/>
                <w:lang w:val="en-US" w:eastAsia="zh-CN"/>
              </w:rPr>
              <w:t>检测报告</w:t>
            </w:r>
            <w:r>
              <w:rPr>
                <w:rFonts w:hint="default" w:ascii="Times New Roman" w:hAnsi="Times New Roman" w:cs="Times New Roman"/>
                <w:color w:val="auto"/>
                <w:sz w:val="24"/>
                <w:szCs w:val="24"/>
                <w:lang w:val="en-US" w:eastAsia="zh-CN"/>
              </w:rPr>
              <w:t>，粉末涂料的挥发性有机物含量检测结果为未检出（检出限为9g/L）</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本项目使用原料塑粉中挥发性有机化合物（VOC）含量</w:t>
            </w:r>
            <w:r>
              <w:rPr>
                <w:rFonts w:hint="eastAsia" w:cs="Times New Roman"/>
                <w:color w:val="auto"/>
                <w:sz w:val="24"/>
                <w:szCs w:val="24"/>
                <w:lang w:val="en-US" w:eastAsia="zh-CN"/>
              </w:rPr>
              <w:t>低于9</w:t>
            </w:r>
            <w:r>
              <w:rPr>
                <w:rFonts w:hint="default" w:ascii="Times New Roman" w:hAnsi="Times New Roman" w:cs="Times New Roman"/>
                <w:color w:val="auto"/>
                <w:sz w:val="24"/>
                <w:szCs w:val="24"/>
                <w:lang w:val="en-US" w:eastAsia="zh-CN"/>
              </w:rPr>
              <w:t>g/L，满足《低挥发性有机化合物含量涂料产品技术要求》（GB/T38597-2020）表3中挥发性有机化合物（VOC）含量限量值应≤60g/L的要求（详见附件挥发性有机化合物含量检测报告）。</w:t>
            </w:r>
          </w:p>
          <w:p w14:paraId="611DCDAD">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szCs w:val="24"/>
                <w:lang w:val="en-US" w:eastAsia="zh-CN"/>
              </w:rPr>
              <w:t>硅烷：</w:t>
            </w:r>
            <w:r>
              <w:rPr>
                <w:rFonts w:hint="eastAsia" w:ascii="Times New Roman" w:hAnsi="Times New Roman" w:eastAsia="宋体" w:cs="Times New Roman"/>
                <w:color w:val="auto"/>
                <w:sz w:val="24"/>
                <w:szCs w:val="24"/>
                <w:lang w:val="en-US" w:eastAsia="zh-CN"/>
              </w:rPr>
              <w:t>常温下多为无色至淡黄色透明液体，易溶于水，也可溶于乙醇、丙酮等有机溶剂。在喷塑（粉末涂装）工艺中，硅烷主要用作前处理附着力促进剂（替代传统磷化液），核心是在脱脂后的金属表面形成一层致密、均匀的有机-无机杂化膜（固化后形成的硅烷膜厚度极薄，约50-200nm），大幅提升粉末涂层与基材的附着力、耐腐蚀性，同时简化前处理流程、降低环保压力。替代</w:t>
            </w:r>
            <w:r>
              <w:rPr>
                <w:rFonts w:hint="eastAsia" w:cs="Times New Roman"/>
                <w:color w:val="auto"/>
                <w:sz w:val="24"/>
                <w:szCs w:val="24"/>
                <w:lang w:val="en-US" w:eastAsia="zh-CN"/>
              </w:rPr>
              <w:t>传统磷化工艺</w:t>
            </w:r>
            <w:r>
              <w:rPr>
                <w:rFonts w:hint="eastAsia" w:ascii="Times New Roman" w:hAnsi="Times New Roman" w:eastAsia="宋体" w:cs="Times New Roman"/>
                <w:color w:val="auto"/>
                <w:sz w:val="24"/>
                <w:szCs w:val="24"/>
                <w:lang w:val="en-US" w:eastAsia="zh-CN"/>
              </w:rPr>
              <w:t>，无需高温、无需沉渣处理，仅需“脱脂—水洗—硅烷处理—水洗/烘干”，减少废水排放（硅烷液不含磷、重金属），符合环保要求。</w:t>
            </w:r>
          </w:p>
          <w:p w14:paraId="78CC3EF0">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color w:val="auto"/>
                <w:sz w:val="24"/>
                <w:szCs w:val="24"/>
                <w:lang w:val="en-US" w:eastAsia="zh-CN"/>
              </w:rPr>
            </w:pPr>
            <w:r>
              <w:rPr>
                <w:rFonts w:hint="eastAsia" w:cs="Times New Roman"/>
                <w:b/>
                <w:bCs/>
                <w:color w:val="auto"/>
                <w:sz w:val="24"/>
                <w:lang w:val="en-US" w:eastAsia="zh-CN"/>
              </w:rPr>
              <w:t>破乳剂（有机高分子破乳剂）：</w:t>
            </w:r>
            <w:r>
              <w:rPr>
                <w:rFonts w:hint="eastAsia" w:ascii="Times New Roman" w:hAnsi="Times New Roman" w:eastAsia="宋体" w:cs="Times New Roman"/>
                <w:color w:val="auto"/>
                <w:sz w:val="24"/>
                <w:szCs w:val="24"/>
                <w:lang w:val="en-US" w:eastAsia="zh-CN"/>
              </w:rPr>
              <w:t>外观：淡黄色粘稠液体；水溶性有机物，弱阴/非离子型，常温稳定，不易燃；塑料桶密封常温存放</w:t>
            </w:r>
          </w:p>
          <w:p w14:paraId="44B3C491">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eastAsia" w:cs="Times New Roman"/>
                <w:b/>
                <w:bCs/>
                <w:color w:val="auto"/>
                <w:sz w:val="24"/>
                <w:lang w:val="en-US" w:eastAsia="zh-CN"/>
              </w:rPr>
              <w:t>5</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项目主要生产设施</w:t>
            </w:r>
          </w:p>
          <w:p w14:paraId="4B27627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项目主要生产设施见表2-</w:t>
            </w:r>
            <w:r>
              <w:rPr>
                <w:rFonts w:hint="eastAsia" w:cs="Times New Roman"/>
                <w:color w:val="auto"/>
                <w:sz w:val="24"/>
                <w:lang w:val="en-US" w:eastAsia="zh-CN"/>
              </w:rPr>
              <w:t>5</w:t>
            </w:r>
            <w:r>
              <w:rPr>
                <w:rFonts w:hint="default" w:ascii="Times New Roman" w:hAnsi="Times New Roman" w:cs="Times New Roman"/>
                <w:color w:val="auto"/>
                <w:sz w:val="24"/>
              </w:rPr>
              <w:t>。</w:t>
            </w:r>
          </w:p>
          <w:p w14:paraId="6FF02A1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主要生产设施一览表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2062"/>
              <w:gridCol w:w="1271"/>
              <w:gridCol w:w="851"/>
              <w:gridCol w:w="908"/>
              <w:gridCol w:w="811"/>
              <w:gridCol w:w="675"/>
              <w:gridCol w:w="1383"/>
            </w:tblGrid>
            <w:tr w14:paraId="38FB9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5" w:type="pct"/>
                  <w:noWrap w:val="0"/>
                  <w:vAlign w:val="center"/>
                </w:tcPr>
                <w:p w14:paraId="4F219F9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244" w:type="pct"/>
                  <w:noWrap w:val="0"/>
                  <w:vAlign w:val="center"/>
                </w:tcPr>
                <w:p w14:paraId="0CCA387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设备名称</w:t>
                  </w:r>
                </w:p>
              </w:tc>
              <w:tc>
                <w:tcPr>
                  <w:tcW w:w="766" w:type="pct"/>
                  <w:noWrap w:val="0"/>
                  <w:vAlign w:val="center"/>
                </w:tcPr>
                <w:p w14:paraId="62E56CD2">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设备</w:t>
                  </w:r>
                  <w:r>
                    <w:rPr>
                      <w:rFonts w:hint="default" w:ascii="Times New Roman" w:hAnsi="Times New Roman" w:cs="Times New Roman"/>
                      <w:color w:val="auto"/>
                      <w:szCs w:val="21"/>
                      <w:lang w:eastAsia="zh-CN"/>
                    </w:rPr>
                    <w:t>参数</w:t>
                  </w:r>
                </w:p>
              </w:tc>
              <w:tc>
                <w:tcPr>
                  <w:tcW w:w="515" w:type="pct"/>
                  <w:noWrap w:val="0"/>
                  <w:vAlign w:val="center"/>
                </w:tcPr>
                <w:p w14:paraId="4911F240">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扩建前</w:t>
                  </w:r>
                </w:p>
                <w:p w14:paraId="105E3809">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数量</w:t>
                  </w:r>
                </w:p>
              </w:tc>
              <w:tc>
                <w:tcPr>
                  <w:tcW w:w="549" w:type="pct"/>
                  <w:noWrap w:val="0"/>
                  <w:vAlign w:val="center"/>
                </w:tcPr>
                <w:p w14:paraId="6C2E215F">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扩建后</w:t>
                  </w:r>
                </w:p>
                <w:p w14:paraId="255730E0">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数量</w:t>
                  </w:r>
                </w:p>
              </w:tc>
              <w:tc>
                <w:tcPr>
                  <w:tcW w:w="491" w:type="pct"/>
                  <w:noWrap w:val="0"/>
                  <w:vAlign w:val="center"/>
                </w:tcPr>
                <w:p w14:paraId="10C66635">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变化量</w:t>
                  </w:r>
                </w:p>
              </w:tc>
              <w:tc>
                <w:tcPr>
                  <w:tcW w:w="410" w:type="pct"/>
                  <w:noWrap w:val="0"/>
                  <w:vAlign w:val="center"/>
                </w:tcPr>
                <w:p w14:paraId="7A6B7D0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767" w:type="pct"/>
                  <w:noWrap w:val="0"/>
                  <w:vAlign w:val="center"/>
                </w:tcPr>
                <w:p w14:paraId="7C262218">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备注</w:t>
                  </w:r>
                </w:p>
              </w:tc>
            </w:tr>
            <w:tr w14:paraId="319D1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8"/>
                  <w:noWrap w:val="0"/>
                  <w:vAlign w:val="center"/>
                </w:tcPr>
                <w:p w14:paraId="5FEE6438">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生产设施</w:t>
                  </w:r>
                </w:p>
              </w:tc>
            </w:tr>
            <w:tr w14:paraId="1AC469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5" w:type="pct"/>
                  <w:noWrap w:val="0"/>
                  <w:vAlign w:val="center"/>
                </w:tcPr>
                <w:p w14:paraId="2A1A062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244" w:type="pct"/>
                  <w:noWrap w:val="0"/>
                  <w:vAlign w:val="center"/>
                </w:tcPr>
                <w:p w14:paraId="5B0971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激光切割机</w:t>
                  </w:r>
                </w:p>
              </w:tc>
              <w:tc>
                <w:tcPr>
                  <w:tcW w:w="766" w:type="pct"/>
                  <w:noWrap w:val="0"/>
                  <w:vAlign w:val="center"/>
                </w:tcPr>
                <w:p w14:paraId="2FB5607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r>
                    <w:rPr>
                      <w:rFonts w:hint="eastAsia" w:cs="Times New Roman"/>
                      <w:color w:val="auto"/>
                      <w:szCs w:val="21"/>
                      <w:lang w:val="en-US" w:eastAsia="zh-CN"/>
                    </w:rPr>
                    <w:t>kW</w:t>
                  </w:r>
                </w:p>
              </w:tc>
              <w:tc>
                <w:tcPr>
                  <w:tcW w:w="515" w:type="pct"/>
                  <w:noWrap w:val="0"/>
                  <w:vAlign w:val="center"/>
                </w:tcPr>
                <w:p w14:paraId="4D49E189">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549" w:type="pct"/>
                  <w:noWrap w:val="0"/>
                  <w:vAlign w:val="center"/>
                </w:tcPr>
                <w:p w14:paraId="57650EF7">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w:t>
                  </w:r>
                </w:p>
              </w:tc>
              <w:tc>
                <w:tcPr>
                  <w:tcW w:w="491" w:type="pct"/>
                  <w:noWrap w:val="0"/>
                  <w:vAlign w:val="center"/>
                </w:tcPr>
                <w:p w14:paraId="7E0075E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410" w:type="pct"/>
                  <w:noWrap w:val="0"/>
                  <w:vAlign w:val="center"/>
                </w:tcPr>
                <w:p w14:paraId="1AE6220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09EDD347">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7FC229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5" w:type="pct"/>
                  <w:noWrap w:val="0"/>
                  <w:vAlign w:val="center"/>
                </w:tcPr>
                <w:p w14:paraId="6D27F875">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w:t>
                  </w:r>
                </w:p>
              </w:tc>
              <w:tc>
                <w:tcPr>
                  <w:tcW w:w="1244" w:type="pct"/>
                  <w:noWrap w:val="0"/>
                  <w:vAlign w:val="center"/>
                </w:tcPr>
                <w:p w14:paraId="37CAFB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激光切割机</w:t>
                  </w:r>
                </w:p>
              </w:tc>
              <w:tc>
                <w:tcPr>
                  <w:tcW w:w="766" w:type="pct"/>
                  <w:noWrap w:val="0"/>
                  <w:vAlign w:val="center"/>
                </w:tcPr>
                <w:p w14:paraId="3E9E214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6</w:t>
                  </w:r>
                  <w:r>
                    <w:rPr>
                      <w:rFonts w:hint="eastAsia" w:cs="Times New Roman"/>
                      <w:color w:val="auto"/>
                      <w:szCs w:val="21"/>
                      <w:lang w:val="en-US" w:eastAsia="zh-CN"/>
                    </w:rPr>
                    <w:t>kW</w:t>
                  </w:r>
                </w:p>
              </w:tc>
              <w:tc>
                <w:tcPr>
                  <w:tcW w:w="515" w:type="pct"/>
                  <w:noWrap w:val="0"/>
                  <w:vAlign w:val="center"/>
                </w:tcPr>
                <w:p w14:paraId="3ADAE0AE">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549" w:type="pct"/>
                  <w:noWrap w:val="0"/>
                  <w:vAlign w:val="center"/>
                </w:tcPr>
                <w:p w14:paraId="3FF5FAE0">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w:t>
                  </w:r>
                </w:p>
              </w:tc>
              <w:tc>
                <w:tcPr>
                  <w:tcW w:w="491" w:type="pct"/>
                  <w:noWrap w:val="0"/>
                  <w:vAlign w:val="center"/>
                </w:tcPr>
                <w:p w14:paraId="1363296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410" w:type="pct"/>
                  <w:noWrap w:val="0"/>
                  <w:vAlign w:val="center"/>
                </w:tcPr>
                <w:p w14:paraId="6B2CBE56">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767" w:type="pct"/>
                  <w:noWrap w:val="0"/>
                  <w:vAlign w:val="center"/>
                </w:tcPr>
                <w:p w14:paraId="1562786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1BB110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159A409F">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w:t>
                  </w:r>
                </w:p>
              </w:tc>
              <w:tc>
                <w:tcPr>
                  <w:tcW w:w="1244" w:type="pct"/>
                  <w:noWrap w:val="0"/>
                  <w:vAlign w:val="center"/>
                </w:tcPr>
                <w:p w14:paraId="0B7D9D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切割机</w:t>
                  </w:r>
                </w:p>
              </w:tc>
              <w:tc>
                <w:tcPr>
                  <w:tcW w:w="766" w:type="pct"/>
                  <w:noWrap w:val="0"/>
                  <w:vAlign w:val="center"/>
                </w:tcPr>
                <w:p w14:paraId="29D8E0CD">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w:t>
                  </w:r>
                  <w:r>
                    <w:rPr>
                      <w:rFonts w:hint="eastAsia" w:cs="Times New Roman"/>
                      <w:color w:val="auto"/>
                      <w:szCs w:val="21"/>
                      <w:lang w:val="en-US" w:eastAsia="zh-CN"/>
                    </w:rPr>
                    <w:t>kW</w:t>
                  </w:r>
                </w:p>
              </w:tc>
              <w:tc>
                <w:tcPr>
                  <w:tcW w:w="515" w:type="pct"/>
                  <w:noWrap w:val="0"/>
                  <w:vAlign w:val="center"/>
                </w:tcPr>
                <w:p w14:paraId="7DD4D068">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549" w:type="pct"/>
                  <w:noWrap w:val="0"/>
                  <w:vAlign w:val="center"/>
                </w:tcPr>
                <w:p w14:paraId="7323F4B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491" w:type="pct"/>
                  <w:noWrap w:val="0"/>
                  <w:vAlign w:val="center"/>
                </w:tcPr>
                <w:p w14:paraId="0AF3F9B5">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29E37B6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2D2331B9">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7ED56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0FF5FCDF">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w:t>
                  </w:r>
                </w:p>
              </w:tc>
              <w:tc>
                <w:tcPr>
                  <w:tcW w:w="1244" w:type="pct"/>
                  <w:noWrap w:val="0"/>
                  <w:vAlign w:val="center"/>
                </w:tcPr>
                <w:p w14:paraId="6619D3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砂轮切割机</w:t>
                  </w:r>
                </w:p>
              </w:tc>
              <w:tc>
                <w:tcPr>
                  <w:tcW w:w="766" w:type="pct"/>
                  <w:noWrap w:val="0"/>
                  <w:vAlign w:val="center"/>
                </w:tcPr>
                <w:p w14:paraId="2FAF0856">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w:t>
                  </w:r>
                  <w:r>
                    <w:rPr>
                      <w:rFonts w:hint="eastAsia" w:cs="Times New Roman"/>
                      <w:color w:val="auto"/>
                      <w:szCs w:val="21"/>
                      <w:lang w:val="en-US" w:eastAsia="zh-CN"/>
                    </w:rPr>
                    <w:t>kW</w:t>
                  </w:r>
                </w:p>
              </w:tc>
              <w:tc>
                <w:tcPr>
                  <w:tcW w:w="515" w:type="pct"/>
                  <w:noWrap w:val="0"/>
                  <w:vAlign w:val="center"/>
                </w:tcPr>
                <w:p w14:paraId="4DAFB88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549" w:type="pct"/>
                  <w:noWrap w:val="0"/>
                  <w:vAlign w:val="center"/>
                </w:tcPr>
                <w:p w14:paraId="6480069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491" w:type="pct"/>
                  <w:noWrap w:val="0"/>
                  <w:vAlign w:val="center"/>
                </w:tcPr>
                <w:p w14:paraId="22B9B22F">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63AC2EC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05401A98">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04D83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6F896F3E">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w:t>
                  </w:r>
                </w:p>
              </w:tc>
              <w:tc>
                <w:tcPr>
                  <w:tcW w:w="1244" w:type="pct"/>
                  <w:noWrap w:val="0"/>
                  <w:vAlign w:val="center"/>
                </w:tcPr>
                <w:p w14:paraId="5DD288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锯床</w:t>
                  </w:r>
                </w:p>
              </w:tc>
              <w:tc>
                <w:tcPr>
                  <w:tcW w:w="766" w:type="pct"/>
                  <w:noWrap w:val="0"/>
                  <w:vAlign w:val="center"/>
                </w:tcPr>
                <w:p w14:paraId="32F278CD">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w:t>
                  </w:r>
                  <w:r>
                    <w:rPr>
                      <w:rFonts w:hint="eastAsia" w:cs="Times New Roman"/>
                      <w:color w:val="auto"/>
                      <w:kern w:val="2"/>
                      <w:sz w:val="21"/>
                      <w:szCs w:val="21"/>
                      <w:lang w:val="en-US" w:eastAsia="zh-CN" w:bidi="ar-SA"/>
                    </w:rPr>
                    <w:t>kW</w:t>
                  </w:r>
                </w:p>
              </w:tc>
              <w:tc>
                <w:tcPr>
                  <w:tcW w:w="515" w:type="pct"/>
                  <w:noWrap w:val="0"/>
                  <w:vAlign w:val="center"/>
                </w:tcPr>
                <w:p w14:paraId="1F15E103">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2</w:t>
                  </w:r>
                </w:p>
              </w:tc>
              <w:tc>
                <w:tcPr>
                  <w:tcW w:w="549" w:type="pct"/>
                  <w:noWrap w:val="0"/>
                  <w:vAlign w:val="center"/>
                </w:tcPr>
                <w:p w14:paraId="54CE672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491" w:type="pct"/>
                  <w:noWrap w:val="0"/>
                  <w:vAlign w:val="center"/>
                </w:tcPr>
                <w:p w14:paraId="21439C93">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12A0970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5402B952">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401DB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24F9EFAE">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w:t>
                  </w:r>
                </w:p>
              </w:tc>
              <w:tc>
                <w:tcPr>
                  <w:tcW w:w="1244" w:type="pct"/>
                  <w:noWrap w:val="0"/>
                  <w:vAlign w:val="center"/>
                </w:tcPr>
                <w:p w14:paraId="13EBCE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数控</w:t>
                  </w:r>
                  <w:r>
                    <w:rPr>
                      <w:rFonts w:hint="eastAsia" w:ascii="Times New Roman" w:hAnsi="Times New Roman" w:cs="Times New Roman"/>
                      <w:color w:val="auto"/>
                      <w:szCs w:val="21"/>
                      <w:lang w:val="en-US" w:eastAsia="zh-CN"/>
                    </w:rPr>
                    <w:t>前送料</w:t>
                  </w:r>
                  <w:r>
                    <w:rPr>
                      <w:rFonts w:hint="default" w:ascii="Times New Roman" w:hAnsi="Times New Roman" w:cs="Times New Roman"/>
                      <w:color w:val="auto"/>
                      <w:szCs w:val="21"/>
                      <w:lang w:val="en-US" w:eastAsia="zh-CN"/>
                    </w:rPr>
                    <w:t>剪板机</w:t>
                  </w:r>
                </w:p>
              </w:tc>
              <w:tc>
                <w:tcPr>
                  <w:tcW w:w="766" w:type="pct"/>
                  <w:noWrap w:val="0"/>
                  <w:vAlign w:val="center"/>
                </w:tcPr>
                <w:p w14:paraId="4165729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最大剪切厚度6mm，宽度3050mm</w:t>
                  </w:r>
                </w:p>
              </w:tc>
              <w:tc>
                <w:tcPr>
                  <w:tcW w:w="515" w:type="pct"/>
                  <w:noWrap w:val="0"/>
                  <w:vAlign w:val="center"/>
                </w:tcPr>
                <w:p w14:paraId="6E15D655">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p>
              </w:tc>
              <w:tc>
                <w:tcPr>
                  <w:tcW w:w="549" w:type="pct"/>
                  <w:noWrap w:val="0"/>
                  <w:vAlign w:val="center"/>
                </w:tcPr>
                <w:p w14:paraId="35E3507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w:t>
                  </w:r>
                </w:p>
              </w:tc>
              <w:tc>
                <w:tcPr>
                  <w:tcW w:w="491" w:type="pct"/>
                  <w:noWrap w:val="0"/>
                  <w:vAlign w:val="center"/>
                </w:tcPr>
                <w:p w14:paraId="1113B7E1">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006569A9">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767" w:type="pct"/>
                  <w:noWrap w:val="0"/>
                  <w:vAlign w:val="center"/>
                </w:tcPr>
                <w:p w14:paraId="503056A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020C60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5AFDF6B8">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7</w:t>
                  </w:r>
                </w:p>
              </w:tc>
              <w:tc>
                <w:tcPr>
                  <w:tcW w:w="1244" w:type="pct"/>
                  <w:noWrap w:val="0"/>
                  <w:vAlign w:val="center"/>
                </w:tcPr>
                <w:p w14:paraId="17C87C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数控液压闸式剪板机</w:t>
                  </w:r>
                </w:p>
              </w:tc>
              <w:tc>
                <w:tcPr>
                  <w:tcW w:w="766" w:type="pct"/>
                  <w:noWrap w:val="0"/>
                  <w:vAlign w:val="center"/>
                </w:tcPr>
                <w:p w14:paraId="1C807BE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515" w:type="pct"/>
                  <w:noWrap w:val="0"/>
                  <w:vAlign w:val="center"/>
                </w:tcPr>
                <w:p w14:paraId="7F38BD42">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49" w:type="pct"/>
                  <w:noWrap w:val="0"/>
                  <w:vAlign w:val="center"/>
                </w:tcPr>
                <w:p w14:paraId="7F183E85">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491" w:type="pct"/>
                  <w:noWrap w:val="0"/>
                  <w:vAlign w:val="center"/>
                </w:tcPr>
                <w:p w14:paraId="5F286DF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456E502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43D0C6F9">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1444FE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52801DC2">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w:t>
                  </w:r>
                </w:p>
              </w:tc>
              <w:tc>
                <w:tcPr>
                  <w:tcW w:w="1244" w:type="pct"/>
                  <w:noWrap w:val="0"/>
                  <w:vAlign w:val="center"/>
                </w:tcPr>
                <w:p w14:paraId="140F87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液压摆式剪板机</w:t>
                  </w:r>
                </w:p>
              </w:tc>
              <w:tc>
                <w:tcPr>
                  <w:tcW w:w="766" w:type="pct"/>
                  <w:noWrap w:val="0"/>
                  <w:vAlign w:val="center"/>
                </w:tcPr>
                <w:p w14:paraId="43208E57">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c>
                <w:tcPr>
                  <w:tcW w:w="515" w:type="pct"/>
                  <w:noWrap w:val="0"/>
                  <w:vAlign w:val="center"/>
                </w:tcPr>
                <w:p w14:paraId="16EFC98F">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49" w:type="pct"/>
                  <w:noWrap w:val="0"/>
                  <w:vAlign w:val="center"/>
                </w:tcPr>
                <w:p w14:paraId="277CF32C">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491" w:type="pct"/>
                  <w:noWrap w:val="0"/>
                  <w:vAlign w:val="center"/>
                </w:tcPr>
                <w:p w14:paraId="721AFB81">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25EDA91C">
                  <w:pPr>
                    <w:adjustRightInd w:val="0"/>
                    <w:snapToGrid w:val="0"/>
                    <w:jc w:val="center"/>
                    <w:rPr>
                      <w:rFonts w:hint="default" w:ascii="Times New Roman" w:hAnsi="Times New Roman" w:cs="Times New Roman"/>
                      <w:color w:val="auto"/>
                      <w:szCs w:val="21"/>
                    </w:rPr>
                  </w:pPr>
                </w:p>
              </w:tc>
              <w:tc>
                <w:tcPr>
                  <w:tcW w:w="767" w:type="pct"/>
                  <w:noWrap w:val="0"/>
                  <w:vAlign w:val="center"/>
                </w:tcPr>
                <w:p w14:paraId="789E917C">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511112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6BEB08C5">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9</w:t>
                  </w:r>
                </w:p>
              </w:tc>
              <w:tc>
                <w:tcPr>
                  <w:tcW w:w="1244" w:type="pct"/>
                  <w:noWrap w:val="0"/>
                  <w:vAlign w:val="center"/>
                </w:tcPr>
                <w:p w14:paraId="496EA7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剪板机</w:t>
                  </w:r>
                </w:p>
              </w:tc>
              <w:tc>
                <w:tcPr>
                  <w:tcW w:w="766" w:type="pct"/>
                  <w:noWrap w:val="0"/>
                  <w:vAlign w:val="center"/>
                </w:tcPr>
                <w:p w14:paraId="728AE23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515" w:type="pct"/>
                  <w:noWrap w:val="0"/>
                  <w:vAlign w:val="center"/>
                </w:tcPr>
                <w:p w14:paraId="29A36B71">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49" w:type="pct"/>
                  <w:noWrap w:val="0"/>
                  <w:vAlign w:val="center"/>
                </w:tcPr>
                <w:p w14:paraId="394D1BEF">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491" w:type="pct"/>
                  <w:noWrap w:val="0"/>
                  <w:vAlign w:val="center"/>
                </w:tcPr>
                <w:p w14:paraId="5179D402">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25C6FD8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47A515E9">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48C583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2FE564D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w:t>
                  </w:r>
                </w:p>
              </w:tc>
              <w:tc>
                <w:tcPr>
                  <w:tcW w:w="1244" w:type="pct"/>
                  <w:noWrap w:val="0"/>
                  <w:vAlign w:val="center"/>
                </w:tcPr>
                <w:p w14:paraId="095E58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铣床</w:t>
                  </w:r>
                </w:p>
              </w:tc>
              <w:tc>
                <w:tcPr>
                  <w:tcW w:w="766" w:type="pct"/>
                  <w:noWrap w:val="0"/>
                  <w:vAlign w:val="center"/>
                </w:tcPr>
                <w:p w14:paraId="3C1C21EA">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4.5</w:t>
                  </w:r>
                  <w:r>
                    <w:rPr>
                      <w:rFonts w:hint="eastAsia" w:cs="Times New Roman"/>
                      <w:color w:val="auto"/>
                      <w:kern w:val="2"/>
                      <w:sz w:val="21"/>
                      <w:szCs w:val="21"/>
                      <w:lang w:val="en-US" w:eastAsia="zh-CN" w:bidi="ar-SA"/>
                    </w:rPr>
                    <w:t>kW</w:t>
                  </w:r>
                </w:p>
              </w:tc>
              <w:tc>
                <w:tcPr>
                  <w:tcW w:w="515" w:type="pct"/>
                  <w:noWrap w:val="0"/>
                  <w:vAlign w:val="center"/>
                </w:tcPr>
                <w:p w14:paraId="7F3B14CA">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49" w:type="pct"/>
                  <w:noWrap w:val="0"/>
                  <w:vAlign w:val="center"/>
                </w:tcPr>
                <w:p w14:paraId="18159234">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491" w:type="pct"/>
                  <w:noWrap w:val="0"/>
                  <w:vAlign w:val="center"/>
                </w:tcPr>
                <w:p w14:paraId="7A2896A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410" w:type="pct"/>
                  <w:noWrap w:val="0"/>
                  <w:vAlign w:val="center"/>
                </w:tcPr>
                <w:p w14:paraId="65EFDB0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0A2BAD13">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182319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6526910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w:t>
                  </w:r>
                </w:p>
              </w:tc>
              <w:tc>
                <w:tcPr>
                  <w:tcW w:w="1244" w:type="pct"/>
                  <w:noWrap w:val="0"/>
                  <w:vAlign w:val="center"/>
                </w:tcPr>
                <w:p w14:paraId="6221B2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气动旋铆机</w:t>
                  </w:r>
                </w:p>
              </w:tc>
              <w:tc>
                <w:tcPr>
                  <w:tcW w:w="766" w:type="pct"/>
                  <w:noWrap w:val="0"/>
                  <w:vAlign w:val="center"/>
                </w:tcPr>
                <w:p w14:paraId="7F1E0CFB">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370w</w:t>
                  </w:r>
                </w:p>
              </w:tc>
              <w:tc>
                <w:tcPr>
                  <w:tcW w:w="515" w:type="pct"/>
                  <w:noWrap w:val="0"/>
                  <w:vAlign w:val="center"/>
                </w:tcPr>
                <w:p w14:paraId="7A03A5F0">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49" w:type="pct"/>
                  <w:noWrap w:val="0"/>
                  <w:vAlign w:val="center"/>
                </w:tcPr>
                <w:p w14:paraId="11EAD4B6">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491" w:type="pct"/>
                  <w:noWrap w:val="0"/>
                  <w:vAlign w:val="center"/>
                </w:tcPr>
                <w:p w14:paraId="4F585E0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410" w:type="pct"/>
                  <w:noWrap w:val="0"/>
                  <w:vAlign w:val="center"/>
                </w:tcPr>
                <w:p w14:paraId="7650082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19484013">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钻孔</w:t>
                  </w:r>
                </w:p>
              </w:tc>
            </w:tr>
            <w:tr w14:paraId="5EBE8D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2050B08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12</w:t>
                  </w:r>
                </w:p>
              </w:tc>
              <w:tc>
                <w:tcPr>
                  <w:tcW w:w="1244" w:type="pct"/>
                  <w:noWrap w:val="0"/>
                  <w:vAlign w:val="center"/>
                </w:tcPr>
                <w:p w14:paraId="401D96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数控</w:t>
                  </w:r>
                  <w:r>
                    <w:rPr>
                      <w:rFonts w:hint="eastAsia" w:ascii="Times New Roman" w:hAnsi="Times New Roman" w:cs="Times New Roman"/>
                      <w:color w:val="auto"/>
                      <w:szCs w:val="21"/>
                      <w:lang w:val="en-US" w:eastAsia="zh-CN"/>
                    </w:rPr>
                    <w:t>砖塔</w:t>
                  </w:r>
                  <w:r>
                    <w:rPr>
                      <w:rFonts w:hint="default" w:ascii="Times New Roman" w:hAnsi="Times New Roman" w:cs="Times New Roman"/>
                      <w:color w:val="auto"/>
                      <w:szCs w:val="21"/>
                      <w:lang w:val="en-US" w:eastAsia="zh-CN"/>
                    </w:rPr>
                    <w:t>冲床</w:t>
                  </w:r>
                </w:p>
              </w:tc>
              <w:tc>
                <w:tcPr>
                  <w:tcW w:w="766" w:type="pct"/>
                  <w:noWrap w:val="0"/>
                  <w:vAlign w:val="center"/>
                </w:tcPr>
                <w:p w14:paraId="6F9C3F1D">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515" w:type="pct"/>
                  <w:noWrap w:val="0"/>
                  <w:vAlign w:val="center"/>
                </w:tcPr>
                <w:p w14:paraId="694C839F">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49" w:type="pct"/>
                  <w:noWrap w:val="0"/>
                  <w:vAlign w:val="center"/>
                </w:tcPr>
                <w:p w14:paraId="4DDF059D">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491" w:type="pct"/>
                  <w:noWrap w:val="0"/>
                  <w:vAlign w:val="center"/>
                </w:tcPr>
                <w:p w14:paraId="1E429C2D">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0</w:t>
                  </w:r>
                </w:p>
              </w:tc>
              <w:tc>
                <w:tcPr>
                  <w:tcW w:w="410" w:type="pct"/>
                  <w:noWrap w:val="0"/>
                  <w:vAlign w:val="center"/>
                </w:tcPr>
                <w:p w14:paraId="4F124714">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767" w:type="pct"/>
                  <w:noWrap w:val="0"/>
                  <w:vAlign w:val="center"/>
                </w:tcPr>
                <w:p w14:paraId="77D1166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钻孔</w:t>
                  </w:r>
                </w:p>
              </w:tc>
            </w:tr>
            <w:tr w14:paraId="3A281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3E1CED58">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w:t>
                  </w:r>
                </w:p>
              </w:tc>
              <w:tc>
                <w:tcPr>
                  <w:tcW w:w="1244" w:type="pct"/>
                  <w:noWrap w:val="0"/>
                  <w:vAlign w:val="center"/>
                </w:tcPr>
                <w:p w14:paraId="34DE14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小冲床</w:t>
                  </w:r>
                </w:p>
              </w:tc>
              <w:tc>
                <w:tcPr>
                  <w:tcW w:w="766" w:type="pct"/>
                  <w:noWrap w:val="0"/>
                  <w:vAlign w:val="center"/>
                </w:tcPr>
                <w:p w14:paraId="3C69D03E">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7.5t</w:t>
                  </w:r>
                </w:p>
              </w:tc>
              <w:tc>
                <w:tcPr>
                  <w:tcW w:w="515" w:type="pct"/>
                  <w:noWrap w:val="0"/>
                  <w:vAlign w:val="center"/>
                </w:tcPr>
                <w:p w14:paraId="349074BF">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w:t>
                  </w:r>
                </w:p>
              </w:tc>
              <w:tc>
                <w:tcPr>
                  <w:tcW w:w="549" w:type="pct"/>
                  <w:noWrap w:val="0"/>
                  <w:vAlign w:val="center"/>
                </w:tcPr>
                <w:p w14:paraId="61261ADB">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w:t>
                  </w:r>
                </w:p>
              </w:tc>
              <w:tc>
                <w:tcPr>
                  <w:tcW w:w="491" w:type="pct"/>
                  <w:noWrap w:val="0"/>
                  <w:vAlign w:val="center"/>
                </w:tcPr>
                <w:p w14:paraId="21D04D0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0</w:t>
                  </w:r>
                </w:p>
              </w:tc>
              <w:tc>
                <w:tcPr>
                  <w:tcW w:w="410" w:type="pct"/>
                  <w:noWrap w:val="0"/>
                  <w:vAlign w:val="center"/>
                </w:tcPr>
                <w:p w14:paraId="09C48409">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767" w:type="pct"/>
                  <w:noWrap w:val="0"/>
                  <w:vAlign w:val="center"/>
                </w:tcPr>
                <w:p w14:paraId="0084A0B3">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钻孔</w:t>
                  </w:r>
                </w:p>
              </w:tc>
            </w:tr>
            <w:tr w14:paraId="733CE8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04F00FD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14</w:t>
                  </w:r>
                </w:p>
              </w:tc>
              <w:tc>
                <w:tcPr>
                  <w:tcW w:w="1244" w:type="pct"/>
                  <w:noWrap w:val="0"/>
                  <w:vAlign w:val="center"/>
                </w:tcPr>
                <w:p w14:paraId="5E0C47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小冲床</w:t>
                  </w:r>
                </w:p>
              </w:tc>
              <w:tc>
                <w:tcPr>
                  <w:tcW w:w="766" w:type="pct"/>
                  <w:noWrap w:val="0"/>
                  <w:vAlign w:val="center"/>
                </w:tcPr>
                <w:p w14:paraId="1E9E03DD">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15t</w:t>
                  </w:r>
                </w:p>
              </w:tc>
              <w:tc>
                <w:tcPr>
                  <w:tcW w:w="515" w:type="pct"/>
                  <w:noWrap w:val="0"/>
                  <w:vAlign w:val="center"/>
                </w:tcPr>
                <w:p w14:paraId="012CF4DB">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49" w:type="pct"/>
                  <w:noWrap w:val="0"/>
                  <w:vAlign w:val="center"/>
                </w:tcPr>
                <w:p w14:paraId="5958EA74">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491" w:type="pct"/>
                  <w:noWrap w:val="0"/>
                  <w:vAlign w:val="center"/>
                </w:tcPr>
                <w:p w14:paraId="0E2212D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0</w:t>
                  </w:r>
                </w:p>
              </w:tc>
              <w:tc>
                <w:tcPr>
                  <w:tcW w:w="410" w:type="pct"/>
                  <w:noWrap w:val="0"/>
                  <w:vAlign w:val="center"/>
                </w:tcPr>
                <w:p w14:paraId="245FAE9F">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767" w:type="pct"/>
                  <w:noWrap w:val="0"/>
                  <w:vAlign w:val="center"/>
                </w:tcPr>
                <w:p w14:paraId="0D254B9B">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钻孔</w:t>
                  </w:r>
                </w:p>
              </w:tc>
            </w:tr>
            <w:tr w14:paraId="234FFD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1341BFC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w:t>
                  </w:r>
                </w:p>
              </w:tc>
              <w:tc>
                <w:tcPr>
                  <w:tcW w:w="1244" w:type="pct"/>
                  <w:noWrap w:val="0"/>
                  <w:vAlign w:val="center"/>
                </w:tcPr>
                <w:p w14:paraId="1FBD35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台式钻床</w:t>
                  </w:r>
                </w:p>
              </w:tc>
              <w:tc>
                <w:tcPr>
                  <w:tcW w:w="766" w:type="pct"/>
                  <w:noWrap w:val="0"/>
                  <w:vAlign w:val="center"/>
                </w:tcPr>
                <w:p w14:paraId="0C068B7A">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0.75</w:t>
                  </w:r>
                  <w:r>
                    <w:rPr>
                      <w:rFonts w:hint="eastAsia" w:cs="Times New Roman"/>
                      <w:color w:val="auto"/>
                      <w:kern w:val="2"/>
                      <w:sz w:val="21"/>
                      <w:szCs w:val="21"/>
                      <w:lang w:val="en-US" w:eastAsia="zh-CN" w:bidi="ar-SA"/>
                    </w:rPr>
                    <w:t>kW</w:t>
                  </w:r>
                </w:p>
              </w:tc>
              <w:tc>
                <w:tcPr>
                  <w:tcW w:w="515" w:type="pct"/>
                  <w:noWrap w:val="0"/>
                  <w:vAlign w:val="center"/>
                </w:tcPr>
                <w:p w14:paraId="1B276A08">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18</w:t>
                  </w:r>
                </w:p>
              </w:tc>
              <w:tc>
                <w:tcPr>
                  <w:tcW w:w="549" w:type="pct"/>
                  <w:noWrap w:val="0"/>
                  <w:vAlign w:val="center"/>
                </w:tcPr>
                <w:p w14:paraId="1AB223D0">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18</w:t>
                  </w:r>
                </w:p>
              </w:tc>
              <w:tc>
                <w:tcPr>
                  <w:tcW w:w="491" w:type="pct"/>
                  <w:noWrap w:val="0"/>
                  <w:vAlign w:val="center"/>
                </w:tcPr>
                <w:p w14:paraId="3857253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410" w:type="pct"/>
                  <w:noWrap w:val="0"/>
                  <w:vAlign w:val="center"/>
                </w:tcPr>
                <w:p w14:paraId="753B655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1ECB94C0">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钻孔</w:t>
                  </w:r>
                </w:p>
              </w:tc>
            </w:tr>
            <w:tr w14:paraId="52160C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5389567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16</w:t>
                  </w:r>
                </w:p>
              </w:tc>
              <w:tc>
                <w:tcPr>
                  <w:tcW w:w="1244" w:type="pct"/>
                  <w:noWrap w:val="0"/>
                  <w:vAlign w:val="center"/>
                </w:tcPr>
                <w:p w14:paraId="2105EB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摇臂钻床</w:t>
                  </w:r>
                </w:p>
              </w:tc>
              <w:tc>
                <w:tcPr>
                  <w:tcW w:w="766" w:type="pct"/>
                  <w:noWrap w:val="0"/>
                  <w:vAlign w:val="center"/>
                </w:tcPr>
                <w:p w14:paraId="2F9CAA43">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3</w:t>
                  </w:r>
                  <w:r>
                    <w:rPr>
                      <w:rFonts w:hint="eastAsia" w:cs="Times New Roman"/>
                      <w:color w:val="auto"/>
                      <w:szCs w:val="21"/>
                      <w:lang w:val="en-US" w:eastAsia="zh-CN"/>
                    </w:rPr>
                    <w:t>kW</w:t>
                  </w:r>
                </w:p>
              </w:tc>
              <w:tc>
                <w:tcPr>
                  <w:tcW w:w="515" w:type="pct"/>
                  <w:noWrap w:val="0"/>
                  <w:vAlign w:val="center"/>
                </w:tcPr>
                <w:p w14:paraId="101D19B1">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49" w:type="pct"/>
                  <w:noWrap w:val="0"/>
                  <w:vAlign w:val="center"/>
                </w:tcPr>
                <w:p w14:paraId="01CE94BA">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491" w:type="pct"/>
                  <w:noWrap w:val="0"/>
                  <w:vAlign w:val="center"/>
                </w:tcPr>
                <w:p w14:paraId="6D4C4EA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410" w:type="pct"/>
                  <w:noWrap w:val="0"/>
                  <w:vAlign w:val="center"/>
                </w:tcPr>
                <w:p w14:paraId="5DC3AC4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2F986CC3">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钻孔</w:t>
                  </w:r>
                </w:p>
              </w:tc>
            </w:tr>
            <w:tr w14:paraId="25FD92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57A1462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17</w:t>
                  </w:r>
                </w:p>
              </w:tc>
              <w:tc>
                <w:tcPr>
                  <w:tcW w:w="1244" w:type="pct"/>
                  <w:noWrap w:val="0"/>
                  <w:vAlign w:val="center"/>
                </w:tcPr>
                <w:p w14:paraId="36570A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圆柱立式钻床</w:t>
                  </w:r>
                </w:p>
              </w:tc>
              <w:tc>
                <w:tcPr>
                  <w:tcW w:w="766" w:type="pct"/>
                  <w:noWrap w:val="0"/>
                  <w:vAlign w:val="center"/>
                </w:tcPr>
                <w:p w14:paraId="2E857E74">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1.38</w:t>
                  </w:r>
                  <w:r>
                    <w:rPr>
                      <w:rFonts w:hint="eastAsia" w:cs="Times New Roman"/>
                      <w:color w:val="auto"/>
                      <w:szCs w:val="21"/>
                      <w:lang w:val="en-US" w:eastAsia="zh-CN"/>
                    </w:rPr>
                    <w:t>kW</w:t>
                  </w:r>
                </w:p>
              </w:tc>
              <w:tc>
                <w:tcPr>
                  <w:tcW w:w="515" w:type="pct"/>
                  <w:noWrap w:val="0"/>
                  <w:vAlign w:val="center"/>
                </w:tcPr>
                <w:p w14:paraId="24F84806">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49" w:type="pct"/>
                  <w:noWrap w:val="0"/>
                  <w:vAlign w:val="center"/>
                </w:tcPr>
                <w:p w14:paraId="2E00845C">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491" w:type="pct"/>
                  <w:noWrap w:val="0"/>
                  <w:vAlign w:val="center"/>
                </w:tcPr>
                <w:p w14:paraId="19A2E74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410" w:type="pct"/>
                  <w:noWrap w:val="0"/>
                  <w:vAlign w:val="center"/>
                </w:tcPr>
                <w:p w14:paraId="2CF08C1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072FF9E2">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钻孔</w:t>
                  </w:r>
                </w:p>
              </w:tc>
            </w:tr>
            <w:tr w14:paraId="5AAE0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1957AD9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18</w:t>
                  </w:r>
                </w:p>
              </w:tc>
              <w:tc>
                <w:tcPr>
                  <w:tcW w:w="1244" w:type="pct"/>
                  <w:noWrap w:val="0"/>
                  <w:vAlign w:val="center"/>
                </w:tcPr>
                <w:p w14:paraId="416C33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数控液压板料折弯机</w:t>
                  </w:r>
                </w:p>
              </w:tc>
              <w:tc>
                <w:tcPr>
                  <w:tcW w:w="766" w:type="pct"/>
                  <w:noWrap w:val="0"/>
                  <w:vAlign w:val="center"/>
                </w:tcPr>
                <w:p w14:paraId="2C0DC2C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15</w:t>
                  </w:r>
                  <w:r>
                    <w:rPr>
                      <w:rFonts w:hint="eastAsia" w:cs="Times New Roman"/>
                      <w:color w:val="auto"/>
                      <w:szCs w:val="21"/>
                      <w:lang w:val="en-US" w:eastAsia="zh-CN"/>
                    </w:rPr>
                    <w:t>kW</w:t>
                  </w:r>
                </w:p>
              </w:tc>
              <w:tc>
                <w:tcPr>
                  <w:tcW w:w="515" w:type="pct"/>
                  <w:noWrap w:val="0"/>
                  <w:vAlign w:val="center"/>
                </w:tcPr>
                <w:p w14:paraId="68425C15">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49" w:type="pct"/>
                  <w:noWrap w:val="0"/>
                  <w:vAlign w:val="center"/>
                </w:tcPr>
                <w:p w14:paraId="35EE8DFE">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491" w:type="pct"/>
                  <w:noWrap w:val="0"/>
                  <w:vAlign w:val="center"/>
                </w:tcPr>
                <w:p w14:paraId="30ACE900">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45726E8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40D32AB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折弯</w:t>
                  </w:r>
                </w:p>
              </w:tc>
            </w:tr>
            <w:tr w14:paraId="2ACA8B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255" w:type="pct"/>
                  <w:noWrap w:val="0"/>
                  <w:vAlign w:val="center"/>
                </w:tcPr>
                <w:p w14:paraId="3116176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19</w:t>
                  </w:r>
                </w:p>
              </w:tc>
              <w:tc>
                <w:tcPr>
                  <w:tcW w:w="1244" w:type="pct"/>
                  <w:noWrap w:val="0"/>
                  <w:vAlign w:val="center"/>
                </w:tcPr>
                <w:p w14:paraId="1E3909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数控板料折弯机</w:t>
                  </w:r>
                </w:p>
              </w:tc>
              <w:tc>
                <w:tcPr>
                  <w:tcW w:w="766" w:type="pct"/>
                  <w:noWrap w:val="0"/>
                  <w:vAlign w:val="center"/>
                </w:tcPr>
                <w:p w14:paraId="0A52508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17</w:t>
                  </w:r>
                  <w:r>
                    <w:rPr>
                      <w:rFonts w:hint="eastAsia" w:cs="Times New Roman"/>
                      <w:color w:val="auto"/>
                      <w:szCs w:val="21"/>
                      <w:lang w:val="en-US" w:eastAsia="zh-CN"/>
                    </w:rPr>
                    <w:t>kW</w:t>
                  </w:r>
                </w:p>
              </w:tc>
              <w:tc>
                <w:tcPr>
                  <w:tcW w:w="515" w:type="pct"/>
                  <w:noWrap w:val="0"/>
                  <w:vAlign w:val="center"/>
                </w:tcPr>
                <w:p w14:paraId="131E5C55">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49" w:type="pct"/>
                  <w:noWrap w:val="0"/>
                  <w:vAlign w:val="center"/>
                </w:tcPr>
                <w:p w14:paraId="22EDE8ED">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491" w:type="pct"/>
                  <w:noWrap w:val="0"/>
                  <w:vAlign w:val="center"/>
                </w:tcPr>
                <w:p w14:paraId="386E3E83">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7DC16EB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6478A698">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折弯</w:t>
                  </w:r>
                </w:p>
              </w:tc>
            </w:tr>
            <w:tr w14:paraId="1BC92E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45F992B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20</w:t>
                  </w:r>
                </w:p>
              </w:tc>
              <w:tc>
                <w:tcPr>
                  <w:tcW w:w="1244" w:type="pct"/>
                  <w:noWrap w:val="0"/>
                  <w:vAlign w:val="center"/>
                </w:tcPr>
                <w:p w14:paraId="4E5BE7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液压折弯机</w:t>
                  </w:r>
                </w:p>
              </w:tc>
              <w:tc>
                <w:tcPr>
                  <w:tcW w:w="766" w:type="pct"/>
                  <w:noWrap w:val="0"/>
                  <w:vAlign w:val="center"/>
                </w:tcPr>
                <w:p w14:paraId="447E098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w:t>
                  </w:r>
                  <w:r>
                    <w:rPr>
                      <w:rFonts w:hint="eastAsia" w:cs="Times New Roman"/>
                      <w:color w:val="auto"/>
                      <w:szCs w:val="21"/>
                      <w:lang w:val="en-US" w:eastAsia="zh-CN"/>
                    </w:rPr>
                    <w:t>kW</w:t>
                  </w:r>
                </w:p>
              </w:tc>
              <w:tc>
                <w:tcPr>
                  <w:tcW w:w="515" w:type="pct"/>
                  <w:noWrap w:val="0"/>
                  <w:vAlign w:val="center"/>
                </w:tcPr>
                <w:p w14:paraId="78ADD7D2">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49" w:type="pct"/>
                  <w:noWrap w:val="0"/>
                  <w:vAlign w:val="center"/>
                </w:tcPr>
                <w:p w14:paraId="3233BDE2">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491" w:type="pct"/>
                  <w:noWrap w:val="0"/>
                  <w:vAlign w:val="center"/>
                </w:tcPr>
                <w:p w14:paraId="6A266ED1">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71D6351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1A43B7AB">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折弯</w:t>
                  </w:r>
                </w:p>
              </w:tc>
            </w:tr>
            <w:tr w14:paraId="55F276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33124B5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21</w:t>
                  </w:r>
                </w:p>
              </w:tc>
              <w:tc>
                <w:tcPr>
                  <w:tcW w:w="1244" w:type="pct"/>
                  <w:noWrap w:val="0"/>
                  <w:vAlign w:val="center"/>
                </w:tcPr>
                <w:p w14:paraId="7E86BC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数控折弯机</w:t>
                  </w:r>
                </w:p>
              </w:tc>
              <w:tc>
                <w:tcPr>
                  <w:tcW w:w="766" w:type="pct"/>
                  <w:noWrap w:val="0"/>
                  <w:vAlign w:val="center"/>
                </w:tcPr>
                <w:p w14:paraId="266B198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w:t>
                  </w:r>
                  <w:r>
                    <w:rPr>
                      <w:rFonts w:hint="eastAsia" w:cs="Times New Roman"/>
                      <w:color w:val="auto"/>
                      <w:szCs w:val="21"/>
                      <w:lang w:val="en-US" w:eastAsia="zh-CN"/>
                    </w:rPr>
                    <w:t>kW</w:t>
                  </w:r>
                </w:p>
              </w:tc>
              <w:tc>
                <w:tcPr>
                  <w:tcW w:w="515" w:type="pct"/>
                  <w:noWrap w:val="0"/>
                  <w:vAlign w:val="center"/>
                </w:tcPr>
                <w:p w14:paraId="0B18005F">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49" w:type="pct"/>
                  <w:noWrap w:val="0"/>
                  <w:vAlign w:val="center"/>
                </w:tcPr>
                <w:p w14:paraId="2C7EF1F4">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491" w:type="pct"/>
                  <w:noWrap w:val="0"/>
                  <w:vAlign w:val="center"/>
                </w:tcPr>
                <w:p w14:paraId="03E7E5EA">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3FB5583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2EBCF7BA">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折弯</w:t>
                  </w:r>
                </w:p>
              </w:tc>
            </w:tr>
            <w:tr w14:paraId="60D3E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7AA687A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22</w:t>
                  </w:r>
                </w:p>
              </w:tc>
              <w:tc>
                <w:tcPr>
                  <w:tcW w:w="1244" w:type="pct"/>
                  <w:noWrap w:val="0"/>
                  <w:vAlign w:val="center"/>
                </w:tcPr>
                <w:p w14:paraId="58C549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数控液压折弯机</w:t>
                  </w:r>
                </w:p>
              </w:tc>
              <w:tc>
                <w:tcPr>
                  <w:tcW w:w="766" w:type="pct"/>
                  <w:noWrap w:val="0"/>
                  <w:vAlign w:val="center"/>
                </w:tcPr>
                <w:p w14:paraId="046019F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515" w:type="pct"/>
                  <w:noWrap w:val="0"/>
                  <w:vAlign w:val="center"/>
                </w:tcPr>
                <w:p w14:paraId="26CE3373">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49" w:type="pct"/>
                  <w:noWrap w:val="0"/>
                  <w:vAlign w:val="center"/>
                </w:tcPr>
                <w:p w14:paraId="05CFA2BE">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491" w:type="pct"/>
                  <w:noWrap w:val="0"/>
                  <w:vAlign w:val="center"/>
                </w:tcPr>
                <w:p w14:paraId="4FAEA7D6">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71F1840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715FD8D4">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折弯</w:t>
                  </w:r>
                </w:p>
              </w:tc>
            </w:tr>
            <w:tr w14:paraId="1B4262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5" w:type="pct"/>
                  <w:noWrap w:val="0"/>
                  <w:vAlign w:val="center"/>
                </w:tcPr>
                <w:p w14:paraId="7B4728D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23</w:t>
                  </w:r>
                </w:p>
              </w:tc>
              <w:tc>
                <w:tcPr>
                  <w:tcW w:w="1244" w:type="pct"/>
                  <w:noWrap w:val="0"/>
                  <w:vAlign w:val="center"/>
                </w:tcPr>
                <w:p w14:paraId="770AE0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台式攻丝机</w:t>
                  </w:r>
                </w:p>
              </w:tc>
              <w:tc>
                <w:tcPr>
                  <w:tcW w:w="766" w:type="pct"/>
                  <w:noWrap w:val="0"/>
                  <w:vAlign w:val="center"/>
                </w:tcPr>
                <w:p w14:paraId="1A3AC8E8">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0.75</w:t>
                  </w:r>
                  <w:r>
                    <w:rPr>
                      <w:rFonts w:hint="eastAsia" w:cs="Times New Roman"/>
                      <w:color w:val="auto"/>
                      <w:kern w:val="2"/>
                      <w:sz w:val="21"/>
                      <w:szCs w:val="21"/>
                      <w:lang w:val="en-US" w:eastAsia="zh-CN" w:bidi="ar-SA"/>
                    </w:rPr>
                    <w:t>kW</w:t>
                  </w:r>
                </w:p>
              </w:tc>
              <w:tc>
                <w:tcPr>
                  <w:tcW w:w="515" w:type="pct"/>
                  <w:noWrap w:val="0"/>
                  <w:vAlign w:val="center"/>
                </w:tcPr>
                <w:p w14:paraId="37A1E312">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49" w:type="pct"/>
                  <w:noWrap w:val="0"/>
                  <w:vAlign w:val="center"/>
                </w:tcPr>
                <w:p w14:paraId="12BDA59A">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491" w:type="pct"/>
                  <w:noWrap w:val="0"/>
                  <w:vAlign w:val="center"/>
                </w:tcPr>
                <w:p w14:paraId="3ABDF5C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410" w:type="pct"/>
                  <w:noWrap w:val="0"/>
                  <w:vAlign w:val="center"/>
                </w:tcPr>
                <w:p w14:paraId="632CACF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04E3CDC1">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攻丝</w:t>
                  </w:r>
                </w:p>
              </w:tc>
            </w:tr>
            <w:tr w14:paraId="3D6AA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5" w:type="pct"/>
                  <w:noWrap w:val="0"/>
                  <w:vAlign w:val="center"/>
                </w:tcPr>
                <w:p w14:paraId="726ED36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24</w:t>
                  </w:r>
                </w:p>
              </w:tc>
              <w:tc>
                <w:tcPr>
                  <w:tcW w:w="1244" w:type="pct"/>
                  <w:noWrap w:val="0"/>
                  <w:vAlign w:val="center"/>
                </w:tcPr>
                <w:p w14:paraId="74970A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台式压力机</w:t>
                  </w:r>
                </w:p>
              </w:tc>
              <w:tc>
                <w:tcPr>
                  <w:tcW w:w="766" w:type="pct"/>
                  <w:noWrap w:val="0"/>
                  <w:vAlign w:val="center"/>
                </w:tcPr>
                <w:p w14:paraId="0C59963F">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18.5</w:t>
                  </w:r>
                  <w:r>
                    <w:rPr>
                      <w:rFonts w:hint="eastAsia" w:cs="Times New Roman"/>
                      <w:color w:val="auto"/>
                      <w:kern w:val="2"/>
                      <w:sz w:val="21"/>
                      <w:szCs w:val="21"/>
                      <w:lang w:val="en-US" w:eastAsia="zh-CN" w:bidi="ar-SA"/>
                    </w:rPr>
                    <w:t>kW</w:t>
                  </w:r>
                </w:p>
              </w:tc>
              <w:tc>
                <w:tcPr>
                  <w:tcW w:w="515" w:type="pct"/>
                  <w:noWrap w:val="0"/>
                  <w:vAlign w:val="center"/>
                </w:tcPr>
                <w:p w14:paraId="0C39A276">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549" w:type="pct"/>
                  <w:noWrap w:val="0"/>
                  <w:vAlign w:val="center"/>
                </w:tcPr>
                <w:p w14:paraId="682013D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p>
              </w:tc>
              <w:tc>
                <w:tcPr>
                  <w:tcW w:w="491" w:type="pct"/>
                  <w:noWrap w:val="0"/>
                  <w:vAlign w:val="center"/>
                </w:tcPr>
                <w:p w14:paraId="366AC11D">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0C1DE1B3">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台</w:t>
                  </w:r>
                </w:p>
              </w:tc>
              <w:tc>
                <w:tcPr>
                  <w:tcW w:w="767" w:type="pct"/>
                  <w:noWrap w:val="0"/>
                  <w:vAlign w:val="center"/>
                </w:tcPr>
                <w:p w14:paraId="5DE7BB8F">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整平</w:t>
                  </w:r>
                </w:p>
              </w:tc>
            </w:tr>
            <w:tr w14:paraId="4B13D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5" w:type="pct"/>
                  <w:noWrap w:val="0"/>
                  <w:vAlign w:val="center"/>
                </w:tcPr>
                <w:p w14:paraId="340A664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w:t>
                  </w:r>
                </w:p>
              </w:tc>
              <w:tc>
                <w:tcPr>
                  <w:tcW w:w="1244" w:type="pct"/>
                  <w:noWrap w:val="0"/>
                  <w:vAlign w:val="center"/>
                </w:tcPr>
                <w:p w14:paraId="54F6D6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台式压力机</w:t>
                  </w:r>
                </w:p>
              </w:tc>
              <w:tc>
                <w:tcPr>
                  <w:tcW w:w="766" w:type="pct"/>
                  <w:noWrap w:val="0"/>
                  <w:vAlign w:val="center"/>
                </w:tcPr>
                <w:p w14:paraId="387BA3EC">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15</w:t>
                  </w:r>
                </w:p>
              </w:tc>
              <w:tc>
                <w:tcPr>
                  <w:tcW w:w="515" w:type="pct"/>
                  <w:noWrap w:val="0"/>
                  <w:vAlign w:val="center"/>
                </w:tcPr>
                <w:p w14:paraId="1306B32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549" w:type="pct"/>
                  <w:noWrap w:val="0"/>
                  <w:vAlign w:val="center"/>
                </w:tcPr>
                <w:p w14:paraId="1990C4E6">
                  <w:pPr>
                    <w:adjustRightInd w:val="0"/>
                    <w:snapToGrid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1</w:t>
                  </w:r>
                </w:p>
              </w:tc>
              <w:tc>
                <w:tcPr>
                  <w:tcW w:w="491" w:type="pct"/>
                  <w:noWrap w:val="0"/>
                  <w:vAlign w:val="center"/>
                </w:tcPr>
                <w:p w14:paraId="509F3F83">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4DEAE5B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15D9F3FA">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整平</w:t>
                  </w:r>
                </w:p>
              </w:tc>
            </w:tr>
            <w:tr w14:paraId="7AD0A2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5" w:type="pct"/>
                  <w:noWrap w:val="0"/>
                  <w:vAlign w:val="center"/>
                </w:tcPr>
                <w:p w14:paraId="7CADC6E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w:t>
                  </w:r>
                </w:p>
              </w:tc>
              <w:tc>
                <w:tcPr>
                  <w:tcW w:w="1244" w:type="pct"/>
                  <w:noWrap w:val="0"/>
                  <w:vAlign w:val="center"/>
                </w:tcPr>
                <w:p w14:paraId="2D0F25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台式压力机</w:t>
                  </w:r>
                </w:p>
              </w:tc>
              <w:tc>
                <w:tcPr>
                  <w:tcW w:w="766" w:type="pct"/>
                  <w:noWrap w:val="0"/>
                  <w:vAlign w:val="center"/>
                </w:tcPr>
                <w:p w14:paraId="106C664A">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11</w:t>
                  </w:r>
                </w:p>
              </w:tc>
              <w:tc>
                <w:tcPr>
                  <w:tcW w:w="515" w:type="pct"/>
                  <w:noWrap w:val="0"/>
                  <w:vAlign w:val="center"/>
                </w:tcPr>
                <w:p w14:paraId="573BA7D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p>
              </w:tc>
              <w:tc>
                <w:tcPr>
                  <w:tcW w:w="549" w:type="pct"/>
                  <w:noWrap w:val="0"/>
                  <w:vAlign w:val="center"/>
                </w:tcPr>
                <w:p w14:paraId="2F2ABCBC">
                  <w:pPr>
                    <w:adjustRightInd w:val="0"/>
                    <w:snapToGrid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4</w:t>
                  </w:r>
                </w:p>
              </w:tc>
              <w:tc>
                <w:tcPr>
                  <w:tcW w:w="491" w:type="pct"/>
                  <w:noWrap w:val="0"/>
                  <w:vAlign w:val="center"/>
                </w:tcPr>
                <w:p w14:paraId="07239C9A">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1DC856D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29433E25">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整平</w:t>
                  </w:r>
                </w:p>
              </w:tc>
            </w:tr>
            <w:tr w14:paraId="4FD416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5" w:type="pct"/>
                  <w:noWrap w:val="0"/>
                  <w:vAlign w:val="center"/>
                </w:tcPr>
                <w:p w14:paraId="789AFAF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w:t>
                  </w:r>
                </w:p>
              </w:tc>
              <w:tc>
                <w:tcPr>
                  <w:tcW w:w="1244" w:type="pct"/>
                  <w:noWrap w:val="0"/>
                  <w:vAlign w:val="center"/>
                </w:tcPr>
                <w:p w14:paraId="592C45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台式压力机</w:t>
                  </w:r>
                </w:p>
              </w:tc>
              <w:tc>
                <w:tcPr>
                  <w:tcW w:w="766" w:type="pct"/>
                  <w:noWrap w:val="0"/>
                  <w:vAlign w:val="center"/>
                </w:tcPr>
                <w:p w14:paraId="454B3574">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7.5</w:t>
                  </w:r>
                </w:p>
              </w:tc>
              <w:tc>
                <w:tcPr>
                  <w:tcW w:w="515" w:type="pct"/>
                  <w:noWrap w:val="0"/>
                  <w:vAlign w:val="center"/>
                </w:tcPr>
                <w:p w14:paraId="229FC768">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549" w:type="pct"/>
                  <w:noWrap w:val="0"/>
                  <w:vAlign w:val="center"/>
                </w:tcPr>
                <w:p w14:paraId="783BBE8D">
                  <w:pPr>
                    <w:adjustRightInd w:val="0"/>
                    <w:snapToGrid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3</w:t>
                  </w:r>
                </w:p>
              </w:tc>
              <w:tc>
                <w:tcPr>
                  <w:tcW w:w="491" w:type="pct"/>
                  <w:noWrap w:val="0"/>
                  <w:vAlign w:val="center"/>
                </w:tcPr>
                <w:p w14:paraId="3E807327">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060C447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5AAA57F8">
                  <w:pPr>
                    <w:adjustRightInd w:val="0"/>
                    <w:snapToGrid w:val="0"/>
                    <w:jc w:val="center"/>
                    <w:rPr>
                      <w:rFonts w:hint="default"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整平</w:t>
                  </w:r>
                </w:p>
              </w:tc>
            </w:tr>
            <w:tr w14:paraId="7BAB9C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5" w:type="pct"/>
                  <w:noWrap w:val="0"/>
                  <w:vAlign w:val="center"/>
                </w:tcPr>
                <w:p w14:paraId="03479A3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28</w:t>
                  </w:r>
                </w:p>
              </w:tc>
              <w:tc>
                <w:tcPr>
                  <w:tcW w:w="1244" w:type="pct"/>
                  <w:noWrap w:val="0"/>
                  <w:vAlign w:val="center"/>
                </w:tcPr>
                <w:p w14:paraId="4A2A7F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台式压力机</w:t>
                  </w:r>
                </w:p>
              </w:tc>
              <w:tc>
                <w:tcPr>
                  <w:tcW w:w="766" w:type="pct"/>
                  <w:noWrap w:val="0"/>
                  <w:vAlign w:val="center"/>
                </w:tcPr>
                <w:p w14:paraId="5BB00D50">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5.5</w:t>
                  </w:r>
                </w:p>
              </w:tc>
              <w:tc>
                <w:tcPr>
                  <w:tcW w:w="515" w:type="pct"/>
                  <w:noWrap w:val="0"/>
                  <w:vAlign w:val="center"/>
                </w:tcPr>
                <w:p w14:paraId="6143E8B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549" w:type="pct"/>
                  <w:noWrap w:val="0"/>
                  <w:vAlign w:val="center"/>
                </w:tcPr>
                <w:p w14:paraId="6D6CAC21">
                  <w:pPr>
                    <w:adjustRightInd w:val="0"/>
                    <w:snapToGrid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1</w:t>
                  </w:r>
                </w:p>
              </w:tc>
              <w:tc>
                <w:tcPr>
                  <w:tcW w:w="491" w:type="pct"/>
                  <w:noWrap w:val="0"/>
                  <w:vAlign w:val="center"/>
                </w:tcPr>
                <w:p w14:paraId="085A2645">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599E151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4C385744">
                  <w:pPr>
                    <w:adjustRightInd w:val="0"/>
                    <w:snapToGrid w:val="0"/>
                    <w:jc w:val="center"/>
                    <w:rPr>
                      <w:rFonts w:hint="default"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整平</w:t>
                  </w:r>
                </w:p>
              </w:tc>
            </w:tr>
            <w:tr w14:paraId="4A6E0C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5" w:type="pct"/>
                  <w:noWrap w:val="0"/>
                  <w:vAlign w:val="center"/>
                </w:tcPr>
                <w:p w14:paraId="1F30057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29</w:t>
                  </w:r>
                </w:p>
              </w:tc>
              <w:tc>
                <w:tcPr>
                  <w:tcW w:w="1244" w:type="pct"/>
                  <w:noWrap w:val="0"/>
                  <w:vAlign w:val="center"/>
                </w:tcPr>
                <w:p w14:paraId="538022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开式可倾压力机</w:t>
                  </w:r>
                </w:p>
              </w:tc>
              <w:tc>
                <w:tcPr>
                  <w:tcW w:w="766" w:type="pct"/>
                  <w:noWrap w:val="0"/>
                  <w:vAlign w:val="center"/>
                </w:tcPr>
                <w:p w14:paraId="1B74AEB2">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w:t>
                  </w:r>
                  <w:r>
                    <w:rPr>
                      <w:rFonts w:hint="eastAsia" w:cs="Times New Roman"/>
                      <w:color w:val="auto"/>
                      <w:szCs w:val="21"/>
                      <w:lang w:val="en-US" w:eastAsia="zh-CN"/>
                    </w:rPr>
                    <w:t>kW</w:t>
                  </w:r>
                </w:p>
              </w:tc>
              <w:tc>
                <w:tcPr>
                  <w:tcW w:w="515" w:type="pct"/>
                  <w:noWrap w:val="0"/>
                  <w:vAlign w:val="center"/>
                </w:tcPr>
                <w:p w14:paraId="53DA27A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549" w:type="pct"/>
                  <w:noWrap w:val="0"/>
                  <w:vAlign w:val="center"/>
                </w:tcPr>
                <w:p w14:paraId="1CCB4C1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w:t>
                  </w:r>
                </w:p>
              </w:tc>
              <w:tc>
                <w:tcPr>
                  <w:tcW w:w="491" w:type="pct"/>
                  <w:noWrap w:val="0"/>
                  <w:vAlign w:val="center"/>
                </w:tcPr>
                <w:p w14:paraId="7F1FACA4">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10" w:type="pct"/>
                  <w:noWrap w:val="0"/>
                  <w:vAlign w:val="center"/>
                </w:tcPr>
                <w:p w14:paraId="17F846C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3E3903AE">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整平</w:t>
                  </w:r>
                </w:p>
              </w:tc>
            </w:tr>
            <w:tr w14:paraId="621FD9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5" w:type="pct"/>
                  <w:noWrap w:val="0"/>
                  <w:vAlign w:val="center"/>
                </w:tcPr>
                <w:p w14:paraId="29A3F27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w:t>
                  </w:r>
                </w:p>
              </w:tc>
              <w:tc>
                <w:tcPr>
                  <w:tcW w:w="1244" w:type="pct"/>
                  <w:noWrap w:val="0"/>
                  <w:vAlign w:val="center"/>
                </w:tcPr>
                <w:p w14:paraId="2512C9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校平机</w:t>
                  </w:r>
                </w:p>
              </w:tc>
              <w:tc>
                <w:tcPr>
                  <w:tcW w:w="766" w:type="pct"/>
                  <w:noWrap w:val="0"/>
                  <w:vAlign w:val="center"/>
                </w:tcPr>
                <w:p w14:paraId="62793B8F">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5.5</w:t>
                  </w:r>
                  <w:r>
                    <w:rPr>
                      <w:rFonts w:hint="eastAsia" w:cs="Times New Roman"/>
                      <w:color w:val="auto"/>
                      <w:kern w:val="2"/>
                      <w:sz w:val="21"/>
                      <w:szCs w:val="21"/>
                      <w:lang w:val="en-US" w:eastAsia="zh-CN" w:bidi="ar-SA"/>
                    </w:rPr>
                    <w:t>kW</w:t>
                  </w:r>
                </w:p>
              </w:tc>
              <w:tc>
                <w:tcPr>
                  <w:tcW w:w="515" w:type="pct"/>
                  <w:noWrap w:val="0"/>
                  <w:vAlign w:val="center"/>
                </w:tcPr>
                <w:p w14:paraId="5949030E">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49" w:type="pct"/>
                  <w:noWrap w:val="0"/>
                  <w:vAlign w:val="center"/>
                </w:tcPr>
                <w:p w14:paraId="6DF6D623">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491" w:type="pct"/>
                  <w:noWrap w:val="0"/>
                  <w:vAlign w:val="center"/>
                </w:tcPr>
                <w:p w14:paraId="1958D1F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410" w:type="pct"/>
                  <w:noWrap w:val="0"/>
                  <w:vAlign w:val="center"/>
                </w:tcPr>
                <w:p w14:paraId="79815ECC">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767" w:type="pct"/>
                  <w:noWrap w:val="0"/>
                  <w:vAlign w:val="center"/>
                </w:tcPr>
                <w:p w14:paraId="44489A5E">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整平</w:t>
                  </w:r>
                </w:p>
              </w:tc>
            </w:tr>
            <w:tr w14:paraId="6CF2E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5" w:type="pct"/>
                  <w:noWrap w:val="0"/>
                  <w:vAlign w:val="center"/>
                </w:tcPr>
                <w:p w14:paraId="5E1193A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31</w:t>
                  </w:r>
                </w:p>
              </w:tc>
              <w:tc>
                <w:tcPr>
                  <w:tcW w:w="1244" w:type="pct"/>
                  <w:noWrap w:val="0"/>
                  <w:vAlign w:val="center"/>
                </w:tcPr>
                <w:p w14:paraId="0DBD62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气体保护焊机</w:t>
                  </w:r>
                </w:p>
              </w:tc>
              <w:tc>
                <w:tcPr>
                  <w:tcW w:w="766" w:type="pct"/>
                  <w:noWrap w:val="0"/>
                  <w:vAlign w:val="center"/>
                </w:tcPr>
                <w:p w14:paraId="53BB252C">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5.5</w:t>
                  </w:r>
                  <w:r>
                    <w:rPr>
                      <w:rFonts w:hint="eastAsia" w:cs="Times New Roman"/>
                      <w:color w:val="auto"/>
                      <w:kern w:val="2"/>
                      <w:sz w:val="21"/>
                      <w:szCs w:val="21"/>
                      <w:lang w:val="en-US" w:eastAsia="zh-CN" w:bidi="ar-SA"/>
                    </w:rPr>
                    <w:t>kW</w:t>
                  </w:r>
                </w:p>
              </w:tc>
              <w:tc>
                <w:tcPr>
                  <w:tcW w:w="515" w:type="pct"/>
                  <w:noWrap w:val="0"/>
                  <w:vAlign w:val="center"/>
                </w:tcPr>
                <w:p w14:paraId="6446A66D">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549" w:type="pct"/>
                  <w:noWrap w:val="0"/>
                  <w:vAlign w:val="center"/>
                </w:tcPr>
                <w:p w14:paraId="603D8309">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w:t>
                  </w:r>
                </w:p>
              </w:tc>
              <w:tc>
                <w:tcPr>
                  <w:tcW w:w="491" w:type="pct"/>
                  <w:noWrap w:val="0"/>
                  <w:vAlign w:val="center"/>
                </w:tcPr>
                <w:p w14:paraId="4915E7B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w:t>
                  </w:r>
                </w:p>
              </w:tc>
              <w:tc>
                <w:tcPr>
                  <w:tcW w:w="410" w:type="pct"/>
                  <w:noWrap w:val="0"/>
                  <w:vAlign w:val="center"/>
                </w:tcPr>
                <w:p w14:paraId="0F679B34">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767" w:type="pct"/>
                  <w:noWrap w:val="0"/>
                  <w:vAlign w:val="center"/>
                </w:tcPr>
                <w:p w14:paraId="25847BEC">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焊接</w:t>
                  </w:r>
                </w:p>
              </w:tc>
            </w:tr>
            <w:tr w14:paraId="333AEE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5" w:type="pct"/>
                  <w:noWrap w:val="0"/>
                  <w:vAlign w:val="center"/>
                </w:tcPr>
                <w:p w14:paraId="5FAA500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32</w:t>
                  </w:r>
                </w:p>
              </w:tc>
              <w:tc>
                <w:tcPr>
                  <w:tcW w:w="1244" w:type="pct"/>
                  <w:noWrap w:val="0"/>
                  <w:vAlign w:val="center"/>
                </w:tcPr>
                <w:p w14:paraId="007FA9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氩弧焊机</w:t>
                  </w:r>
                </w:p>
              </w:tc>
              <w:tc>
                <w:tcPr>
                  <w:tcW w:w="766" w:type="pct"/>
                  <w:noWrap w:val="0"/>
                  <w:vAlign w:val="center"/>
                </w:tcPr>
                <w:p w14:paraId="535A9955">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3.5</w:t>
                  </w:r>
                  <w:r>
                    <w:rPr>
                      <w:rFonts w:hint="eastAsia" w:cs="Times New Roman"/>
                      <w:color w:val="auto"/>
                      <w:kern w:val="2"/>
                      <w:sz w:val="21"/>
                      <w:szCs w:val="21"/>
                      <w:lang w:val="en-US" w:eastAsia="zh-CN" w:bidi="ar-SA"/>
                    </w:rPr>
                    <w:t>kW</w:t>
                  </w:r>
                </w:p>
              </w:tc>
              <w:tc>
                <w:tcPr>
                  <w:tcW w:w="515" w:type="pct"/>
                  <w:noWrap w:val="0"/>
                  <w:vAlign w:val="center"/>
                </w:tcPr>
                <w:p w14:paraId="0F998617">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549" w:type="pct"/>
                  <w:noWrap w:val="0"/>
                  <w:vAlign w:val="center"/>
                </w:tcPr>
                <w:p w14:paraId="19F1A2BA">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491" w:type="pct"/>
                  <w:noWrap w:val="0"/>
                  <w:vAlign w:val="center"/>
                </w:tcPr>
                <w:p w14:paraId="09252EA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w:t>
                  </w:r>
                </w:p>
              </w:tc>
              <w:tc>
                <w:tcPr>
                  <w:tcW w:w="410" w:type="pct"/>
                  <w:noWrap w:val="0"/>
                  <w:vAlign w:val="center"/>
                </w:tcPr>
                <w:p w14:paraId="553E4936">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767" w:type="pct"/>
                  <w:noWrap w:val="0"/>
                  <w:vAlign w:val="center"/>
                </w:tcPr>
                <w:p w14:paraId="14A29F30">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焊接</w:t>
                  </w:r>
                </w:p>
              </w:tc>
            </w:tr>
            <w:tr w14:paraId="2CD17D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5" w:type="pct"/>
                  <w:noWrap w:val="0"/>
                  <w:vAlign w:val="center"/>
                </w:tcPr>
                <w:p w14:paraId="0EACC16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33</w:t>
                  </w:r>
                </w:p>
              </w:tc>
              <w:tc>
                <w:tcPr>
                  <w:tcW w:w="1244" w:type="pct"/>
                  <w:noWrap w:val="0"/>
                  <w:vAlign w:val="center"/>
                </w:tcPr>
                <w:p w14:paraId="66232E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螺柱焊机</w:t>
                  </w:r>
                </w:p>
              </w:tc>
              <w:tc>
                <w:tcPr>
                  <w:tcW w:w="766" w:type="pct"/>
                  <w:noWrap w:val="0"/>
                  <w:vAlign w:val="center"/>
                </w:tcPr>
                <w:p w14:paraId="6B108150">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15" w:type="pct"/>
                  <w:noWrap w:val="0"/>
                  <w:vAlign w:val="center"/>
                </w:tcPr>
                <w:p w14:paraId="61D2792F">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549" w:type="pct"/>
                  <w:noWrap w:val="0"/>
                  <w:vAlign w:val="center"/>
                </w:tcPr>
                <w:p w14:paraId="718B661F">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491" w:type="pct"/>
                  <w:noWrap w:val="0"/>
                  <w:vAlign w:val="center"/>
                </w:tcPr>
                <w:p w14:paraId="09C37D5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w:t>
                  </w:r>
                </w:p>
              </w:tc>
              <w:tc>
                <w:tcPr>
                  <w:tcW w:w="410" w:type="pct"/>
                  <w:noWrap w:val="0"/>
                  <w:vAlign w:val="center"/>
                </w:tcPr>
                <w:p w14:paraId="1409C13E">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767" w:type="pct"/>
                  <w:noWrap w:val="0"/>
                  <w:vAlign w:val="center"/>
                </w:tcPr>
                <w:p w14:paraId="0A3E5B7D">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焊接</w:t>
                  </w:r>
                </w:p>
              </w:tc>
            </w:tr>
            <w:tr w14:paraId="118991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5" w:type="pct"/>
                  <w:noWrap w:val="0"/>
                  <w:vAlign w:val="center"/>
                </w:tcPr>
                <w:p w14:paraId="21787968">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34</w:t>
                  </w:r>
                </w:p>
              </w:tc>
              <w:tc>
                <w:tcPr>
                  <w:tcW w:w="1244" w:type="pct"/>
                  <w:noWrap w:val="0"/>
                  <w:vAlign w:val="center"/>
                </w:tcPr>
                <w:p w14:paraId="49FC17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倒角机</w:t>
                  </w:r>
                </w:p>
              </w:tc>
              <w:tc>
                <w:tcPr>
                  <w:tcW w:w="766" w:type="pct"/>
                  <w:noWrap w:val="0"/>
                  <w:vAlign w:val="center"/>
                </w:tcPr>
                <w:p w14:paraId="1D6761BD">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7.5</w:t>
                  </w:r>
                  <w:r>
                    <w:rPr>
                      <w:rFonts w:hint="eastAsia" w:cs="Times New Roman"/>
                      <w:color w:val="auto"/>
                      <w:kern w:val="2"/>
                      <w:sz w:val="21"/>
                      <w:szCs w:val="21"/>
                      <w:lang w:val="en-US" w:eastAsia="zh-CN" w:bidi="ar-SA"/>
                    </w:rPr>
                    <w:t>kW</w:t>
                  </w:r>
                </w:p>
              </w:tc>
              <w:tc>
                <w:tcPr>
                  <w:tcW w:w="515" w:type="pct"/>
                  <w:noWrap w:val="0"/>
                  <w:vAlign w:val="center"/>
                </w:tcPr>
                <w:p w14:paraId="72A34E0C">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49" w:type="pct"/>
                  <w:noWrap w:val="0"/>
                  <w:vAlign w:val="center"/>
                </w:tcPr>
                <w:p w14:paraId="293207FF">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491" w:type="pct"/>
                  <w:noWrap w:val="0"/>
                  <w:vAlign w:val="center"/>
                </w:tcPr>
                <w:p w14:paraId="45F0C12C">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410" w:type="pct"/>
                  <w:noWrap w:val="0"/>
                  <w:vAlign w:val="center"/>
                </w:tcPr>
                <w:p w14:paraId="4ECE3DCB">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767" w:type="pct"/>
                  <w:noWrap w:val="0"/>
                  <w:vAlign w:val="center"/>
                </w:tcPr>
                <w:p w14:paraId="59F09D43">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表面处理</w:t>
                  </w:r>
                </w:p>
              </w:tc>
            </w:tr>
            <w:tr w14:paraId="57A94F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5" w:type="pct"/>
                  <w:noWrap w:val="0"/>
                  <w:vAlign w:val="center"/>
                </w:tcPr>
                <w:p w14:paraId="569453F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w:t>
                  </w:r>
                </w:p>
              </w:tc>
              <w:tc>
                <w:tcPr>
                  <w:tcW w:w="1244" w:type="pct"/>
                  <w:noWrap w:val="0"/>
                  <w:vAlign w:val="center"/>
                </w:tcPr>
                <w:p w14:paraId="379C2D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平面磨床</w:t>
                  </w:r>
                </w:p>
              </w:tc>
              <w:tc>
                <w:tcPr>
                  <w:tcW w:w="766" w:type="pct"/>
                  <w:noWrap w:val="0"/>
                  <w:vAlign w:val="center"/>
                </w:tcPr>
                <w:p w14:paraId="23C59984">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w:t>
                  </w:r>
                  <w:r>
                    <w:rPr>
                      <w:rFonts w:hint="eastAsia" w:cs="Times New Roman"/>
                      <w:color w:val="auto"/>
                      <w:kern w:val="2"/>
                      <w:sz w:val="21"/>
                      <w:szCs w:val="21"/>
                      <w:lang w:val="en-US" w:eastAsia="zh-CN" w:bidi="ar-SA"/>
                    </w:rPr>
                    <w:t>kW</w:t>
                  </w:r>
                </w:p>
              </w:tc>
              <w:tc>
                <w:tcPr>
                  <w:tcW w:w="515" w:type="pct"/>
                  <w:noWrap w:val="0"/>
                  <w:vAlign w:val="center"/>
                </w:tcPr>
                <w:p w14:paraId="4A38B1B6">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49" w:type="pct"/>
                  <w:noWrap w:val="0"/>
                  <w:vAlign w:val="center"/>
                </w:tcPr>
                <w:p w14:paraId="50B7DFA1">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491" w:type="pct"/>
                  <w:noWrap w:val="0"/>
                  <w:vAlign w:val="center"/>
                </w:tcPr>
                <w:p w14:paraId="356EC3F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410" w:type="pct"/>
                  <w:noWrap w:val="0"/>
                  <w:vAlign w:val="center"/>
                </w:tcPr>
                <w:p w14:paraId="776117B5">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767" w:type="pct"/>
                  <w:noWrap w:val="0"/>
                  <w:vAlign w:val="center"/>
                </w:tcPr>
                <w:p w14:paraId="56FC7CA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表面处理</w:t>
                  </w:r>
                </w:p>
              </w:tc>
            </w:tr>
            <w:tr w14:paraId="52781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noWrap w:val="0"/>
                  <w:vAlign w:val="center"/>
                </w:tcPr>
                <w:p w14:paraId="224AC54F">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36</w:t>
                  </w:r>
                </w:p>
              </w:tc>
              <w:tc>
                <w:tcPr>
                  <w:tcW w:w="1244" w:type="pct"/>
                  <w:noWrap w:val="0"/>
                  <w:vAlign w:val="center"/>
                </w:tcPr>
                <w:p w14:paraId="7FFDAE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台式砂轮机</w:t>
                  </w:r>
                </w:p>
              </w:tc>
              <w:tc>
                <w:tcPr>
                  <w:tcW w:w="766" w:type="pct"/>
                  <w:noWrap w:val="0"/>
                  <w:vAlign w:val="center"/>
                </w:tcPr>
                <w:p w14:paraId="6CD3AB23">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1.1</w:t>
                  </w:r>
                  <w:r>
                    <w:rPr>
                      <w:rFonts w:hint="eastAsia" w:cs="Times New Roman"/>
                      <w:color w:val="auto"/>
                      <w:kern w:val="2"/>
                      <w:sz w:val="21"/>
                      <w:szCs w:val="21"/>
                      <w:lang w:val="en-US" w:eastAsia="zh-CN" w:bidi="ar-SA"/>
                    </w:rPr>
                    <w:t>kW</w:t>
                  </w:r>
                </w:p>
              </w:tc>
              <w:tc>
                <w:tcPr>
                  <w:tcW w:w="515" w:type="pct"/>
                  <w:noWrap w:val="0"/>
                  <w:vAlign w:val="center"/>
                </w:tcPr>
                <w:p w14:paraId="28BAFE8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49" w:type="pct"/>
                  <w:noWrap w:val="0"/>
                  <w:vAlign w:val="center"/>
                </w:tcPr>
                <w:p w14:paraId="2DB23C62">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w:t>
                  </w:r>
                </w:p>
              </w:tc>
              <w:tc>
                <w:tcPr>
                  <w:tcW w:w="491" w:type="pct"/>
                  <w:noWrap w:val="0"/>
                  <w:vAlign w:val="center"/>
                </w:tcPr>
                <w:p w14:paraId="49656FB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410" w:type="pct"/>
                  <w:noWrap w:val="0"/>
                  <w:vAlign w:val="center"/>
                </w:tcPr>
                <w:p w14:paraId="068181DC">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767" w:type="pct"/>
                  <w:noWrap w:val="0"/>
                  <w:vAlign w:val="center"/>
                </w:tcPr>
                <w:p w14:paraId="79C5A0C8">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表面处理</w:t>
                  </w:r>
                </w:p>
              </w:tc>
            </w:tr>
            <w:tr w14:paraId="72DBC9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noWrap w:val="0"/>
                  <w:vAlign w:val="center"/>
                </w:tcPr>
                <w:p w14:paraId="3732DAD8">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37</w:t>
                  </w:r>
                </w:p>
              </w:tc>
              <w:tc>
                <w:tcPr>
                  <w:tcW w:w="1244" w:type="pct"/>
                  <w:noWrap w:val="0"/>
                  <w:vAlign w:val="center"/>
                </w:tcPr>
                <w:p w14:paraId="660A80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砂轮机</w:t>
                  </w:r>
                </w:p>
              </w:tc>
              <w:tc>
                <w:tcPr>
                  <w:tcW w:w="766" w:type="pct"/>
                  <w:noWrap w:val="0"/>
                  <w:vAlign w:val="center"/>
                </w:tcPr>
                <w:p w14:paraId="35251B75">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1.1</w:t>
                  </w:r>
                  <w:r>
                    <w:rPr>
                      <w:rFonts w:hint="eastAsia" w:cs="Times New Roman"/>
                      <w:color w:val="auto"/>
                      <w:kern w:val="2"/>
                      <w:sz w:val="21"/>
                      <w:szCs w:val="21"/>
                      <w:lang w:val="en-US" w:eastAsia="zh-CN" w:bidi="ar-SA"/>
                    </w:rPr>
                    <w:t>kW</w:t>
                  </w:r>
                </w:p>
              </w:tc>
              <w:tc>
                <w:tcPr>
                  <w:tcW w:w="515" w:type="pct"/>
                  <w:noWrap w:val="0"/>
                  <w:vAlign w:val="center"/>
                </w:tcPr>
                <w:p w14:paraId="532CA2A0">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49" w:type="pct"/>
                  <w:noWrap w:val="0"/>
                  <w:vAlign w:val="center"/>
                </w:tcPr>
                <w:p w14:paraId="7D9C8F05">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491" w:type="pct"/>
                  <w:noWrap w:val="0"/>
                  <w:vAlign w:val="center"/>
                </w:tcPr>
                <w:p w14:paraId="224D374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410" w:type="pct"/>
                  <w:noWrap w:val="0"/>
                  <w:vAlign w:val="center"/>
                </w:tcPr>
                <w:p w14:paraId="0E887331">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767" w:type="pct"/>
                  <w:noWrap w:val="0"/>
                  <w:vAlign w:val="center"/>
                </w:tcPr>
                <w:p w14:paraId="5F455EA6">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表面处理</w:t>
                  </w:r>
                </w:p>
              </w:tc>
            </w:tr>
            <w:tr w14:paraId="373973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noWrap w:val="0"/>
                  <w:vAlign w:val="center"/>
                </w:tcPr>
                <w:p w14:paraId="3402D748">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38</w:t>
                  </w:r>
                </w:p>
              </w:tc>
              <w:tc>
                <w:tcPr>
                  <w:tcW w:w="1244" w:type="pct"/>
                  <w:noWrap w:val="0"/>
                  <w:vAlign w:val="center"/>
                </w:tcPr>
                <w:p w14:paraId="2FE940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平面抛光机</w:t>
                  </w:r>
                </w:p>
              </w:tc>
              <w:tc>
                <w:tcPr>
                  <w:tcW w:w="766" w:type="pct"/>
                  <w:noWrap w:val="0"/>
                  <w:vAlign w:val="center"/>
                </w:tcPr>
                <w:p w14:paraId="4EEB44E2">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15" w:type="pct"/>
                  <w:noWrap w:val="0"/>
                  <w:vAlign w:val="center"/>
                </w:tcPr>
                <w:p w14:paraId="78D1AAE1">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49" w:type="pct"/>
                  <w:noWrap w:val="0"/>
                  <w:vAlign w:val="center"/>
                </w:tcPr>
                <w:p w14:paraId="46C04DEB">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491" w:type="pct"/>
                  <w:noWrap w:val="0"/>
                  <w:vAlign w:val="center"/>
                </w:tcPr>
                <w:p w14:paraId="31E05789">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410" w:type="pct"/>
                  <w:noWrap w:val="0"/>
                  <w:vAlign w:val="center"/>
                </w:tcPr>
                <w:p w14:paraId="5C1F46D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767" w:type="pct"/>
                  <w:noWrap w:val="0"/>
                  <w:vAlign w:val="center"/>
                </w:tcPr>
                <w:p w14:paraId="055F141D">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表面处理</w:t>
                  </w:r>
                </w:p>
              </w:tc>
            </w:tr>
            <w:tr w14:paraId="3B8F18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noWrap w:val="0"/>
                  <w:vAlign w:val="center"/>
                </w:tcPr>
                <w:p w14:paraId="305C5FB9">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39</w:t>
                  </w:r>
                </w:p>
              </w:tc>
              <w:tc>
                <w:tcPr>
                  <w:tcW w:w="1244" w:type="pct"/>
                  <w:noWrap w:val="0"/>
                  <w:vAlign w:val="center"/>
                </w:tcPr>
                <w:p w14:paraId="3C4335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圆柱抛光机</w:t>
                  </w:r>
                </w:p>
              </w:tc>
              <w:tc>
                <w:tcPr>
                  <w:tcW w:w="766" w:type="pct"/>
                  <w:noWrap w:val="0"/>
                  <w:vAlign w:val="center"/>
                </w:tcPr>
                <w:p w14:paraId="3BE2BC83">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15" w:type="pct"/>
                  <w:noWrap w:val="0"/>
                  <w:vAlign w:val="center"/>
                </w:tcPr>
                <w:p w14:paraId="6695F293">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49" w:type="pct"/>
                  <w:noWrap w:val="0"/>
                  <w:vAlign w:val="center"/>
                </w:tcPr>
                <w:p w14:paraId="42554386">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491" w:type="pct"/>
                  <w:noWrap w:val="0"/>
                  <w:vAlign w:val="center"/>
                </w:tcPr>
                <w:p w14:paraId="49800E2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410" w:type="pct"/>
                  <w:noWrap w:val="0"/>
                  <w:vAlign w:val="center"/>
                </w:tcPr>
                <w:p w14:paraId="61FB89ED">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台</w:t>
                  </w:r>
                </w:p>
              </w:tc>
              <w:tc>
                <w:tcPr>
                  <w:tcW w:w="767" w:type="pct"/>
                  <w:noWrap w:val="0"/>
                  <w:vAlign w:val="center"/>
                </w:tcPr>
                <w:p w14:paraId="106A3BD2">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kern w:val="2"/>
                      <w:sz w:val="21"/>
                      <w:szCs w:val="21"/>
                      <w:lang w:val="en-US" w:eastAsia="zh-CN" w:bidi="ar-SA"/>
                    </w:rPr>
                    <w:t>表面处理</w:t>
                  </w:r>
                </w:p>
              </w:tc>
            </w:tr>
            <w:tr w14:paraId="77480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noWrap w:val="0"/>
                  <w:vAlign w:val="center"/>
                </w:tcPr>
                <w:p w14:paraId="599FABDA">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40</w:t>
                  </w:r>
                </w:p>
              </w:tc>
              <w:tc>
                <w:tcPr>
                  <w:tcW w:w="1244" w:type="pct"/>
                  <w:noWrap w:val="0"/>
                  <w:vAlign w:val="center"/>
                </w:tcPr>
                <w:p w14:paraId="1AD7D6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履带式抛丸机</w:t>
                  </w:r>
                </w:p>
              </w:tc>
              <w:tc>
                <w:tcPr>
                  <w:tcW w:w="766" w:type="pct"/>
                  <w:noWrap w:val="0"/>
                  <w:vAlign w:val="center"/>
                </w:tcPr>
                <w:p w14:paraId="54FEFACC">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最大清理量200kg</w:t>
                  </w:r>
                </w:p>
              </w:tc>
              <w:tc>
                <w:tcPr>
                  <w:tcW w:w="515" w:type="pct"/>
                  <w:noWrap w:val="0"/>
                  <w:vAlign w:val="center"/>
                </w:tcPr>
                <w:p w14:paraId="77CE780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549" w:type="pct"/>
                  <w:noWrap w:val="0"/>
                  <w:vAlign w:val="center"/>
                </w:tcPr>
                <w:p w14:paraId="30C9F234">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2</w:t>
                  </w:r>
                </w:p>
              </w:tc>
              <w:tc>
                <w:tcPr>
                  <w:tcW w:w="491" w:type="pct"/>
                  <w:noWrap w:val="0"/>
                  <w:vAlign w:val="center"/>
                </w:tcPr>
                <w:p w14:paraId="189CB554">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410" w:type="pct"/>
                  <w:noWrap w:val="0"/>
                  <w:vAlign w:val="center"/>
                </w:tcPr>
                <w:p w14:paraId="1E59864E">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台</w:t>
                  </w:r>
                </w:p>
              </w:tc>
              <w:tc>
                <w:tcPr>
                  <w:tcW w:w="767" w:type="pct"/>
                  <w:noWrap w:val="0"/>
                  <w:vAlign w:val="center"/>
                </w:tcPr>
                <w:p w14:paraId="619A362A">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kern w:val="2"/>
                      <w:sz w:val="21"/>
                      <w:szCs w:val="21"/>
                      <w:lang w:val="en-US" w:eastAsia="zh-CN" w:bidi="ar-SA"/>
                    </w:rPr>
                    <w:t>配套袋式除尘器3500m³/h，24个布袋</w:t>
                  </w:r>
                </w:p>
              </w:tc>
            </w:tr>
            <w:tr w14:paraId="062A16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noWrap w:val="0"/>
                  <w:vAlign w:val="center"/>
                </w:tcPr>
                <w:p w14:paraId="74913B31">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41</w:t>
                  </w:r>
                </w:p>
              </w:tc>
              <w:tc>
                <w:tcPr>
                  <w:tcW w:w="1244" w:type="pct"/>
                  <w:noWrap w:val="0"/>
                  <w:vAlign w:val="center"/>
                </w:tcPr>
                <w:p w14:paraId="0BE6C0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吊钩式抛丸机</w:t>
                  </w:r>
                </w:p>
              </w:tc>
              <w:tc>
                <w:tcPr>
                  <w:tcW w:w="766" w:type="pct"/>
                  <w:noWrap w:val="0"/>
                  <w:vAlign w:val="center"/>
                </w:tcPr>
                <w:p w14:paraId="7455BC29">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50kW</w:t>
                  </w:r>
                </w:p>
              </w:tc>
              <w:tc>
                <w:tcPr>
                  <w:tcW w:w="515" w:type="pct"/>
                  <w:noWrap w:val="0"/>
                  <w:vAlign w:val="center"/>
                </w:tcPr>
                <w:p w14:paraId="642F6B5B">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549" w:type="pct"/>
                  <w:noWrap w:val="0"/>
                  <w:vAlign w:val="center"/>
                </w:tcPr>
                <w:p w14:paraId="527F440E">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491" w:type="pct"/>
                  <w:noWrap w:val="0"/>
                  <w:vAlign w:val="center"/>
                </w:tcPr>
                <w:p w14:paraId="54D1560B">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410" w:type="pct"/>
                  <w:noWrap w:val="0"/>
                  <w:vAlign w:val="center"/>
                </w:tcPr>
                <w:p w14:paraId="6B62B724">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台</w:t>
                  </w:r>
                </w:p>
              </w:tc>
              <w:tc>
                <w:tcPr>
                  <w:tcW w:w="767" w:type="pct"/>
                  <w:noWrap w:val="0"/>
                  <w:vAlign w:val="center"/>
                </w:tcPr>
                <w:p w14:paraId="5F367096">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kern w:val="2"/>
                      <w:sz w:val="21"/>
                      <w:szCs w:val="21"/>
                      <w:lang w:val="en-US" w:eastAsia="zh-CN" w:bidi="ar-SA"/>
                    </w:rPr>
                    <w:t>配套脉冲式滤筒除尘器10000m³/h，滤筒数量9件</w:t>
                  </w:r>
                </w:p>
              </w:tc>
            </w:tr>
            <w:tr w14:paraId="52E862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noWrap w:val="0"/>
                  <w:vAlign w:val="center"/>
                </w:tcPr>
                <w:p w14:paraId="7BC95728">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42</w:t>
                  </w:r>
                </w:p>
              </w:tc>
              <w:tc>
                <w:tcPr>
                  <w:tcW w:w="1244" w:type="pct"/>
                  <w:noWrap w:val="0"/>
                  <w:vAlign w:val="center"/>
                </w:tcPr>
                <w:p w14:paraId="047794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清洗设备</w:t>
                  </w:r>
                </w:p>
              </w:tc>
              <w:tc>
                <w:tcPr>
                  <w:tcW w:w="766" w:type="pct"/>
                  <w:noWrap w:val="0"/>
                  <w:vAlign w:val="center"/>
                </w:tcPr>
                <w:p w14:paraId="25618504">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515" w:type="pct"/>
                  <w:noWrap w:val="0"/>
                  <w:vAlign w:val="center"/>
                </w:tcPr>
                <w:p w14:paraId="2F2482E9">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w:t>
                  </w:r>
                </w:p>
              </w:tc>
              <w:tc>
                <w:tcPr>
                  <w:tcW w:w="549" w:type="pct"/>
                  <w:noWrap w:val="0"/>
                  <w:vAlign w:val="center"/>
                </w:tcPr>
                <w:p w14:paraId="366CF7C1">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w:t>
                  </w:r>
                </w:p>
              </w:tc>
              <w:tc>
                <w:tcPr>
                  <w:tcW w:w="491" w:type="pct"/>
                  <w:noWrap w:val="0"/>
                  <w:vAlign w:val="center"/>
                </w:tcPr>
                <w:p w14:paraId="1881823D">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w:t>
                  </w:r>
                </w:p>
              </w:tc>
              <w:tc>
                <w:tcPr>
                  <w:tcW w:w="410" w:type="pct"/>
                  <w:noWrap w:val="0"/>
                  <w:vAlign w:val="center"/>
                </w:tcPr>
                <w:p w14:paraId="7A4096EF">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套</w:t>
                  </w:r>
                </w:p>
              </w:tc>
              <w:tc>
                <w:tcPr>
                  <w:tcW w:w="767" w:type="pct"/>
                  <w:noWrap w:val="0"/>
                  <w:vAlign w:val="center"/>
                </w:tcPr>
                <w:p w14:paraId="35259C28">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工件清洗，廊道式</w:t>
                  </w:r>
                </w:p>
              </w:tc>
            </w:tr>
            <w:tr w14:paraId="793A4E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shd w:val="clear" w:color="auto" w:fill="auto"/>
                  <w:noWrap w:val="0"/>
                  <w:vAlign w:val="center"/>
                </w:tcPr>
                <w:p w14:paraId="1611ACD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43</w:t>
                  </w:r>
                </w:p>
              </w:tc>
              <w:tc>
                <w:tcPr>
                  <w:tcW w:w="1244" w:type="pct"/>
                  <w:noWrap w:val="0"/>
                  <w:vAlign w:val="center"/>
                </w:tcPr>
                <w:p w14:paraId="0FB752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烘干炉</w:t>
                  </w:r>
                  <w:r>
                    <w:rPr>
                      <w:rFonts w:hint="eastAsia" w:cs="Times New Roman"/>
                      <w:color w:val="auto"/>
                      <w:szCs w:val="21"/>
                      <w:lang w:val="en-US" w:eastAsia="zh-CN"/>
                    </w:rPr>
                    <w:t>（水分炉）</w:t>
                  </w:r>
                </w:p>
              </w:tc>
              <w:tc>
                <w:tcPr>
                  <w:tcW w:w="766" w:type="pct"/>
                  <w:noWrap w:val="0"/>
                  <w:vAlign w:val="center"/>
                </w:tcPr>
                <w:p w14:paraId="3B5959D1">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15" w:type="pct"/>
                  <w:noWrap w:val="0"/>
                  <w:vAlign w:val="center"/>
                </w:tcPr>
                <w:p w14:paraId="3DF51496">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549" w:type="pct"/>
                  <w:noWrap w:val="0"/>
                  <w:vAlign w:val="center"/>
                </w:tcPr>
                <w:p w14:paraId="72849224">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491" w:type="pct"/>
                  <w:noWrap w:val="0"/>
                  <w:vAlign w:val="center"/>
                </w:tcPr>
                <w:p w14:paraId="2463418D">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410" w:type="pct"/>
                  <w:noWrap w:val="0"/>
                  <w:vAlign w:val="center"/>
                </w:tcPr>
                <w:p w14:paraId="69BC970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47BD0D70">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烘干</w:t>
                  </w:r>
                  <w:r>
                    <w:rPr>
                      <w:rFonts w:hint="eastAsia" w:cs="Times New Roman"/>
                      <w:color w:val="auto"/>
                      <w:kern w:val="2"/>
                      <w:sz w:val="21"/>
                      <w:szCs w:val="21"/>
                      <w:lang w:val="en-US" w:eastAsia="zh-CN" w:bidi="ar-SA"/>
                    </w:rPr>
                    <w:t>，廊道式</w:t>
                  </w:r>
                </w:p>
              </w:tc>
            </w:tr>
            <w:tr w14:paraId="26164E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shd w:val="clear" w:color="auto" w:fill="auto"/>
                  <w:noWrap w:val="0"/>
                  <w:vAlign w:val="center"/>
                </w:tcPr>
                <w:p w14:paraId="663A6779">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44</w:t>
                  </w:r>
                </w:p>
              </w:tc>
              <w:tc>
                <w:tcPr>
                  <w:tcW w:w="1244" w:type="pct"/>
                  <w:noWrap w:val="0"/>
                  <w:vAlign w:val="center"/>
                </w:tcPr>
                <w:p w14:paraId="2ECBA1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喷粉房（流水线）</w:t>
                  </w:r>
                </w:p>
              </w:tc>
              <w:tc>
                <w:tcPr>
                  <w:tcW w:w="766" w:type="pct"/>
                  <w:noWrap w:val="0"/>
                  <w:vAlign w:val="center"/>
                </w:tcPr>
                <w:p w14:paraId="58777A2D">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515" w:type="pct"/>
                  <w:noWrap w:val="0"/>
                  <w:vAlign w:val="center"/>
                </w:tcPr>
                <w:p w14:paraId="0A90BF41">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w:t>
                  </w:r>
                </w:p>
              </w:tc>
              <w:tc>
                <w:tcPr>
                  <w:tcW w:w="549" w:type="pct"/>
                  <w:noWrap w:val="0"/>
                  <w:vAlign w:val="center"/>
                </w:tcPr>
                <w:p w14:paraId="4A041E8B">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w:t>
                  </w:r>
                </w:p>
              </w:tc>
              <w:tc>
                <w:tcPr>
                  <w:tcW w:w="491" w:type="pct"/>
                  <w:noWrap w:val="0"/>
                  <w:vAlign w:val="center"/>
                </w:tcPr>
                <w:p w14:paraId="18B1E45E">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w:t>
                  </w:r>
                </w:p>
              </w:tc>
              <w:tc>
                <w:tcPr>
                  <w:tcW w:w="410" w:type="pct"/>
                  <w:noWrap w:val="0"/>
                  <w:vAlign w:val="center"/>
                </w:tcPr>
                <w:p w14:paraId="62CA6349">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套</w:t>
                  </w:r>
                </w:p>
              </w:tc>
              <w:tc>
                <w:tcPr>
                  <w:tcW w:w="767" w:type="pct"/>
                  <w:noWrap w:val="0"/>
                  <w:vAlign w:val="center"/>
                </w:tcPr>
                <w:p w14:paraId="4B50BED9">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喷粉</w:t>
                  </w:r>
                </w:p>
              </w:tc>
            </w:tr>
            <w:tr w14:paraId="18D6D7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shd w:val="clear" w:color="auto" w:fill="auto"/>
                  <w:noWrap w:val="0"/>
                  <w:vAlign w:val="center"/>
                </w:tcPr>
                <w:p w14:paraId="2966A8DC">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244" w:type="pct"/>
                  <w:noWrap w:val="0"/>
                  <w:vAlign w:val="center"/>
                </w:tcPr>
                <w:p w14:paraId="1DC111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Cs w:val="21"/>
                      <w:lang w:val="en-US" w:eastAsia="zh-CN"/>
                    </w:rPr>
                  </w:pPr>
                  <w:r>
                    <w:rPr>
                      <w:rFonts w:hint="eastAsia" w:cs="Times New Roman"/>
                      <w:color w:val="auto"/>
                      <w:szCs w:val="21"/>
                      <w:lang w:val="en-US" w:eastAsia="zh-CN"/>
                    </w:rPr>
                    <w:t>喷粉房（独立）</w:t>
                  </w:r>
                </w:p>
              </w:tc>
              <w:tc>
                <w:tcPr>
                  <w:tcW w:w="766" w:type="pct"/>
                  <w:noWrap w:val="0"/>
                  <w:vAlign w:val="center"/>
                </w:tcPr>
                <w:p w14:paraId="22954F7A">
                  <w:pPr>
                    <w:adjustRightInd w:val="0"/>
                    <w:snapToGrid w:val="0"/>
                    <w:jc w:val="center"/>
                    <w:rPr>
                      <w:rFonts w:hint="eastAsia" w:cs="Times New Roman"/>
                      <w:color w:val="auto"/>
                      <w:kern w:val="2"/>
                      <w:sz w:val="21"/>
                      <w:szCs w:val="21"/>
                      <w:lang w:val="en-US" w:eastAsia="zh-CN" w:bidi="ar-SA"/>
                    </w:rPr>
                  </w:pPr>
                </w:p>
              </w:tc>
              <w:tc>
                <w:tcPr>
                  <w:tcW w:w="515" w:type="pct"/>
                  <w:noWrap w:val="0"/>
                  <w:vAlign w:val="center"/>
                </w:tcPr>
                <w:p w14:paraId="5102CD35">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w:t>
                  </w:r>
                </w:p>
              </w:tc>
              <w:tc>
                <w:tcPr>
                  <w:tcW w:w="549" w:type="pct"/>
                  <w:noWrap w:val="0"/>
                  <w:vAlign w:val="center"/>
                </w:tcPr>
                <w:p w14:paraId="74727872">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w:t>
                  </w:r>
                </w:p>
              </w:tc>
              <w:tc>
                <w:tcPr>
                  <w:tcW w:w="491" w:type="pct"/>
                  <w:noWrap w:val="0"/>
                  <w:vAlign w:val="center"/>
                </w:tcPr>
                <w:p w14:paraId="5A0546CE">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w:t>
                  </w:r>
                </w:p>
              </w:tc>
              <w:tc>
                <w:tcPr>
                  <w:tcW w:w="410" w:type="pct"/>
                  <w:shd w:val="clear" w:color="auto" w:fill="auto"/>
                  <w:noWrap w:val="0"/>
                  <w:vAlign w:val="center"/>
                </w:tcPr>
                <w:p w14:paraId="1ACDB40B">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套</w:t>
                  </w:r>
                </w:p>
              </w:tc>
              <w:tc>
                <w:tcPr>
                  <w:tcW w:w="767" w:type="pct"/>
                  <w:shd w:val="clear" w:color="auto" w:fill="auto"/>
                  <w:noWrap w:val="0"/>
                  <w:vAlign w:val="center"/>
                </w:tcPr>
                <w:p w14:paraId="798E0BB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喷粉</w:t>
                  </w:r>
                </w:p>
              </w:tc>
            </w:tr>
            <w:tr w14:paraId="64711A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shd w:val="clear" w:color="auto" w:fill="auto"/>
                  <w:noWrap w:val="0"/>
                  <w:vAlign w:val="center"/>
                </w:tcPr>
                <w:p w14:paraId="5AF25709">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46</w:t>
                  </w:r>
                </w:p>
              </w:tc>
              <w:tc>
                <w:tcPr>
                  <w:tcW w:w="1244" w:type="pct"/>
                  <w:noWrap w:val="0"/>
                  <w:vAlign w:val="center"/>
                </w:tcPr>
                <w:p w14:paraId="63BD28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固化炉</w:t>
                  </w:r>
                  <w:r>
                    <w:rPr>
                      <w:rFonts w:hint="eastAsia" w:cs="Times New Roman"/>
                      <w:color w:val="auto"/>
                      <w:szCs w:val="21"/>
                      <w:lang w:val="en-US" w:eastAsia="zh-CN"/>
                    </w:rPr>
                    <w:t>（流水线）</w:t>
                  </w:r>
                </w:p>
              </w:tc>
              <w:tc>
                <w:tcPr>
                  <w:tcW w:w="766" w:type="pct"/>
                  <w:noWrap w:val="0"/>
                  <w:vAlign w:val="center"/>
                </w:tcPr>
                <w:p w14:paraId="70F35CAF">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15" w:type="pct"/>
                  <w:noWrap w:val="0"/>
                  <w:vAlign w:val="center"/>
                </w:tcPr>
                <w:p w14:paraId="56ACBB00">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549" w:type="pct"/>
                  <w:noWrap w:val="0"/>
                  <w:vAlign w:val="center"/>
                </w:tcPr>
                <w:p w14:paraId="4AB6C3D2">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491" w:type="pct"/>
                  <w:noWrap w:val="0"/>
                  <w:vAlign w:val="center"/>
                </w:tcPr>
                <w:p w14:paraId="7EFAA8AF">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410" w:type="pct"/>
                  <w:noWrap w:val="0"/>
                  <w:vAlign w:val="center"/>
                </w:tcPr>
                <w:p w14:paraId="012EEBA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767" w:type="pct"/>
                  <w:noWrap w:val="0"/>
                  <w:vAlign w:val="center"/>
                </w:tcPr>
                <w:p w14:paraId="78B4084A">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固化</w:t>
                  </w:r>
                  <w:r>
                    <w:rPr>
                      <w:rFonts w:hint="eastAsia" w:cs="Times New Roman"/>
                      <w:color w:val="auto"/>
                      <w:kern w:val="2"/>
                      <w:sz w:val="21"/>
                      <w:szCs w:val="21"/>
                      <w:lang w:val="en-US" w:eastAsia="zh-CN" w:bidi="ar-SA"/>
                    </w:rPr>
                    <w:t>，廊道式</w:t>
                  </w:r>
                </w:p>
              </w:tc>
            </w:tr>
            <w:tr w14:paraId="38CCA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shd w:val="clear" w:color="auto" w:fill="auto"/>
                  <w:noWrap w:val="0"/>
                  <w:vAlign w:val="center"/>
                </w:tcPr>
                <w:p w14:paraId="0C18FBDC">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47</w:t>
                  </w:r>
                </w:p>
              </w:tc>
              <w:tc>
                <w:tcPr>
                  <w:tcW w:w="1244" w:type="pct"/>
                  <w:noWrap w:val="0"/>
                  <w:vAlign w:val="center"/>
                </w:tcPr>
                <w:p w14:paraId="2303F8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面包炉（独立）</w:t>
                  </w:r>
                </w:p>
              </w:tc>
              <w:tc>
                <w:tcPr>
                  <w:tcW w:w="766" w:type="pct"/>
                  <w:noWrap w:val="0"/>
                  <w:vAlign w:val="center"/>
                </w:tcPr>
                <w:p w14:paraId="37A8EF0B">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515" w:type="pct"/>
                  <w:shd w:val="clear" w:color="auto" w:fill="auto"/>
                  <w:noWrap w:val="0"/>
                  <w:vAlign w:val="center"/>
                </w:tcPr>
                <w:p w14:paraId="1A1FB5F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w:t>
                  </w:r>
                </w:p>
              </w:tc>
              <w:tc>
                <w:tcPr>
                  <w:tcW w:w="549" w:type="pct"/>
                  <w:shd w:val="clear" w:color="auto" w:fill="auto"/>
                  <w:noWrap w:val="0"/>
                  <w:vAlign w:val="center"/>
                </w:tcPr>
                <w:p w14:paraId="2AB9D05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w:t>
                  </w:r>
                </w:p>
              </w:tc>
              <w:tc>
                <w:tcPr>
                  <w:tcW w:w="491" w:type="pct"/>
                  <w:shd w:val="clear" w:color="auto" w:fill="auto"/>
                  <w:noWrap w:val="0"/>
                  <w:vAlign w:val="center"/>
                </w:tcPr>
                <w:p w14:paraId="4495D8F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w:t>
                  </w:r>
                </w:p>
              </w:tc>
              <w:tc>
                <w:tcPr>
                  <w:tcW w:w="410" w:type="pct"/>
                  <w:shd w:val="clear" w:color="auto" w:fill="auto"/>
                  <w:noWrap w:val="0"/>
                  <w:vAlign w:val="center"/>
                </w:tcPr>
                <w:p w14:paraId="55207F9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套</w:t>
                  </w:r>
                </w:p>
              </w:tc>
              <w:tc>
                <w:tcPr>
                  <w:tcW w:w="767" w:type="pct"/>
                  <w:noWrap w:val="0"/>
                  <w:vAlign w:val="center"/>
                </w:tcPr>
                <w:p w14:paraId="41E85C8D">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固化</w:t>
                  </w:r>
                </w:p>
              </w:tc>
            </w:tr>
            <w:tr w14:paraId="43B6D4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shd w:val="clear" w:color="auto" w:fill="auto"/>
                  <w:noWrap w:val="0"/>
                  <w:vAlign w:val="center"/>
                </w:tcPr>
                <w:p w14:paraId="614D59F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48</w:t>
                  </w:r>
                </w:p>
              </w:tc>
              <w:tc>
                <w:tcPr>
                  <w:tcW w:w="1244" w:type="pct"/>
                  <w:noWrap w:val="0"/>
                  <w:vAlign w:val="center"/>
                </w:tcPr>
                <w:p w14:paraId="14422A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空压机</w:t>
                  </w:r>
                </w:p>
              </w:tc>
              <w:tc>
                <w:tcPr>
                  <w:tcW w:w="766" w:type="pct"/>
                  <w:noWrap w:val="0"/>
                  <w:vAlign w:val="center"/>
                </w:tcPr>
                <w:p w14:paraId="6FAC9D65">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c>
                <w:tcPr>
                  <w:tcW w:w="515" w:type="pct"/>
                  <w:noWrap w:val="0"/>
                  <w:vAlign w:val="center"/>
                </w:tcPr>
                <w:p w14:paraId="2CAE01C4">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549" w:type="pct"/>
                  <w:noWrap w:val="0"/>
                  <w:vAlign w:val="center"/>
                </w:tcPr>
                <w:p w14:paraId="30F4AE11">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w:t>
                  </w:r>
                </w:p>
              </w:tc>
              <w:tc>
                <w:tcPr>
                  <w:tcW w:w="491" w:type="pct"/>
                  <w:noWrap w:val="0"/>
                  <w:vAlign w:val="center"/>
                </w:tcPr>
                <w:p w14:paraId="72AA7149">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w:t>
                  </w:r>
                </w:p>
              </w:tc>
              <w:tc>
                <w:tcPr>
                  <w:tcW w:w="410" w:type="pct"/>
                  <w:noWrap w:val="0"/>
                  <w:vAlign w:val="center"/>
                </w:tcPr>
                <w:p w14:paraId="4E0E58F7">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台</w:t>
                  </w:r>
                </w:p>
              </w:tc>
              <w:tc>
                <w:tcPr>
                  <w:tcW w:w="767" w:type="pct"/>
                  <w:noWrap w:val="0"/>
                  <w:vAlign w:val="center"/>
                </w:tcPr>
                <w:p w14:paraId="4AAA5A65">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辅助</w:t>
                  </w:r>
                </w:p>
              </w:tc>
            </w:tr>
            <w:tr w14:paraId="345A26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shd w:val="clear" w:color="auto" w:fill="auto"/>
                  <w:noWrap w:val="0"/>
                  <w:vAlign w:val="center"/>
                </w:tcPr>
                <w:p w14:paraId="66AA4CC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49</w:t>
                  </w:r>
                </w:p>
              </w:tc>
              <w:tc>
                <w:tcPr>
                  <w:tcW w:w="1244" w:type="pct"/>
                  <w:noWrap w:val="0"/>
                  <w:vAlign w:val="center"/>
                </w:tcPr>
                <w:p w14:paraId="6117E7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储气罐</w:t>
                  </w:r>
                </w:p>
              </w:tc>
              <w:tc>
                <w:tcPr>
                  <w:tcW w:w="766" w:type="pct"/>
                  <w:noWrap w:val="0"/>
                  <w:vAlign w:val="center"/>
                </w:tcPr>
                <w:p w14:paraId="74B9BAC3">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c>
                <w:tcPr>
                  <w:tcW w:w="515" w:type="pct"/>
                  <w:noWrap w:val="0"/>
                  <w:vAlign w:val="center"/>
                </w:tcPr>
                <w:p w14:paraId="3D460318">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49" w:type="pct"/>
                  <w:noWrap w:val="0"/>
                  <w:vAlign w:val="center"/>
                </w:tcPr>
                <w:p w14:paraId="09AF86F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w:t>
                  </w:r>
                </w:p>
              </w:tc>
              <w:tc>
                <w:tcPr>
                  <w:tcW w:w="491" w:type="pct"/>
                  <w:noWrap w:val="0"/>
                  <w:vAlign w:val="center"/>
                </w:tcPr>
                <w:p w14:paraId="30AFD87A">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410" w:type="pct"/>
                  <w:noWrap w:val="0"/>
                  <w:vAlign w:val="center"/>
                </w:tcPr>
                <w:p w14:paraId="659D7537">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台</w:t>
                  </w:r>
                </w:p>
              </w:tc>
              <w:tc>
                <w:tcPr>
                  <w:tcW w:w="767" w:type="pct"/>
                  <w:noWrap w:val="0"/>
                  <w:vAlign w:val="center"/>
                </w:tcPr>
                <w:p w14:paraId="02962028">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辅助</w:t>
                  </w:r>
                </w:p>
              </w:tc>
            </w:tr>
            <w:tr w14:paraId="2EB2F1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shd w:val="clear" w:color="auto" w:fill="auto"/>
                  <w:noWrap w:val="0"/>
                  <w:vAlign w:val="center"/>
                </w:tcPr>
                <w:p w14:paraId="0CDDB83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1244" w:type="pct"/>
                  <w:noWrap w:val="0"/>
                  <w:vAlign w:val="center"/>
                </w:tcPr>
                <w:p w14:paraId="3C7A56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干燥机</w:t>
                  </w:r>
                </w:p>
              </w:tc>
              <w:tc>
                <w:tcPr>
                  <w:tcW w:w="766" w:type="pct"/>
                  <w:noWrap w:val="0"/>
                  <w:vAlign w:val="center"/>
                </w:tcPr>
                <w:p w14:paraId="62F9FD9D">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10℃-300℃</w:t>
                  </w:r>
                </w:p>
              </w:tc>
              <w:tc>
                <w:tcPr>
                  <w:tcW w:w="515" w:type="pct"/>
                  <w:noWrap w:val="0"/>
                  <w:vAlign w:val="center"/>
                </w:tcPr>
                <w:p w14:paraId="61F5B4CD">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49" w:type="pct"/>
                  <w:noWrap w:val="0"/>
                  <w:vAlign w:val="center"/>
                </w:tcPr>
                <w:p w14:paraId="5B373868">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491" w:type="pct"/>
                  <w:noWrap w:val="0"/>
                  <w:vAlign w:val="center"/>
                </w:tcPr>
                <w:p w14:paraId="2FD11F43">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410" w:type="pct"/>
                  <w:noWrap w:val="0"/>
                  <w:vAlign w:val="center"/>
                </w:tcPr>
                <w:p w14:paraId="7E289772">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台</w:t>
                  </w:r>
                </w:p>
              </w:tc>
              <w:tc>
                <w:tcPr>
                  <w:tcW w:w="767" w:type="pct"/>
                  <w:noWrap w:val="0"/>
                  <w:vAlign w:val="center"/>
                </w:tcPr>
                <w:p w14:paraId="691758AA">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辅助</w:t>
                  </w:r>
                </w:p>
              </w:tc>
            </w:tr>
            <w:tr w14:paraId="3E191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shd w:val="clear" w:color="auto" w:fill="auto"/>
                  <w:noWrap w:val="0"/>
                  <w:vAlign w:val="center"/>
                </w:tcPr>
                <w:p w14:paraId="0FCA97A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51</w:t>
                  </w:r>
                </w:p>
              </w:tc>
              <w:tc>
                <w:tcPr>
                  <w:tcW w:w="1244" w:type="pct"/>
                  <w:noWrap w:val="0"/>
                  <w:vAlign w:val="center"/>
                </w:tcPr>
                <w:p w14:paraId="0D1A8B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喷塑机</w:t>
                  </w:r>
                </w:p>
              </w:tc>
              <w:tc>
                <w:tcPr>
                  <w:tcW w:w="766" w:type="pct"/>
                  <w:noWrap w:val="0"/>
                  <w:vAlign w:val="center"/>
                </w:tcPr>
                <w:p w14:paraId="014BAF7D">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w:t>
                  </w:r>
                </w:p>
              </w:tc>
              <w:tc>
                <w:tcPr>
                  <w:tcW w:w="515" w:type="pct"/>
                  <w:noWrap w:val="0"/>
                  <w:vAlign w:val="center"/>
                </w:tcPr>
                <w:p w14:paraId="196D624A">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549" w:type="pct"/>
                  <w:noWrap w:val="0"/>
                  <w:vAlign w:val="center"/>
                </w:tcPr>
                <w:p w14:paraId="5786B725">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491" w:type="pct"/>
                  <w:noWrap w:val="0"/>
                  <w:vAlign w:val="center"/>
                </w:tcPr>
                <w:p w14:paraId="4F37619F">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410" w:type="pct"/>
                  <w:noWrap w:val="0"/>
                  <w:vAlign w:val="center"/>
                </w:tcPr>
                <w:p w14:paraId="435F241E">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台</w:t>
                  </w:r>
                </w:p>
              </w:tc>
              <w:tc>
                <w:tcPr>
                  <w:tcW w:w="767" w:type="pct"/>
                  <w:noWrap w:val="0"/>
                  <w:vAlign w:val="center"/>
                </w:tcPr>
                <w:p w14:paraId="5295FE5A">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喷粉</w:t>
                  </w:r>
                </w:p>
              </w:tc>
            </w:tr>
            <w:tr w14:paraId="5F1183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5000" w:type="pct"/>
                  <w:gridSpan w:val="8"/>
                  <w:shd w:val="clear" w:color="auto" w:fill="auto"/>
                  <w:noWrap w:val="0"/>
                  <w:vAlign w:val="center"/>
                </w:tcPr>
                <w:p w14:paraId="0E2F3AFF">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环保治理设施</w:t>
                  </w:r>
                </w:p>
              </w:tc>
            </w:tr>
            <w:tr w14:paraId="52886B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shd w:val="clear" w:color="auto" w:fill="auto"/>
                  <w:noWrap w:val="0"/>
                  <w:vAlign w:val="center"/>
                </w:tcPr>
                <w:p w14:paraId="324E4855">
                  <w:pPr>
                    <w:adjustRightInd w:val="0"/>
                    <w:snapToGrid w:val="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1244" w:type="pct"/>
                  <w:noWrap w:val="0"/>
                  <w:vAlign w:val="center"/>
                </w:tcPr>
                <w:p w14:paraId="0ADEFF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袋式除尘器</w:t>
                  </w:r>
                </w:p>
              </w:tc>
              <w:tc>
                <w:tcPr>
                  <w:tcW w:w="766" w:type="pct"/>
                  <w:noWrap w:val="0"/>
                  <w:vAlign w:val="center"/>
                </w:tcPr>
                <w:p w14:paraId="476F3347">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10000</w:t>
                  </w:r>
                </w:p>
              </w:tc>
              <w:tc>
                <w:tcPr>
                  <w:tcW w:w="515" w:type="pct"/>
                  <w:noWrap w:val="0"/>
                  <w:vAlign w:val="center"/>
                </w:tcPr>
                <w:p w14:paraId="1B8E7DF8">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w:t>
                  </w:r>
                </w:p>
              </w:tc>
              <w:tc>
                <w:tcPr>
                  <w:tcW w:w="549" w:type="pct"/>
                  <w:noWrap w:val="0"/>
                  <w:vAlign w:val="center"/>
                </w:tcPr>
                <w:p w14:paraId="7C120A75">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w:t>
                  </w:r>
                </w:p>
              </w:tc>
              <w:tc>
                <w:tcPr>
                  <w:tcW w:w="491" w:type="pct"/>
                  <w:shd w:val="clear" w:color="auto" w:fill="auto"/>
                  <w:noWrap w:val="0"/>
                  <w:vAlign w:val="center"/>
                </w:tcPr>
                <w:p w14:paraId="7F6CFB5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w:t>
                  </w:r>
                </w:p>
              </w:tc>
              <w:tc>
                <w:tcPr>
                  <w:tcW w:w="410" w:type="pct"/>
                  <w:noWrap w:val="0"/>
                  <w:vAlign w:val="center"/>
                </w:tcPr>
                <w:p w14:paraId="1BBDD152">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套</w:t>
                  </w:r>
                </w:p>
              </w:tc>
              <w:tc>
                <w:tcPr>
                  <w:tcW w:w="767" w:type="pct"/>
                  <w:noWrap w:val="0"/>
                  <w:vAlign w:val="center"/>
                </w:tcPr>
                <w:p w14:paraId="28C3949C">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废气治理</w:t>
                  </w:r>
                </w:p>
              </w:tc>
            </w:tr>
            <w:tr w14:paraId="571B2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shd w:val="clear" w:color="auto" w:fill="auto"/>
                  <w:noWrap w:val="0"/>
                  <w:vAlign w:val="center"/>
                </w:tcPr>
                <w:p w14:paraId="073D15E2">
                  <w:pPr>
                    <w:adjustRightInd w:val="0"/>
                    <w:snapToGrid w:val="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244" w:type="pct"/>
                  <w:noWrap w:val="0"/>
                  <w:vAlign w:val="center"/>
                </w:tcPr>
                <w:p w14:paraId="7F85B4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大旋风除尘器</w:t>
                  </w:r>
                </w:p>
              </w:tc>
              <w:tc>
                <w:tcPr>
                  <w:tcW w:w="766" w:type="pct"/>
                  <w:noWrap w:val="0"/>
                  <w:vAlign w:val="center"/>
                </w:tcPr>
                <w:p w14:paraId="2C2BA13D">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15000</w:t>
                  </w:r>
                </w:p>
              </w:tc>
              <w:tc>
                <w:tcPr>
                  <w:tcW w:w="515" w:type="pct"/>
                  <w:noWrap w:val="0"/>
                  <w:vAlign w:val="center"/>
                </w:tcPr>
                <w:p w14:paraId="4FEB96D0">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w:t>
                  </w:r>
                </w:p>
              </w:tc>
              <w:tc>
                <w:tcPr>
                  <w:tcW w:w="549" w:type="pct"/>
                  <w:noWrap w:val="0"/>
                  <w:vAlign w:val="center"/>
                </w:tcPr>
                <w:p w14:paraId="62757E3D">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w:t>
                  </w:r>
                </w:p>
              </w:tc>
              <w:tc>
                <w:tcPr>
                  <w:tcW w:w="491" w:type="pct"/>
                  <w:shd w:val="clear" w:color="auto" w:fill="auto"/>
                  <w:noWrap w:val="0"/>
                  <w:vAlign w:val="center"/>
                </w:tcPr>
                <w:p w14:paraId="2585F1F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w:t>
                  </w:r>
                </w:p>
              </w:tc>
              <w:tc>
                <w:tcPr>
                  <w:tcW w:w="410" w:type="pct"/>
                  <w:noWrap w:val="0"/>
                  <w:vAlign w:val="center"/>
                </w:tcPr>
                <w:p w14:paraId="23ECC702">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套</w:t>
                  </w:r>
                </w:p>
              </w:tc>
              <w:tc>
                <w:tcPr>
                  <w:tcW w:w="767" w:type="pct"/>
                  <w:noWrap w:val="0"/>
                  <w:vAlign w:val="center"/>
                </w:tcPr>
                <w:p w14:paraId="22E97921">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废气治理</w:t>
                  </w:r>
                </w:p>
              </w:tc>
            </w:tr>
            <w:tr w14:paraId="121FF5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shd w:val="clear" w:color="auto" w:fill="auto"/>
                  <w:noWrap w:val="0"/>
                  <w:vAlign w:val="center"/>
                </w:tcPr>
                <w:p w14:paraId="3A50E112">
                  <w:pPr>
                    <w:adjustRightInd w:val="0"/>
                    <w:snapToGrid w:val="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1244" w:type="pct"/>
                  <w:noWrap w:val="0"/>
                  <w:vAlign w:val="center"/>
                </w:tcPr>
                <w:p w14:paraId="59CB32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二级活性炭箱</w:t>
                  </w:r>
                </w:p>
              </w:tc>
              <w:tc>
                <w:tcPr>
                  <w:tcW w:w="766" w:type="pct"/>
                  <w:noWrap w:val="0"/>
                  <w:vAlign w:val="center"/>
                </w:tcPr>
                <w:p w14:paraId="1646F0F6">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10000</w:t>
                  </w:r>
                </w:p>
              </w:tc>
              <w:tc>
                <w:tcPr>
                  <w:tcW w:w="515" w:type="pct"/>
                  <w:noWrap w:val="0"/>
                  <w:vAlign w:val="center"/>
                </w:tcPr>
                <w:p w14:paraId="52B2EAAB">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w:t>
                  </w:r>
                </w:p>
              </w:tc>
              <w:tc>
                <w:tcPr>
                  <w:tcW w:w="549" w:type="pct"/>
                  <w:noWrap w:val="0"/>
                  <w:vAlign w:val="center"/>
                </w:tcPr>
                <w:p w14:paraId="49EF606F">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w:t>
                  </w:r>
                </w:p>
              </w:tc>
              <w:tc>
                <w:tcPr>
                  <w:tcW w:w="491" w:type="pct"/>
                  <w:shd w:val="clear" w:color="auto" w:fill="auto"/>
                  <w:noWrap w:val="0"/>
                  <w:vAlign w:val="center"/>
                </w:tcPr>
                <w:p w14:paraId="1C20E94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w:t>
                  </w:r>
                </w:p>
              </w:tc>
              <w:tc>
                <w:tcPr>
                  <w:tcW w:w="410" w:type="pct"/>
                  <w:noWrap w:val="0"/>
                  <w:vAlign w:val="center"/>
                </w:tcPr>
                <w:p w14:paraId="5023443A">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套</w:t>
                  </w:r>
                </w:p>
              </w:tc>
              <w:tc>
                <w:tcPr>
                  <w:tcW w:w="767" w:type="pct"/>
                  <w:noWrap w:val="0"/>
                  <w:vAlign w:val="center"/>
                </w:tcPr>
                <w:p w14:paraId="000CE7A5">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废气治理</w:t>
                  </w:r>
                </w:p>
              </w:tc>
            </w:tr>
            <w:tr w14:paraId="7409D8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55" w:type="pct"/>
                  <w:shd w:val="clear" w:color="auto" w:fill="auto"/>
                  <w:noWrap w:val="0"/>
                  <w:vAlign w:val="center"/>
                </w:tcPr>
                <w:p w14:paraId="4E4D6F2C">
                  <w:pPr>
                    <w:adjustRightInd w:val="0"/>
                    <w:snapToGrid w:val="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1244" w:type="pct"/>
                  <w:noWrap w:val="0"/>
                  <w:vAlign w:val="center"/>
                </w:tcPr>
                <w:p w14:paraId="733C03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 New Roman"/>
                      <w:color w:val="auto"/>
                      <w:szCs w:val="21"/>
                      <w:lang w:val="en-US" w:eastAsia="zh-CN"/>
                    </w:rPr>
                  </w:pPr>
                  <w:r>
                    <w:rPr>
                      <w:rFonts w:hint="eastAsia" w:cs="Times New Roman"/>
                      <w:color w:val="auto"/>
                      <w:szCs w:val="21"/>
                      <w:lang w:val="en-US" w:eastAsia="zh-CN"/>
                    </w:rPr>
                    <w:t>污水处理设施</w:t>
                  </w:r>
                </w:p>
                <w:p w14:paraId="541C76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Cs w:val="21"/>
                      <w:lang w:val="en-US" w:eastAsia="zh-CN"/>
                    </w:rPr>
                  </w:pPr>
                  <w:r>
                    <w:rPr>
                      <w:rFonts w:hint="eastAsia" w:cs="Times New Roman"/>
                      <w:color w:val="auto"/>
                      <w:szCs w:val="21"/>
                      <w:lang w:val="en-US" w:eastAsia="zh-CN"/>
                    </w:rPr>
                    <w:t>（配套板框压滤机）</w:t>
                  </w:r>
                </w:p>
              </w:tc>
              <w:tc>
                <w:tcPr>
                  <w:tcW w:w="766" w:type="pct"/>
                  <w:noWrap w:val="0"/>
                  <w:vAlign w:val="center"/>
                </w:tcPr>
                <w:p w14:paraId="75092742">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1m³/h</w:t>
                  </w:r>
                </w:p>
              </w:tc>
              <w:tc>
                <w:tcPr>
                  <w:tcW w:w="515" w:type="pct"/>
                  <w:noWrap w:val="0"/>
                  <w:vAlign w:val="center"/>
                </w:tcPr>
                <w:p w14:paraId="765F42D8">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w:t>
                  </w:r>
                </w:p>
              </w:tc>
              <w:tc>
                <w:tcPr>
                  <w:tcW w:w="549" w:type="pct"/>
                  <w:noWrap w:val="0"/>
                  <w:vAlign w:val="center"/>
                </w:tcPr>
                <w:p w14:paraId="14A352F2">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w:t>
                  </w:r>
                </w:p>
              </w:tc>
              <w:tc>
                <w:tcPr>
                  <w:tcW w:w="491" w:type="pct"/>
                  <w:shd w:val="clear" w:color="auto" w:fill="auto"/>
                  <w:noWrap w:val="0"/>
                  <w:vAlign w:val="center"/>
                </w:tcPr>
                <w:p w14:paraId="68E4FA6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w:t>
                  </w:r>
                </w:p>
              </w:tc>
              <w:tc>
                <w:tcPr>
                  <w:tcW w:w="410" w:type="pct"/>
                  <w:noWrap w:val="0"/>
                  <w:vAlign w:val="center"/>
                </w:tcPr>
                <w:p w14:paraId="3BEC8310">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套</w:t>
                  </w:r>
                </w:p>
              </w:tc>
              <w:tc>
                <w:tcPr>
                  <w:tcW w:w="767" w:type="pct"/>
                  <w:noWrap w:val="0"/>
                  <w:vAlign w:val="center"/>
                </w:tcPr>
                <w:p w14:paraId="15AC3D38">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废水治理</w:t>
                  </w:r>
                </w:p>
              </w:tc>
            </w:tr>
          </w:tbl>
          <w:p w14:paraId="04C05F0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eastAsia="zh-CN"/>
              </w:rPr>
              <w:t>物料平衡见表</w:t>
            </w:r>
            <w:r>
              <w:rPr>
                <w:rFonts w:hint="default" w:ascii="Times New Roman" w:hAnsi="Times New Roman" w:cs="Times New Roman"/>
                <w:color w:val="auto"/>
                <w:sz w:val="24"/>
                <w:lang w:val="en-US" w:eastAsia="zh-CN"/>
              </w:rPr>
              <w:t>2-</w:t>
            </w:r>
            <w:r>
              <w:rPr>
                <w:rFonts w:hint="eastAsia" w:cs="Times New Roman"/>
                <w:color w:val="auto"/>
                <w:sz w:val="24"/>
                <w:lang w:val="en-US" w:eastAsia="zh-CN"/>
              </w:rPr>
              <w:t>6</w:t>
            </w:r>
            <w:r>
              <w:rPr>
                <w:rFonts w:hint="default" w:ascii="Times New Roman" w:hAnsi="Times New Roman" w:cs="Times New Roman"/>
                <w:color w:val="auto"/>
                <w:sz w:val="24"/>
              </w:rPr>
              <w:t>。</w:t>
            </w:r>
          </w:p>
          <w:p w14:paraId="18CBC35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1"/>
                <w:szCs w:val="21"/>
                <w:lang w:val="en-US" w:eastAsia="zh-CN"/>
              </w:rPr>
              <w:t>表2-</w:t>
            </w:r>
            <w:r>
              <w:rPr>
                <w:rFonts w:hint="eastAsia"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项目生产环节物料平衡表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1956"/>
              <w:gridCol w:w="1289"/>
              <w:gridCol w:w="1032"/>
              <w:gridCol w:w="1953"/>
              <w:gridCol w:w="1565"/>
            </w:tblGrid>
            <w:tr w14:paraId="5C001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7" w:type="pct"/>
                  <w:gridSpan w:val="3"/>
                  <w:tcBorders>
                    <w:tl2br w:val="nil"/>
                    <w:tr2bl w:val="nil"/>
                  </w:tcBorders>
                  <w:noWrap w:val="0"/>
                  <w:vAlign w:val="center"/>
                </w:tcPr>
                <w:p w14:paraId="091075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投入</w:t>
                  </w:r>
                  <w:r>
                    <w:rPr>
                      <w:rFonts w:hint="default" w:ascii="Times New Roman" w:hAnsi="Times New Roman" w:eastAsia="宋体" w:cs="Times New Roman"/>
                      <w:b/>
                      <w:bCs/>
                      <w:color w:val="auto"/>
                      <w:sz w:val="21"/>
                      <w:szCs w:val="21"/>
                      <w:highlight w:val="none"/>
                      <w:lang w:val="en-US" w:eastAsia="zh-CN"/>
                    </w:rPr>
                    <w:t>（单位：t/a）</w:t>
                  </w:r>
                </w:p>
              </w:tc>
              <w:tc>
                <w:tcPr>
                  <w:tcW w:w="2712" w:type="pct"/>
                  <w:gridSpan w:val="3"/>
                  <w:tcBorders>
                    <w:tl2br w:val="nil"/>
                    <w:tr2bl w:val="nil"/>
                  </w:tcBorders>
                  <w:noWrap w:val="0"/>
                  <w:vAlign w:val="center"/>
                </w:tcPr>
                <w:p w14:paraId="0A3098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产出</w:t>
                  </w:r>
                  <w:r>
                    <w:rPr>
                      <w:rFonts w:hint="default" w:ascii="Times New Roman" w:hAnsi="Times New Roman" w:eastAsia="宋体" w:cs="Times New Roman"/>
                      <w:b/>
                      <w:bCs/>
                      <w:color w:val="auto"/>
                      <w:sz w:val="21"/>
                      <w:szCs w:val="21"/>
                      <w:highlight w:val="none"/>
                      <w:lang w:val="en-US" w:eastAsia="zh-CN"/>
                    </w:rPr>
                    <w:t>（单位：t/a）</w:t>
                  </w:r>
                </w:p>
              </w:tc>
            </w:tr>
            <w:tr w14:paraId="024492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l2br w:val="nil"/>
                    <w:tr2bl w:val="nil"/>
                  </w:tcBorders>
                  <w:noWrap w:val="0"/>
                  <w:vAlign w:val="center"/>
                </w:tcPr>
                <w:p w14:paraId="2699D2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166" w:type="pct"/>
                  <w:tcBorders>
                    <w:tl2br w:val="nil"/>
                    <w:tr2bl w:val="nil"/>
                  </w:tcBorders>
                  <w:noWrap w:val="0"/>
                  <w:vAlign w:val="center"/>
                </w:tcPr>
                <w:p w14:paraId="5AAEAA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钢板</w:t>
                  </w:r>
                </w:p>
              </w:tc>
              <w:tc>
                <w:tcPr>
                  <w:tcW w:w="768" w:type="pct"/>
                  <w:tcBorders>
                    <w:tl2br w:val="nil"/>
                    <w:tr2bl w:val="nil"/>
                  </w:tcBorders>
                  <w:noWrap w:val="0"/>
                  <w:vAlign w:val="center"/>
                </w:tcPr>
                <w:p w14:paraId="3708F5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800</w:t>
                  </w:r>
                </w:p>
              </w:tc>
              <w:tc>
                <w:tcPr>
                  <w:tcW w:w="615" w:type="pct"/>
                  <w:tcBorders>
                    <w:tl2br w:val="nil"/>
                    <w:tr2bl w:val="nil"/>
                  </w:tcBorders>
                  <w:noWrap w:val="0"/>
                  <w:vAlign w:val="center"/>
                </w:tcPr>
                <w:p w14:paraId="356C70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163" w:type="pct"/>
                  <w:tcBorders>
                    <w:tl2br w:val="nil"/>
                    <w:tr2bl w:val="nil"/>
                  </w:tcBorders>
                  <w:noWrap w:val="0"/>
                  <w:vAlign w:val="center"/>
                </w:tcPr>
                <w:p w14:paraId="23889A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废边角料、金属屑</w:t>
                  </w:r>
                </w:p>
              </w:tc>
              <w:tc>
                <w:tcPr>
                  <w:tcW w:w="933" w:type="pct"/>
                  <w:tcBorders>
                    <w:tl2br w:val="nil"/>
                    <w:tr2bl w:val="nil"/>
                  </w:tcBorders>
                  <w:noWrap w:val="0"/>
                  <w:vAlign w:val="center"/>
                </w:tcPr>
                <w:p w14:paraId="731F66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0.802</w:t>
                  </w:r>
                </w:p>
              </w:tc>
            </w:tr>
            <w:tr w14:paraId="68A07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l2br w:val="nil"/>
                    <w:tr2bl w:val="nil"/>
                  </w:tcBorders>
                  <w:noWrap w:val="0"/>
                  <w:vAlign w:val="center"/>
                </w:tcPr>
                <w:p w14:paraId="386527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166" w:type="pct"/>
                  <w:tcBorders>
                    <w:tl2br w:val="nil"/>
                    <w:tr2bl w:val="nil"/>
                  </w:tcBorders>
                  <w:noWrap w:val="0"/>
                  <w:vAlign w:val="center"/>
                </w:tcPr>
                <w:p w14:paraId="3EA915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铝板</w:t>
                  </w:r>
                </w:p>
              </w:tc>
              <w:tc>
                <w:tcPr>
                  <w:tcW w:w="768" w:type="pct"/>
                  <w:tcBorders>
                    <w:tl2br w:val="nil"/>
                    <w:tr2bl w:val="nil"/>
                  </w:tcBorders>
                  <w:noWrap w:val="0"/>
                  <w:vAlign w:val="center"/>
                </w:tcPr>
                <w:p w14:paraId="195022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615" w:type="pct"/>
                  <w:tcBorders>
                    <w:tl2br w:val="nil"/>
                    <w:tr2bl w:val="nil"/>
                  </w:tcBorders>
                  <w:noWrap w:val="0"/>
                  <w:vAlign w:val="center"/>
                </w:tcPr>
                <w:p w14:paraId="7E8539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1163" w:type="pct"/>
                  <w:tcBorders>
                    <w:tl2br w:val="nil"/>
                    <w:tr2bl w:val="nil"/>
                  </w:tcBorders>
                  <w:shd w:val="clear" w:color="auto" w:fill="auto"/>
                  <w:noWrap w:val="0"/>
                  <w:vAlign w:val="center"/>
                </w:tcPr>
                <w:p w14:paraId="322761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粉尘产量</w:t>
                  </w:r>
                </w:p>
              </w:tc>
              <w:tc>
                <w:tcPr>
                  <w:tcW w:w="933" w:type="pct"/>
                  <w:tcBorders>
                    <w:tl2br w:val="nil"/>
                    <w:tr2bl w:val="nil"/>
                  </w:tcBorders>
                  <w:shd w:val="clear" w:color="auto" w:fill="auto"/>
                  <w:noWrap w:val="0"/>
                  <w:vAlign w:val="center"/>
                </w:tcPr>
                <w:p w14:paraId="2309EF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2.11</w:t>
                  </w:r>
                </w:p>
              </w:tc>
            </w:tr>
            <w:tr w14:paraId="41FDB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l2br w:val="nil"/>
                    <w:tr2bl w:val="nil"/>
                  </w:tcBorders>
                  <w:noWrap w:val="0"/>
                  <w:vAlign w:val="center"/>
                </w:tcPr>
                <w:p w14:paraId="7435B1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166" w:type="pct"/>
                  <w:tcBorders>
                    <w:tl2br w:val="nil"/>
                    <w:tr2bl w:val="nil"/>
                  </w:tcBorders>
                  <w:noWrap w:val="0"/>
                  <w:vAlign w:val="center"/>
                </w:tcPr>
                <w:p w14:paraId="09B7C0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塑粉</w:t>
                  </w:r>
                </w:p>
              </w:tc>
              <w:tc>
                <w:tcPr>
                  <w:tcW w:w="768" w:type="pct"/>
                  <w:tcBorders>
                    <w:tl2br w:val="nil"/>
                    <w:tr2bl w:val="nil"/>
                  </w:tcBorders>
                  <w:noWrap w:val="0"/>
                  <w:vAlign w:val="center"/>
                </w:tcPr>
                <w:p w14:paraId="34A705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615" w:type="pct"/>
                  <w:tcBorders>
                    <w:tl2br w:val="nil"/>
                    <w:tr2bl w:val="nil"/>
                  </w:tcBorders>
                  <w:noWrap w:val="0"/>
                  <w:vAlign w:val="center"/>
                </w:tcPr>
                <w:p w14:paraId="334F80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1163" w:type="pct"/>
                  <w:tcBorders>
                    <w:tl2br w:val="nil"/>
                    <w:tr2bl w:val="nil"/>
                  </w:tcBorders>
                  <w:noWrap w:val="0"/>
                  <w:vAlign w:val="center"/>
                </w:tcPr>
                <w:p w14:paraId="4A4B3F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废粉</w:t>
                  </w:r>
                </w:p>
              </w:tc>
              <w:tc>
                <w:tcPr>
                  <w:tcW w:w="933" w:type="pct"/>
                  <w:tcBorders>
                    <w:tl2br w:val="nil"/>
                    <w:tr2bl w:val="nil"/>
                  </w:tcBorders>
                  <w:noWrap w:val="0"/>
                  <w:vAlign w:val="center"/>
                </w:tcPr>
                <w:p w14:paraId="77A614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0.12</w:t>
                  </w:r>
                </w:p>
              </w:tc>
            </w:tr>
            <w:tr w14:paraId="76D86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l2br w:val="nil"/>
                    <w:tr2bl w:val="nil"/>
                  </w:tcBorders>
                  <w:noWrap w:val="0"/>
                  <w:vAlign w:val="center"/>
                </w:tcPr>
                <w:p w14:paraId="057DDD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166" w:type="pct"/>
                  <w:tcBorders>
                    <w:tl2br w:val="nil"/>
                    <w:tr2bl w:val="nil"/>
                  </w:tcBorders>
                  <w:noWrap w:val="0"/>
                  <w:vAlign w:val="center"/>
                </w:tcPr>
                <w:p w14:paraId="010A9A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768" w:type="pct"/>
                  <w:tcBorders>
                    <w:tl2br w:val="nil"/>
                    <w:tr2bl w:val="nil"/>
                  </w:tcBorders>
                  <w:noWrap w:val="0"/>
                  <w:vAlign w:val="center"/>
                </w:tcPr>
                <w:p w14:paraId="208386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615" w:type="pct"/>
                  <w:tcBorders>
                    <w:tl2br w:val="nil"/>
                    <w:tr2bl w:val="nil"/>
                  </w:tcBorders>
                  <w:noWrap w:val="0"/>
                  <w:vAlign w:val="center"/>
                </w:tcPr>
                <w:p w14:paraId="1496CE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1163" w:type="pct"/>
                  <w:tcBorders>
                    <w:tl2br w:val="nil"/>
                    <w:tr2bl w:val="nil"/>
                  </w:tcBorders>
                  <w:shd w:val="clear" w:color="auto" w:fill="auto"/>
                  <w:noWrap w:val="0"/>
                  <w:vAlign w:val="center"/>
                </w:tcPr>
                <w:p w14:paraId="672F08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挥发性有机物</w:t>
                  </w:r>
                </w:p>
              </w:tc>
              <w:tc>
                <w:tcPr>
                  <w:tcW w:w="933" w:type="pct"/>
                  <w:tcBorders>
                    <w:tl2br w:val="nil"/>
                    <w:tr2bl w:val="nil"/>
                  </w:tcBorders>
                  <w:shd w:val="clear" w:color="auto" w:fill="auto"/>
                  <w:noWrap w:val="0"/>
                  <w:vAlign w:val="center"/>
                </w:tcPr>
                <w:p w14:paraId="2954CE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0.37</w:t>
                  </w:r>
                </w:p>
              </w:tc>
            </w:tr>
            <w:tr w14:paraId="73DDB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l2br w:val="nil"/>
                    <w:tr2bl w:val="nil"/>
                  </w:tcBorders>
                  <w:noWrap w:val="0"/>
                  <w:vAlign w:val="center"/>
                </w:tcPr>
                <w:p w14:paraId="1E8274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166" w:type="pct"/>
                  <w:tcBorders>
                    <w:tl2br w:val="nil"/>
                    <w:tr2bl w:val="nil"/>
                  </w:tcBorders>
                  <w:noWrap w:val="0"/>
                  <w:vAlign w:val="center"/>
                </w:tcPr>
                <w:p w14:paraId="26A1B6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768" w:type="pct"/>
                  <w:tcBorders>
                    <w:tl2br w:val="nil"/>
                    <w:tr2bl w:val="nil"/>
                  </w:tcBorders>
                  <w:noWrap w:val="0"/>
                  <w:vAlign w:val="center"/>
                </w:tcPr>
                <w:p w14:paraId="106A5B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615" w:type="pct"/>
                  <w:tcBorders>
                    <w:tl2br w:val="nil"/>
                    <w:tr2bl w:val="nil"/>
                  </w:tcBorders>
                  <w:noWrap w:val="0"/>
                  <w:vAlign w:val="center"/>
                </w:tcPr>
                <w:p w14:paraId="26AD89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c>
                <w:tcPr>
                  <w:tcW w:w="1163" w:type="pct"/>
                  <w:tcBorders>
                    <w:tl2br w:val="nil"/>
                    <w:tr2bl w:val="nil"/>
                  </w:tcBorders>
                  <w:noWrap w:val="0"/>
                  <w:vAlign w:val="center"/>
                </w:tcPr>
                <w:p w14:paraId="5C4A75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产品</w:t>
                  </w:r>
                </w:p>
              </w:tc>
              <w:tc>
                <w:tcPr>
                  <w:tcW w:w="933" w:type="pct"/>
                  <w:tcBorders>
                    <w:tl2br w:val="nil"/>
                    <w:tr2bl w:val="nil"/>
                  </w:tcBorders>
                  <w:noWrap w:val="0"/>
                  <w:vAlign w:val="center"/>
                </w:tcPr>
                <w:p w14:paraId="3ADE20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806.598</w:t>
                  </w:r>
                </w:p>
              </w:tc>
            </w:tr>
            <w:tr w14:paraId="21491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9" w:type="pct"/>
                  <w:gridSpan w:val="2"/>
                  <w:tcBorders>
                    <w:tl2br w:val="nil"/>
                    <w:tr2bl w:val="nil"/>
                  </w:tcBorders>
                  <w:noWrap w:val="0"/>
                  <w:vAlign w:val="center"/>
                </w:tcPr>
                <w:p w14:paraId="67500C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合计</w:t>
                  </w:r>
                </w:p>
              </w:tc>
              <w:tc>
                <w:tcPr>
                  <w:tcW w:w="768" w:type="pct"/>
                  <w:tcBorders>
                    <w:tl2br w:val="nil"/>
                    <w:tr2bl w:val="nil"/>
                  </w:tcBorders>
                  <w:noWrap w:val="0"/>
                  <w:vAlign w:val="center"/>
                </w:tcPr>
                <w:p w14:paraId="09C505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810</w:t>
                  </w:r>
                </w:p>
              </w:tc>
              <w:tc>
                <w:tcPr>
                  <w:tcW w:w="1779" w:type="pct"/>
                  <w:gridSpan w:val="2"/>
                  <w:tcBorders>
                    <w:tl2br w:val="nil"/>
                    <w:tr2bl w:val="nil"/>
                  </w:tcBorders>
                  <w:noWrap w:val="0"/>
                  <w:vAlign w:val="center"/>
                </w:tcPr>
                <w:p w14:paraId="192BBB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合计</w:t>
                  </w:r>
                </w:p>
              </w:tc>
              <w:tc>
                <w:tcPr>
                  <w:tcW w:w="933" w:type="pct"/>
                  <w:tcBorders>
                    <w:tl2br w:val="nil"/>
                    <w:tr2bl w:val="nil"/>
                  </w:tcBorders>
                  <w:noWrap w:val="0"/>
                  <w:vAlign w:val="center"/>
                </w:tcPr>
                <w:p w14:paraId="2EB94F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810</w:t>
                  </w:r>
                </w:p>
              </w:tc>
            </w:tr>
          </w:tbl>
          <w:p w14:paraId="023F7BAC">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lang w:val="en-US" w:eastAsia="zh-CN"/>
              </w:rPr>
              <w:t>水平衡分析</w:t>
            </w:r>
          </w:p>
          <w:p w14:paraId="56D061C4">
            <w:pPr>
              <w:widowControl/>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（1）供水</w:t>
            </w:r>
          </w:p>
          <w:p w14:paraId="619A3D0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项目区供水由供水管网供给，本项目</w:t>
            </w:r>
            <w:r>
              <w:rPr>
                <w:rFonts w:hint="eastAsia" w:ascii="Times New Roman" w:hAnsi="Times New Roman" w:cs="Times New Roman"/>
                <w:color w:val="auto"/>
                <w:sz w:val="24"/>
                <w:lang w:val="en-US" w:eastAsia="zh-CN"/>
              </w:rPr>
              <w:t>不新增劳动定员，无生活用水，生产</w:t>
            </w:r>
            <w:r>
              <w:rPr>
                <w:rFonts w:hint="default" w:ascii="Times New Roman" w:hAnsi="Times New Roman" w:cs="Times New Roman"/>
                <w:color w:val="auto"/>
                <w:sz w:val="24"/>
              </w:rPr>
              <w:t>用水主要为</w:t>
            </w:r>
            <w:r>
              <w:rPr>
                <w:rFonts w:hint="eastAsia" w:ascii="Times New Roman" w:hAnsi="Times New Roman" w:cs="Times New Roman"/>
                <w:color w:val="auto"/>
                <w:sz w:val="24"/>
                <w:lang w:val="en-US" w:eastAsia="zh-CN"/>
              </w:rPr>
              <w:t>喷塑生产线</w:t>
            </w:r>
            <w:r>
              <w:rPr>
                <w:rFonts w:hint="eastAsia" w:cs="Times New Roman"/>
                <w:color w:val="auto"/>
                <w:sz w:val="24"/>
                <w:lang w:val="en-US" w:eastAsia="zh-CN"/>
              </w:rPr>
              <w:t>工件</w:t>
            </w:r>
            <w:r>
              <w:rPr>
                <w:rFonts w:hint="eastAsia" w:ascii="Times New Roman" w:hAnsi="Times New Roman" w:cs="Times New Roman"/>
                <w:color w:val="auto"/>
                <w:sz w:val="24"/>
                <w:lang w:val="en-US" w:eastAsia="zh-CN"/>
              </w:rPr>
              <w:t>清洗用水</w:t>
            </w:r>
            <w:r>
              <w:rPr>
                <w:rFonts w:hint="default" w:ascii="Times New Roman" w:hAnsi="Times New Roman" w:cs="Times New Roman"/>
                <w:color w:val="auto"/>
                <w:sz w:val="24"/>
              </w:rPr>
              <w:t>。</w:t>
            </w:r>
          </w:p>
          <w:p w14:paraId="1D71A6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lang w:val="en-US"/>
              </w:rPr>
            </w:pP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喷塑生产线</w:t>
            </w:r>
            <w:r>
              <w:rPr>
                <w:rFonts w:hint="eastAsia" w:cs="Times New Roman"/>
                <w:color w:val="auto"/>
                <w:sz w:val="24"/>
                <w:lang w:val="en-US" w:eastAsia="zh-CN"/>
              </w:rPr>
              <w:t>工件</w:t>
            </w:r>
            <w:r>
              <w:rPr>
                <w:rFonts w:hint="eastAsia" w:ascii="Times New Roman" w:hAnsi="Times New Roman" w:cs="Times New Roman"/>
                <w:color w:val="auto"/>
                <w:sz w:val="24"/>
                <w:lang w:val="en-US" w:eastAsia="zh-CN"/>
              </w:rPr>
              <w:t>清洗用水</w:t>
            </w:r>
          </w:p>
          <w:p w14:paraId="45B192A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s="Times New Roman"/>
                <w:color w:val="auto"/>
                <w:sz w:val="24"/>
                <w:lang w:val="en-US" w:eastAsia="zh-CN"/>
              </w:rPr>
            </w:pPr>
            <w:r>
              <w:rPr>
                <w:rFonts w:hint="eastAsia" w:ascii="Times New Roman" w:hAnsi="Times New Roman" w:cs="Times New Roman"/>
                <w:color w:val="auto"/>
                <w:sz w:val="24"/>
                <w:lang w:val="en-US" w:eastAsia="zh-CN"/>
              </w:rPr>
              <w:t>项目喷塑生产线清洗工序共设6个水槽，1-6号槽体积分别为3.1m³、6.1m³、2.4m³、2.4m³、3.5m³、2.4m³，体积共计19.9m³，注入水量占槽体积的</w:t>
            </w:r>
            <w:r>
              <w:rPr>
                <w:rFonts w:hint="eastAsia" w:cs="Times New Roman"/>
                <w:color w:val="auto"/>
                <w:sz w:val="24"/>
                <w:lang w:val="en-US" w:eastAsia="zh-CN"/>
              </w:rPr>
              <w:t>8</w:t>
            </w:r>
            <w:r>
              <w:rPr>
                <w:rFonts w:hint="eastAsia" w:ascii="Times New Roman" w:hAnsi="Times New Roman" w:cs="Times New Roman"/>
                <w:color w:val="auto"/>
                <w:sz w:val="24"/>
                <w:lang w:val="en-US" w:eastAsia="zh-CN"/>
              </w:rPr>
              <w:t>0%，</w:t>
            </w:r>
            <w:r>
              <w:rPr>
                <w:rFonts w:hint="eastAsia" w:cs="Times New Roman"/>
                <w:color w:val="auto"/>
                <w:sz w:val="24"/>
                <w:lang w:val="en-US" w:eastAsia="zh-CN"/>
              </w:rPr>
              <w:t>清水槽共3个，每月更换一次，年消耗水量为（2.4m³*3）*0.8*12月=69.12m³/a，因企业需要清洗的工件占比较小，脱脂槽液和硅烷槽液按三个月更换一次，年消耗水量为（3.1m³+6.1m³+3.5m³）*0.8*4次=40.64m³，</w:t>
            </w:r>
            <w:r>
              <w:rPr>
                <w:rFonts w:hint="eastAsia" w:ascii="Times New Roman" w:hAnsi="Times New Roman" w:cs="Times New Roman"/>
                <w:color w:val="auto"/>
                <w:sz w:val="24"/>
                <w:lang w:val="en-US" w:eastAsia="zh-CN"/>
              </w:rPr>
              <w:t>即共需注入</w:t>
            </w:r>
            <w:r>
              <w:rPr>
                <w:rFonts w:hint="eastAsia" w:cs="Times New Roman"/>
                <w:color w:val="auto"/>
                <w:sz w:val="24"/>
                <w:lang w:val="en-US" w:eastAsia="zh-CN"/>
              </w:rPr>
              <w:t>新鲜</w:t>
            </w:r>
            <w:r>
              <w:rPr>
                <w:rFonts w:hint="eastAsia" w:ascii="Times New Roman" w:hAnsi="Times New Roman" w:cs="Times New Roman"/>
                <w:color w:val="auto"/>
                <w:sz w:val="24"/>
                <w:lang w:val="en-US" w:eastAsia="zh-CN"/>
              </w:rPr>
              <w:t>水量为</w:t>
            </w:r>
            <w:r>
              <w:rPr>
                <w:rFonts w:hint="eastAsia" w:cs="Times New Roman"/>
                <w:color w:val="auto"/>
                <w:sz w:val="24"/>
                <w:lang w:val="en-US" w:eastAsia="zh-CN"/>
              </w:rPr>
              <w:t>109.76</w:t>
            </w:r>
            <w:r>
              <w:rPr>
                <w:rFonts w:hint="eastAsia" w:ascii="Times New Roman" w:hAnsi="Times New Roman" w:cs="Times New Roman"/>
                <w:color w:val="auto"/>
                <w:sz w:val="24"/>
                <w:lang w:val="en-US" w:eastAsia="zh-CN"/>
              </w:rPr>
              <w:t>m³，</w:t>
            </w:r>
            <w:r>
              <w:rPr>
                <w:rFonts w:hint="eastAsia" w:cs="Times New Roman"/>
                <w:color w:val="auto"/>
                <w:sz w:val="24"/>
                <w:lang w:val="en-US" w:eastAsia="zh-CN"/>
              </w:rPr>
              <w:t>工件清洗过程</w:t>
            </w:r>
            <w:r>
              <w:rPr>
                <w:rFonts w:hint="eastAsia" w:ascii="Times New Roman" w:hAnsi="Times New Roman" w:cs="Times New Roman"/>
                <w:color w:val="auto"/>
                <w:sz w:val="24"/>
                <w:lang w:val="en-US" w:eastAsia="zh-CN"/>
              </w:rPr>
              <w:t>每天</w:t>
            </w:r>
            <w:r>
              <w:rPr>
                <w:rFonts w:hint="eastAsia" w:cs="Times New Roman"/>
                <w:color w:val="auto"/>
                <w:sz w:val="24"/>
                <w:lang w:val="en-US" w:eastAsia="zh-CN"/>
              </w:rPr>
              <w:t>会</w:t>
            </w:r>
            <w:r>
              <w:rPr>
                <w:rFonts w:hint="eastAsia" w:ascii="Times New Roman" w:hAnsi="Times New Roman" w:cs="Times New Roman"/>
                <w:color w:val="auto"/>
                <w:sz w:val="24"/>
                <w:lang w:val="en-US" w:eastAsia="zh-CN"/>
              </w:rPr>
              <w:t>损耗</w:t>
            </w:r>
            <w:r>
              <w:rPr>
                <w:rFonts w:hint="eastAsia" w:cs="Times New Roman"/>
                <w:color w:val="auto"/>
                <w:sz w:val="24"/>
                <w:lang w:val="en-US" w:eastAsia="zh-CN"/>
              </w:rPr>
              <w:t>水量1</w:t>
            </w:r>
            <w:r>
              <w:rPr>
                <w:rFonts w:hint="eastAsia" w:ascii="Times New Roman" w:hAnsi="Times New Roman" w:cs="Times New Roman"/>
                <w:color w:val="auto"/>
                <w:sz w:val="24"/>
                <w:lang w:val="en-US" w:eastAsia="zh-CN"/>
              </w:rPr>
              <w:t>5%，</w:t>
            </w:r>
            <w:r>
              <w:rPr>
                <w:rFonts w:hint="eastAsia" w:cs="Times New Roman"/>
                <w:color w:val="auto"/>
                <w:sz w:val="24"/>
                <w:lang w:val="en-US" w:eastAsia="zh-CN"/>
              </w:rPr>
              <w:t>约为2.39m³，需每天及时补充，共补充水量约为717m³/a，则工件清洗每年用水量共计826.76m³/a（新鲜水量占328.149m³/a，经处理循环水量为498.611m³/a）。</w:t>
            </w:r>
          </w:p>
          <w:p w14:paraId="60A5702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2）地面清洗用水</w:t>
            </w:r>
          </w:p>
          <w:p w14:paraId="32848BA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本项目对生产车间地面需进行定期清洗，本次参照《陕西省地方标准行业用水定额》（DB61/T943-2020）中停车场车库地面冲洗定额（附录B表B.9）通用值3.0L/（㎡·次）进行核算，本项目生产车间占地面积约为6400㎡，其中生产设备、原料、成品件等约占50%，本次地面清洗面积按照生产车间面积的30%进行计算，约为1380㎡，每隔一天进行一次清洗，经核算地面清洗用水约为621m³/a（2.07m³/d）。</w:t>
            </w:r>
          </w:p>
          <w:p w14:paraId="6FE9264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（2）排水</w:t>
            </w:r>
          </w:p>
          <w:p w14:paraId="254C6DB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清洗槽：每月对清洗废水（清洗槽液）进行交替清理，清水槽的污水按月进行清理排入污水处理设施内进行处理</w:t>
            </w:r>
            <w:r>
              <w:rPr>
                <w:rFonts w:hint="eastAsia" w:ascii="Times New Roman" w:hAnsi="Times New Roman" w:cs="Times New Roman"/>
                <w:color w:val="auto"/>
                <w:sz w:val="24"/>
                <w:lang w:val="en-US" w:eastAsia="zh-CN"/>
              </w:rPr>
              <w:t>后</w:t>
            </w:r>
            <w:r>
              <w:rPr>
                <w:rFonts w:hint="eastAsia" w:cs="Times New Roman"/>
                <w:color w:val="auto"/>
                <w:sz w:val="24"/>
                <w:lang w:val="en-US" w:eastAsia="zh-CN"/>
              </w:rPr>
              <w:t>循环</w:t>
            </w:r>
            <w:r>
              <w:rPr>
                <w:rFonts w:hint="eastAsia" w:ascii="Times New Roman" w:hAnsi="Times New Roman" w:cs="Times New Roman"/>
                <w:color w:val="auto"/>
                <w:sz w:val="24"/>
                <w:lang w:val="en-US" w:eastAsia="zh-CN"/>
              </w:rPr>
              <w:t>使用，</w:t>
            </w:r>
            <w:r>
              <w:rPr>
                <w:rFonts w:hint="eastAsia" w:cs="Times New Roman"/>
                <w:color w:val="auto"/>
                <w:sz w:val="24"/>
                <w:lang w:val="en-US" w:eastAsia="zh-CN"/>
              </w:rPr>
              <w:t>需处理的清洗废水（槽液）约为0.196m³/d（58.752m³/a）。</w:t>
            </w:r>
          </w:p>
          <w:p w14:paraId="11E12CC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脱脂槽液和硅烷槽液：预脱脂槽、主脱脂槽和硅烷槽每三个月进行清理一次，按照危险废物进行暂存并委托资质单位清运处置。需更换的脱脂槽液和硅烷槽液为（3.1+6.1+3.5）m³*0.8*0.85*4=34.544m³，故本项目脱脂槽液和硅烷槽液产生量约为34.544m³/a。暂存于危废贮存设施内并委托资质单位清运处置。</w:t>
            </w:r>
          </w:p>
          <w:p w14:paraId="4A7886F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地面清洗废水：地面清洗用水约为621m³/a（2.07m³/d），产生的地面清洗废水约占85%，经计算，地面清洗废水产生量约为527.85m³/a（1.76m³/d），排入污水处理设施处理后进入清水箱循环使用。</w:t>
            </w:r>
          </w:p>
          <w:p w14:paraId="120E992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故本项目每年需经污水处理设施处理的废水量共计586.602m³/a，经处理后的水量为498.611m³/a，回用于工件清洗。</w:t>
            </w:r>
          </w:p>
          <w:p w14:paraId="37B3AE9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项目排水实行雨污分流</w:t>
            </w:r>
            <w:r>
              <w:rPr>
                <w:rFonts w:hint="default" w:ascii="Times New Roman" w:hAnsi="Times New Roman" w:cs="Times New Roman"/>
                <w:color w:val="auto"/>
                <w:sz w:val="24"/>
                <w:lang w:val="zh-CN"/>
              </w:rPr>
              <w:t>制。雨水经厂区雨水管道排入市政雨水管网；</w:t>
            </w:r>
            <w:r>
              <w:rPr>
                <w:rFonts w:hint="eastAsia" w:ascii="Times New Roman" w:hAnsi="Times New Roman" w:cs="Times New Roman"/>
                <w:color w:val="auto"/>
                <w:sz w:val="24"/>
                <w:lang w:val="en-US" w:eastAsia="zh-CN"/>
              </w:rPr>
              <w:t>喷塑生产线清洗水经污水处理设施处理后</w:t>
            </w:r>
            <w:r>
              <w:rPr>
                <w:rFonts w:hint="eastAsia" w:cs="Times New Roman"/>
                <w:color w:val="auto"/>
                <w:sz w:val="24"/>
                <w:lang w:val="en-US" w:eastAsia="zh-CN"/>
              </w:rPr>
              <w:t>循环</w:t>
            </w:r>
            <w:r>
              <w:rPr>
                <w:rFonts w:hint="eastAsia" w:ascii="Times New Roman" w:hAnsi="Times New Roman" w:cs="Times New Roman"/>
                <w:color w:val="auto"/>
                <w:sz w:val="24"/>
                <w:lang w:val="en-US" w:eastAsia="zh-CN"/>
              </w:rPr>
              <w:t>使用，不外排</w:t>
            </w:r>
            <w:r>
              <w:rPr>
                <w:rFonts w:hint="default" w:ascii="Times New Roman" w:hAnsi="Times New Roman" w:cs="Times New Roman"/>
                <w:color w:val="auto"/>
                <w:sz w:val="24"/>
              </w:rPr>
              <w:t>。</w:t>
            </w:r>
          </w:p>
          <w:p w14:paraId="2BDDDAE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项目运营后的用水及废水产生情况见表2-</w:t>
            </w:r>
            <w:r>
              <w:rPr>
                <w:rFonts w:hint="eastAsia" w:cs="Times New Roman"/>
                <w:color w:val="auto"/>
                <w:sz w:val="24"/>
                <w:lang w:val="en-US" w:eastAsia="zh-CN"/>
              </w:rPr>
              <w:t>7</w:t>
            </w:r>
            <w:r>
              <w:rPr>
                <w:rFonts w:hint="default" w:ascii="Times New Roman" w:hAnsi="Times New Roman" w:cs="Times New Roman"/>
                <w:color w:val="auto"/>
                <w:sz w:val="24"/>
              </w:rPr>
              <w:t>。</w:t>
            </w:r>
          </w:p>
          <w:p w14:paraId="7CB17BE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sz w:val="24"/>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项目用水及污水排放情况一览表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74"/>
              <w:gridCol w:w="1314"/>
              <w:gridCol w:w="1200"/>
              <w:gridCol w:w="1049"/>
              <w:gridCol w:w="1051"/>
              <w:gridCol w:w="1000"/>
              <w:gridCol w:w="1002"/>
            </w:tblGrid>
            <w:tr w14:paraId="2A5AE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vMerge w:val="restart"/>
                  <w:noWrap w:val="0"/>
                  <w:vAlign w:val="center"/>
                </w:tcPr>
                <w:p w14:paraId="2F19133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用水项目</w:t>
                  </w:r>
                </w:p>
              </w:tc>
              <w:tc>
                <w:tcPr>
                  <w:tcW w:w="783" w:type="pct"/>
                  <w:vMerge w:val="restart"/>
                  <w:noWrap w:val="0"/>
                  <w:vAlign w:val="center"/>
                </w:tcPr>
                <w:p w14:paraId="66D00DC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用水量标准</w:t>
                  </w:r>
                </w:p>
              </w:tc>
              <w:tc>
                <w:tcPr>
                  <w:tcW w:w="715" w:type="pct"/>
                  <w:vMerge w:val="restart"/>
                  <w:noWrap w:val="0"/>
                  <w:vAlign w:val="center"/>
                </w:tcPr>
                <w:p w14:paraId="6FFDD06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规模</w:t>
                  </w:r>
                </w:p>
              </w:tc>
              <w:tc>
                <w:tcPr>
                  <w:tcW w:w="1251" w:type="pct"/>
                  <w:gridSpan w:val="2"/>
                  <w:noWrap w:val="0"/>
                  <w:vAlign w:val="center"/>
                </w:tcPr>
                <w:p w14:paraId="6401C48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用水量</w:t>
                  </w:r>
                </w:p>
              </w:tc>
              <w:tc>
                <w:tcPr>
                  <w:tcW w:w="1193" w:type="pct"/>
                  <w:gridSpan w:val="2"/>
                  <w:noWrap w:val="0"/>
                  <w:vAlign w:val="center"/>
                </w:tcPr>
                <w:p w14:paraId="617E65F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排放量</w:t>
                  </w:r>
                </w:p>
              </w:tc>
            </w:tr>
            <w:tr w14:paraId="013922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vMerge w:val="continue"/>
                  <w:noWrap w:val="0"/>
                  <w:vAlign w:val="center"/>
                </w:tcPr>
                <w:p w14:paraId="4008D2F8">
                  <w:pPr>
                    <w:adjustRightInd w:val="0"/>
                    <w:snapToGrid w:val="0"/>
                    <w:jc w:val="center"/>
                    <w:rPr>
                      <w:rFonts w:hint="default" w:ascii="Times New Roman" w:hAnsi="Times New Roman" w:cs="Times New Roman"/>
                      <w:color w:val="auto"/>
                      <w:szCs w:val="21"/>
                    </w:rPr>
                  </w:pPr>
                </w:p>
              </w:tc>
              <w:tc>
                <w:tcPr>
                  <w:tcW w:w="783" w:type="pct"/>
                  <w:vMerge w:val="continue"/>
                  <w:noWrap w:val="0"/>
                  <w:vAlign w:val="center"/>
                </w:tcPr>
                <w:p w14:paraId="4EFA3A31">
                  <w:pPr>
                    <w:adjustRightInd w:val="0"/>
                    <w:snapToGrid w:val="0"/>
                    <w:jc w:val="center"/>
                    <w:rPr>
                      <w:rFonts w:hint="default" w:ascii="Times New Roman" w:hAnsi="Times New Roman" w:cs="Times New Roman"/>
                      <w:color w:val="auto"/>
                      <w:szCs w:val="21"/>
                    </w:rPr>
                  </w:pPr>
                </w:p>
              </w:tc>
              <w:tc>
                <w:tcPr>
                  <w:tcW w:w="715" w:type="pct"/>
                  <w:vMerge w:val="continue"/>
                  <w:noWrap w:val="0"/>
                  <w:vAlign w:val="center"/>
                </w:tcPr>
                <w:p w14:paraId="22128ED8">
                  <w:pPr>
                    <w:adjustRightInd w:val="0"/>
                    <w:snapToGrid w:val="0"/>
                    <w:jc w:val="center"/>
                    <w:rPr>
                      <w:rFonts w:hint="default" w:ascii="Times New Roman" w:hAnsi="Times New Roman" w:cs="Times New Roman"/>
                      <w:color w:val="auto"/>
                      <w:szCs w:val="21"/>
                    </w:rPr>
                  </w:pPr>
                </w:p>
              </w:tc>
              <w:tc>
                <w:tcPr>
                  <w:tcW w:w="625" w:type="pct"/>
                  <w:noWrap w:val="0"/>
                  <w:vAlign w:val="center"/>
                </w:tcPr>
                <w:p w14:paraId="3E0CC61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626" w:type="pct"/>
                  <w:noWrap w:val="0"/>
                  <w:vAlign w:val="center"/>
                </w:tcPr>
                <w:p w14:paraId="668FCE0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/a</w:t>
                  </w:r>
                </w:p>
              </w:tc>
              <w:tc>
                <w:tcPr>
                  <w:tcW w:w="596" w:type="pct"/>
                  <w:noWrap w:val="0"/>
                  <w:vAlign w:val="center"/>
                </w:tcPr>
                <w:p w14:paraId="1437CF2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596" w:type="pct"/>
                  <w:noWrap w:val="0"/>
                  <w:vAlign w:val="center"/>
                </w:tcPr>
                <w:p w14:paraId="7196577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/a</w:t>
                  </w:r>
                </w:p>
              </w:tc>
            </w:tr>
            <w:tr w14:paraId="49340D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noWrap w:val="0"/>
                  <w:vAlign w:val="center"/>
                </w:tcPr>
                <w:p w14:paraId="6D61B17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工件</w:t>
                  </w:r>
                  <w:r>
                    <w:rPr>
                      <w:rFonts w:hint="eastAsia" w:ascii="Times New Roman" w:hAnsi="Times New Roman" w:cs="Times New Roman"/>
                      <w:color w:val="auto"/>
                      <w:szCs w:val="21"/>
                      <w:lang w:val="en-US" w:eastAsia="zh-CN"/>
                    </w:rPr>
                    <w:t>清洗用水</w:t>
                  </w:r>
                </w:p>
              </w:tc>
              <w:tc>
                <w:tcPr>
                  <w:tcW w:w="783" w:type="pct"/>
                  <w:noWrap w:val="0"/>
                  <w:vAlign w:val="center"/>
                </w:tcPr>
                <w:p w14:paraId="7214356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715" w:type="pct"/>
                  <w:noWrap w:val="0"/>
                  <w:vAlign w:val="center"/>
                </w:tcPr>
                <w:p w14:paraId="70D30BB1">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625" w:type="pct"/>
                  <w:noWrap w:val="0"/>
                  <w:vAlign w:val="center"/>
                </w:tcPr>
                <w:p w14:paraId="2804FB20">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1.09</w:t>
                  </w:r>
                </w:p>
              </w:tc>
              <w:tc>
                <w:tcPr>
                  <w:tcW w:w="626" w:type="pct"/>
                  <w:noWrap w:val="0"/>
                  <w:vAlign w:val="center"/>
                </w:tcPr>
                <w:p w14:paraId="40A5C15A">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328.149</w:t>
                  </w:r>
                </w:p>
              </w:tc>
              <w:tc>
                <w:tcPr>
                  <w:tcW w:w="596" w:type="pct"/>
                  <w:noWrap w:val="0"/>
                  <w:vAlign w:val="center"/>
                </w:tcPr>
                <w:p w14:paraId="42F0AD0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596" w:type="pct"/>
                  <w:noWrap w:val="0"/>
                  <w:vAlign w:val="center"/>
                </w:tcPr>
                <w:p w14:paraId="70036B8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r w14:paraId="399426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noWrap w:val="0"/>
                  <w:vAlign w:val="center"/>
                </w:tcPr>
                <w:p w14:paraId="1F60D98D">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地面清洗用水</w:t>
                  </w:r>
                </w:p>
              </w:tc>
              <w:tc>
                <w:tcPr>
                  <w:tcW w:w="783" w:type="pct"/>
                  <w:noWrap w:val="0"/>
                  <w:vAlign w:val="center"/>
                </w:tcPr>
                <w:p w14:paraId="25B1AF22">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3.0L/（㎡·次）</w:t>
                  </w:r>
                </w:p>
              </w:tc>
              <w:tc>
                <w:tcPr>
                  <w:tcW w:w="715" w:type="pct"/>
                  <w:noWrap w:val="0"/>
                  <w:vAlign w:val="center"/>
                </w:tcPr>
                <w:p w14:paraId="1C99B34D">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1380</w:t>
                  </w:r>
                </w:p>
              </w:tc>
              <w:tc>
                <w:tcPr>
                  <w:tcW w:w="625" w:type="pct"/>
                  <w:noWrap w:val="0"/>
                  <w:vAlign w:val="center"/>
                </w:tcPr>
                <w:p w14:paraId="1AB09BB5">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2.07</w:t>
                  </w:r>
                </w:p>
              </w:tc>
              <w:tc>
                <w:tcPr>
                  <w:tcW w:w="626" w:type="pct"/>
                  <w:noWrap w:val="0"/>
                  <w:vAlign w:val="center"/>
                </w:tcPr>
                <w:p w14:paraId="14009F38">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621</w:t>
                  </w:r>
                </w:p>
              </w:tc>
              <w:tc>
                <w:tcPr>
                  <w:tcW w:w="596" w:type="pct"/>
                  <w:noWrap w:val="0"/>
                  <w:vAlign w:val="center"/>
                </w:tcPr>
                <w:p w14:paraId="1FCC02B6">
                  <w:pPr>
                    <w:adjustRightInd w:val="0"/>
                    <w:snapToGrid w:val="0"/>
                    <w:jc w:val="center"/>
                    <w:rPr>
                      <w:rFonts w:hint="eastAsia" w:ascii="Times New Roman" w:hAnsi="Times New Roman" w:cs="Times New Roman"/>
                      <w:color w:val="auto"/>
                      <w:szCs w:val="21"/>
                      <w:lang w:val="en-US" w:eastAsia="zh-CN"/>
                    </w:rPr>
                  </w:pPr>
                </w:p>
              </w:tc>
              <w:tc>
                <w:tcPr>
                  <w:tcW w:w="596" w:type="pct"/>
                  <w:noWrap w:val="0"/>
                  <w:vAlign w:val="center"/>
                </w:tcPr>
                <w:p w14:paraId="60725109">
                  <w:pPr>
                    <w:adjustRightInd w:val="0"/>
                    <w:snapToGrid w:val="0"/>
                    <w:jc w:val="center"/>
                    <w:rPr>
                      <w:rFonts w:hint="eastAsia" w:ascii="Times New Roman" w:hAnsi="Times New Roman" w:eastAsia="宋体" w:cs="Times New Roman"/>
                      <w:color w:val="auto"/>
                      <w:szCs w:val="21"/>
                      <w:lang w:val="en-US" w:eastAsia="zh-CN"/>
                    </w:rPr>
                  </w:pPr>
                </w:p>
              </w:tc>
            </w:tr>
            <w:tr w14:paraId="2D6166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noWrap w:val="0"/>
                  <w:vAlign w:val="center"/>
                </w:tcPr>
                <w:p w14:paraId="4743B32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合计</w:t>
                  </w:r>
                </w:p>
              </w:tc>
              <w:tc>
                <w:tcPr>
                  <w:tcW w:w="783" w:type="pct"/>
                  <w:noWrap w:val="0"/>
                  <w:vAlign w:val="center"/>
                </w:tcPr>
                <w:p w14:paraId="52132BB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15" w:type="pct"/>
                  <w:noWrap w:val="0"/>
                  <w:vAlign w:val="center"/>
                </w:tcPr>
                <w:p w14:paraId="5F7AE9F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25" w:type="pct"/>
                  <w:noWrap w:val="0"/>
                  <w:vAlign w:val="center"/>
                </w:tcPr>
                <w:p w14:paraId="77DB1C8C">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3.16</w:t>
                  </w:r>
                </w:p>
              </w:tc>
              <w:tc>
                <w:tcPr>
                  <w:tcW w:w="626" w:type="pct"/>
                  <w:noWrap w:val="0"/>
                  <w:vAlign w:val="center"/>
                </w:tcPr>
                <w:p w14:paraId="52B75D4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949.149</w:t>
                  </w:r>
                </w:p>
              </w:tc>
              <w:tc>
                <w:tcPr>
                  <w:tcW w:w="596" w:type="pct"/>
                  <w:noWrap w:val="0"/>
                  <w:vAlign w:val="center"/>
                </w:tcPr>
                <w:p w14:paraId="2448B0E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596" w:type="pct"/>
                  <w:noWrap w:val="0"/>
                  <w:vAlign w:val="center"/>
                </w:tcPr>
                <w:p w14:paraId="25EF75A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bl>
          <w:p w14:paraId="57E45C19">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object>
                <v:shape id="_x0000_i1025" o:spt="75" type="#_x0000_t75" style="height:154.2pt;width:367.95pt;" o:ole="t" filled="f" o:preferrelative="t" stroked="f" coordsize="21600,21600">
                  <v:path/>
                  <v:fill on="f" focussize="0,0"/>
                  <v:stroke on="f"/>
                  <v:imagedata r:id="rId13" o:title=""/>
                  <o:lock v:ext="edit" aspectratio="f"/>
                  <w10:wrap type="none"/>
                  <w10:anchorlock/>
                </v:shape>
                <o:OLEObject Type="Embed" ProgID="Visio.DrawingConvertable.15" ShapeID="_x0000_i1025" DrawAspect="Content" ObjectID="_1468075725" r:id="rId12">
                  <o:LockedField>false</o:LockedField>
                </o:OLEObject>
              </w:object>
            </w:r>
          </w:p>
          <w:p w14:paraId="3E474C96">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图2-1  项目水平衡图</w:t>
            </w:r>
          </w:p>
          <w:p w14:paraId="5A5D351E">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7</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供电</w:t>
            </w:r>
          </w:p>
          <w:p w14:paraId="648F0051">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项目用电由供电系统供给，能满足项目生产、生活的要求。</w:t>
            </w:r>
          </w:p>
          <w:p w14:paraId="5ACB2ED4">
            <w:pPr>
              <w:widowControl/>
              <w:autoSpaceDE w:val="0"/>
              <w:adjustRightInd w:val="0"/>
              <w:snapToGrid w:val="0"/>
              <w:spacing w:line="360" w:lineRule="auto"/>
              <w:ind w:firstLine="482" w:firstLineChars="200"/>
              <w:jc w:val="left"/>
              <w:rPr>
                <w:rFonts w:hint="default" w:ascii="Times New Roman" w:hAnsi="Times New Roman" w:cs="Times New Roman"/>
                <w:color w:val="auto"/>
                <w:sz w:val="24"/>
              </w:rPr>
            </w:pPr>
            <w:r>
              <w:rPr>
                <w:rFonts w:hint="default" w:ascii="Times New Roman" w:hAnsi="Times New Roman" w:eastAsia="宋体" w:cs="Times New Roman"/>
                <w:b/>
                <w:bCs/>
                <w:color w:val="auto"/>
                <w:sz w:val="24"/>
                <w:lang w:val="en-US" w:eastAsia="zh-CN"/>
              </w:rPr>
              <w:t>8</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平面布置合理性</w:t>
            </w:r>
          </w:p>
          <w:p w14:paraId="47F96EF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总平面布置原则：结合场地现状条件，合理布置建、构筑物，使工艺流程合理，管线短捷，人货流畅，符合防火、安全、卫生等有关规范的要求。</w:t>
            </w:r>
          </w:p>
          <w:p w14:paraId="48799FA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项目</w:t>
            </w:r>
            <w:r>
              <w:rPr>
                <w:rFonts w:hint="eastAsia" w:ascii="Times New Roman" w:hAnsi="Times New Roman" w:cs="Times New Roman"/>
                <w:color w:val="auto"/>
                <w:sz w:val="24"/>
                <w:lang w:val="en-US" w:eastAsia="zh-CN"/>
              </w:rPr>
              <w:t>厂区南侧距</w:t>
            </w:r>
            <w:r>
              <w:rPr>
                <w:rFonts w:hint="eastAsia" w:cs="Times New Roman"/>
                <w:color w:val="auto"/>
                <w:sz w:val="24"/>
                <w:lang w:val="en-US" w:eastAsia="zh-CN"/>
              </w:rPr>
              <w:t>西虢大道</w:t>
            </w:r>
            <w:r>
              <w:rPr>
                <w:rFonts w:hint="eastAsia" w:ascii="Times New Roman" w:hAnsi="Times New Roman" w:cs="Times New Roman"/>
                <w:color w:val="auto"/>
                <w:sz w:val="24"/>
                <w:lang w:val="en-US" w:eastAsia="zh-CN"/>
              </w:rPr>
              <w:t>72米，交通便利。生产厂房出</w:t>
            </w:r>
            <w:r>
              <w:rPr>
                <w:rFonts w:hint="eastAsia" w:ascii="Times New Roman" w:hAnsi="Times New Roman" w:cs="Times New Roman"/>
                <w:color w:val="auto"/>
                <w:sz w:val="24"/>
                <w:lang w:eastAsia="zh-CN"/>
              </w:rPr>
              <w:t>入口</w:t>
            </w:r>
            <w:r>
              <w:rPr>
                <w:rFonts w:hint="eastAsia" w:ascii="Times New Roman" w:hAnsi="Times New Roman" w:cs="Times New Roman"/>
                <w:color w:val="auto"/>
                <w:sz w:val="24"/>
                <w:lang w:val="en-US" w:eastAsia="zh-CN"/>
              </w:rPr>
              <w:t>朝南，并将</w:t>
            </w:r>
            <w:r>
              <w:rPr>
                <w:rFonts w:hint="eastAsia" w:ascii="Times New Roman" w:hAnsi="Times New Roman" w:cs="Times New Roman"/>
                <w:color w:val="auto"/>
                <w:sz w:val="24"/>
                <w:lang w:eastAsia="zh-CN"/>
              </w:rPr>
              <w:t>原料暂存区和下料区</w:t>
            </w:r>
            <w:r>
              <w:rPr>
                <w:rFonts w:hint="eastAsia" w:ascii="Times New Roman" w:hAnsi="Times New Roman" w:cs="Times New Roman"/>
                <w:color w:val="auto"/>
                <w:sz w:val="24"/>
                <w:lang w:val="en-US" w:eastAsia="zh-CN"/>
              </w:rPr>
              <w:t>设置在厂房出入口西侧位置</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成品区设置在出入口北侧位置，可有效缩短</w:t>
            </w:r>
            <w:r>
              <w:rPr>
                <w:rFonts w:hint="default" w:ascii="Times New Roman" w:hAnsi="Times New Roman" w:cs="Times New Roman"/>
                <w:color w:val="auto"/>
                <w:sz w:val="24"/>
                <w:lang w:val="en-US" w:eastAsia="zh-CN"/>
              </w:rPr>
              <w:t>运输</w:t>
            </w:r>
            <w:r>
              <w:rPr>
                <w:rFonts w:hint="eastAsia" w:ascii="Times New Roman" w:hAnsi="Times New Roman" w:cs="Times New Roman"/>
                <w:color w:val="auto"/>
                <w:sz w:val="24"/>
                <w:lang w:val="en-US" w:eastAsia="zh-CN"/>
              </w:rPr>
              <w:t>距离；激光切割机、焊机房、抛丸等均设在第二跨厂房，距离环保设施</w:t>
            </w:r>
            <w:r>
              <w:rPr>
                <w:rFonts w:hint="default" w:ascii="Times New Roman" w:hAnsi="Times New Roman" w:cs="Times New Roman"/>
                <w:color w:val="auto"/>
                <w:sz w:val="24"/>
                <w:lang w:val="en-US" w:eastAsia="zh-CN"/>
              </w:rPr>
              <w:t>距离路径短，</w:t>
            </w:r>
            <w:r>
              <w:rPr>
                <w:rFonts w:hint="eastAsia" w:ascii="Times New Roman" w:hAnsi="Times New Roman" w:cs="Times New Roman"/>
                <w:color w:val="auto"/>
                <w:sz w:val="24"/>
                <w:lang w:val="en-US" w:eastAsia="zh-CN"/>
              </w:rPr>
              <w:t>便于废气收集；一般固废暂存区位于机加区与成品区中间位置、</w:t>
            </w:r>
            <w:r>
              <w:rPr>
                <w:rFonts w:hint="eastAsia" w:cs="Times New Roman"/>
                <w:color w:val="auto"/>
                <w:sz w:val="24"/>
                <w:lang w:val="en-US" w:eastAsia="zh-CN"/>
              </w:rPr>
              <w:t>危废贮存库</w:t>
            </w:r>
            <w:r>
              <w:rPr>
                <w:rFonts w:hint="eastAsia" w:ascii="Times New Roman" w:hAnsi="Times New Roman" w:cs="Times New Roman"/>
                <w:color w:val="auto"/>
                <w:sz w:val="24"/>
                <w:lang w:val="en-US" w:eastAsia="zh-CN"/>
              </w:rPr>
              <w:t>位于生产厂房外西侧位置，均距离加工区域路径短，便于</w:t>
            </w:r>
            <w:r>
              <w:rPr>
                <w:rFonts w:hint="default" w:ascii="Times New Roman" w:hAnsi="Times New Roman" w:cs="Times New Roman"/>
                <w:color w:val="auto"/>
                <w:sz w:val="24"/>
                <w:lang w:val="en-US" w:eastAsia="zh-CN"/>
              </w:rPr>
              <w:t>固废收集暂存</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本次新增设备分散安装可有效降低设备噪声对厂界四周环境影响。</w:t>
            </w:r>
            <w:r>
              <w:rPr>
                <w:rFonts w:hint="default" w:ascii="Times New Roman" w:hAnsi="Times New Roman" w:cs="Times New Roman"/>
                <w:color w:val="auto"/>
                <w:sz w:val="24"/>
              </w:rPr>
              <w:t>项目区域内供水、供电</w:t>
            </w:r>
            <w:r>
              <w:rPr>
                <w:rFonts w:hint="eastAsia" w:ascii="Times New Roman" w:hAnsi="Times New Roman" w:cs="Times New Roman"/>
                <w:color w:val="auto"/>
                <w:sz w:val="24"/>
                <w:lang w:val="en-US" w:eastAsia="zh-CN"/>
              </w:rPr>
              <w:t>等</w:t>
            </w:r>
            <w:r>
              <w:rPr>
                <w:rFonts w:hint="default" w:ascii="Times New Roman" w:hAnsi="Times New Roman" w:cs="Times New Roman"/>
                <w:color w:val="auto"/>
                <w:sz w:val="24"/>
              </w:rPr>
              <w:t>基础设施配套齐全，建筑结构基本完善，功能分区明确，各区域相对独立。考虑到了噪声、安全等要求。总平面布置基本合理。</w:t>
            </w:r>
          </w:p>
          <w:p w14:paraId="1A5AC6BE">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rPr>
            </w:pPr>
            <w:r>
              <w:rPr>
                <w:rFonts w:hint="default" w:ascii="Times New Roman" w:hAnsi="Times New Roman" w:eastAsia="宋体" w:cs="Times New Roman"/>
                <w:b/>
                <w:bCs/>
                <w:color w:val="auto"/>
                <w:sz w:val="24"/>
                <w:lang w:val="en-US" w:eastAsia="zh-CN"/>
              </w:rPr>
              <w:t>9</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劳动定员及工作制度</w:t>
            </w:r>
          </w:p>
          <w:p w14:paraId="20D5942F">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劳动定员：</w:t>
            </w:r>
            <w:r>
              <w:rPr>
                <w:rFonts w:hint="eastAsia" w:ascii="Times New Roman" w:hAnsi="Times New Roman" w:cs="Times New Roman"/>
                <w:color w:val="auto"/>
                <w:sz w:val="24"/>
                <w:lang w:eastAsia="zh-CN"/>
              </w:rPr>
              <w:t>原有项目劳动定员</w:t>
            </w:r>
            <w:r>
              <w:rPr>
                <w:rFonts w:hint="eastAsia" w:ascii="Times New Roman" w:hAnsi="Times New Roman" w:cs="Times New Roman"/>
                <w:color w:val="auto"/>
                <w:sz w:val="24"/>
                <w:lang w:val="en-US" w:eastAsia="zh-CN"/>
              </w:rPr>
              <w:t>50人，</w:t>
            </w:r>
            <w:r>
              <w:rPr>
                <w:rFonts w:hint="default" w:ascii="Times New Roman" w:hAnsi="Times New Roman" w:cs="Times New Roman"/>
                <w:color w:val="auto"/>
                <w:sz w:val="24"/>
                <w:lang w:val="en-US" w:eastAsia="zh-CN"/>
              </w:rPr>
              <w:t>本次不新增劳动定员</w:t>
            </w:r>
            <w:r>
              <w:rPr>
                <w:rFonts w:hint="default" w:ascii="Times New Roman" w:hAnsi="Times New Roman" w:cs="Times New Roman"/>
                <w:color w:val="auto"/>
                <w:sz w:val="24"/>
              </w:rPr>
              <w:t>，厂区</w:t>
            </w:r>
            <w:r>
              <w:rPr>
                <w:rFonts w:hint="default" w:ascii="Times New Roman" w:hAnsi="Times New Roman" w:cs="Times New Roman"/>
                <w:color w:val="auto"/>
                <w:sz w:val="24"/>
                <w:lang w:eastAsia="zh-CN"/>
              </w:rPr>
              <w:t>不</w:t>
            </w:r>
            <w:r>
              <w:rPr>
                <w:rFonts w:hint="default" w:ascii="Times New Roman" w:hAnsi="Times New Roman" w:cs="Times New Roman"/>
                <w:color w:val="auto"/>
                <w:sz w:val="24"/>
              </w:rPr>
              <w:t>提供食宿。</w:t>
            </w:r>
          </w:p>
          <w:p w14:paraId="6D52BC3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工作制度：本项目年工作300天，工作制度采用</w:t>
            </w:r>
            <w:r>
              <w:rPr>
                <w:rFonts w:hint="default" w:ascii="Times New Roman" w:hAnsi="Times New Roman" w:cs="Times New Roman"/>
                <w:color w:val="auto"/>
                <w:sz w:val="24"/>
                <w:lang w:val="en-US" w:eastAsia="zh-CN"/>
              </w:rPr>
              <w:t>一</w:t>
            </w:r>
            <w:r>
              <w:rPr>
                <w:rFonts w:hint="default" w:ascii="Times New Roman" w:hAnsi="Times New Roman" w:cs="Times New Roman"/>
                <w:color w:val="auto"/>
                <w:sz w:val="24"/>
              </w:rPr>
              <w:t>班制，工作</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小时。</w:t>
            </w:r>
          </w:p>
        </w:tc>
      </w:tr>
      <w:tr w14:paraId="17ABDD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2" w:hRule="atLeast"/>
          <w:jc w:val="center"/>
        </w:trPr>
        <w:tc>
          <w:tcPr>
            <w:tcW w:w="425" w:type="dxa"/>
            <w:noWrap w:val="0"/>
            <w:vAlign w:val="center"/>
          </w:tcPr>
          <w:p w14:paraId="6440C17B">
            <w:pPr>
              <w:pStyle w:val="27"/>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635" w:type="dxa"/>
            <w:noWrap w:val="0"/>
            <w:vAlign w:val="top"/>
          </w:tcPr>
          <w:p w14:paraId="64315C17">
            <w:pPr>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生产工艺及产污环节流程图</w:t>
            </w:r>
          </w:p>
          <w:p w14:paraId="054DE7B7">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lang w:val="en-US" w:eastAsia="zh-CN"/>
              </w:rPr>
            </w:pPr>
            <w:r>
              <w:rPr>
                <w:color w:val="auto"/>
              </w:rPr>
              <w:drawing>
                <wp:inline distT="0" distB="0" distL="114300" distR="114300">
                  <wp:extent cx="5389880" cy="3938270"/>
                  <wp:effectExtent l="0" t="0" r="1270" b="508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4"/>
                          <a:stretch>
                            <a:fillRect/>
                          </a:stretch>
                        </pic:blipFill>
                        <pic:spPr>
                          <a:xfrm>
                            <a:off x="0" y="0"/>
                            <a:ext cx="5389880" cy="3938270"/>
                          </a:xfrm>
                          <a:prstGeom prst="rect">
                            <a:avLst/>
                          </a:prstGeom>
                          <a:noFill/>
                          <a:ln>
                            <a:noFill/>
                          </a:ln>
                        </pic:spPr>
                      </pic:pic>
                    </a:graphicData>
                  </a:graphic>
                </wp:inline>
              </w:drawing>
            </w:r>
          </w:p>
          <w:p w14:paraId="31C5E416">
            <w:pPr>
              <w:keepNext/>
              <w:keepLines/>
              <w:widowControl/>
              <w:adjustRightInd w:val="0"/>
              <w:snapToGrid w:val="0"/>
              <w:spacing w:line="360" w:lineRule="auto"/>
              <w:jc w:val="center"/>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2-1   工艺流程及产污环节示意图</w:t>
            </w:r>
          </w:p>
          <w:p w14:paraId="09CA98B6">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工艺流程及产污环节简述</w:t>
            </w:r>
          </w:p>
          <w:p w14:paraId="1D7563C3">
            <w:pPr>
              <w:tabs>
                <w:tab w:val="left" w:pos="7980"/>
              </w:tabs>
              <w:spacing w:line="360" w:lineRule="auto"/>
              <w:ind w:firstLine="480" w:firstLineChars="200"/>
              <w:jc w:val="left"/>
              <w:rPr>
                <w:rFonts w:hint="default" w:ascii="Times New Roman" w:hAnsi="Times New Roman" w:cs="Times New Roman"/>
                <w:bCs/>
                <w:color w:val="auto"/>
                <w:sz w:val="24"/>
                <w:lang w:eastAsia="zh-CN"/>
              </w:rPr>
            </w:pP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下料</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本项目加工的原材料主要为外购板材，材质为钢</w:t>
            </w:r>
            <w:r>
              <w:rPr>
                <w:rFonts w:hint="eastAsia" w:ascii="Times New Roman" w:hAnsi="Times New Roman" w:cs="Times New Roman"/>
                <w:bCs/>
                <w:color w:val="auto"/>
                <w:sz w:val="24"/>
                <w:lang w:val="en-US" w:eastAsia="zh-CN"/>
              </w:rPr>
              <w:t>、铝</w:t>
            </w:r>
            <w:r>
              <w:rPr>
                <w:rFonts w:hint="default" w:ascii="Times New Roman" w:hAnsi="Times New Roman" w:cs="Times New Roman"/>
                <w:bCs/>
                <w:color w:val="auto"/>
                <w:sz w:val="24"/>
                <w:lang w:val="en-US" w:eastAsia="zh-CN"/>
              </w:rPr>
              <w:t>，规格为长*宽*厚：6</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12m*1</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2m*1.0</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14mm，根据加工件的规格要求，采用剪板机、激光切割机、铣床等设备进行切割下料。下料</w:t>
            </w:r>
            <w:r>
              <w:rPr>
                <w:rFonts w:hint="default" w:ascii="Times New Roman" w:hAnsi="Times New Roman" w:cs="Times New Roman"/>
                <w:bCs/>
                <w:color w:val="auto"/>
                <w:sz w:val="24"/>
                <w:lang w:eastAsia="zh-CN"/>
              </w:rPr>
              <w:t>过程</w:t>
            </w:r>
            <w:r>
              <w:rPr>
                <w:rFonts w:hint="default" w:ascii="Times New Roman" w:hAnsi="Times New Roman" w:cs="Times New Roman"/>
                <w:bCs/>
                <w:color w:val="auto"/>
                <w:sz w:val="24"/>
                <w:lang w:val="en-US" w:eastAsia="zh-CN"/>
              </w:rPr>
              <w:t>采用切削液进行冷却、润滑、湿式操作</w:t>
            </w:r>
            <w:r>
              <w:rPr>
                <w:rFonts w:hint="default" w:ascii="Times New Roman" w:hAnsi="Times New Roman" w:cs="Times New Roman"/>
                <w:bCs/>
                <w:color w:val="auto"/>
                <w:sz w:val="24"/>
                <w:lang w:eastAsia="zh-CN"/>
              </w:rPr>
              <w:t>。该过程主要产生设备噪声、</w:t>
            </w:r>
            <w:r>
              <w:rPr>
                <w:rFonts w:hint="default" w:ascii="Times New Roman" w:hAnsi="Times New Roman" w:cs="Times New Roman"/>
                <w:bCs/>
                <w:color w:val="auto"/>
                <w:sz w:val="24"/>
                <w:lang w:val="en-US" w:eastAsia="zh-CN"/>
              </w:rPr>
              <w:t>废切削液、废边角料、金属屑等</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切削液</w:t>
            </w:r>
            <w:r>
              <w:rPr>
                <w:rFonts w:hint="default" w:ascii="Times New Roman" w:hAnsi="Times New Roman" w:cs="Times New Roman"/>
                <w:bCs/>
                <w:color w:val="auto"/>
                <w:sz w:val="24"/>
                <w:lang w:eastAsia="zh-CN"/>
              </w:rPr>
              <w:t>循环使用、定期清理）。</w:t>
            </w:r>
          </w:p>
          <w:p w14:paraId="5D1F2686">
            <w:pPr>
              <w:spacing w:line="360" w:lineRule="auto"/>
              <w:ind w:firstLine="480" w:firstLineChars="200"/>
              <w:jc w:val="left"/>
              <w:rPr>
                <w:rFonts w:hint="default" w:ascii="Times New Roman" w:hAnsi="Times New Roman" w:cs="Times New Roman"/>
                <w:bCs/>
                <w:color w:val="auto"/>
                <w:sz w:val="24"/>
                <w:lang w:eastAsia="zh-CN"/>
              </w:rPr>
            </w:pPr>
            <w:r>
              <w:rPr>
                <w:rFonts w:hint="default" w:ascii="Times New Roman" w:hAnsi="Times New Roman" w:cs="Times New Roman"/>
                <w:bCs/>
                <w:color w:val="auto"/>
                <w:sz w:val="24"/>
              </w:rPr>
              <w:t>（</w:t>
            </w:r>
            <w:r>
              <w:rPr>
                <w:rFonts w:hint="eastAsia" w:cs="Times New Roman"/>
                <w:bCs/>
                <w:color w:val="auto"/>
                <w:sz w:val="24"/>
                <w:lang w:val="en-US" w:eastAsia="zh-CN"/>
              </w:rPr>
              <w:t>2</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钻孔</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经下料后的工件采用钻床、冲床等设备设施按照要求在工件上进行钻孔，该工序采用切削液进行冷却、润滑、湿式操作</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会产生相应的金属屑、废切削液</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切削液</w:t>
            </w:r>
            <w:r>
              <w:rPr>
                <w:rFonts w:hint="default" w:ascii="Times New Roman" w:hAnsi="Times New Roman" w:cs="Times New Roman"/>
                <w:bCs/>
                <w:color w:val="auto"/>
                <w:sz w:val="24"/>
                <w:lang w:eastAsia="zh-CN"/>
              </w:rPr>
              <w:t>循环使用、定期清理）。</w:t>
            </w:r>
          </w:p>
          <w:p w14:paraId="6A1D4E11">
            <w:pPr>
              <w:spacing w:line="360" w:lineRule="auto"/>
              <w:ind w:firstLine="480" w:firstLineChars="200"/>
              <w:jc w:val="left"/>
              <w:rPr>
                <w:rFonts w:hint="default" w:ascii="Times New Roman" w:hAnsi="Times New Roman" w:cs="Times New Roman"/>
                <w:bCs/>
                <w:color w:val="auto"/>
                <w:sz w:val="24"/>
                <w:lang w:eastAsia="zh-CN"/>
              </w:rPr>
            </w:pPr>
            <w:r>
              <w:rPr>
                <w:rFonts w:hint="default" w:ascii="Times New Roman" w:hAnsi="Times New Roman" w:cs="Times New Roman"/>
                <w:bCs/>
                <w:color w:val="auto"/>
                <w:sz w:val="24"/>
              </w:rPr>
              <w:t>（</w:t>
            </w:r>
            <w:r>
              <w:rPr>
                <w:rFonts w:hint="eastAsia" w:cs="Times New Roman"/>
                <w:bCs/>
                <w:color w:val="auto"/>
                <w:sz w:val="24"/>
                <w:lang w:val="en-US" w:eastAsia="zh-CN"/>
              </w:rPr>
              <w:t>3</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折弯</w:t>
            </w:r>
            <w:r>
              <w:rPr>
                <w:rFonts w:hint="default" w:ascii="Times New Roman" w:hAnsi="Times New Roman" w:cs="Times New Roman"/>
                <w:bCs/>
                <w:color w:val="auto"/>
                <w:sz w:val="24"/>
              </w:rPr>
              <w:t>：</w:t>
            </w:r>
            <w:r>
              <w:rPr>
                <w:rFonts w:hint="default" w:ascii="Times New Roman" w:hAnsi="Times New Roman" w:cs="Times New Roman"/>
                <w:bCs/>
                <w:color w:val="auto"/>
                <w:sz w:val="24"/>
                <w:lang w:eastAsia="zh-CN"/>
              </w:rPr>
              <w:t>采用</w:t>
            </w:r>
            <w:r>
              <w:rPr>
                <w:rFonts w:hint="default" w:ascii="Times New Roman" w:hAnsi="Times New Roman" w:cs="Times New Roman"/>
                <w:bCs/>
                <w:color w:val="auto"/>
                <w:sz w:val="24"/>
                <w:lang w:val="en-US" w:eastAsia="zh-CN"/>
              </w:rPr>
              <w:t>折弯</w:t>
            </w:r>
            <w:r>
              <w:rPr>
                <w:rFonts w:hint="default" w:ascii="Times New Roman" w:hAnsi="Times New Roman" w:cs="Times New Roman"/>
                <w:bCs/>
                <w:color w:val="auto"/>
                <w:sz w:val="24"/>
                <w:lang w:eastAsia="zh-CN"/>
              </w:rPr>
              <w:t>机</w:t>
            </w:r>
            <w:r>
              <w:rPr>
                <w:rFonts w:hint="default" w:ascii="Times New Roman" w:hAnsi="Times New Roman" w:cs="Times New Roman"/>
                <w:bCs/>
                <w:color w:val="auto"/>
                <w:sz w:val="24"/>
                <w:lang w:val="en-US" w:eastAsia="zh-CN"/>
              </w:rPr>
              <w:t>按照工件需求</w:t>
            </w:r>
            <w:r>
              <w:rPr>
                <w:rFonts w:hint="default" w:ascii="Times New Roman" w:hAnsi="Times New Roman" w:cs="Times New Roman"/>
                <w:bCs/>
                <w:color w:val="auto"/>
                <w:sz w:val="24"/>
                <w:lang w:eastAsia="zh-CN"/>
              </w:rPr>
              <w:t>将工件进行</w:t>
            </w:r>
            <w:r>
              <w:rPr>
                <w:rFonts w:hint="default" w:ascii="Times New Roman" w:hAnsi="Times New Roman" w:cs="Times New Roman"/>
                <w:bCs/>
                <w:color w:val="auto"/>
                <w:sz w:val="24"/>
                <w:lang w:val="en-US" w:eastAsia="zh-CN"/>
              </w:rPr>
              <w:t>加工处理</w:t>
            </w:r>
            <w:r>
              <w:rPr>
                <w:rFonts w:hint="default" w:ascii="Times New Roman" w:hAnsi="Times New Roman" w:cs="Times New Roman"/>
                <w:bCs/>
                <w:color w:val="auto"/>
                <w:sz w:val="24"/>
                <w:lang w:eastAsia="zh-CN"/>
              </w:rPr>
              <w:t>，最后达到</w:t>
            </w:r>
            <w:r>
              <w:rPr>
                <w:rFonts w:hint="default" w:ascii="Times New Roman" w:hAnsi="Times New Roman" w:cs="Times New Roman"/>
                <w:bCs/>
                <w:color w:val="auto"/>
                <w:sz w:val="24"/>
                <w:lang w:val="en-US" w:eastAsia="zh-CN"/>
              </w:rPr>
              <w:t>折弯</w:t>
            </w:r>
            <w:r>
              <w:rPr>
                <w:rFonts w:hint="default" w:ascii="Times New Roman" w:hAnsi="Times New Roman" w:cs="Times New Roman"/>
                <w:bCs/>
                <w:color w:val="auto"/>
                <w:sz w:val="24"/>
                <w:lang w:eastAsia="zh-CN"/>
              </w:rPr>
              <w:t>的目的。此过程主要产生设备噪声。</w:t>
            </w:r>
          </w:p>
          <w:p w14:paraId="722FC95C">
            <w:pPr>
              <w:spacing w:line="360" w:lineRule="auto"/>
              <w:ind w:firstLine="480" w:firstLineChars="200"/>
              <w:jc w:val="left"/>
              <w:rPr>
                <w:rFonts w:hint="default" w:ascii="Times New Roman" w:hAnsi="Times New Roman" w:cs="Times New Roman"/>
                <w:bCs/>
                <w:color w:val="auto"/>
                <w:sz w:val="24"/>
                <w:lang w:eastAsia="zh-CN"/>
              </w:rPr>
            </w:pPr>
            <w:r>
              <w:rPr>
                <w:rFonts w:hint="default" w:ascii="Times New Roman" w:hAnsi="Times New Roman" w:cs="Times New Roman"/>
                <w:bCs/>
                <w:color w:val="auto"/>
                <w:sz w:val="24"/>
              </w:rPr>
              <w:t>（</w:t>
            </w:r>
            <w:r>
              <w:rPr>
                <w:rFonts w:hint="eastAsia" w:cs="Times New Roman"/>
                <w:bCs/>
                <w:color w:val="auto"/>
                <w:sz w:val="24"/>
                <w:lang w:val="en-US" w:eastAsia="zh-CN"/>
              </w:rPr>
              <w:t>4</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攻丝</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折弯</w:t>
            </w:r>
            <w:r>
              <w:rPr>
                <w:rFonts w:hint="default" w:ascii="Times New Roman" w:hAnsi="Times New Roman" w:cs="Times New Roman"/>
                <w:bCs/>
                <w:color w:val="auto"/>
                <w:sz w:val="24"/>
                <w:lang w:eastAsia="zh-CN"/>
              </w:rPr>
              <w:t>后的工件采用</w:t>
            </w:r>
            <w:r>
              <w:rPr>
                <w:rFonts w:hint="default" w:ascii="Times New Roman" w:hAnsi="Times New Roman" w:cs="Times New Roman"/>
                <w:bCs/>
                <w:color w:val="auto"/>
                <w:sz w:val="24"/>
                <w:lang w:val="en-US" w:eastAsia="zh-CN"/>
              </w:rPr>
              <w:t>攻丝机在工件上加工出螺纹</w:t>
            </w:r>
            <w:r>
              <w:rPr>
                <w:rFonts w:hint="default" w:ascii="Times New Roman" w:hAnsi="Times New Roman" w:cs="Times New Roman"/>
                <w:bCs/>
                <w:color w:val="auto"/>
                <w:sz w:val="24"/>
                <w:lang w:eastAsia="zh-CN"/>
              </w:rPr>
              <w:t>，以达到客户委托的尺寸要求，</w:t>
            </w:r>
            <w:r>
              <w:rPr>
                <w:rFonts w:hint="default" w:ascii="Times New Roman" w:hAnsi="Times New Roman" w:cs="Times New Roman"/>
                <w:bCs/>
                <w:color w:val="auto"/>
                <w:sz w:val="24"/>
                <w:lang w:val="en-US" w:eastAsia="zh-CN"/>
              </w:rPr>
              <w:t>该过程采用切削液进行冷却、润滑、湿式操作</w:t>
            </w:r>
            <w:r>
              <w:rPr>
                <w:rFonts w:hint="default" w:ascii="Times New Roman" w:hAnsi="Times New Roman" w:cs="Times New Roman"/>
                <w:bCs/>
                <w:color w:val="auto"/>
                <w:sz w:val="24"/>
                <w:lang w:eastAsia="zh-CN"/>
              </w:rPr>
              <w:t>。会</w:t>
            </w:r>
            <w:r>
              <w:rPr>
                <w:rFonts w:hint="default" w:ascii="Times New Roman" w:hAnsi="Times New Roman" w:cs="Times New Roman"/>
                <w:bCs/>
                <w:color w:val="auto"/>
                <w:sz w:val="24"/>
                <w:lang w:val="en-US" w:eastAsia="zh-CN"/>
              </w:rPr>
              <w:t>产生</w:t>
            </w:r>
            <w:r>
              <w:rPr>
                <w:rFonts w:hint="default" w:ascii="Times New Roman" w:hAnsi="Times New Roman" w:cs="Times New Roman"/>
                <w:bCs/>
                <w:color w:val="auto"/>
                <w:sz w:val="24"/>
                <w:lang w:eastAsia="zh-CN"/>
              </w:rPr>
              <w:t>金属屑、废切削液。</w:t>
            </w:r>
          </w:p>
          <w:p w14:paraId="7B735CAC">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eastAsia="zh-CN"/>
              </w:rPr>
              <w:t>（</w:t>
            </w:r>
            <w:r>
              <w:rPr>
                <w:rFonts w:hint="eastAsia" w:cs="Times New Roman"/>
                <w:bCs/>
                <w:color w:val="auto"/>
                <w:sz w:val="24"/>
                <w:lang w:val="en-US" w:eastAsia="zh-CN"/>
              </w:rPr>
              <w:t>5</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整平：采用整平机、压力机等设施对工件进行整平处理，可使工件获得良好的版型，该工序会产生相应的设备噪声。</w:t>
            </w:r>
          </w:p>
          <w:p w14:paraId="465DD1DE">
            <w:pPr>
              <w:spacing w:line="360" w:lineRule="auto"/>
              <w:ind w:firstLine="480" w:firstLineChars="200"/>
              <w:jc w:val="left"/>
              <w:rPr>
                <w:rFonts w:hint="eastAsia"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eastAsia="zh-CN"/>
              </w:rPr>
              <w:t>（</w:t>
            </w:r>
            <w:r>
              <w:rPr>
                <w:rFonts w:hint="eastAsia" w:cs="Times New Roman"/>
                <w:bCs/>
                <w:color w:val="auto"/>
                <w:sz w:val="24"/>
                <w:lang w:val="en-US" w:eastAsia="zh-CN"/>
              </w:rPr>
              <w:t>6</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焊接</w:t>
            </w:r>
            <w:r>
              <w:rPr>
                <w:rFonts w:hint="eastAsia" w:ascii="Times New Roman" w:hAnsi="Times New Roman" w:eastAsia="宋体" w:cs="Times New Roman"/>
                <w:bCs/>
                <w:color w:val="auto"/>
                <w:sz w:val="24"/>
                <w:lang w:val="en-US" w:eastAsia="zh-CN"/>
              </w:rPr>
              <w:t>、修磨</w:t>
            </w:r>
            <w:r>
              <w:rPr>
                <w:rFonts w:hint="default" w:ascii="Times New Roman" w:hAnsi="Times New Roman" w:eastAsia="宋体" w:cs="Times New Roman"/>
                <w:bCs/>
                <w:color w:val="auto"/>
                <w:sz w:val="24"/>
                <w:lang w:val="en-US" w:eastAsia="zh-CN"/>
              </w:rPr>
              <w:t>：</w:t>
            </w:r>
            <w:r>
              <w:rPr>
                <w:rFonts w:hint="eastAsia" w:ascii="Times New Roman" w:hAnsi="Times New Roman" w:eastAsia="宋体" w:cs="Times New Roman"/>
                <w:color w:val="auto"/>
                <w:sz w:val="24"/>
                <w:lang w:eastAsia="zh-CN"/>
              </w:rPr>
              <w:t>规格小于</w:t>
            </w:r>
            <w:r>
              <w:rPr>
                <w:rFonts w:hint="eastAsia" w:ascii="Times New Roman" w:hAnsi="Times New Roman" w:eastAsia="宋体" w:cs="Times New Roman"/>
                <w:color w:val="auto"/>
                <w:sz w:val="24"/>
                <w:lang w:val="en-US" w:eastAsia="zh-CN"/>
              </w:rPr>
              <w:t>200*250mm的工件需</w:t>
            </w:r>
            <w:r>
              <w:rPr>
                <w:rFonts w:hint="default" w:ascii="Times New Roman" w:hAnsi="Times New Roman" w:eastAsia="宋体" w:cs="Times New Roman"/>
                <w:bCs/>
                <w:color w:val="auto"/>
                <w:sz w:val="24"/>
                <w:lang w:val="en-US" w:eastAsia="zh-CN"/>
              </w:rPr>
              <w:t>采用激光焊将</w:t>
            </w:r>
            <w:r>
              <w:rPr>
                <w:rFonts w:hint="eastAsia" w:ascii="Times New Roman" w:hAnsi="Times New Roman" w:eastAsia="宋体" w:cs="Times New Roman"/>
                <w:bCs/>
                <w:color w:val="auto"/>
                <w:sz w:val="24"/>
                <w:lang w:val="en-US" w:eastAsia="zh-CN"/>
              </w:rPr>
              <w:t>其</w:t>
            </w:r>
            <w:r>
              <w:rPr>
                <w:rFonts w:hint="default" w:ascii="Times New Roman" w:hAnsi="Times New Roman" w:eastAsia="宋体" w:cs="Times New Roman"/>
                <w:bCs/>
                <w:color w:val="auto"/>
                <w:sz w:val="24"/>
                <w:lang w:val="en-US" w:eastAsia="zh-CN"/>
              </w:rPr>
              <w:t>根据产品要求焊接在一起，焊接过程属热传导型，即激光辐射加热工件表面，表面热量通过热传导向内部扩散，通过控制激光脉冲的宽度、能量、峰值功率和重复频率等参数，使工件熔化，形成特定的熔池。</w:t>
            </w:r>
            <w:r>
              <w:rPr>
                <w:rFonts w:hint="eastAsia" w:ascii="Times New Roman" w:hAnsi="Times New Roman" w:eastAsia="宋体" w:cs="Times New Roman"/>
                <w:bCs/>
                <w:color w:val="auto"/>
                <w:sz w:val="24"/>
                <w:lang w:val="en-US" w:eastAsia="zh-CN"/>
              </w:rPr>
              <w:t>焊接后的工件经角磨机等设备进行表面</w:t>
            </w:r>
            <w:r>
              <w:rPr>
                <w:rFonts w:hint="eastAsia" w:cs="Times New Roman"/>
                <w:bCs/>
                <w:color w:val="auto"/>
                <w:sz w:val="24"/>
                <w:lang w:val="en-US" w:eastAsia="zh-CN"/>
              </w:rPr>
              <w:t>毛刺</w:t>
            </w:r>
            <w:r>
              <w:rPr>
                <w:rFonts w:hint="eastAsia" w:ascii="Times New Roman" w:hAnsi="Times New Roman" w:eastAsia="宋体" w:cs="Times New Roman"/>
                <w:bCs/>
                <w:color w:val="auto"/>
                <w:sz w:val="24"/>
                <w:lang w:val="en-US" w:eastAsia="zh-CN"/>
              </w:rPr>
              <w:t>修磨处理。角磨机</w:t>
            </w:r>
            <w:r>
              <w:rPr>
                <w:rFonts w:hint="eastAsia" w:cs="Times New Roman"/>
                <w:bCs/>
                <w:color w:val="auto"/>
                <w:sz w:val="24"/>
                <w:lang w:val="en-US" w:eastAsia="zh-CN"/>
              </w:rPr>
              <w:t>设在</w:t>
            </w:r>
            <w:r>
              <w:rPr>
                <w:rFonts w:hint="eastAsia" w:ascii="Times New Roman" w:hAnsi="Times New Roman" w:eastAsia="宋体" w:cs="Times New Roman"/>
                <w:bCs/>
                <w:color w:val="auto"/>
                <w:sz w:val="24"/>
                <w:lang w:val="en-US" w:eastAsia="zh-CN"/>
              </w:rPr>
              <w:t>密闭房内，</w:t>
            </w:r>
            <w:r>
              <w:rPr>
                <w:rFonts w:hint="default" w:ascii="Times New Roman" w:hAnsi="Times New Roman" w:eastAsia="宋体" w:cs="Times New Roman"/>
                <w:bCs/>
                <w:color w:val="auto"/>
                <w:sz w:val="24"/>
                <w:lang w:val="en-US" w:eastAsia="zh-CN"/>
              </w:rPr>
              <w:t>该工序会产生废气（颗粒物）、</w:t>
            </w:r>
            <w:r>
              <w:rPr>
                <w:rFonts w:hint="eastAsia" w:cs="Times New Roman"/>
                <w:bCs/>
                <w:color w:val="auto"/>
                <w:sz w:val="24"/>
                <w:lang w:val="en-US" w:eastAsia="zh-CN"/>
              </w:rPr>
              <w:t>除尘灰</w:t>
            </w:r>
            <w:r>
              <w:rPr>
                <w:rFonts w:hint="default" w:ascii="Times New Roman" w:hAnsi="Times New Roman" w:eastAsia="宋体" w:cs="Times New Roman"/>
                <w:bCs/>
                <w:color w:val="auto"/>
                <w:sz w:val="24"/>
                <w:lang w:val="en-US" w:eastAsia="zh-CN"/>
              </w:rPr>
              <w:t>及设备噪声</w:t>
            </w:r>
            <w:r>
              <w:rPr>
                <w:rFonts w:hint="eastAsia" w:ascii="Times New Roman" w:hAnsi="Times New Roman" w:eastAsia="宋体" w:cs="Times New Roman"/>
                <w:bCs/>
                <w:color w:val="auto"/>
                <w:sz w:val="24"/>
                <w:lang w:val="en-US" w:eastAsia="zh-CN"/>
              </w:rPr>
              <w:t>。</w:t>
            </w:r>
          </w:p>
          <w:p w14:paraId="533A9166">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w:t>
            </w:r>
            <w:r>
              <w:rPr>
                <w:rFonts w:hint="eastAsia" w:cs="Times New Roman"/>
                <w:bCs/>
                <w:color w:val="auto"/>
                <w:sz w:val="24"/>
                <w:lang w:val="en-US" w:eastAsia="zh-CN"/>
              </w:rPr>
              <w:t>7</w:t>
            </w:r>
            <w:r>
              <w:rPr>
                <w:rFonts w:hint="default" w:ascii="Times New Roman" w:hAnsi="Times New Roman" w:eastAsia="宋体" w:cs="Times New Roman"/>
                <w:bCs/>
                <w:color w:val="auto"/>
                <w:sz w:val="24"/>
                <w:lang w:val="en-US" w:eastAsia="zh-CN"/>
              </w:rPr>
              <w:t>）检测：采用红外线检测设备对工件进行检测，检测完毕后</w:t>
            </w:r>
            <w:r>
              <w:rPr>
                <w:rFonts w:hint="eastAsia" w:cs="Times New Roman"/>
                <w:bCs/>
                <w:color w:val="auto"/>
                <w:sz w:val="24"/>
                <w:lang w:val="en-US" w:eastAsia="zh-CN"/>
              </w:rPr>
              <w:t>，工件</w:t>
            </w:r>
            <w:r>
              <w:rPr>
                <w:rFonts w:hint="eastAsia" w:ascii="Times New Roman" w:hAnsi="Times New Roman" w:eastAsia="宋体" w:cs="Times New Roman"/>
                <w:color w:val="auto"/>
                <w:sz w:val="24"/>
                <w:lang w:eastAsia="zh-CN"/>
              </w:rPr>
              <w:t>规格大于</w:t>
            </w:r>
            <w:r>
              <w:rPr>
                <w:rFonts w:hint="eastAsia" w:ascii="Times New Roman" w:hAnsi="Times New Roman" w:eastAsia="宋体" w:cs="Times New Roman"/>
                <w:color w:val="auto"/>
                <w:sz w:val="24"/>
                <w:lang w:val="en-US" w:eastAsia="zh-CN"/>
              </w:rPr>
              <w:t>200*250mm的工件</w:t>
            </w:r>
            <w:r>
              <w:rPr>
                <w:rFonts w:hint="eastAsia" w:cs="Times New Roman"/>
                <w:color w:val="auto"/>
                <w:sz w:val="24"/>
                <w:lang w:val="en-US" w:eastAsia="zh-CN"/>
              </w:rPr>
              <w:t>外协进行热处理</w:t>
            </w:r>
            <w:r>
              <w:rPr>
                <w:rFonts w:hint="eastAsia" w:cs="Times New Roman"/>
                <w:bCs/>
                <w:color w:val="auto"/>
                <w:sz w:val="24"/>
                <w:lang w:val="en-US" w:eastAsia="zh-CN"/>
              </w:rPr>
              <w:t>（约占工件的90%）</w:t>
            </w:r>
            <w:r>
              <w:rPr>
                <w:rFonts w:hint="eastAsia" w:cs="Times New Roman"/>
                <w:color w:val="auto"/>
                <w:sz w:val="24"/>
                <w:lang w:val="en-US" w:eastAsia="zh-CN"/>
              </w:rPr>
              <w:t>，小于该规格的工件直接进行清洗、喷塑、固化，具体工艺见序号（12）～（14）</w:t>
            </w:r>
            <w:r>
              <w:rPr>
                <w:rFonts w:hint="default" w:ascii="Times New Roman" w:hAnsi="Times New Roman" w:eastAsia="宋体" w:cs="Times New Roman"/>
                <w:bCs/>
                <w:color w:val="auto"/>
                <w:sz w:val="24"/>
                <w:lang w:val="en-US" w:eastAsia="zh-CN"/>
              </w:rPr>
              <w:t>。</w:t>
            </w:r>
          </w:p>
          <w:p w14:paraId="786463D9">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w:t>
            </w:r>
            <w:r>
              <w:rPr>
                <w:rFonts w:hint="eastAsia" w:cs="Times New Roman"/>
                <w:bCs/>
                <w:color w:val="auto"/>
                <w:sz w:val="24"/>
                <w:lang w:val="en-US" w:eastAsia="zh-CN"/>
              </w:rPr>
              <w:t>8</w:t>
            </w:r>
            <w:r>
              <w:rPr>
                <w:rFonts w:hint="default" w:ascii="Times New Roman" w:hAnsi="Times New Roman" w:eastAsia="宋体" w:cs="Times New Roman"/>
                <w:bCs/>
                <w:color w:val="auto"/>
                <w:sz w:val="24"/>
                <w:lang w:val="en-US" w:eastAsia="zh-CN"/>
              </w:rPr>
              <w:t>）热处理：检测完成后的</w:t>
            </w:r>
            <w:r>
              <w:rPr>
                <w:rFonts w:hint="eastAsia" w:cs="Times New Roman"/>
                <w:bCs/>
                <w:color w:val="auto"/>
                <w:sz w:val="24"/>
                <w:lang w:val="en-US" w:eastAsia="zh-CN"/>
              </w:rPr>
              <w:t>工件</w:t>
            </w:r>
            <w:r>
              <w:rPr>
                <w:rFonts w:hint="default" w:ascii="Times New Roman" w:hAnsi="Times New Roman" w:eastAsia="宋体" w:cs="Times New Roman"/>
                <w:bCs/>
                <w:color w:val="auto"/>
                <w:sz w:val="24"/>
                <w:lang w:val="en-US" w:eastAsia="zh-CN"/>
              </w:rPr>
              <w:t>外协宝鸡固泰盛机械制造热处理有限公司进行表面淬火，油淬后的工件需经外协单位将表面沾染淬火油处理干净后转交至我单位。</w:t>
            </w:r>
            <w:r>
              <w:rPr>
                <w:rFonts w:hint="default" w:ascii="Times New Roman" w:hAnsi="Times New Roman" w:cs="Times New Roman"/>
                <w:bCs/>
                <w:color w:val="auto"/>
                <w:sz w:val="24"/>
                <w:lang w:eastAsia="zh-CN"/>
              </w:rPr>
              <w:t>（该外协单位环评及验收手续完善，于</w:t>
            </w:r>
            <w:r>
              <w:rPr>
                <w:rFonts w:hint="default" w:ascii="Times New Roman" w:hAnsi="Times New Roman" w:cs="Times New Roman"/>
                <w:bCs/>
                <w:color w:val="auto"/>
                <w:sz w:val="24"/>
                <w:lang w:val="en-US" w:eastAsia="zh-CN"/>
              </w:rPr>
              <w:t>2021年8月取得宝鸡市生态环境局眉县分局关于</w:t>
            </w:r>
            <w:r>
              <w:rPr>
                <w:rFonts w:hint="default" w:ascii="Times New Roman" w:hAnsi="Times New Roman" w:eastAsia="宋体" w:cs="Times New Roman"/>
                <w:bCs/>
                <w:color w:val="auto"/>
                <w:sz w:val="24"/>
                <w:lang w:val="en-US" w:eastAsia="zh-CN"/>
              </w:rPr>
              <w:t>宝鸡固泰盛机械制造热处理有限公司</w:t>
            </w:r>
            <w:r>
              <w:rPr>
                <w:rFonts w:hint="default" w:ascii="Times New Roman" w:hAnsi="Times New Roman" w:cs="Times New Roman"/>
                <w:bCs/>
                <w:color w:val="auto"/>
                <w:sz w:val="24"/>
                <w:lang w:val="en-US" w:eastAsia="zh-CN"/>
              </w:rPr>
              <w:t>年处理2万吨汽车零部件建设项目环境影响报告表的批复，眉环函</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2021</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63号，于2022年9月进行验收</w:t>
            </w:r>
            <w:r>
              <w:rPr>
                <w:rFonts w:hint="eastAsia" w:cs="Times New Roman"/>
                <w:bCs/>
                <w:color w:val="auto"/>
                <w:sz w:val="24"/>
                <w:lang w:val="en-US" w:eastAsia="zh-CN"/>
              </w:rPr>
              <w:t>。</w:t>
            </w:r>
            <w:r>
              <w:rPr>
                <w:rFonts w:hint="default" w:ascii="Times New Roman" w:hAnsi="Times New Roman" w:cs="Times New Roman"/>
                <w:bCs/>
                <w:color w:val="auto"/>
                <w:sz w:val="24"/>
                <w:lang w:eastAsia="zh-CN"/>
              </w:rPr>
              <w:t>）</w:t>
            </w:r>
          </w:p>
          <w:p w14:paraId="5C040FE3">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w:t>
            </w:r>
            <w:r>
              <w:rPr>
                <w:rFonts w:hint="eastAsia" w:cs="Times New Roman"/>
                <w:bCs/>
                <w:color w:val="auto"/>
                <w:sz w:val="24"/>
                <w:lang w:val="en-US" w:eastAsia="zh-CN"/>
              </w:rPr>
              <w:t>0</w:t>
            </w:r>
            <w:r>
              <w:rPr>
                <w:rFonts w:hint="default" w:ascii="Times New Roman" w:hAnsi="Times New Roman" w:eastAsia="宋体" w:cs="Times New Roman"/>
                <w:bCs/>
                <w:color w:val="auto"/>
                <w:sz w:val="24"/>
                <w:lang w:val="en-US" w:eastAsia="zh-CN"/>
              </w:rPr>
              <w:t>）抛丸：</w:t>
            </w:r>
            <w:r>
              <w:rPr>
                <w:rFonts w:hint="eastAsia" w:cs="Times New Roman"/>
                <w:bCs/>
                <w:color w:val="auto"/>
                <w:sz w:val="24"/>
                <w:lang w:val="en-US" w:eastAsia="zh-CN"/>
              </w:rPr>
              <w:t>经热处理后的工件需进行</w:t>
            </w:r>
            <w:r>
              <w:rPr>
                <w:rFonts w:hint="eastAsia" w:ascii="Times New Roman" w:hAnsi="Times New Roman" w:eastAsia="宋体" w:cs="Times New Roman"/>
                <w:color w:val="auto"/>
                <w:sz w:val="24"/>
                <w:lang w:eastAsia="zh-CN"/>
              </w:rPr>
              <w:t>抛丸</w:t>
            </w:r>
            <w:r>
              <w:rPr>
                <w:rFonts w:hint="eastAsia" w:cs="Times New Roman"/>
                <w:color w:val="auto"/>
                <w:sz w:val="24"/>
                <w:lang w:val="en-US" w:eastAsia="zh-CN"/>
              </w:rPr>
              <w:t>处理</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所用辅料为钢丸，规格为0.5mm，利用高速运动的钢丸冲击工件表面，可去除表面杂质，提高外观质量，该过程会产生粉尘、固废及设备噪声。</w:t>
            </w:r>
          </w:p>
          <w:p w14:paraId="41860567">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（1</w:t>
            </w:r>
            <w:r>
              <w:rPr>
                <w:rFonts w:hint="eastAsia" w:cs="Times New Roman"/>
                <w:bCs/>
                <w:color w:val="auto"/>
                <w:sz w:val="24"/>
                <w:lang w:val="en-US" w:eastAsia="zh-CN"/>
              </w:rPr>
              <w:t>0</w:t>
            </w:r>
            <w:r>
              <w:rPr>
                <w:rFonts w:hint="default" w:ascii="Times New Roman" w:hAnsi="Times New Roman" w:eastAsia="宋体" w:cs="Times New Roman"/>
                <w:bCs/>
                <w:color w:val="auto"/>
                <w:sz w:val="24"/>
                <w:lang w:val="en-US" w:eastAsia="zh-CN"/>
              </w:rPr>
              <w:t>）镀锌：</w:t>
            </w:r>
            <w:r>
              <w:rPr>
                <w:rFonts w:hint="eastAsia" w:cs="Times New Roman"/>
                <w:bCs/>
                <w:color w:val="auto"/>
                <w:sz w:val="24"/>
                <w:lang w:val="en-US" w:eastAsia="zh-CN"/>
              </w:rPr>
              <w:t>经抛丸后约70%的工件</w:t>
            </w:r>
            <w:r>
              <w:rPr>
                <w:rFonts w:hint="default" w:ascii="Times New Roman" w:hAnsi="Times New Roman" w:eastAsia="宋体" w:cs="Times New Roman"/>
                <w:bCs/>
                <w:color w:val="auto"/>
                <w:sz w:val="24"/>
                <w:lang w:val="en-US" w:eastAsia="zh-CN"/>
              </w:rPr>
              <w:t>需要进行表面镀锌</w:t>
            </w:r>
            <w:r>
              <w:rPr>
                <w:rFonts w:hint="eastAsia" w:cs="Times New Roman"/>
                <w:bCs/>
                <w:color w:val="auto"/>
                <w:sz w:val="24"/>
                <w:lang w:val="en-US" w:eastAsia="zh-CN"/>
              </w:rPr>
              <w:t>，本项目委托</w:t>
            </w:r>
            <w:r>
              <w:rPr>
                <w:rFonts w:hint="default" w:ascii="Times New Roman" w:hAnsi="Times New Roman" w:eastAsia="宋体" w:cs="Times New Roman"/>
                <w:bCs/>
                <w:color w:val="auto"/>
                <w:sz w:val="24"/>
                <w:lang w:val="en-US" w:eastAsia="zh-CN"/>
              </w:rPr>
              <w:t>陕西凌云电器集团有限公司</w:t>
            </w:r>
            <w:r>
              <w:rPr>
                <w:rFonts w:hint="eastAsia" w:cs="Times New Roman"/>
                <w:bCs/>
                <w:color w:val="auto"/>
                <w:sz w:val="24"/>
                <w:lang w:val="en-US" w:eastAsia="zh-CN"/>
              </w:rPr>
              <w:t>对其</w:t>
            </w:r>
            <w:r>
              <w:rPr>
                <w:rFonts w:hint="default" w:ascii="Times New Roman" w:hAnsi="Times New Roman" w:eastAsia="宋体" w:cs="Times New Roman"/>
                <w:bCs/>
                <w:color w:val="auto"/>
                <w:sz w:val="24"/>
                <w:lang w:val="en-US" w:eastAsia="zh-CN"/>
              </w:rPr>
              <w:t>进行加工，加工完成后再送回本项目</w:t>
            </w:r>
            <w:r>
              <w:rPr>
                <w:rFonts w:hint="eastAsia" w:cs="Times New Roman"/>
                <w:bCs/>
                <w:color w:val="auto"/>
                <w:sz w:val="24"/>
                <w:lang w:val="en-US" w:eastAsia="zh-CN"/>
              </w:rPr>
              <w:t>外售</w:t>
            </w:r>
            <w:r>
              <w:rPr>
                <w:rFonts w:hint="default" w:ascii="Times New Roman" w:hAnsi="Times New Roman" w:eastAsia="宋体" w:cs="Times New Roman"/>
                <w:bCs/>
                <w:color w:val="auto"/>
                <w:sz w:val="24"/>
                <w:lang w:val="en-US" w:eastAsia="zh-CN"/>
              </w:rPr>
              <w:t>。（该外协单位环评及验收手续完善，于2019年9月2日取得宝鸡市生态环境局关于陕西凌云电器集团有限公司凌云姜谭电子产业园建设项目环境影响报告书的批复，宝市环函</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2019</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383号，于2020年10月份完成验收）。</w:t>
            </w:r>
          </w:p>
          <w:p w14:paraId="62500A14">
            <w:pPr>
              <w:spacing w:line="360" w:lineRule="auto"/>
              <w:ind w:firstLine="480" w:firstLineChars="200"/>
              <w:jc w:val="left"/>
              <w:rPr>
                <w:rFonts w:hint="eastAsia" w:cs="Times New Roman"/>
                <w:bCs/>
                <w:color w:val="auto"/>
                <w:sz w:val="24"/>
                <w:lang w:val="en-US" w:eastAsia="zh-CN"/>
              </w:rPr>
            </w:pP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1</w:t>
            </w:r>
            <w:r>
              <w:rPr>
                <w:rFonts w:hint="eastAsia" w:cs="Times New Roman"/>
                <w:bCs/>
                <w:color w:val="auto"/>
                <w:sz w:val="24"/>
                <w:lang w:val="en-US" w:eastAsia="zh-CN"/>
              </w:rPr>
              <w:t>1</w:t>
            </w:r>
            <w:r>
              <w:rPr>
                <w:rFonts w:hint="default"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清洗：</w:t>
            </w:r>
            <w:r>
              <w:rPr>
                <w:rFonts w:hint="eastAsia" w:cs="Times New Roman"/>
                <w:bCs/>
                <w:color w:val="auto"/>
                <w:sz w:val="24"/>
                <w:lang w:val="en-US" w:eastAsia="zh-CN"/>
              </w:rPr>
              <w:t>清洗生产设施为隧道式，内设6个水槽，分别为预脱脂、主脱脂、水洗1、水洗2、硅烷、水洗3。</w:t>
            </w:r>
          </w:p>
          <w:p w14:paraId="58385C44">
            <w:pPr>
              <w:spacing w:line="360" w:lineRule="auto"/>
              <w:ind w:firstLine="480" w:firstLineChars="200"/>
              <w:jc w:val="left"/>
              <w:rPr>
                <w:rFonts w:hint="eastAsia" w:cs="Times New Roman"/>
                <w:bCs/>
                <w:color w:val="auto"/>
                <w:sz w:val="24"/>
                <w:lang w:val="en-US" w:eastAsia="zh-CN"/>
              </w:rPr>
            </w:pPr>
            <w:r>
              <w:rPr>
                <w:rFonts w:hint="eastAsia" w:cs="Times New Roman"/>
                <w:bCs/>
                <w:color w:val="auto"/>
                <w:sz w:val="24"/>
                <w:lang w:val="en-US" w:eastAsia="zh-CN"/>
              </w:rPr>
              <w:t>预脱脂：主要在主除油槽（1号槽）中放80%水，按2.0%比例加清洗剂XF-30，活性剂XF-30R比例0.2%，放满液位搅拌均匀，配液完成，工件经过人工上件，通过输送至预除油槽处，用已配好的槽液进行喷淋处理（喷淋时间为1min）；每天检查液位情况，定期打捞表面浮油，2～3个月更换槽液，具体视生产情况而定；</w:t>
            </w:r>
          </w:p>
          <w:p w14:paraId="2250F1A9">
            <w:pPr>
              <w:spacing w:line="360" w:lineRule="auto"/>
              <w:ind w:firstLine="480" w:firstLineChars="200"/>
              <w:jc w:val="left"/>
              <w:rPr>
                <w:rFonts w:hint="eastAsia" w:cs="Times New Roman"/>
                <w:bCs/>
                <w:color w:val="auto"/>
                <w:sz w:val="24"/>
                <w:lang w:val="en-US" w:eastAsia="zh-CN"/>
              </w:rPr>
            </w:pPr>
            <w:r>
              <w:rPr>
                <w:rFonts w:hint="eastAsia" w:cs="Times New Roman"/>
                <w:bCs/>
                <w:color w:val="auto"/>
                <w:sz w:val="24"/>
                <w:lang w:val="en-US" w:eastAsia="zh-CN"/>
              </w:rPr>
              <w:t>主脱脂：主要在主除油槽（</w:t>
            </w:r>
            <w:r>
              <w:rPr>
                <w:rFonts w:hint="eastAsia" w:ascii="Times New Roman" w:hAnsi="Times New Roman" w:eastAsia="宋体" w:cs="Times New Roman"/>
                <w:bCs/>
                <w:color w:val="auto"/>
                <w:sz w:val="24"/>
                <w:lang w:val="en-US" w:eastAsia="zh-CN"/>
              </w:rPr>
              <w:t>2号槽</w:t>
            </w:r>
            <w:r>
              <w:rPr>
                <w:rFonts w:hint="eastAsia" w:cs="Times New Roman"/>
                <w:bCs/>
                <w:color w:val="auto"/>
                <w:sz w:val="24"/>
                <w:lang w:val="en-US" w:eastAsia="zh-CN"/>
              </w:rPr>
              <w:t>）中放80%水，按4.0%比例加清洗剂XF-30，活性剂XF-30R比例0.4%，放满液位搅拌均匀，配液完成，工件经输送通过喷淋进行主除油（喷淋时间为2min），每天检查液位情况，定期打捞表面浮油，2～3个月更换槽液，具体视生产情况而定；</w:t>
            </w:r>
          </w:p>
          <w:p w14:paraId="36D06FAB">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eastAsia" w:cs="Times New Roman"/>
                <w:bCs/>
                <w:color w:val="auto"/>
                <w:sz w:val="24"/>
                <w:lang w:val="en-US" w:eastAsia="zh-CN"/>
              </w:rPr>
              <w:t>水洗1：主要在水槽内（3号槽）注入自来水，常温即可，槽内体积2.4m³，通过喷淋对工件进行清洗（喷淋时间为60s），生产时保持溢流，定期更换清洗槽体。</w:t>
            </w:r>
          </w:p>
          <w:p w14:paraId="4194E858">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eastAsia" w:cs="Times New Roman"/>
                <w:bCs/>
                <w:color w:val="auto"/>
                <w:sz w:val="24"/>
                <w:lang w:val="en-US" w:eastAsia="zh-CN"/>
              </w:rPr>
              <w:t>水洗2：主要在水槽内（4号槽）注入自来水，常温即可，槽内体积2.4m³，通过喷淋对工件进行清洗（喷淋时间为60s），生产时保持溢流，定期更换清洗槽体；</w:t>
            </w:r>
          </w:p>
          <w:p w14:paraId="035B1BF5">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eastAsia" w:cs="Times New Roman"/>
                <w:bCs/>
                <w:color w:val="auto"/>
                <w:sz w:val="24"/>
                <w:lang w:val="en-US" w:eastAsia="zh-CN"/>
              </w:rPr>
              <w:t>硅烷：主要在硅烷槽（5号槽）内注入80%自来水，常温，按照2%比例添加硅烷转化B22B，然后将水放满液位。循环均匀后测量pH值即可。工件经输送通过该槽位置进行喷淋处理（喷淋时间为90s），每天检查液位情况，1-2月更换一次（根据产能、水质进行更换）；工件经硅烷处理，可在其</w:t>
            </w:r>
            <w:r>
              <w:rPr>
                <w:rFonts w:hint="eastAsia" w:ascii="Times New Roman" w:hAnsi="Times New Roman" w:eastAsia="宋体" w:cs="Times New Roman"/>
                <w:color w:val="auto"/>
                <w:sz w:val="24"/>
                <w:szCs w:val="24"/>
                <w:lang w:val="en-US" w:eastAsia="zh-CN"/>
              </w:rPr>
              <w:t>表面形成一层致密、均匀的有机-无机杂化膜（固化后形成的硅烷膜厚度极薄，约50-200nm），可大幅提升粉末涂层与基材的附着力、耐腐蚀性。</w:t>
            </w:r>
          </w:p>
          <w:p w14:paraId="52F32972">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eastAsia" w:cs="Times New Roman"/>
                <w:bCs/>
                <w:color w:val="auto"/>
                <w:sz w:val="24"/>
                <w:lang w:val="en-US" w:eastAsia="zh-CN"/>
              </w:rPr>
              <w:t>水洗3：主要在水槽内（6号槽）注入自来水，常温即可，槽内体积2.4m³，通过喷淋对工件进行清洗（喷淋时间为60s），生产时保持溢流，定期更换清洗槽体。</w:t>
            </w:r>
          </w:p>
          <w:p w14:paraId="4DDD2871">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1</w:t>
            </w:r>
            <w:r>
              <w:rPr>
                <w:rFonts w:hint="eastAsia" w:cs="Times New Roman"/>
                <w:bCs/>
                <w:color w:val="auto"/>
                <w:sz w:val="24"/>
                <w:lang w:val="en-US" w:eastAsia="zh-CN"/>
              </w:rPr>
              <w:t>2</w:t>
            </w:r>
            <w:r>
              <w:rPr>
                <w:rFonts w:hint="eastAsia" w:ascii="Times New Roman" w:hAnsi="Times New Roman" w:eastAsia="宋体" w:cs="Times New Roman"/>
                <w:bCs/>
                <w:color w:val="auto"/>
                <w:sz w:val="24"/>
                <w:lang w:eastAsia="zh-CN"/>
              </w:rPr>
              <w:t>）</w:t>
            </w:r>
            <w:r>
              <w:rPr>
                <w:rFonts w:hint="eastAsia" w:cs="Times New Roman"/>
                <w:bCs/>
                <w:color w:val="auto"/>
                <w:sz w:val="24"/>
                <w:lang w:val="en-US" w:eastAsia="zh-CN"/>
              </w:rPr>
              <w:t>喷粉</w:t>
            </w:r>
            <w:r>
              <w:rPr>
                <w:rFonts w:hint="eastAsia" w:ascii="Times New Roman" w:hAnsi="Times New Roman" w:eastAsia="宋体" w:cs="Times New Roman"/>
                <w:bCs/>
                <w:color w:val="auto"/>
                <w:sz w:val="24"/>
                <w:lang w:val="en-US" w:eastAsia="zh-CN"/>
              </w:rPr>
              <w:t>：经清洗</w:t>
            </w:r>
            <w:r>
              <w:rPr>
                <w:rFonts w:hint="eastAsia" w:cs="Times New Roman"/>
                <w:bCs/>
                <w:color w:val="auto"/>
                <w:sz w:val="24"/>
                <w:lang w:val="en-US" w:eastAsia="zh-CN"/>
              </w:rPr>
              <w:t>后</w:t>
            </w:r>
            <w:r>
              <w:rPr>
                <w:rFonts w:hint="eastAsia" w:ascii="Times New Roman" w:hAnsi="Times New Roman" w:eastAsia="宋体" w:cs="Times New Roman"/>
                <w:bCs/>
                <w:color w:val="auto"/>
                <w:sz w:val="24"/>
                <w:lang w:val="en-US" w:eastAsia="zh-CN"/>
              </w:rPr>
              <w:t>的工件进入烘箱烘干</w:t>
            </w:r>
            <w:r>
              <w:rPr>
                <w:rFonts w:hint="eastAsia" w:cs="Times New Roman"/>
                <w:bCs/>
                <w:color w:val="auto"/>
                <w:sz w:val="24"/>
                <w:lang w:val="en-US" w:eastAsia="zh-CN"/>
              </w:rPr>
              <w:t>后</w:t>
            </w:r>
            <w:r>
              <w:rPr>
                <w:rFonts w:hint="eastAsia" w:ascii="Times New Roman" w:hAnsi="Times New Roman" w:eastAsia="宋体" w:cs="Times New Roman"/>
                <w:bCs/>
                <w:color w:val="auto"/>
                <w:sz w:val="24"/>
                <w:lang w:val="en-US" w:eastAsia="zh-CN"/>
              </w:rPr>
              <w:t>进入</w:t>
            </w:r>
            <w:r>
              <w:rPr>
                <w:rFonts w:hint="eastAsia" w:cs="Times New Roman"/>
                <w:bCs/>
                <w:color w:val="auto"/>
                <w:sz w:val="24"/>
                <w:lang w:val="en-US" w:eastAsia="zh-CN"/>
              </w:rPr>
              <w:t>1#</w:t>
            </w:r>
            <w:r>
              <w:rPr>
                <w:rFonts w:hint="eastAsia" w:ascii="Times New Roman" w:hAnsi="Times New Roman" w:eastAsia="宋体" w:cs="Times New Roman"/>
                <w:bCs/>
                <w:color w:val="auto"/>
                <w:sz w:val="24"/>
                <w:lang w:val="en-US" w:eastAsia="zh-CN"/>
              </w:rPr>
              <w:t>喷粉</w:t>
            </w:r>
            <w:r>
              <w:rPr>
                <w:rFonts w:hint="eastAsia" w:cs="Times New Roman"/>
                <w:bCs/>
                <w:color w:val="auto"/>
                <w:sz w:val="24"/>
                <w:lang w:val="en-US" w:eastAsia="zh-CN"/>
              </w:rPr>
              <w:t>房</w:t>
            </w:r>
            <w:r>
              <w:rPr>
                <w:rFonts w:hint="eastAsia" w:ascii="Times New Roman" w:hAnsi="Times New Roman" w:eastAsia="宋体" w:cs="Times New Roman"/>
                <w:bCs/>
                <w:color w:val="auto"/>
                <w:sz w:val="24"/>
                <w:lang w:val="en-US" w:eastAsia="zh-CN"/>
              </w:rPr>
              <w:t>内</w:t>
            </w:r>
            <w:r>
              <w:rPr>
                <w:rFonts w:hint="eastAsia" w:cs="Times New Roman"/>
                <w:bCs/>
                <w:color w:val="auto"/>
                <w:sz w:val="24"/>
                <w:lang w:val="en-US" w:eastAsia="zh-CN"/>
              </w:rPr>
              <w:t>，抛丸后不需要镀锌的工件进入2#喷粉房内。</w:t>
            </w:r>
            <w:r>
              <w:rPr>
                <w:rFonts w:hint="eastAsia" w:ascii="Times New Roman" w:hAnsi="Times New Roman" w:eastAsia="宋体" w:cs="Times New Roman"/>
                <w:bCs/>
                <w:color w:val="auto"/>
                <w:sz w:val="24"/>
                <w:lang w:val="en-US" w:eastAsia="zh-CN"/>
              </w:rPr>
              <w:t>通过喷枪使粉末带负电，吸附到接地的工件表面</w:t>
            </w:r>
            <w:r>
              <w:rPr>
                <w:rFonts w:hint="eastAsia" w:cs="Times New Roman"/>
                <w:bCs/>
                <w:color w:val="auto"/>
                <w:sz w:val="24"/>
                <w:lang w:val="en-US" w:eastAsia="zh-CN"/>
              </w:rPr>
              <w:t>，完成</w:t>
            </w:r>
            <w:r>
              <w:rPr>
                <w:rFonts w:hint="eastAsia" w:ascii="Times New Roman" w:hAnsi="Times New Roman" w:eastAsia="宋体" w:cs="Times New Roman"/>
                <w:bCs/>
                <w:color w:val="auto"/>
                <w:sz w:val="24"/>
                <w:lang w:val="en-US" w:eastAsia="zh-CN"/>
              </w:rPr>
              <w:t>工件喷粉</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该工序会产生粉末，经下吸式旋风回收未吸附的粉末，过滤后可重复使用，减少浪费。会产生部分废粉，该部分废粉沉淀至旋风除尘器下方布袋中，定期清理</w:t>
            </w:r>
            <w:r>
              <w:rPr>
                <w:rFonts w:hint="eastAsia" w:cs="Times New Roman"/>
                <w:bCs/>
                <w:color w:val="auto"/>
                <w:sz w:val="24"/>
                <w:lang w:val="en-US" w:eastAsia="zh-CN"/>
              </w:rPr>
              <w:t>并外售给废</w:t>
            </w:r>
            <w:r>
              <w:rPr>
                <w:rFonts w:hint="eastAsia" w:ascii="Times New Roman" w:hAnsi="Times New Roman" w:eastAsia="宋体" w:cs="Times New Roman"/>
                <w:bCs/>
                <w:color w:val="auto"/>
                <w:sz w:val="24"/>
                <w:lang w:val="en-US" w:eastAsia="zh-CN"/>
              </w:rPr>
              <w:t>粉收购单位。</w:t>
            </w:r>
          </w:p>
          <w:p w14:paraId="1EC0A72A">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1</w:t>
            </w:r>
            <w:r>
              <w:rPr>
                <w:rFonts w:hint="eastAsia" w:cs="Times New Roman"/>
                <w:bCs/>
                <w:color w:val="auto"/>
                <w:sz w:val="24"/>
                <w:lang w:val="en-US" w:eastAsia="zh-CN"/>
              </w:rPr>
              <w:t>3</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固化：喷粉完毕的工件进入固化炉，在180</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220℃下加热15</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30分钟，粉末</w:t>
            </w:r>
            <w:r>
              <w:rPr>
                <w:rFonts w:hint="eastAsia" w:cs="Times New Roman"/>
                <w:bCs/>
                <w:color w:val="auto"/>
                <w:sz w:val="24"/>
                <w:lang w:val="en-US" w:eastAsia="zh-CN"/>
              </w:rPr>
              <w:t>熔化</w:t>
            </w:r>
            <w:r>
              <w:rPr>
                <w:rFonts w:hint="eastAsia" w:ascii="Times New Roman" w:hAnsi="Times New Roman" w:eastAsia="宋体" w:cs="Times New Roman"/>
                <w:bCs/>
                <w:color w:val="auto"/>
                <w:sz w:val="24"/>
                <w:lang w:val="en-US" w:eastAsia="zh-CN"/>
              </w:rPr>
              <w:t>、流平并固化。该工序会产生挥发性有机废气和天然气燃烧废气。</w:t>
            </w:r>
          </w:p>
          <w:p w14:paraId="44BB773E">
            <w:pPr>
              <w:spacing w:line="360" w:lineRule="auto"/>
              <w:ind w:firstLine="480" w:firstLineChars="200"/>
              <w:jc w:val="left"/>
              <w:rPr>
                <w:rFonts w:hint="default"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1</w:t>
            </w:r>
            <w:r>
              <w:rPr>
                <w:rFonts w:hint="eastAsia" w:cs="Times New Roman"/>
                <w:color w:val="auto"/>
                <w:kern w:val="0"/>
                <w:sz w:val="24"/>
                <w:lang w:val="en-US" w:eastAsia="zh-CN"/>
              </w:rPr>
              <w:t>4</w:t>
            </w:r>
            <w:r>
              <w:rPr>
                <w:rFonts w:hint="default" w:ascii="Times New Roman" w:hAnsi="Times New Roman" w:cs="Times New Roman"/>
                <w:color w:val="auto"/>
                <w:kern w:val="0"/>
                <w:sz w:val="24"/>
                <w:lang w:eastAsia="zh-CN"/>
              </w:rPr>
              <w:t>）成品：加工好的成品运至成品区进行存放</w:t>
            </w:r>
            <w:r>
              <w:rPr>
                <w:rFonts w:hint="eastAsia" w:cs="Times New Roman"/>
                <w:color w:val="auto"/>
                <w:kern w:val="0"/>
                <w:sz w:val="24"/>
                <w:lang w:eastAsia="zh-CN"/>
              </w:rPr>
              <w:t>，然后外售</w:t>
            </w:r>
            <w:r>
              <w:rPr>
                <w:rFonts w:hint="default" w:ascii="Times New Roman" w:hAnsi="Times New Roman" w:cs="Times New Roman"/>
                <w:color w:val="auto"/>
                <w:kern w:val="0"/>
                <w:sz w:val="24"/>
                <w:lang w:eastAsia="zh-CN"/>
              </w:rPr>
              <w:t>。</w:t>
            </w:r>
          </w:p>
          <w:p w14:paraId="054E912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rPr>
              <w:t>本项目</w:t>
            </w:r>
            <w:r>
              <w:rPr>
                <w:rFonts w:hint="eastAsia" w:ascii="Times New Roman" w:hAnsi="Times New Roman" w:eastAsia="宋体" w:cs="Times New Roman"/>
                <w:color w:val="auto"/>
                <w:kern w:val="0"/>
                <w:sz w:val="24"/>
                <w:lang w:eastAsia="zh-CN"/>
              </w:rPr>
              <w:t>焊接</w:t>
            </w:r>
            <w:r>
              <w:rPr>
                <w:rFonts w:hint="eastAsia" w:ascii="Times New Roman" w:hAnsi="Times New Roman" w:eastAsia="宋体" w:cs="Times New Roman"/>
                <w:color w:val="auto"/>
                <w:kern w:val="0"/>
                <w:sz w:val="24"/>
                <w:lang w:val="en-US" w:eastAsia="zh-CN"/>
              </w:rPr>
              <w:t>设密闭焊接房，在密闭房上方设集气口收集并处理后高空排放；激光切割设集气口，废气经收集并处理后高空排放；抛丸废气经设备自</w:t>
            </w:r>
            <w:r>
              <w:rPr>
                <w:rFonts w:hint="eastAsia" w:cs="Times New Roman"/>
                <w:color w:val="auto"/>
                <w:kern w:val="0"/>
                <w:sz w:val="24"/>
                <w:lang w:val="en-US" w:eastAsia="zh-CN"/>
              </w:rPr>
              <w:t>带</w:t>
            </w:r>
            <w:r>
              <w:rPr>
                <w:rFonts w:hint="eastAsia" w:ascii="Times New Roman" w:hAnsi="Times New Roman" w:eastAsia="宋体" w:cs="Times New Roman"/>
                <w:color w:val="auto"/>
                <w:kern w:val="0"/>
                <w:sz w:val="24"/>
                <w:lang w:val="en-US" w:eastAsia="zh-CN"/>
              </w:rPr>
              <w:t>除尘器</w:t>
            </w:r>
            <w:r>
              <w:rPr>
                <w:rFonts w:hint="eastAsia" w:cs="Times New Roman"/>
                <w:color w:val="auto"/>
                <w:kern w:val="0"/>
                <w:sz w:val="24"/>
                <w:lang w:val="en-US" w:eastAsia="zh-CN"/>
              </w:rPr>
              <w:t>处理</w:t>
            </w:r>
            <w:r>
              <w:rPr>
                <w:rFonts w:hint="eastAsia" w:ascii="Times New Roman" w:hAnsi="Times New Roman" w:eastAsia="宋体" w:cs="Times New Roman"/>
                <w:color w:val="auto"/>
                <w:kern w:val="0"/>
                <w:sz w:val="24"/>
                <w:lang w:val="en-US" w:eastAsia="zh-CN"/>
              </w:rPr>
              <w:t>后高空排放；固化废气经活性炭处理后高空排放；天然气燃烧废气设低氮燃烧处理后高空排放；</w:t>
            </w:r>
            <w:r>
              <w:rPr>
                <w:rFonts w:hint="eastAsia" w:cs="Times New Roman"/>
                <w:color w:val="auto"/>
                <w:kern w:val="0"/>
                <w:sz w:val="24"/>
                <w:lang w:val="en-US" w:eastAsia="zh-CN"/>
              </w:rPr>
              <w:t>喷粉</w:t>
            </w:r>
            <w:r>
              <w:rPr>
                <w:rFonts w:hint="eastAsia" w:ascii="Times New Roman" w:hAnsi="Times New Roman" w:eastAsia="宋体" w:cs="Times New Roman"/>
                <w:color w:val="auto"/>
                <w:kern w:val="0"/>
                <w:sz w:val="24"/>
                <w:lang w:val="en-US" w:eastAsia="zh-CN"/>
              </w:rPr>
              <w:t>设</w:t>
            </w:r>
            <w:r>
              <w:rPr>
                <w:rFonts w:hint="eastAsia" w:cs="Times New Roman"/>
                <w:color w:val="auto"/>
                <w:kern w:val="0"/>
                <w:sz w:val="24"/>
                <w:lang w:val="en-US" w:eastAsia="zh-CN"/>
              </w:rPr>
              <w:t>密闭</w:t>
            </w:r>
            <w:r>
              <w:rPr>
                <w:rFonts w:hint="eastAsia" w:ascii="Times New Roman" w:hAnsi="Times New Roman" w:eastAsia="宋体" w:cs="Times New Roman"/>
                <w:color w:val="auto"/>
                <w:kern w:val="0"/>
                <w:sz w:val="24"/>
                <w:lang w:val="en-US" w:eastAsia="zh-CN"/>
              </w:rPr>
              <w:t>喷粉房</w:t>
            </w:r>
            <w:r>
              <w:rPr>
                <w:rFonts w:hint="eastAsia" w:cs="Times New Roman"/>
                <w:color w:val="auto"/>
                <w:kern w:val="0"/>
                <w:sz w:val="24"/>
                <w:lang w:val="en-US" w:eastAsia="zh-CN"/>
              </w:rPr>
              <w:t>（1#、2#）</w:t>
            </w:r>
            <w:r>
              <w:rPr>
                <w:rFonts w:hint="eastAsia" w:ascii="Times New Roman" w:hAnsi="Times New Roman" w:eastAsia="宋体" w:cs="Times New Roman"/>
                <w:color w:val="auto"/>
                <w:kern w:val="0"/>
                <w:sz w:val="24"/>
                <w:lang w:val="en-US" w:eastAsia="zh-CN"/>
              </w:rPr>
              <w:t>，</w:t>
            </w:r>
            <w:r>
              <w:rPr>
                <w:rFonts w:hint="eastAsia" w:cs="Times New Roman"/>
                <w:color w:val="auto"/>
                <w:kern w:val="0"/>
                <w:sz w:val="24"/>
                <w:lang w:val="en-US" w:eastAsia="zh-CN"/>
              </w:rPr>
              <w:t>废气经分别收集后由大旋风+精滤处理</w:t>
            </w:r>
            <w:r>
              <w:rPr>
                <w:rFonts w:hint="eastAsia" w:ascii="Times New Roman" w:hAnsi="Times New Roman" w:eastAsia="宋体" w:cs="Times New Roman"/>
                <w:color w:val="auto"/>
                <w:kern w:val="0"/>
                <w:sz w:val="24"/>
                <w:lang w:val="en-US" w:eastAsia="zh-CN"/>
              </w:rPr>
              <w:t>过滤后回用</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部分废粉经沉淀收集后外售</w:t>
            </w:r>
            <w:r>
              <w:rPr>
                <w:rFonts w:hint="eastAsia" w:cs="Times New Roman"/>
                <w:color w:val="auto"/>
                <w:kern w:val="0"/>
                <w:sz w:val="24"/>
                <w:lang w:val="en-US" w:eastAsia="zh-CN"/>
              </w:rPr>
              <w:t>给废</w:t>
            </w:r>
            <w:r>
              <w:rPr>
                <w:rFonts w:hint="eastAsia" w:ascii="Times New Roman" w:hAnsi="Times New Roman" w:eastAsia="宋体" w:cs="Times New Roman"/>
                <w:color w:val="auto"/>
                <w:kern w:val="0"/>
                <w:sz w:val="24"/>
                <w:lang w:val="en-US" w:eastAsia="zh-CN"/>
              </w:rPr>
              <w:t>粉收购单位</w:t>
            </w:r>
            <w:r>
              <w:rPr>
                <w:rFonts w:hint="eastAsia" w:cs="Times New Roman"/>
                <w:color w:val="auto"/>
                <w:kern w:val="0"/>
                <w:sz w:val="24"/>
                <w:lang w:val="en-US" w:eastAsia="zh-CN"/>
              </w:rPr>
              <w:t>，部分废气高空有组织排放</w:t>
            </w:r>
            <w:r>
              <w:rPr>
                <w:rFonts w:hint="eastAsia" w:ascii="Times New Roman" w:hAnsi="Times New Roman" w:eastAsia="宋体" w:cs="Times New Roman"/>
                <w:color w:val="auto"/>
                <w:kern w:val="0"/>
                <w:sz w:val="24"/>
                <w:lang w:val="en-US" w:eastAsia="zh-CN"/>
              </w:rPr>
              <w:t>。</w:t>
            </w:r>
          </w:p>
          <w:p w14:paraId="611852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color w:val="auto"/>
                <w:sz w:val="24"/>
                <w:lang w:eastAsia="zh-CN"/>
              </w:rPr>
            </w:pPr>
            <w:r>
              <w:rPr>
                <w:rFonts w:hint="default" w:ascii="Times New Roman" w:hAnsi="Times New Roman" w:cs="Times New Roman"/>
                <w:color w:val="auto"/>
                <w:kern w:val="0"/>
                <w:sz w:val="24"/>
              </w:rPr>
              <w:t>本项目</w:t>
            </w:r>
            <w:r>
              <w:rPr>
                <w:rFonts w:hint="default" w:ascii="Times New Roman" w:hAnsi="Times New Roman" w:cs="Times New Roman"/>
                <w:color w:val="auto"/>
                <w:kern w:val="0"/>
                <w:sz w:val="24"/>
                <w:lang w:eastAsia="zh-CN"/>
              </w:rPr>
              <w:t>运行</w:t>
            </w:r>
            <w:r>
              <w:rPr>
                <w:rFonts w:hint="default" w:ascii="Times New Roman" w:hAnsi="Times New Roman" w:cs="Times New Roman"/>
                <w:color w:val="auto"/>
                <w:kern w:val="0"/>
                <w:sz w:val="24"/>
              </w:rPr>
              <w:t>过程中会产生</w:t>
            </w:r>
            <w:r>
              <w:rPr>
                <w:rFonts w:hint="default" w:ascii="Times New Roman" w:hAnsi="Times New Roman" w:cs="Times New Roman"/>
                <w:bCs/>
                <w:color w:val="auto"/>
                <w:sz w:val="24"/>
              </w:rPr>
              <w:t>一般固废（</w:t>
            </w:r>
            <w:r>
              <w:rPr>
                <w:rFonts w:hint="default" w:ascii="Times New Roman" w:hAnsi="Times New Roman" w:cs="Times New Roman"/>
                <w:bCs/>
                <w:color w:val="auto"/>
                <w:sz w:val="24"/>
                <w:lang w:eastAsia="zh-CN"/>
              </w:rPr>
              <w:t>废边角料、</w:t>
            </w:r>
            <w:r>
              <w:rPr>
                <w:rFonts w:hint="default" w:ascii="Times New Roman" w:hAnsi="Times New Roman" w:cs="Times New Roman"/>
                <w:bCs/>
                <w:color w:val="auto"/>
                <w:sz w:val="24"/>
              </w:rPr>
              <w:t>废金属屑</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收尘灰</w:t>
            </w:r>
            <w:r>
              <w:rPr>
                <w:rFonts w:hint="eastAsia" w:ascii="Times New Roman" w:hAnsi="Times New Roman" w:cs="Times New Roman"/>
                <w:bCs/>
                <w:color w:val="auto"/>
                <w:sz w:val="24"/>
                <w:lang w:val="en-US" w:eastAsia="zh-CN"/>
              </w:rPr>
              <w:t>、废钢丸、</w:t>
            </w:r>
            <w:r>
              <w:rPr>
                <w:rFonts w:hint="eastAsia" w:cs="Times New Roman"/>
                <w:bCs/>
                <w:color w:val="auto"/>
                <w:sz w:val="24"/>
                <w:lang w:val="en-US" w:eastAsia="zh-CN"/>
              </w:rPr>
              <w:t>喷粉</w:t>
            </w:r>
            <w:r>
              <w:rPr>
                <w:rFonts w:hint="eastAsia" w:ascii="Times New Roman" w:hAnsi="Times New Roman" w:cs="Times New Roman"/>
                <w:bCs/>
                <w:color w:val="auto"/>
                <w:sz w:val="24"/>
                <w:lang w:val="en-US" w:eastAsia="zh-CN"/>
              </w:rPr>
              <w:t>废粉</w:t>
            </w:r>
            <w:r>
              <w:rPr>
                <w:rFonts w:hint="default" w:ascii="Times New Roman" w:hAnsi="Times New Roman" w:cs="Times New Roman"/>
                <w:bCs/>
                <w:color w:val="auto"/>
                <w:sz w:val="24"/>
              </w:rPr>
              <w:t>）及危险废</w:t>
            </w:r>
            <w:r>
              <w:rPr>
                <w:rFonts w:hint="default" w:ascii="Times New Roman" w:hAnsi="Times New Roman" w:cs="Times New Roman"/>
                <w:bCs/>
                <w:color w:val="auto"/>
                <w:sz w:val="24"/>
                <w:lang w:eastAsia="zh-CN"/>
              </w:rPr>
              <w:t>物（</w:t>
            </w:r>
            <w:r>
              <w:rPr>
                <w:rFonts w:hint="eastAsia" w:ascii="Times New Roman" w:hAnsi="Times New Roman" w:cs="Times New Roman"/>
                <w:bCs/>
                <w:color w:val="auto"/>
                <w:sz w:val="24"/>
                <w:lang w:val="en-US" w:eastAsia="zh-CN"/>
              </w:rPr>
              <w:t>污泥、废活性炭、废滤袋、废超滤膜、废槽液、浓盐水、</w:t>
            </w:r>
            <w:r>
              <w:rPr>
                <w:rFonts w:hint="default" w:ascii="Times New Roman" w:hAnsi="Times New Roman" w:cs="Times New Roman"/>
                <w:bCs/>
                <w:color w:val="auto"/>
                <w:sz w:val="24"/>
                <w:lang w:eastAsia="zh-CN"/>
              </w:rPr>
              <w:t>废</w:t>
            </w:r>
            <w:r>
              <w:rPr>
                <w:rFonts w:hint="eastAsia" w:ascii="Times New Roman" w:hAnsi="Times New Roman" w:cs="Times New Roman"/>
                <w:bCs/>
                <w:color w:val="auto"/>
                <w:sz w:val="24"/>
                <w:lang w:eastAsia="zh-CN"/>
              </w:rPr>
              <w:t>矿物</w:t>
            </w:r>
            <w:r>
              <w:rPr>
                <w:rFonts w:hint="default" w:ascii="Times New Roman" w:hAnsi="Times New Roman" w:cs="Times New Roman"/>
                <w:bCs/>
                <w:color w:val="auto"/>
                <w:sz w:val="24"/>
                <w:lang w:eastAsia="zh-CN"/>
              </w:rPr>
              <w:t>油、废油桶、</w:t>
            </w:r>
            <w:r>
              <w:rPr>
                <w:rFonts w:hint="eastAsia" w:ascii="Times New Roman" w:hAnsi="Times New Roman" w:cs="Times New Roman"/>
                <w:bCs/>
                <w:color w:val="auto"/>
                <w:sz w:val="24"/>
                <w:lang w:eastAsia="zh-CN"/>
              </w:rPr>
              <w:t>废切削液</w:t>
            </w:r>
            <w:r>
              <w:rPr>
                <w:rFonts w:hint="eastAsia" w:ascii="Times New Roman" w:hAnsi="Times New Roman" w:cs="Times New Roman"/>
                <w:bCs/>
                <w:color w:val="auto"/>
                <w:sz w:val="24"/>
                <w:lang w:val="en-US" w:eastAsia="zh-CN"/>
              </w:rPr>
              <w:t>桶、废</w:t>
            </w:r>
            <w:r>
              <w:rPr>
                <w:rFonts w:hint="default" w:ascii="Times New Roman" w:hAnsi="Times New Roman" w:cs="Times New Roman"/>
                <w:bCs/>
                <w:color w:val="auto"/>
                <w:sz w:val="24"/>
                <w:lang w:eastAsia="zh-CN"/>
              </w:rPr>
              <w:t>含油抹布、手套）。</w:t>
            </w:r>
          </w:p>
          <w:p w14:paraId="7432E9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cs="Times New Roman"/>
                <w:color w:val="auto"/>
                <w:kern w:val="0"/>
                <w:sz w:val="24"/>
                <w:lang w:val="en-US" w:eastAsia="zh-CN"/>
              </w:rPr>
              <w:t>本项目喷塑生产线清洗所用水产生的废水设污水处理设施，废水经处理后</w:t>
            </w:r>
            <w:r>
              <w:rPr>
                <w:rFonts w:hint="eastAsia" w:cs="Times New Roman"/>
                <w:color w:val="auto"/>
                <w:kern w:val="0"/>
                <w:sz w:val="24"/>
                <w:lang w:val="en-US" w:eastAsia="zh-CN"/>
              </w:rPr>
              <w:t>循环使用</w:t>
            </w:r>
            <w:r>
              <w:rPr>
                <w:rFonts w:hint="eastAsia" w:ascii="Times New Roman" w:hAnsi="Times New Roman" w:cs="Times New Roman"/>
                <w:color w:val="auto"/>
                <w:kern w:val="0"/>
                <w:sz w:val="24"/>
                <w:lang w:val="en-US" w:eastAsia="zh-CN"/>
              </w:rPr>
              <w:t>，无外排废水。</w:t>
            </w:r>
          </w:p>
          <w:p w14:paraId="3BBF263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各污染物来源途径见表2-</w:t>
            </w:r>
            <w:r>
              <w:rPr>
                <w:rFonts w:hint="eastAsia" w:cs="Times New Roman"/>
                <w:bCs/>
                <w:color w:val="auto"/>
                <w:sz w:val="24"/>
                <w:lang w:val="en-US" w:eastAsia="zh-CN"/>
              </w:rPr>
              <w:t>8</w:t>
            </w:r>
            <w:r>
              <w:rPr>
                <w:rFonts w:hint="default" w:ascii="Times New Roman" w:hAnsi="Times New Roman" w:cs="Times New Roman"/>
                <w:bCs/>
                <w:color w:val="auto"/>
                <w:sz w:val="24"/>
              </w:rPr>
              <w:t>。</w:t>
            </w:r>
          </w:p>
          <w:p w14:paraId="7000A117">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 xml:space="preserve">  主要污染物一览表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15"/>
              <w:gridCol w:w="1081"/>
              <w:gridCol w:w="2005"/>
              <w:gridCol w:w="2369"/>
              <w:gridCol w:w="1229"/>
              <w:gridCol w:w="1191"/>
            </w:tblGrid>
            <w:tr w14:paraId="45229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596" w:type="dxa"/>
                  <w:gridSpan w:val="2"/>
                  <w:noWrap w:val="0"/>
                  <w:vAlign w:val="center"/>
                </w:tcPr>
                <w:p w14:paraId="25C9CEFD">
                  <w:pPr>
                    <w:pStyle w:val="126"/>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污染</w:t>
                  </w:r>
                  <w:r>
                    <w:rPr>
                      <w:rFonts w:hint="default" w:ascii="Times New Roman" w:hAnsi="Times New Roman" w:cs="Times New Roman"/>
                      <w:b/>
                      <w:bCs/>
                      <w:color w:val="auto"/>
                      <w:sz w:val="21"/>
                      <w:szCs w:val="21"/>
                    </w:rPr>
                    <w:t>类型</w:t>
                  </w:r>
                </w:p>
              </w:tc>
              <w:tc>
                <w:tcPr>
                  <w:tcW w:w="2005" w:type="dxa"/>
                  <w:noWrap w:val="0"/>
                  <w:vAlign w:val="center"/>
                </w:tcPr>
                <w:p w14:paraId="4B4B4085">
                  <w:pPr>
                    <w:pStyle w:val="126"/>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产生工序</w:t>
                  </w:r>
                </w:p>
              </w:tc>
              <w:tc>
                <w:tcPr>
                  <w:tcW w:w="2369" w:type="dxa"/>
                  <w:noWrap w:val="0"/>
                  <w:vAlign w:val="center"/>
                </w:tcPr>
                <w:p w14:paraId="75BA23EB">
                  <w:pPr>
                    <w:pStyle w:val="126"/>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主要污染物</w:t>
                  </w:r>
                </w:p>
              </w:tc>
              <w:tc>
                <w:tcPr>
                  <w:tcW w:w="1229" w:type="dxa"/>
                  <w:noWrap w:val="0"/>
                  <w:vAlign w:val="center"/>
                </w:tcPr>
                <w:p w14:paraId="6959E550">
                  <w:pPr>
                    <w:pStyle w:val="126"/>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产生位置</w:t>
                  </w:r>
                </w:p>
              </w:tc>
              <w:tc>
                <w:tcPr>
                  <w:tcW w:w="1191" w:type="dxa"/>
                  <w:noWrap w:val="0"/>
                  <w:vAlign w:val="center"/>
                </w:tcPr>
                <w:p w14:paraId="648E6EF9">
                  <w:pPr>
                    <w:pStyle w:val="126"/>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排放方式</w:t>
                  </w:r>
                </w:p>
              </w:tc>
            </w:tr>
            <w:tr w14:paraId="35F8D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restart"/>
                  <w:noWrap w:val="0"/>
                  <w:vAlign w:val="center"/>
                </w:tcPr>
                <w:p w14:paraId="4D5BAA5E">
                  <w:pPr>
                    <w:pStyle w:val="126"/>
                    <w:kinsoku w:val="0"/>
                    <w:overflowPunct w:val="0"/>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废气</w:t>
                  </w:r>
                </w:p>
              </w:tc>
              <w:tc>
                <w:tcPr>
                  <w:tcW w:w="1081" w:type="dxa"/>
                  <w:vMerge w:val="restart"/>
                  <w:noWrap w:val="0"/>
                  <w:vAlign w:val="center"/>
                </w:tcPr>
                <w:p w14:paraId="5EBD00FD">
                  <w:pPr>
                    <w:pStyle w:val="126"/>
                    <w:kinsoku w:val="0"/>
                    <w:overflowPunct w:val="0"/>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生产废气</w:t>
                  </w:r>
                </w:p>
              </w:tc>
              <w:tc>
                <w:tcPr>
                  <w:tcW w:w="2005" w:type="dxa"/>
                  <w:noWrap w:val="0"/>
                  <w:vAlign w:val="center"/>
                </w:tcPr>
                <w:p w14:paraId="5D4DC9DB">
                  <w:pPr>
                    <w:pStyle w:val="126"/>
                    <w:kinsoku w:val="0"/>
                    <w:overflowPunct w:val="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抛丸</w:t>
                  </w:r>
                  <w:r>
                    <w:rPr>
                      <w:rFonts w:hint="default" w:ascii="Times New Roman" w:hAnsi="Times New Roman" w:cs="Times New Roman"/>
                      <w:b w:val="0"/>
                      <w:bCs w:val="0"/>
                      <w:color w:val="auto"/>
                      <w:sz w:val="21"/>
                      <w:szCs w:val="21"/>
                      <w:lang w:eastAsia="zh-CN"/>
                    </w:rPr>
                    <w:t>工序</w:t>
                  </w:r>
                  <w:r>
                    <w:rPr>
                      <w:rFonts w:hint="eastAsia" w:ascii="Times New Roman" w:hAnsi="Times New Roman" w:cs="Times New Roman"/>
                      <w:b w:val="0"/>
                      <w:bCs w:val="0"/>
                      <w:color w:val="auto"/>
                      <w:sz w:val="21"/>
                      <w:szCs w:val="21"/>
                      <w:lang w:eastAsia="zh-CN"/>
                    </w:rPr>
                    <w:t>、切割、</w:t>
                  </w:r>
                  <w:r>
                    <w:rPr>
                      <w:rFonts w:hint="eastAsia" w:ascii="Times New Roman" w:hAnsi="Times New Roman" w:cs="Times New Roman"/>
                      <w:b w:val="0"/>
                      <w:bCs w:val="0"/>
                      <w:color w:val="auto"/>
                      <w:sz w:val="21"/>
                      <w:szCs w:val="21"/>
                      <w:lang w:val="en-US" w:eastAsia="zh-CN"/>
                    </w:rPr>
                    <w:t>焊接</w:t>
                  </w:r>
                </w:p>
              </w:tc>
              <w:tc>
                <w:tcPr>
                  <w:tcW w:w="2369" w:type="dxa"/>
                  <w:noWrap w:val="0"/>
                  <w:vAlign w:val="center"/>
                </w:tcPr>
                <w:p w14:paraId="36F2CC32">
                  <w:pPr>
                    <w:pStyle w:val="126"/>
                    <w:kinsoku w:val="0"/>
                    <w:overflowPunct w:val="0"/>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颗粒物</w:t>
                  </w:r>
                </w:p>
              </w:tc>
              <w:tc>
                <w:tcPr>
                  <w:tcW w:w="1229" w:type="dxa"/>
                  <w:noWrap w:val="0"/>
                  <w:vAlign w:val="center"/>
                </w:tcPr>
                <w:p w14:paraId="507180DE">
                  <w:pPr>
                    <w:pStyle w:val="126"/>
                    <w:kinsoku w:val="0"/>
                    <w:overflowPunct w:val="0"/>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生产车间</w:t>
                  </w:r>
                </w:p>
              </w:tc>
              <w:tc>
                <w:tcPr>
                  <w:tcW w:w="1191" w:type="dxa"/>
                  <w:noWrap w:val="0"/>
                  <w:vAlign w:val="center"/>
                </w:tcPr>
                <w:p w14:paraId="5B0422CC">
                  <w:pPr>
                    <w:pStyle w:val="126"/>
                    <w:kinsoku w:val="0"/>
                    <w:overflowPunct w:val="0"/>
                    <w:rPr>
                      <w:rFonts w:hint="default"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有组织，</w:t>
                  </w:r>
                  <w:r>
                    <w:rPr>
                      <w:rFonts w:hint="default" w:ascii="Times New Roman" w:hAnsi="Times New Roman" w:cs="Times New Roman"/>
                      <w:b w:val="0"/>
                      <w:bCs w:val="0"/>
                      <w:color w:val="auto"/>
                      <w:sz w:val="21"/>
                      <w:szCs w:val="21"/>
                      <w:lang w:eastAsia="zh-CN"/>
                    </w:rPr>
                    <w:t>间歇</w:t>
                  </w:r>
                </w:p>
              </w:tc>
            </w:tr>
            <w:tr w14:paraId="68650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4966D60E">
                  <w:pPr>
                    <w:pStyle w:val="126"/>
                    <w:kinsoku w:val="0"/>
                    <w:overflowPunct w:val="0"/>
                    <w:rPr>
                      <w:rFonts w:hint="default" w:ascii="Times New Roman" w:hAnsi="Times New Roman" w:cs="Times New Roman"/>
                      <w:b w:val="0"/>
                      <w:bCs w:val="0"/>
                      <w:color w:val="auto"/>
                      <w:sz w:val="21"/>
                      <w:szCs w:val="21"/>
                      <w:lang w:eastAsia="zh-CN"/>
                    </w:rPr>
                  </w:pPr>
                </w:p>
              </w:tc>
              <w:tc>
                <w:tcPr>
                  <w:tcW w:w="1081" w:type="dxa"/>
                  <w:vMerge w:val="continue"/>
                  <w:noWrap w:val="0"/>
                  <w:vAlign w:val="center"/>
                </w:tcPr>
                <w:p w14:paraId="7AE6D031">
                  <w:pPr>
                    <w:pStyle w:val="126"/>
                    <w:kinsoku w:val="0"/>
                    <w:overflowPunct w:val="0"/>
                    <w:rPr>
                      <w:rFonts w:hint="default" w:ascii="Times New Roman" w:hAnsi="Times New Roman" w:cs="Times New Roman"/>
                      <w:b w:val="0"/>
                      <w:bCs w:val="0"/>
                      <w:color w:val="auto"/>
                      <w:sz w:val="21"/>
                      <w:szCs w:val="21"/>
                      <w:lang w:eastAsia="zh-CN"/>
                    </w:rPr>
                  </w:pPr>
                </w:p>
              </w:tc>
              <w:tc>
                <w:tcPr>
                  <w:tcW w:w="2005" w:type="dxa"/>
                  <w:noWrap w:val="0"/>
                  <w:vAlign w:val="center"/>
                </w:tcPr>
                <w:p w14:paraId="326AB2EC">
                  <w:pPr>
                    <w:pStyle w:val="126"/>
                    <w:kinsoku w:val="0"/>
                    <w:overflowPunct w:val="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喷粉</w:t>
                  </w:r>
                </w:p>
              </w:tc>
              <w:tc>
                <w:tcPr>
                  <w:tcW w:w="2369" w:type="dxa"/>
                  <w:noWrap w:val="0"/>
                  <w:vAlign w:val="center"/>
                </w:tcPr>
                <w:p w14:paraId="4636E5EF">
                  <w:pPr>
                    <w:pStyle w:val="126"/>
                    <w:kinsoku w:val="0"/>
                    <w:overflowPunct w:val="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颗粒物</w:t>
                  </w:r>
                </w:p>
              </w:tc>
              <w:tc>
                <w:tcPr>
                  <w:tcW w:w="1229" w:type="dxa"/>
                  <w:noWrap w:val="0"/>
                  <w:vAlign w:val="center"/>
                </w:tcPr>
                <w:p w14:paraId="6534E1D5">
                  <w:pPr>
                    <w:kinsoku w:val="0"/>
                    <w:overflowPunct w:val="0"/>
                    <w:jc w:val="center"/>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生产车间</w:t>
                  </w:r>
                </w:p>
              </w:tc>
              <w:tc>
                <w:tcPr>
                  <w:tcW w:w="1191" w:type="dxa"/>
                  <w:noWrap w:val="0"/>
                  <w:vAlign w:val="center"/>
                </w:tcPr>
                <w:p w14:paraId="1C13280C">
                  <w:pPr>
                    <w:kinsoku w:val="0"/>
                    <w:overflowPunct w:val="0"/>
                    <w:rPr>
                      <w:rFonts w:hint="default" w:ascii="Times New Roman" w:hAnsi="Times New Roman"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无组织，</w:t>
                  </w:r>
                  <w:r>
                    <w:rPr>
                      <w:rFonts w:hint="default" w:ascii="Times New Roman" w:hAnsi="Times New Roman" w:cs="Times New Roman"/>
                      <w:b w:val="0"/>
                      <w:bCs w:val="0"/>
                      <w:color w:val="auto"/>
                      <w:sz w:val="21"/>
                      <w:szCs w:val="21"/>
                      <w:lang w:eastAsia="zh-CN"/>
                    </w:rPr>
                    <w:t>间歇</w:t>
                  </w:r>
                </w:p>
              </w:tc>
            </w:tr>
            <w:tr w14:paraId="091B6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6A8431BE">
                  <w:pPr>
                    <w:pStyle w:val="126"/>
                    <w:kinsoku w:val="0"/>
                    <w:overflowPunct w:val="0"/>
                    <w:rPr>
                      <w:rFonts w:hint="default" w:ascii="Times New Roman" w:hAnsi="Times New Roman" w:cs="Times New Roman"/>
                      <w:b w:val="0"/>
                      <w:bCs w:val="0"/>
                      <w:color w:val="auto"/>
                      <w:sz w:val="21"/>
                      <w:szCs w:val="21"/>
                      <w:lang w:eastAsia="zh-CN"/>
                    </w:rPr>
                  </w:pPr>
                </w:p>
              </w:tc>
              <w:tc>
                <w:tcPr>
                  <w:tcW w:w="1081" w:type="dxa"/>
                  <w:vMerge w:val="continue"/>
                  <w:noWrap w:val="0"/>
                  <w:vAlign w:val="center"/>
                </w:tcPr>
                <w:p w14:paraId="5D55A9C9">
                  <w:pPr>
                    <w:pStyle w:val="126"/>
                    <w:kinsoku w:val="0"/>
                    <w:overflowPunct w:val="0"/>
                    <w:rPr>
                      <w:rFonts w:hint="default" w:ascii="Times New Roman" w:hAnsi="Times New Roman" w:cs="Times New Roman"/>
                      <w:b w:val="0"/>
                      <w:bCs w:val="0"/>
                      <w:color w:val="auto"/>
                      <w:sz w:val="21"/>
                      <w:szCs w:val="21"/>
                      <w:lang w:eastAsia="zh-CN"/>
                    </w:rPr>
                  </w:pPr>
                </w:p>
              </w:tc>
              <w:tc>
                <w:tcPr>
                  <w:tcW w:w="2005" w:type="dxa"/>
                  <w:noWrap w:val="0"/>
                  <w:vAlign w:val="center"/>
                </w:tcPr>
                <w:p w14:paraId="2397D795">
                  <w:pPr>
                    <w:pStyle w:val="126"/>
                    <w:kinsoku w:val="0"/>
                    <w:overflowPunct w:val="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天然气燃烧</w:t>
                  </w:r>
                </w:p>
              </w:tc>
              <w:tc>
                <w:tcPr>
                  <w:tcW w:w="2369" w:type="dxa"/>
                  <w:noWrap w:val="0"/>
                  <w:vAlign w:val="center"/>
                </w:tcPr>
                <w:p w14:paraId="205D3ABA">
                  <w:pPr>
                    <w:pStyle w:val="126"/>
                    <w:kinsoku w:val="0"/>
                    <w:overflowPunct w:val="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颗粒物、二氧化硫、氮氧化物</w:t>
                  </w:r>
                </w:p>
              </w:tc>
              <w:tc>
                <w:tcPr>
                  <w:tcW w:w="1229" w:type="dxa"/>
                  <w:noWrap w:val="0"/>
                  <w:vAlign w:val="center"/>
                </w:tcPr>
                <w:p w14:paraId="5E81718F">
                  <w:pPr>
                    <w:kinsoku w:val="0"/>
                    <w:overflowPunct w:val="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生产车间</w:t>
                  </w:r>
                </w:p>
              </w:tc>
              <w:tc>
                <w:tcPr>
                  <w:tcW w:w="1191" w:type="dxa"/>
                  <w:noWrap w:val="0"/>
                  <w:vAlign w:val="center"/>
                </w:tcPr>
                <w:p w14:paraId="65423E8D">
                  <w:pPr>
                    <w:kinsoku w:val="0"/>
                    <w:overflowPunct w:val="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有组织、间歇</w:t>
                  </w:r>
                </w:p>
              </w:tc>
            </w:tr>
            <w:tr w14:paraId="18438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7903B450">
                  <w:pPr>
                    <w:pStyle w:val="126"/>
                    <w:kinsoku w:val="0"/>
                    <w:overflowPunct w:val="0"/>
                    <w:rPr>
                      <w:rFonts w:hint="default" w:ascii="Times New Roman" w:hAnsi="Times New Roman" w:cs="Times New Roman"/>
                      <w:b w:val="0"/>
                      <w:bCs w:val="0"/>
                      <w:color w:val="auto"/>
                      <w:sz w:val="21"/>
                      <w:szCs w:val="21"/>
                      <w:lang w:eastAsia="zh-CN"/>
                    </w:rPr>
                  </w:pPr>
                </w:p>
              </w:tc>
              <w:tc>
                <w:tcPr>
                  <w:tcW w:w="1081" w:type="dxa"/>
                  <w:vMerge w:val="continue"/>
                  <w:noWrap w:val="0"/>
                  <w:vAlign w:val="center"/>
                </w:tcPr>
                <w:p w14:paraId="4B2ADDB1">
                  <w:pPr>
                    <w:pStyle w:val="126"/>
                    <w:kinsoku w:val="0"/>
                    <w:overflowPunct w:val="0"/>
                    <w:rPr>
                      <w:rFonts w:hint="default" w:ascii="Times New Roman" w:hAnsi="Times New Roman" w:cs="Times New Roman"/>
                      <w:b w:val="0"/>
                      <w:bCs w:val="0"/>
                      <w:color w:val="auto"/>
                      <w:sz w:val="21"/>
                      <w:szCs w:val="21"/>
                      <w:lang w:eastAsia="zh-CN"/>
                    </w:rPr>
                  </w:pPr>
                </w:p>
              </w:tc>
              <w:tc>
                <w:tcPr>
                  <w:tcW w:w="2005" w:type="dxa"/>
                  <w:noWrap w:val="0"/>
                  <w:vAlign w:val="center"/>
                </w:tcPr>
                <w:p w14:paraId="7E17DF09">
                  <w:pPr>
                    <w:pStyle w:val="126"/>
                    <w:kinsoku w:val="0"/>
                    <w:overflowPunct w:val="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固化</w:t>
                  </w:r>
                </w:p>
              </w:tc>
              <w:tc>
                <w:tcPr>
                  <w:tcW w:w="2369" w:type="dxa"/>
                  <w:noWrap w:val="0"/>
                  <w:vAlign w:val="center"/>
                </w:tcPr>
                <w:p w14:paraId="26B12F45">
                  <w:pPr>
                    <w:pStyle w:val="126"/>
                    <w:kinsoku w:val="0"/>
                    <w:overflowPunct w:val="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非甲烷总烃</w:t>
                  </w:r>
                </w:p>
              </w:tc>
              <w:tc>
                <w:tcPr>
                  <w:tcW w:w="1229" w:type="dxa"/>
                  <w:noWrap w:val="0"/>
                  <w:vAlign w:val="center"/>
                </w:tcPr>
                <w:p w14:paraId="0010C321">
                  <w:pPr>
                    <w:kinsoku w:val="0"/>
                    <w:overflowPunct w:val="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生产车间</w:t>
                  </w:r>
                </w:p>
              </w:tc>
              <w:tc>
                <w:tcPr>
                  <w:tcW w:w="1191" w:type="dxa"/>
                  <w:noWrap w:val="0"/>
                  <w:vAlign w:val="center"/>
                </w:tcPr>
                <w:p w14:paraId="1A129977">
                  <w:pPr>
                    <w:kinsoku w:val="0"/>
                    <w:overflowPunct w:val="0"/>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有组织、间歇</w:t>
                  </w:r>
                </w:p>
              </w:tc>
            </w:tr>
            <w:tr w14:paraId="30112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restart"/>
                  <w:noWrap w:val="0"/>
                  <w:vAlign w:val="center"/>
                </w:tcPr>
                <w:p w14:paraId="46E31A57">
                  <w:pPr>
                    <w:pStyle w:val="126"/>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1081" w:type="dxa"/>
                  <w:vMerge w:val="restart"/>
                  <w:noWrap w:val="0"/>
                  <w:vAlign w:val="center"/>
                </w:tcPr>
                <w:p w14:paraId="1B25C5C9">
                  <w:pPr>
                    <w:pStyle w:val="126"/>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一般工业</w:t>
                  </w:r>
                </w:p>
                <w:p w14:paraId="25A353E2">
                  <w:pPr>
                    <w:pStyle w:val="126"/>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固废</w:t>
                  </w:r>
                </w:p>
              </w:tc>
              <w:tc>
                <w:tcPr>
                  <w:tcW w:w="2005" w:type="dxa"/>
                  <w:noWrap w:val="0"/>
                  <w:vAlign w:val="center"/>
                </w:tcPr>
                <w:p w14:paraId="691A445C">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喷粉</w:t>
                  </w:r>
                </w:p>
              </w:tc>
              <w:tc>
                <w:tcPr>
                  <w:tcW w:w="2369" w:type="dxa"/>
                  <w:noWrap w:val="0"/>
                  <w:vAlign w:val="center"/>
                </w:tcPr>
                <w:p w14:paraId="5779F10D">
                  <w:pPr>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废粉</w:t>
                  </w:r>
                </w:p>
              </w:tc>
              <w:tc>
                <w:tcPr>
                  <w:tcW w:w="1229" w:type="dxa"/>
                  <w:noWrap w:val="0"/>
                  <w:vAlign w:val="center"/>
                </w:tcPr>
                <w:p w14:paraId="232E06E7">
                  <w:pPr>
                    <w:pStyle w:val="126"/>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1191" w:type="dxa"/>
                  <w:noWrap w:val="0"/>
                  <w:vAlign w:val="center"/>
                </w:tcPr>
                <w:p w14:paraId="6AB36EA3">
                  <w:pPr>
                    <w:pStyle w:val="126"/>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室内，间歇</w:t>
                  </w:r>
                </w:p>
              </w:tc>
            </w:tr>
            <w:tr w14:paraId="31B1A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25131B0F">
                  <w:pPr>
                    <w:pStyle w:val="126"/>
                    <w:kinsoku w:val="0"/>
                    <w:overflowPunct w:val="0"/>
                    <w:rPr>
                      <w:rFonts w:hint="default" w:ascii="Times New Roman" w:hAnsi="Times New Roman" w:cs="Times New Roman"/>
                      <w:color w:val="auto"/>
                      <w:sz w:val="21"/>
                      <w:szCs w:val="21"/>
                    </w:rPr>
                  </w:pPr>
                </w:p>
              </w:tc>
              <w:tc>
                <w:tcPr>
                  <w:tcW w:w="1081" w:type="dxa"/>
                  <w:vMerge w:val="continue"/>
                  <w:noWrap w:val="0"/>
                  <w:vAlign w:val="center"/>
                </w:tcPr>
                <w:p w14:paraId="128C7999">
                  <w:pPr>
                    <w:pStyle w:val="126"/>
                    <w:kinsoku w:val="0"/>
                    <w:overflowPunct w:val="0"/>
                    <w:rPr>
                      <w:rFonts w:hint="default" w:ascii="Times New Roman" w:hAnsi="Times New Roman" w:cs="Times New Roman"/>
                      <w:color w:val="auto"/>
                      <w:sz w:val="21"/>
                      <w:szCs w:val="21"/>
                      <w:lang w:eastAsia="zh-CN"/>
                    </w:rPr>
                  </w:pPr>
                </w:p>
              </w:tc>
              <w:tc>
                <w:tcPr>
                  <w:tcW w:w="2005" w:type="dxa"/>
                  <w:noWrap w:val="0"/>
                  <w:vAlign w:val="center"/>
                </w:tcPr>
                <w:p w14:paraId="4649AECD">
                  <w:pPr>
                    <w:jc w:val="center"/>
                    <w:rPr>
                      <w:rFonts w:hint="default" w:cs="Times New Roman"/>
                      <w:color w:val="auto"/>
                      <w:szCs w:val="21"/>
                      <w:lang w:val="en-US" w:eastAsia="zh-CN"/>
                    </w:rPr>
                  </w:pPr>
                  <w:r>
                    <w:rPr>
                      <w:rFonts w:hint="eastAsia" w:cs="Times New Roman"/>
                      <w:color w:val="auto"/>
                      <w:szCs w:val="21"/>
                      <w:lang w:val="en-US" w:eastAsia="zh-CN"/>
                    </w:rPr>
                    <w:t>切割</w:t>
                  </w:r>
                </w:p>
              </w:tc>
              <w:tc>
                <w:tcPr>
                  <w:tcW w:w="2369" w:type="dxa"/>
                  <w:noWrap w:val="0"/>
                  <w:vAlign w:val="center"/>
                </w:tcPr>
                <w:p w14:paraId="6F2B4104">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废边角料</w:t>
                  </w:r>
                </w:p>
              </w:tc>
              <w:tc>
                <w:tcPr>
                  <w:tcW w:w="1229" w:type="dxa"/>
                  <w:shd w:val="clear" w:color="auto" w:fill="auto"/>
                  <w:noWrap w:val="0"/>
                  <w:vAlign w:val="center"/>
                </w:tcPr>
                <w:p w14:paraId="7835E5EA">
                  <w:pPr>
                    <w:pStyle w:val="126"/>
                    <w:kinsoku w:val="0"/>
                    <w:overflowPunct w:val="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生产车间</w:t>
                  </w:r>
                </w:p>
              </w:tc>
              <w:tc>
                <w:tcPr>
                  <w:tcW w:w="1191" w:type="dxa"/>
                  <w:shd w:val="clear" w:color="auto" w:fill="auto"/>
                  <w:noWrap w:val="0"/>
                  <w:vAlign w:val="center"/>
                </w:tcPr>
                <w:p w14:paraId="104376D0">
                  <w:pPr>
                    <w:pStyle w:val="126"/>
                    <w:kinsoku w:val="0"/>
                    <w:overflowPunct w:val="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室内，间歇</w:t>
                  </w:r>
                </w:p>
              </w:tc>
            </w:tr>
            <w:tr w14:paraId="3E9EF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0C91D2AD">
                  <w:pPr>
                    <w:pStyle w:val="126"/>
                    <w:kinsoku w:val="0"/>
                    <w:overflowPunct w:val="0"/>
                    <w:rPr>
                      <w:rFonts w:hint="default" w:ascii="Times New Roman" w:hAnsi="Times New Roman" w:cs="Times New Roman"/>
                      <w:color w:val="auto"/>
                      <w:sz w:val="21"/>
                      <w:szCs w:val="21"/>
                    </w:rPr>
                  </w:pPr>
                </w:p>
              </w:tc>
              <w:tc>
                <w:tcPr>
                  <w:tcW w:w="1081" w:type="dxa"/>
                  <w:vMerge w:val="continue"/>
                  <w:noWrap w:val="0"/>
                  <w:vAlign w:val="center"/>
                </w:tcPr>
                <w:p w14:paraId="4E422F56">
                  <w:pPr>
                    <w:pStyle w:val="126"/>
                    <w:kinsoku w:val="0"/>
                    <w:overflowPunct w:val="0"/>
                    <w:jc w:val="both"/>
                    <w:rPr>
                      <w:rFonts w:hint="default" w:ascii="Times New Roman" w:hAnsi="Times New Roman" w:cs="Times New Roman"/>
                      <w:color w:val="auto"/>
                      <w:sz w:val="21"/>
                      <w:szCs w:val="21"/>
                      <w:lang w:eastAsia="zh-CN"/>
                    </w:rPr>
                  </w:pPr>
                </w:p>
              </w:tc>
              <w:tc>
                <w:tcPr>
                  <w:tcW w:w="2005" w:type="dxa"/>
                  <w:noWrap w:val="0"/>
                  <w:vAlign w:val="center"/>
                </w:tcPr>
                <w:p w14:paraId="78A18D49">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抛丸、焊接</w:t>
                  </w:r>
                </w:p>
              </w:tc>
              <w:tc>
                <w:tcPr>
                  <w:tcW w:w="2369" w:type="dxa"/>
                  <w:noWrap w:val="0"/>
                  <w:vAlign w:val="center"/>
                </w:tcPr>
                <w:p w14:paraId="19D802F7">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废钢丸、收尘灰</w:t>
                  </w:r>
                </w:p>
              </w:tc>
              <w:tc>
                <w:tcPr>
                  <w:tcW w:w="1229" w:type="dxa"/>
                  <w:noWrap w:val="0"/>
                  <w:vAlign w:val="center"/>
                </w:tcPr>
                <w:p w14:paraId="51B0D245">
                  <w:pPr>
                    <w:pStyle w:val="126"/>
                    <w:kinsoku w:val="0"/>
                    <w:overflowPunct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生产车间</w:t>
                  </w:r>
                </w:p>
              </w:tc>
              <w:tc>
                <w:tcPr>
                  <w:tcW w:w="1191" w:type="dxa"/>
                  <w:noWrap w:val="0"/>
                  <w:vAlign w:val="center"/>
                </w:tcPr>
                <w:p w14:paraId="2CA75BEB">
                  <w:pPr>
                    <w:pStyle w:val="126"/>
                    <w:kinsoku w:val="0"/>
                    <w:overflowPunct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室内、</w:t>
                  </w:r>
                  <w:r>
                    <w:rPr>
                      <w:rFonts w:hint="eastAsia" w:ascii="Times New Roman" w:hAnsi="Times New Roman" w:cs="Times New Roman"/>
                      <w:color w:val="auto"/>
                      <w:sz w:val="21"/>
                      <w:szCs w:val="21"/>
                      <w:lang w:val="en-US" w:eastAsia="zh-CN"/>
                    </w:rPr>
                    <w:t>间歇</w:t>
                  </w:r>
                </w:p>
              </w:tc>
            </w:tr>
            <w:tr w14:paraId="72801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60F5DF1E">
                  <w:pPr>
                    <w:pStyle w:val="126"/>
                    <w:kinsoku w:val="0"/>
                    <w:overflowPunct w:val="0"/>
                    <w:rPr>
                      <w:rFonts w:hint="default" w:ascii="Times New Roman" w:hAnsi="Times New Roman" w:cs="Times New Roman"/>
                      <w:color w:val="auto"/>
                      <w:sz w:val="21"/>
                      <w:szCs w:val="21"/>
                    </w:rPr>
                  </w:pPr>
                </w:p>
              </w:tc>
              <w:tc>
                <w:tcPr>
                  <w:tcW w:w="1081" w:type="dxa"/>
                  <w:vMerge w:val="continue"/>
                  <w:noWrap w:val="0"/>
                  <w:vAlign w:val="center"/>
                </w:tcPr>
                <w:p w14:paraId="1A811ECD">
                  <w:pPr>
                    <w:pStyle w:val="126"/>
                    <w:kinsoku w:val="0"/>
                    <w:overflowPunct w:val="0"/>
                    <w:jc w:val="both"/>
                    <w:rPr>
                      <w:rFonts w:hint="default" w:ascii="Times New Roman" w:hAnsi="Times New Roman" w:cs="Times New Roman"/>
                      <w:color w:val="auto"/>
                      <w:sz w:val="21"/>
                      <w:szCs w:val="21"/>
                      <w:lang w:eastAsia="zh-CN"/>
                    </w:rPr>
                  </w:pPr>
                </w:p>
              </w:tc>
              <w:tc>
                <w:tcPr>
                  <w:tcW w:w="2005" w:type="dxa"/>
                  <w:noWrap w:val="0"/>
                  <w:vAlign w:val="center"/>
                </w:tcPr>
                <w:p w14:paraId="3FC1D46B">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污水处理</w:t>
                  </w:r>
                </w:p>
              </w:tc>
              <w:tc>
                <w:tcPr>
                  <w:tcW w:w="2369" w:type="dxa"/>
                  <w:noWrap w:val="0"/>
                  <w:vAlign w:val="center"/>
                </w:tcPr>
                <w:p w14:paraId="66B0727D">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石英砂</w:t>
                  </w:r>
                </w:p>
              </w:tc>
              <w:tc>
                <w:tcPr>
                  <w:tcW w:w="1229" w:type="dxa"/>
                  <w:shd w:val="clear" w:color="auto" w:fill="auto"/>
                  <w:noWrap w:val="0"/>
                  <w:vAlign w:val="center"/>
                </w:tcPr>
                <w:p w14:paraId="1FC00B0C">
                  <w:pPr>
                    <w:pStyle w:val="126"/>
                    <w:kinsoku w:val="0"/>
                    <w:overflowPunct w:val="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生产车间</w:t>
                  </w:r>
                </w:p>
              </w:tc>
              <w:tc>
                <w:tcPr>
                  <w:tcW w:w="1191" w:type="dxa"/>
                  <w:shd w:val="clear" w:color="auto" w:fill="auto"/>
                  <w:noWrap w:val="0"/>
                  <w:vAlign w:val="center"/>
                </w:tcPr>
                <w:p w14:paraId="3DA79C02">
                  <w:pPr>
                    <w:pStyle w:val="126"/>
                    <w:kinsoku w:val="0"/>
                    <w:overflowPunct w:val="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室内、</w:t>
                  </w:r>
                  <w:r>
                    <w:rPr>
                      <w:rFonts w:hint="eastAsia" w:ascii="Times New Roman" w:hAnsi="Times New Roman" w:cs="Times New Roman"/>
                      <w:color w:val="auto"/>
                      <w:sz w:val="21"/>
                      <w:szCs w:val="21"/>
                      <w:lang w:val="en-US" w:eastAsia="zh-CN"/>
                    </w:rPr>
                    <w:t>间歇</w:t>
                  </w:r>
                </w:p>
              </w:tc>
            </w:tr>
            <w:tr w14:paraId="155D8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6C1C2E56">
                  <w:pPr>
                    <w:pStyle w:val="126"/>
                    <w:kinsoku w:val="0"/>
                    <w:overflowPunct w:val="0"/>
                    <w:rPr>
                      <w:rFonts w:hint="default" w:ascii="Times New Roman" w:hAnsi="Times New Roman" w:cs="Times New Roman"/>
                      <w:color w:val="auto"/>
                      <w:sz w:val="21"/>
                      <w:szCs w:val="21"/>
                    </w:rPr>
                  </w:pPr>
                </w:p>
              </w:tc>
              <w:tc>
                <w:tcPr>
                  <w:tcW w:w="1081" w:type="dxa"/>
                  <w:vMerge w:val="restart"/>
                  <w:noWrap w:val="0"/>
                  <w:vAlign w:val="center"/>
                </w:tcPr>
                <w:p w14:paraId="7D01A93C">
                  <w:pPr>
                    <w:pStyle w:val="126"/>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危险废物</w:t>
                  </w:r>
                </w:p>
              </w:tc>
              <w:tc>
                <w:tcPr>
                  <w:tcW w:w="2005" w:type="dxa"/>
                  <w:noWrap w:val="0"/>
                  <w:vAlign w:val="center"/>
                </w:tcPr>
                <w:p w14:paraId="0294436E">
                  <w:pPr>
                    <w:pStyle w:val="126"/>
                    <w:kinsoku w:val="0"/>
                    <w:overflowPunct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w:t>
                  </w:r>
                  <w:r>
                    <w:rPr>
                      <w:rFonts w:hint="eastAsia" w:ascii="Times New Roman" w:hAnsi="Times New Roman" w:cs="Times New Roman"/>
                      <w:color w:val="auto"/>
                      <w:kern w:val="2"/>
                      <w:sz w:val="21"/>
                      <w:szCs w:val="21"/>
                      <w:lang w:val="en-US" w:eastAsia="zh-CN" w:bidi="ar-SA"/>
                    </w:rPr>
                    <w:t>、废水处理</w:t>
                  </w:r>
                </w:p>
              </w:tc>
              <w:tc>
                <w:tcPr>
                  <w:tcW w:w="2369" w:type="dxa"/>
                  <w:noWrap w:val="0"/>
                  <w:vAlign w:val="center"/>
                </w:tcPr>
                <w:p w14:paraId="29656B3A">
                  <w:pPr>
                    <w:pStyle w:val="126"/>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废活性炭</w:t>
                  </w:r>
                </w:p>
              </w:tc>
              <w:tc>
                <w:tcPr>
                  <w:tcW w:w="1229" w:type="dxa"/>
                  <w:noWrap w:val="0"/>
                  <w:vAlign w:val="center"/>
                </w:tcPr>
                <w:p w14:paraId="294DF699">
                  <w:pPr>
                    <w:pStyle w:val="126"/>
                    <w:kinsoku w:val="0"/>
                    <w:overflowPunct w:val="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生产车间</w:t>
                  </w:r>
                </w:p>
              </w:tc>
              <w:tc>
                <w:tcPr>
                  <w:tcW w:w="1191" w:type="dxa"/>
                  <w:noWrap w:val="0"/>
                  <w:vAlign w:val="center"/>
                </w:tcPr>
                <w:p w14:paraId="67488B93">
                  <w:pPr>
                    <w:pStyle w:val="126"/>
                    <w:kinsoku w:val="0"/>
                    <w:overflowPunct w:val="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r w14:paraId="2C5EC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3A54D870">
                  <w:pPr>
                    <w:pStyle w:val="126"/>
                    <w:kinsoku w:val="0"/>
                    <w:overflowPunct w:val="0"/>
                    <w:rPr>
                      <w:rFonts w:hint="default" w:ascii="Times New Roman" w:hAnsi="Times New Roman" w:cs="Times New Roman"/>
                      <w:color w:val="auto"/>
                      <w:sz w:val="21"/>
                      <w:szCs w:val="21"/>
                    </w:rPr>
                  </w:pPr>
                </w:p>
              </w:tc>
              <w:tc>
                <w:tcPr>
                  <w:tcW w:w="1081" w:type="dxa"/>
                  <w:vMerge w:val="continue"/>
                  <w:noWrap w:val="0"/>
                  <w:vAlign w:val="center"/>
                </w:tcPr>
                <w:p w14:paraId="0C162E25">
                  <w:pPr>
                    <w:pStyle w:val="126"/>
                    <w:kinsoku w:val="0"/>
                    <w:overflowPunct w:val="0"/>
                    <w:rPr>
                      <w:rFonts w:hint="default" w:ascii="Times New Roman" w:hAnsi="Times New Roman" w:cs="Times New Roman"/>
                      <w:color w:val="auto"/>
                      <w:sz w:val="21"/>
                      <w:szCs w:val="21"/>
                      <w:lang w:eastAsia="zh-CN"/>
                    </w:rPr>
                  </w:pPr>
                </w:p>
              </w:tc>
              <w:tc>
                <w:tcPr>
                  <w:tcW w:w="2005" w:type="dxa"/>
                  <w:noWrap w:val="0"/>
                  <w:vAlign w:val="center"/>
                </w:tcPr>
                <w:p w14:paraId="4996E949">
                  <w:pPr>
                    <w:pStyle w:val="126"/>
                    <w:kinsoku w:val="0"/>
                    <w:overflowPunct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工件清洗</w:t>
                  </w:r>
                </w:p>
              </w:tc>
              <w:tc>
                <w:tcPr>
                  <w:tcW w:w="2369" w:type="dxa"/>
                  <w:noWrap w:val="0"/>
                  <w:vAlign w:val="center"/>
                </w:tcPr>
                <w:p w14:paraId="700C83C2">
                  <w:pPr>
                    <w:pStyle w:val="126"/>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废槽液</w:t>
                  </w:r>
                </w:p>
              </w:tc>
              <w:tc>
                <w:tcPr>
                  <w:tcW w:w="1229" w:type="dxa"/>
                  <w:noWrap w:val="0"/>
                  <w:vAlign w:val="center"/>
                </w:tcPr>
                <w:p w14:paraId="40C3AD4D">
                  <w:pPr>
                    <w:pStyle w:val="126"/>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生产车间</w:t>
                  </w:r>
                </w:p>
              </w:tc>
              <w:tc>
                <w:tcPr>
                  <w:tcW w:w="1191" w:type="dxa"/>
                  <w:noWrap w:val="0"/>
                  <w:vAlign w:val="center"/>
                </w:tcPr>
                <w:p w14:paraId="373C3B7D">
                  <w:pPr>
                    <w:pStyle w:val="126"/>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r w14:paraId="344FD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26706045">
                  <w:pPr>
                    <w:pStyle w:val="126"/>
                    <w:kinsoku w:val="0"/>
                    <w:overflowPunct w:val="0"/>
                    <w:rPr>
                      <w:rFonts w:hint="default" w:ascii="Times New Roman" w:hAnsi="Times New Roman" w:cs="Times New Roman"/>
                      <w:color w:val="auto"/>
                      <w:sz w:val="21"/>
                      <w:szCs w:val="21"/>
                    </w:rPr>
                  </w:pPr>
                </w:p>
              </w:tc>
              <w:tc>
                <w:tcPr>
                  <w:tcW w:w="1081" w:type="dxa"/>
                  <w:vMerge w:val="continue"/>
                  <w:noWrap w:val="0"/>
                  <w:vAlign w:val="center"/>
                </w:tcPr>
                <w:p w14:paraId="05021CFA">
                  <w:pPr>
                    <w:pStyle w:val="126"/>
                    <w:kinsoku w:val="0"/>
                    <w:overflowPunct w:val="0"/>
                    <w:rPr>
                      <w:rFonts w:hint="default" w:ascii="Times New Roman" w:hAnsi="Times New Roman" w:cs="Times New Roman"/>
                      <w:color w:val="auto"/>
                      <w:sz w:val="21"/>
                      <w:szCs w:val="21"/>
                      <w:lang w:eastAsia="zh-CN"/>
                    </w:rPr>
                  </w:pPr>
                </w:p>
              </w:tc>
              <w:tc>
                <w:tcPr>
                  <w:tcW w:w="2005" w:type="dxa"/>
                  <w:noWrap w:val="0"/>
                  <w:vAlign w:val="center"/>
                </w:tcPr>
                <w:p w14:paraId="43C32869">
                  <w:pPr>
                    <w:pStyle w:val="126"/>
                    <w:kinsoku w:val="0"/>
                    <w:overflowPunct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废水处理</w:t>
                  </w:r>
                </w:p>
              </w:tc>
              <w:tc>
                <w:tcPr>
                  <w:tcW w:w="2369" w:type="dxa"/>
                  <w:noWrap w:val="0"/>
                  <w:vAlign w:val="center"/>
                </w:tcPr>
                <w:p w14:paraId="10D03A47">
                  <w:pPr>
                    <w:pStyle w:val="126"/>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污泥浓盐水、废滤袋（废超滤膜）、污泥</w:t>
                  </w:r>
                </w:p>
              </w:tc>
              <w:tc>
                <w:tcPr>
                  <w:tcW w:w="1229" w:type="dxa"/>
                  <w:noWrap w:val="0"/>
                  <w:vAlign w:val="center"/>
                </w:tcPr>
                <w:p w14:paraId="1D9D00B9">
                  <w:pPr>
                    <w:pStyle w:val="126"/>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1191" w:type="dxa"/>
                  <w:noWrap w:val="0"/>
                  <w:vAlign w:val="center"/>
                </w:tcPr>
                <w:p w14:paraId="2FFE4C92">
                  <w:pPr>
                    <w:pStyle w:val="126"/>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r w14:paraId="77CDD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509B9AF0">
                  <w:pPr>
                    <w:pStyle w:val="126"/>
                    <w:kinsoku w:val="0"/>
                    <w:overflowPunct w:val="0"/>
                    <w:rPr>
                      <w:rFonts w:hint="default" w:ascii="Times New Roman" w:hAnsi="Times New Roman" w:cs="Times New Roman"/>
                      <w:color w:val="auto"/>
                      <w:sz w:val="21"/>
                      <w:szCs w:val="21"/>
                    </w:rPr>
                  </w:pPr>
                </w:p>
              </w:tc>
              <w:tc>
                <w:tcPr>
                  <w:tcW w:w="1081" w:type="dxa"/>
                  <w:vMerge w:val="continue"/>
                  <w:noWrap w:val="0"/>
                  <w:vAlign w:val="center"/>
                </w:tcPr>
                <w:p w14:paraId="39D7D03B">
                  <w:pPr>
                    <w:pStyle w:val="126"/>
                    <w:kinsoku w:val="0"/>
                    <w:overflowPunct w:val="0"/>
                    <w:rPr>
                      <w:rFonts w:hint="default" w:ascii="Times New Roman" w:hAnsi="Times New Roman" w:cs="Times New Roman"/>
                      <w:color w:val="auto"/>
                      <w:sz w:val="21"/>
                      <w:szCs w:val="21"/>
                      <w:lang w:eastAsia="zh-CN"/>
                    </w:rPr>
                  </w:pPr>
                </w:p>
              </w:tc>
              <w:tc>
                <w:tcPr>
                  <w:tcW w:w="2005" w:type="dxa"/>
                  <w:noWrap w:val="0"/>
                  <w:vAlign w:val="center"/>
                </w:tcPr>
                <w:p w14:paraId="1615D68E">
                  <w:pPr>
                    <w:pStyle w:val="126"/>
                    <w:kinsoku w:val="0"/>
                    <w:overflowPunct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辅助（空压机）</w:t>
                  </w:r>
                </w:p>
              </w:tc>
              <w:tc>
                <w:tcPr>
                  <w:tcW w:w="2369" w:type="dxa"/>
                  <w:noWrap w:val="0"/>
                  <w:vAlign w:val="center"/>
                </w:tcPr>
                <w:p w14:paraId="79081BF1">
                  <w:pPr>
                    <w:pStyle w:val="126"/>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废液压油</w:t>
                  </w:r>
                </w:p>
              </w:tc>
              <w:tc>
                <w:tcPr>
                  <w:tcW w:w="1229" w:type="dxa"/>
                  <w:noWrap w:val="0"/>
                  <w:vAlign w:val="center"/>
                </w:tcPr>
                <w:p w14:paraId="4C7D0828">
                  <w:pPr>
                    <w:pStyle w:val="126"/>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1191" w:type="dxa"/>
                  <w:noWrap w:val="0"/>
                  <w:vAlign w:val="center"/>
                </w:tcPr>
                <w:p w14:paraId="11BDC7F4">
                  <w:pPr>
                    <w:pStyle w:val="126"/>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r w14:paraId="151EF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10CB9B3D">
                  <w:pPr>
                    <w:pStyle w:val="126"/>
                    <w:kinsoku w:val="0"/>
                    <w:overflowPunct w:val="0"/>
                    <w:rPr>
                      <w:rFonts w:hint="default" w:ascii="Times New Roman" w:hAnsi="Times New Roman" w:cs="Times New Roman"/>
                      <w:color w:val="auto"/>
                      <w:sz w:val="21"/>
                      <w:szCs w:val="21"/>
                    </w:rPr>
                  </w:pPr>
                </w:p>
              </w:tc>
              <w:tc>
                <w:tcPr>
                  <w:tcW w:w="1081" w:type="dxa"/>
                  <w:vMerge w:val="continue"/>
                  <w:noWrap w:val="0"/>
                  <w:vAlign w:val="center"/>
                </w:tcPr>
                <w:p w14:paraId="5A7C7F63">
                  <w:pPr>
                    <w:pStyle w:val="126"/>
                    <w:kinsoku w:val="0"/>
                    <w:overflowPunct w:val="0"/>
                    <w:rPr>
                      <w:rFonts w:hint="default" w:ascii="Times New Roman" w:hAnsi="Times New Roman" w:cs="Times New Roman"/>
                      <w:color w:val="auto"/>
                      <w:sz w:val="21"/>
                      <w:szCs w:val="21"/>
                      <w:lang w:eastAsia="zh-CN"/>
                    </w:rPr>
                  </w:pPr>
                </w:p>
              </w:tc>
              <w:tc>
                <w:tcPr>
                  <w:tcW w:w="2005" w:type="dxa"/>
                  <w:noWrap w:val="0"/>
                  <w:vAlign w:val="center"/>
                </w:tcPr>
                <w:p w14:paraId="06D9AA5A">
                  <w:pPr>
                    <w:pStyle w:val="126"/>
                    <w:kinsoku w:val="0"/>
                    <w:overflowPunct w:val="0"/>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全厂</w:t>
                  </w:r>
                </w:p>
              </w:tc>
              <w:tc>
                <w:tcPr>
                  <w:tcW w:w="2369" w:type="dxa"/>
                  <w:noWrap w:val="0"/>
                  <w:vAlign w:val="center"/>
                </w:tcPr>
                <w:p w14:paraId="28CE0CDB">
                  <w:pPr>
                    <w:pStyle w:val="126"/>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废油桶、含油抹布手套</w:t>
                  </w:r>
                </w:p>
              </w:tc>
              <w:tc>
                <w:tcPr>
                  <w:tcW w:w="1229" w:type="dxa"/>
                  <w:noWrap w:val="0"/>
                  <w:vAlign w:val="center"/>
                </w:tcPr>
                <w:p w14:paraId="3972CB51">
                  <w:pPr>
                    <w:pStyle w:val="126"/>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1191" w:type="dxa"/>
                  <w:noWrap w:val="0"/>
                  <w:vAlign w:val="center"/>
                </w:tcPr>
                <w:p w14:paraId="0EBAA5E8">
                  <w:pPr>
                    <w:pStyle w:val="126"/>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r w14:paraId="18455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96" w:type="dxa"/>
                  <w:gridSpan w:val="2"/>
                  <w:noWrap w:val="0"/>
                  <w:vAlign w:val="center"/>
                </w:tcPr>
                <w:p w14:paraId="670FF351">
                  <w:pPr>
                    <w:pStyle w:val="126"/>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2005" w:type="dxa"/>
                  <w:noWrap w:val="0"/>
                  <w:vAlign w:val="center"/>
                </w:tcPr>
                <w:p w14:paraId="1A9500BA">
                  <w:pPr>
                    <w:pStyle w:val="126"/>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设备运转</w:t>
                  </w:r>
                </w:p>
              </w:tc>
              <w:tc>
                <w:tcPr>
                  <w:tcW w:w="2369" w:type="dxa"/>
                  <w:noWrap w:val="0"/>
                  <w:vAlign w:val="center"/>
                </w:tcPr>
                <w:p w14:paraId="1D60C850">
                  <w:pPr>
                    <w:pStyle w:val="126"/>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1229" w:type="dxa"/>
                  <w:noWrap w:val="0"/>
                  <w:vAlign w:val="center"/>
                </w:tcPr>
                <w:p w14:paraId="3210E0D0">
                  <w:pPr>
                    <w:pStyle w:val="126"/>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生产车间</w:t>
                  </w:r>
                </w:p>
              </w:tc>
              <w:tc>
                <w:tcPr>
                  <w:tcW w:w="1191" w:type="dxa"/>
                  <w:noWrap w:val="0"/>
                  <w:vAlign w:val="center"/>
                </w:tcPr>
                <w:p w14:paraId="0296A3B5">
                  <w:pPr>
                    <w:pStyle w:val="126"/>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r w14:paraId="297DA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96" w:type="dxa"/>
                  <w:gridSpan w:val="2"/>
                  <w:noWrap w:val="0"/>
                  <w:vAlign w:val="center"/>
                </w:tcPr>
                <w:p w14:paraId="7F563BD7">
                  <w:pPr>
                    <w:pStyle w:val="126"/>
                    <w:kinsoku w:val="0"/>
                    <w:overflowPunct w:val="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废水</w:t>
                  </w:r>
                </w:p>
              </w:tc>
              <w:tc>
                <w:tcPr>
                  <w:tcW w:w="2005" w:type="dxa"/>
                  <w:noWrap w:val="0"/>
                  <w:vAlign w:val="center"/>
                </w:tcPr>
                <w:p w14:paraId="1BE71541">
                  <w:pPr>
                    <w:pStyle w:val="126"/>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工件</w:t>
                  </w:r>
                  <w:r>
                    <w:rPr>
                      <w:rFonts w:hint="eastAsia" w:ascii="Times New Roman" w:hAnsi="Times New Roman" w:cs="Times New Roman"/>
                      <w:color w:val="auto"/>
                      <w:sz w:val="21"/>
                      <w:szCs w:val="21"/>
                      <w:lang w:val="en-US" w:eastAsia="zh-CN"/>
                    </w:rPr>
                    <w:t>清洗</w:t>
                  </w:r>
                </w:p>
              </w:tc>
              <w:tc>
                <w:tcPr>
                  <w:tcW w:w="2369" w:type="dxa"/>
                  <w:noWrap w:val="0"/>
                  <w:vAlign w:val="center"/>
                </w:tcPr>
                <w:p w14:paraId="568F5562">
                  <w:pPr>
                    <w:pStyle w:val="126"/>
                    <w:kinsoku w:val="0"/>
                    <w:overflowPunct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SS、COD、油类物质、LAS</w:t>
                  </w:r>
                </w:p>
              </w:tc>
              <w:tc>
                <w:tcPr>
                  <w:tcW w:w="1229" w:type="dxa"/>
                  <w:noWrap w:val="0"/>
                  <w:vAlign w:val="center"/>
                </w:tcPr>
                <w:p w14:paraId="445719E3">
                  <w:pPr>
                    <w:pStyle w:val="126"/>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生产车间</w:t>
                  </w:r>
                </w:p>
              </w:tc>
              <w:tc>
                <w:tcPr>
                  <w:tcW w:w="1191" w:type="dxa"/>
                  <w:noWrap w:val="0"/>
                  <w:vAlign w:val="center"/>
                </w:tcPr>
                <w:p w14:paraId="386FCCE6">
                  <w:pPr>
                    <w:pStyle w:val="126"/>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循环使用，不外排</w:t>
                  </w:r>
                </w:p>
              </w:tc>
            </w:tr>
          </w:tbl>
          <w:p w14:paraId="421B900F">
            <w:pPr>
              <w:adjustRightInd w:val="0"/>
              <w:snapToGrid w:val="0"/>
              <w:rPr>
                <w:rFonts w:hint="default" w:ascii="Times New Roman" w:hAnsi="Times New Roman" w:cs="Times New Roman"/>
                <w:bCs/>
                <w:color w:val="auto"/>
                <w:szCs w:val="21"/>
              </w:rPr>
            </w:pPr>
          </w:p>
        </w:tc>
      </w:tr>
      <w:tr w14:paraId="48246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7" w:hRule="atLeast"/>
          <w:jc w:val="center"/>
        </w:trPr>
        <w:tc>
          <w:tcPr>
            <w:tcW w:w="425" w:type="dxa"/>
            <w:noWrap w:val="0"/>
            <w:vAlign w:val="center"/>
          </w:tcPr>
          <w:p w14:paraId="1798AB60">
            <w:pPr>
              <w:pStyle w:val="27"/>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8635" w:type="dxa"/>
            <w:tcBorders>
              <w:bottom w:val="single" w:color="auto" w:sz="4" w:space="0"/>
            </w:tcBorders>
            <w:noWrap w:val="0"/>
            <w:vAlign w:val="center"/>
          </w:tcPr>
          <w:p w14:paraId="06C68FFC">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原有项目环评及验收情况</w:t>
            </w:r>
          </w:p>
          <w:p w14:paraId="4545E8B7">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原有项目于2024年</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购买该地块，</w:t>
            </w:r>
            <w:r>
              <w:rPr>
                <w:rFonts w:hint="default" w:ascii="Times New Roman" w:hAnsi="Times New Roman" w:eastAsia="宋体" w:cs="Times New Roman"/>
                <w:color w:val="auto"/>
                <w:sz w:val="24"/>
              </w:rPr>
              <w:t>占地面积约18413㎡，</w:t>
            </w:r>
            <w:r>
              <w:rPr>
                <w:rFonts w:hint="eastAsia" w:ascii="Times New Roman" w:hAnsi="Times New Roman" w:eastAsia="宋体" w:cs="Times New Roman"/>
                <w:color w:val="auto"/>
                <w:sz w:val="24"/>
                <w:lang w:val="en-US" w:eastAsia="zh-CN"/>
              </w:rPr>
              <w:t>同时对该地块上所有构筑物进行改造，并安装</w:t>
            </w:r>
            <w:r>
              <w:rPr>
                <w:rFonts w:hint="default" w:ascii="Times New Roman" w:hAnsi="Times New Roman" w:eastAsia="宋体" w:cs="Times New Roman"/>
                <w:color w:val="auto"/>
                <w:sz w:val="24"/>
              </w:rPr>
              <w:t>切割机、剪板机、折弯机、冲床、压力机</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立体加工中心等机械设备</w:t>
            </w:r>
            <w:r>
              <w:rPr>
                <w:rFonts w:hint="default" w:ascii="Times New Roman" w:hAnsi="Times New Roman" w:eastAsia="宋体" w:cs="Times New Roman"/>
                <w:color w:val="auto"/>
                <w:sz w:val="24"/>
              </w:rPr>
              <w:t>进行机械零件加工（无铆焊、电焊、碰焊及喷漆作业）</w:t>
            </w:r>
            <w:r>
              <w:rPr>
                <w:rFonts w:hint="eastAsia" w:cs="Times New Roman"/>
                <w:color w:val="auto"/>
                <w:sz w:val="24"/>
                <w:lang w:eastAsia="zh-CN"/>
              </w:rPr>
              <w:t>。</w:t>
            </w:r>
            <w:r>
              <w:rPr>
                <w:rFonts w:hint="default" w:ascii="Times New Roman" w:hAnsi="Times New Roman" w:eastAsia="宋体" w:cs="Times New Roman"/>
                <w:color w:val="auto"/>
                <w:sz w:val="24"/>
                <w:lang w:eastAsia="zh-CN"/>
              </w:rPr>
              <w:t>根据《中华人民共和国环境影响评价法</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建设项目环境保护管理条例》和《建设项目环境影响评价分类管理名录》（</w:t>
            </w:r>
            <w:r>
              <w:rPr>
                <w:rFonts w:hint="default" w:ascii="Times New Roman" w:hAnsi="Times New Roman" w:eastAsia="宋体" w:cs="Times New Roman"/>
                <w:color w:val="auto"/>
                <w:sz w:val="24"/>
                <w:lang w:val="en-US" w:eastAsia="zh-CN"/>
              </w:rPr>
              <w:t>20</w:t>
            </w:r>
            <w:r>
              <w:rPr>
                <w:rFonts w:hint="eastAsia" w:cs="Times New Roman"/>
                <w:color w:val="auto"/>
                <w:sz w:val="24"/>
                <w:lang w:val="en-US" w:eastAsia="zh-CN"/>
              </w:rPr>
              <w:t>21</w:t>
            </w:r>
            <w:r>
              <w:rPr>
                <w:rFonts w:hint="default" w:ascii="Times New Roman" w:hAnsi="Times New Roman" w:eastAsia="宋体" w:cs="Times New Roman"/>
                <w:color w:val="auto"/>
                <w:sz w:val="24"/>
                <w:lang w:val="en-US" w:eastAsia="zh-CN"/>
              </w:rPr>
              <w:t>年版</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金属制品加工制造仅</w:t>
            </w:r>
            <w:r>
              <w:rPr>
                <w:rFonts w:hint="eastAsia" w:cs="Times New Roman"/>
                <w:color w:val="auto"/>
                <w:sz w:val="24"/>
                <w:lang w:val="en-US" w:eastAsia="zh-CN"/>
              </w:rPr>
              <w:t>分割、焊接、组装的，无需办理环评手续</w:t>
            </w:r>
            <w:r>
              <w:rPr>
                <w:rFonts w:hint="default" w:ascii="Times New Roman" w:hAnsi="Times New Roman" w:eastAsia="宋体" w:cs="Times New Roman"/>
                <w:color w:val="auto"/>
                <w:sz w:val="24"/>
                <w:lang w:val="en-US" w:eastAsia="zh-CN"/>
              </w:rPr>
              <w:t>。</w:t>
            </w:r>
          </w:p>
          <w:p w14:paraId="34877AE0">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原有工程污染物实际排放总量</w:t>
            </w:r>
          </w:p>
          <w:p w14:paraId="710BBC35">
            <w:pPr>
              <w:pStyle w:val="2"/>
              <w:keepNext w:val="0"/>
              <w:keepLines w:val="0"/>
              <w:pageBreakBefore w:val="0"/>
              <w:widowControl w:val="0"/>
              <w:kinsoku/>
              <w:wordWrap/>
              <w:overflowPunct/>
              <w:topLinePunct w:val="0"/>
              <w:autoSpaceDE/>
              <w:autoSpaceDN/>
              <w:bidi w:val="0"/>
              <w:adjustRightInd w:val="0"/>
              <w:snapToGrid/>
              <w:spacing w:after="0" w:line="360" w:lineRule="auto"/>
              <w:ind w:left="0" w:lef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原有项目进行排污许可登记，无年度执行报告和自行</w:t>
            </w:r>
            <w:r>
              <w:rPr>
                <w:rFonts w:hint="eastAsia" w:cs="Times New Roman"/>
                <w:color w:val="auto"/>
                <w:kern w:val="2"/>
                <w:sz w:val="24"/>
                <w:szCs w:val="24"/>
                <w:lang w:val="en-US" w:eastAsia="zh-CN" w:bidi="ar-SA"/>
              </w:rPr>
              <w:t>检测报告</w:t>
            </w:r>
            <w:r>
              <w:rPr>
                <w:rFonts w:hint="eastAsia" w:ascii="Times New Roman" w:hAnsi="Times New Roman" w:eastAsia="宋体" w:cs="Times New Roman"/>
                <w:color w:val="auto"/>
                <w:kern w:val="2"/>
                <w:sz w:val="24"/>
                <w:szCs w:val="24"/>
                <w:lang w:val="en-US" w:eastAsia="zh-CN" w:bidi="ar-SA"/>
              </w:rPr>
              <w:t>，故本次废气污染物排放量按照物料平衡法进行核算。</w:t>
            </w:r>
          </w:p>
          <w:p w14:paraId="6937A0EA">
            <w:pPr>
              <w:pStyle w:val="2"/>
              <w:keepNext w:val="0"/>
              <w:keepLines w:val="0"/>
              <w:pageBreakBefore w:val="0"/>
              <w:widowControl w:val="0"/>
              <w:kinsoku/>
              <w:wordWrap/>
              <w:overflowPunct/>
              <w:topLinePunct w:val="0"/>
              <w:autoSpaceDE/>
              <w:autoSpaceDN/>
              <w:bidi w:val="0"/>
              <w:adjustRightInd w:val="0"/>
              <w:snapToGrid/>
              <w:spacing w:after="0" w:line="360" w:lineRule="auto"/>
              <w:ind w:left="0" w:lef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（1）废气：经现场勘查，</w:t>
            </w:r>
            <w:r>
              <w:rPr>
                <w:rFonts w:hint="eastAsia" w:ascii="Times New Roman" w:hAnsi="Times New Roman" w:eastAsia="宋体" w:cs="Times New Roman"/>
                <w:color w:val="auto"/>
                <w:kern w:val="2"/>
                <w:sz w:val="24"/>
                <w:szCs w:val="24"/>
                <w:lang w:val="en-US" w:eastAsia="zh-CN" w:bidi="ar-SA"/>
              </w:rPr>
              <w:t>切割机</w:t>
            </w:r>
            <w:r>
              <w:rPr>
                <w:rFonts w:hint="eastAsia" w:cs="Times New Roman"/>
                <w:color w:val="auto"/>
                <w:kern w:val="2"/>
                <w:sz w:val="24"/>
                <w:szCs w:val="24"/>
                <w:lang w:val="en-US" w:eastAsia="zh-CN" w:bidi="ar-SA"/>
              </w:rPr>
              <w:t>、修磨机等设备</w:t>
            </w:r>
            <w:r>
              <w:rPr>
                <w:rFonts w:hint="eastAsia" w:ascii="Times New Roman" w:hAnsi="Times New Roman" w:eastAsia="宋体" w:cs="Times New Roman"/>
                <w:color w:val="auto"/>
                <w:kern w:val="2"/>
                <w:sz w:val="24"/>
                <w:szCs w:val="24"/>
                <w:lang w:val="en-US" w:eastAsia="zh-CN" w:bidi="ar-SA"/>
              </w:rPr>
              <w:t>运行会产生相应粉尘，设移</w:t>
            </w:r>
            <w:r>
              <w:rPr>
                <w:rFonts w:hint="eastAsia" w:cs="Times New Roman"/>
                <w:color w:val="auto"/>
                <w:kern w:val="2"/>
                <w:sz w:val="24"/>
                <w:szCs w:val="24"/>
                <w:lang w:val="en-US" w:eastAsia="zh-CN" w:bidi="ar-SA"/>
              </w:rPr>
              <w:t>动</w:t>
            </w:r>
            <w:r>
              <w:rPr>
                <w:rFonts w:hint="eastAsia" w:ascii="Times New Roman" w:hAnsi="Times New Roman" w:eastAsia="宋体" w:cs="Times New Roman"/>
                <w:color w:val="auto"/>
                <w:kern w:val="2"/>
                <w:sz w:val="24"/>
                <w:szCs w:val="24"/>
                <w:lang w:val="en-US" w:eastAsia="zh-CN" w:bidi="ar-SA"/>
              </w:rPr>
              <w:t>收尘设施收集处理无组织排放，一般收尘灰产生量约为</w:t>
            </w:r>
            <w:r>
              <w:rPr>
                <w:rFonts w:hint="eastAsia" w:cs="Times New Roman"/>
                <w:color w:val="auto"/>
                <w:kern w:val="2"/>
                <w:sz w:val="24"/>
                <w:szCs w:val="24"/>
                <w:lang w:val="en-US" w:eastAsia="zh-CN" w:bidi="ar-SA"/>
              </w:rPr>
              <w:t>1.67</w:t>
            </w:r>
            <w:r>
              <w:rPr>
                <w:rFonts w:hint="eastAsia" w:ascii="Times New Roman" w:hAnsi="Times New Roman" w:eastAsia="宋体" w:cs="Times New Roman"/>
                <w:color w:val="auto"/>
                <w:kern w:val="2"/>
                <w:sz w:val="24"/>
                <w:szCs w:val="24"/>
                <w:lang w:val="en-US" w:eastAsia="zh-CN" w:bidi="ar-SA"/>
              </w:rPr>
              <w:t>t/a，根据物料平衡法核算，收尘系统收集效率为95%，则无组织废气产生量为</w:t>
            </w:r>
            <w:r>
              <w:rPr>
                <w:rFonts w:hint="eastAsia" w:cs="Times New Roman"/>
                <w:color w:val="auto"/>
                <w:kern w:val="2"/>
                <w:sz w:val="24"/>
                <w:szCs w:val="24"/>
                <w:lang w:val="en-US" w:eastAsia="zh-CN" w:bidi="ar-SA"/>
              </w:rPr>
              <w:t>0.09</w:t>
            </w:r>
            <w:r>
              <w:rPr>
                <w:rFonts w:hint="eastAsia" w:ascii="Times New Roman" w:hAnsi="Times New Roman" w:eastAsia="宋体" w:cs="Times New Roman"/>
                <w:color w:val="auto"/>
                <w:kern w:val="2"/>
                <w:sz w:val="24"/>
                <w:szCs w:val="24"/>
                <w:lang w:val="en-US" w:eastAsia="zh-CN" w:bidi="ar-SA"/>
              </w:rPr>
              <w:t>t/a</w:t>
            </w:r>
            <w:r>
              <w:rPr>
                <w:rFonts w:hint="default" w:ascii="Times New Roman" w:hAnsi="Times New Roman" w:eastAsia="宋体" w:cs="Times New Roman"/>
                <w:color w:val="auto"/>
                <w:kern w:val="2"/>
                <w:sz w:val="24"/>
                <w:szCs w:val="24"/>
                <w:lang w:val="en-US" w:eastAsia="zh-CN" w:bidi="ar-SA"/>
              </w:rPr>
              <w:t>；</w:t>
            </w:r>
          </w:p>
          <w:p w14:paraId="08F203FF">
            <w:pPr>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lang w:eastAsia="zh-CN"/>
              </w:rPr>
              <w:t>）废水：</w:t>
            </w:r>
            <w:r>
              <w:rPr>
                <w:rFonts w:hint="default" w:ascii="Times New Roman" w:hAnsi="Times New Roman" w:eastAsia="宋体" w:cs="Times New Roman"/>
                <w:bCs/>
                <w:color w:val="auto"/>
                <w:sz w:val="24"/>
                <w:szCs w:val="24"/>
              </w:rPr>
              <w:t>生活污水</w:t>
            </w:r>
            <w:r>
              <w:rPr>
                <w:rFonts w:hint="default" w:ascii="Times New Roman" w:hAnsi="Times New Roman" w:eastAsia="宋体" w:cs="Times New Roman"/>
                <w:bCs/>
                <w:color w:val="auto"/>
                <w:sz w:val="24"/>
                <w:szCs w:val="24"/>
                <w:lang w:eastAsia="zh-CN"/>
              </w:rPr>
              <w:t>经厂区公用化粪池</w:t>
            </w:r>
            <w:r>
              <w:rPr>
                <w:rFonts w:hint="eastAsia" w:cs="Times New Roman"/>
                <w:bCs/>
                <w:color w:val="auto"/>
                <w:sz w:val="24"/>
                <w:szCs w:val="24"/>
                <w:lang w:eastAsia="zh-CN"/>
              </w:rPr>
              <w:t>收集，然后拉运至农田用于土壤改良</w:t>
            </w:r>
            <w:r>
              <w:rPr>
                <w:rFonts w:hint="default" w:ascii="Times New Roman" w:hAnsi="Times New Roman" w:eastAsia="宋体" w:cs="Times New Roman"/>
                <w:bCs/>
                <w:color w:val="auto"/>
                <w:sz w:val="24"/>
                <w:szCs w:val="24"/>
                <w:lang w:eastAsia="zh-CN"/>
              </w:rPr>
              <w:t>。</w:t>
            </w:r>
          </w:p>
          <w:p w14:paraId="55291E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sz w:val="24"/>
                <w:szCs w:val="24"/>
                <w:lang w:val="en-US" w:eastAsia="zh-CN"/>
              </w:rPr>
              <w:t>噪声</w:t>
            </w:r>
          </w:p>
          <w:p w14:paraId="03D0FB54">
            <w:pPr>
              <w:keepNext/>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1"/>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eastAsia="zh-CN"/>
              </w:rPr>
              <w:t>原有项目运营过程中产生的噪声主要来源于生产设备，项目采用低噪声设备并布设</w:t>
            </w:r>
            <w:r>
              <w:rPr>
                <w:rFonts w:hint="default" w:ascii="Times New Roman" w:hAnsi="Times New Roman" w:eastAsia="宋体" w:cs="Times New Roman"/>
                <w:color w:val="auto"/>
                <w:sz w:val="24"/>
                <w:szCs w:val="24"/>
                <w:lang w:val="en-US" w:eastAsia="zh-CN"/>
              </w:rPr>
              <w:t>于</w:t>
            </w:r>
            <w:r>
              <w:rPr>
                <w:rFonts w:hint="default" w:ascii="Times New Roman" w:hAnsi="Times New Roman" w:eastAsia="宋体" w:cs="Times New Roman"/>
                <w:color w:val="auto"/>
                <w:sz w:val="24"/>
                <w:szCs w:val="24"/>
                <w:lang w:eastAsia="zh-CN"/>
              </w:rPr>
              <w:t>厂房内，</w:t>
            </w:r>
            <w:r>
              <w:rPr>
                <w:rFonts w:hint="default" w:ascii="Times New Roman" w:hAnsi="Times New Roman" w:eastAsia="宋体" w:cs="Times New Roman"/>
                <w:color w:val="auto"/>
                <w:sz w:val="24"/>
                <w:szCs w:val="24"/>
                <w:lang w:val="en-US" w:eastAsia="zh-CN"/>
              </w:rPr>
              <w:t>项目厂房为砖</w:t>
            </w:r>
            <w:r>
              <w:rPr>
                <w:rFonts w:hint="default" w:ascii="Times New Roman" w:hAnsi="Times New Roman" w:eastAsia="宋体" w:cs="Times New Roman"/>
                <w:color w:val="auto"/>
                <w:sz w:val="24"/>
                <w:szCs w:val="24"/>
                <w:lang w:eastAsia="zh-CN"/>
              </w:rPr>
              <w:t>混结构，通过采取合理布局、厂房隔声有效降低噪声对外环境影响。</w:t>
            </w:r>
          </w:p>
          <w:p w14:paraId="4FED08AB">
            <w:pPr>
              <w:keepNext/>
              <w:keepLines/>
              <w:widowControl/>
              <w:spacing w:line="360" w:lineRule="auto"/>
              <w:ind w:firstLine="480" w:firstLineChars="200"/>
              <w:outlineLvl w:val="1"/>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企业夜间不生产，</w:t>
            </w:r>
            <w:r>
              <w:rPr>
                <w:rFonts w:hint="default" w:ascii="Times New Roman" w:hAnsi="Times New Roman" w:cs="Times New Roman"/>
                <w:color w:val="auto"/>
                <w:sz w:val="24"/>
                <w:szCs w:val="24"/>
                <w:lang w:eastAsia="zh-CN"/>
              </w:rPr>
              <w:t>委托陕西秦景蓝环境检测有限公司于</w:t>
            </w:r>
            <w:r>
              <w:rPr>
                <w:rFonts w:hint="default" w:ascii="Times New Roman" w:hAnsi="Times New Roman" w:cs="Times New Roman"/>
                <w:color w:val="auto"/>
                <w:sz w:val="24"/>
                <w:szCs w:val="24"/>
                <w:lang w:val="en-US" w:eastAsia="zh-CN"/>
              </w:rPr>
              <w:t>202</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年</w:t>
            </w:r>
            <w:r>
              <w:rPr>
                <w:rFonts w:hint="eastAsia"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lang w:val="en-US" w:eastAsia="zh-CN"/>
              </w:rPr>
              <w:t>月</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日对项目厂界四周进行噪声现状监测，共布设4个监测点，每天昼间监测1次，共监测</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天，具体监测数据见下表：</w:t>
            </w:r>
          </w:p>
          <w:p w14:paraId="5F7A72DB">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 xml:space="preserve">   厂界现状噪声监测一览表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097"/>
              <w:gridCol w:w="2097"/>
              <w:gridCol w:w="2097"/>
            </w:tblGrid>
            <w:tr w14:paraId="0C359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restart"/>
                  <w:tcBorders>
                    <w:tl2br w:val="nil"/>
                    <w:tr2bl w:val="nil"/>
                  </w:tcBorders>
                  <w:noWrap w:val="0"/>
                  <w:vAlign w:val="center"/>
                </w:tcPr>
                <w:p w14:paraId="1952CCB7">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监测日期</w:t>
                  </w:r>
                </w:p>
              </w:tc>
              <w:tc>
                <w:tcPr>
                  <w:tcW w:w="1250" w:type="pct"/>
                  <w:vMerge w:val="restart"/>
                  <w:tcBorders>
                    <w:tl2br w:val="nil"/>
                    <w:tr2bl w:val="nil"/>
                  </w:tcBorders>
                  <w:noWrap w:val="0"/>
                  <w:vAlign w:val="center"/>
                </w:tcPr>
                <w:p w14:paraId="77685F9B">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监测点位</w:t>
                  </w:r>
                </w:p>
              </w:tc>
              <w:tc>
                <w:tcPr>
                  <w:tcW w:w="1250" w:type="pct"/>
                  <w:tcBorders>
                    <w:tl2br w:val="nil"/>
                    <w:tr2bl w:val="nil"/>
                  </w:tcBorders>
                  <w:noWrap w:val="0"/>
                  <w:vAlign w:val="center"/>
                </w:tcPr>
                <w:p w14:paraId="376EDF04">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监测时段</w:t>
                  </w:r>
                </w:p>
              </w:tc>
              <w:tc>
                <w:tcPr>
                  <w:tcW w:w="1250" w:type="pct"/>
                  <w:vMerge w:val="restart"/>
                  <w:tcBorders>
                    <w:tl2br w:val="nil"/>
                    <w:tr2bl w:val="nil"/>
                  </w:tcBorders>
                  <w:noWrap w:val="0"/>
                  <w:vAlign w:val="center"/>
                </w:tcPr>
                <w:p w14:paraId="47735E59">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执行标准</w:t>
                  </w:r>
                </w:p>
              </w:tc>
            </w:tr>
            <w:tr w14:paraId="2B47F4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tcBorders>
                    <w:tl2br w:val="nil"/>
                    <w:tr2bl w:val="nil"/>
                  </w:tcBorders>
                  <w:noWrap w:val="0"/>
                  <w:vAlign w:val="center"/>
                </w:tcPr>
                <w:p w14:paraId="02229A25">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c>
                <w:tcPr>
                  <w:tcW w:w="1250" w:type="pct"/>
                  <w:vMerge w:val="continue"/>
                  <w:tcBorders>
                    <w:tl2br w:val="nil"/>
                    <w:tr2bl w:val="nil"/>
                  </w:tcBorders>
                  <w:noWrap w:val="0"/>
                  <w:vAlign w:val="center"/>
                </w:tcPr>
                <w:p w14:paraId="3E32545C">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c>
                <w:tcPr>
                  <w:tcW w:w="1250" w:type="pct"/>
                  <w:tcBorders>
                    <w:tl2br w:val="nil"/>
                    <w:tr2bl w:val="nil"/>
                  </w:tcBorders>
                  <w:noWrap w:val="0"/>
                  <w:vAlign w:val="center"/>
                </w:tcPr>
                <w:p w14:paraId="0638D43C">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昼间</w:t>
                  </w:r>
                </w:p>
              </w:tc>
              <w:tc>
                <w:tcPr>
                  <w:tcW w:w="1250" w:type="pct"/>
                  <w:vMerge w:val="continue"/>
                  <w:tcBorders>
                    <w:tl2br w:val="nil"/>
                    <w:tr2bl w:val="nil"/>
                  </w:tcBorders>
                  <w:noWrap w:val="0"/>
                  <w:vAlign w:val="center"/>
                </w:tcPr>
                <w:p w14:paraId="2F9864E9">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r>
            <w:tr w14:paraId="29C24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restart"/>
                  <w:tcBorders>
                    <w:tl2br w:val="nil"/>
                    <w:tr2bl w:val="nil"/>
                  </w:tcBorders>
                  <w:noWrap w:val="0"/>
                  <w:vAlign w:val="center"/>
                </w:tcPr>
                <w:p w14:paraId="0EA4F707">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11</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4</w:t>
                  </w:r>
                </w:p>
              </w:tc>
              <w:tc>
                <w:tcPr>
                  <w:tcW w:w="1250" w:type="pct"/>
                  <w:tcBorders>
                    <w:tl2br w:val="nil"/>
                    <w:tr2bl w:val="nil"/>
                  </w:tcBorders>
                  <w:noWrap w:val="0"/>
                  <w:vAlign w:val="center"/>
                </w:tcPr>
                <w:p w14:paraId="3EEE49F4">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80" w:leftChars="0" w:hanging="480" w:hanging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东侧厂界</w:t>
                  </w:r>
                </w:p>
              </w:tc>
              <w:tc>
                <w:tcPr>
                  <w:tcW w:w="1250" w:type="pct"/>
                  <w:tcBorders>
                    <w:tl2br w:val="nil"/>
                    <w:tr2bl w:val="nil"/>
                  </w:tcBorders>
                  <w:noWrap w:val="0"/>
                  <w:vAlign w:val="center"/>
                </w:tcPr>
                <w:p w14:paraId="79A40AA2">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1250" w:type="pct"/>
                  <w:vMerge w:val="restart"/>
                  <w:tcBorders>
                    <w:tl2br w:val="nil"/>
                    <w:tr2bl w:val="nil"/>
                  </w:tcBorders>
                  <w:noWrap w:val="0"/>
                  <w:vAlign w:val="center"/>
                </w:tcPr>
                <w:p w14:paraId="37AE3CD3">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东、南、西侧执行</w:t>
                  </w:r>
                  <w:r>
                    <w:rPr>
                      <w:rFonts w:hint="default" w:ascii="Times New Roman" w:hAnsi="Times New Roman" w:cs="Times New Roman"/>
                      <w:color w:val="auto"/>
                      <w:lang w:val="en-US" w:eastAsia="zh-CN"/>
                    </w:rPr>
                    <w:t>《工业企业厂界环境噪声排放标准》GB12348-2008中</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类</w:t>
                  </w:r>
                  <w:r>
                    <w:rPr>
                      <w:rFonts w:hint="eastAsia" w:ascii="Times New Roman" w:hAnsi="Times New Roman" w:cs="Times New Roman"/>
                      <w:color w:val="auto"/>
                      <w:lang w:val="en-US" w:eastAsia="zh-CN"/>
                    </w:rPr>
                    <w:t>，北侧执行</w:t>
                  </w:r>
                  <w:r>
                    <w:rPr>
                      <w:rFonts w:hint="default" w:ascii="Times New Roman" w:hAnsi="Times New Roman" w:cs="Times New Roman"/>
                      <w:color w:val="auto"/>
                      <w:lang w:val="en-US" w:eastAsia="zh-CN"/>
                    </w:rPr>
                    <w:t>《工业企业厂界环境噪声排放标准》GB12348-2008中</w:t>
                  </w:r>
                  <w:r>
                    <w:rPr>
                      <w:rFonts w:hint="eastAsia" w:ascii="Times New Roman" w:hAnsi="Times New Roman" w:cs="Times New Roman"/>
                      <w:color w:val="auto"/>
                      <w:lang w:val="en-US" w:eastAsia="zh-CN"/>
                    </w:rPr>
                    <w:t>4类</w:t>
                  </w:r>
                </w:p>
              </w:tc>
            </w:tr>
            <w:tr w14:paraId="149C5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tcBorders>
                    <w:tl2br w:val="nil"/>
                    <w:tr2bl w:val="nil"/>
                  </w:tcBorders>
                  <w:noWrap w:val="0"/>
                  <w:vAlign w:val="center"/>
                </w:tcPr>
                <w:p w14:paraId="3BFE7FDB">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c>
                <w:tcPr>
                  <w:tcW w:w="1250" w:type="pct"/>
                  <w:tcBorders>
                    <w:tl2br w:val="nil"/>
                    <w:tr2bl w:val="nil"/>
                  </w:tcBorders>
                  <w:noWrap w:val="0"/>
                  <w:vAlign w:val="center"/>
                </w:tcPr>
                <w:p w14:paraId="706AED74">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80" w:leftChars="0" w:hanging="480" w:hanging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南侧厂界</w:t>
                  </w:r>
                </w:p>
              </w:tc>
              <w:tc>
                <w:tcPr>
                  <w:tcW w:w="1250" w:type="pct"/>
                  <w:tcBorders>
                    <w:tl2br w:val="nil"/>
                    <w:tr2bl w:val="nil"/>
                  </w:tcBorders>
                  <w:noWrap w:val="0"/>
                  <w:vAlign w:val="center"/>
                </w:tcPr>
                <w:p w14:paraId="426DAEE8">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60</w:t>
                  </w:r>
                </w:p>
              </w:tc>
              <w:tc>
                <w:tcPr>
                  <w:tcW w:w="1250" w:type="pct"/>
                  <w:vMerge w:val="continue"/>
                  <w:tcBorders>
                    <w:tl2br w:val="nil"/>
                    <w:tr2bl w:val="nil"/>
                  </w:tcBorders>
                  <w:noWrap w:val="0"/>
                  <w:vAlign w:val="center"/>
                </w:tcPr>
                <w:p w14:paraId="3A70A546">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r>
            <w:tr w14:paraId="46C9C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tcBorders>
                    <w:tl2br w:val="nil"/>
                    <w:tr2bl w:val="nil"/>
                  </w:tcBorders>
                  <w:noWrap w:val="0"/>
                  <w:vAlign w:val="center"/>
                </w:tcPr>
                <w:p w14:paraId="70333607">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c>
                <w:tcPr>
                  <w:tcW w:w="1250" w:type="pct"/>
                  <w:tcBorders>
                    <w:tl2br w:val="nil"/>
                    <w:tr2bl w:val="nil"/>
                  </w:tcBorders>
                  <w:noWrap w:val="0"/>
                  <w:vAlign w:val="center"/>
                </w:tcPr>
                <w:p w14:paraId="7ACA539E">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80" w:leftChars="0" w:hanging="480" w:hanging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西侧厂界</w:t>
                  </w:r>
                </w:p>
              </w:tc>
              <w:tc>
                <w:tcPr>
                  <w:tcW w:w="1250" w:type="pct"/>
                  <w:tcBorders>
                    <w:tl2br w:val="nil"/>
                    <w:tr2bl w:val="nil"/>
                  </w:tcBorders>
                  <w:noWrap w:val="0"/>
                  <w:vAlign w:val="center"/>
                </w:tcPr>
                <w:p w14:paraId="438D1498">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64</w:t>
                  </w:r>
                </w:p>
              </w:tc>
              <w:tc>
                <w:tcPr>
                  <w:tcW w:w="1250" w:type="pct"/>
                  <w:vMerge w:val="continue"/>
                  <w:tcBorders>
                    <w:tl2br w:val="nil"/>
                    <w:tr2bl w:val="nil"/>
                  </w:tcBorders>
                  <w:noWrap w:val="0"/>
                  <w:vAlign w:val="center"/>
                </w:tcPr>
                <w:p w14:paraId="375D191E">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r>
            <w:tr w14:paraId="2BD5B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tcBorders>
                    <w:tl2br w:val="nil"/>
                    <w:tr2bl w:val="nil"/>
                  </w:tcBorders>
                  <w:noWrap w:val="0"/>
                  <w:vAlign w:val="center"/>
                </w:tcPr>
                <w:p w14:paraId="3775D151">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c>
                <w:tcPr>
                  <w:tcW w:w="1250" w:type="pct"/>
                  <w:tcBorders>
                    <w:tl2br w:val="nil"/>
                    <w:tr2bl w:val="nil"/>
                  </w:tcBorders>
                  <w:noWrap w:val="0"/>
                  <w:vAlign w:val="center"/>
                </w:tcPr>
                <w:p w14:paraId="57E5DD5B">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80" w:leftChars="0" w:hanging="480" w:hanging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北侧厂界</w:t>
                  </w:r>
                </w:p>
              </w:tc>
              <w:tc>
                <w:tcPr>
                  <w:tcW w:w="1250" w:type="pct"/>
                  <w:tcBorders>
                    <w:tl2br w:val="nil"/>
                    <w:tr2bl w:val="nil"/>
                  </w:tcBorders>
                  <w:noWrap w:val="0"/>
                  <w:vAlign w:val="center"/>
                </w:tcPr>
                <w:p w14:paraId="2CF5A243">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62</w:t>
                  </w:r>
                </w:p>
              </w:tc>
              <w:tc>
                <w:tcPr>
                  <w:tcW w:w="1250" w:type="pct"/>
                  <w:vMerge w:val="continue"/>
                  <w:tcBorders>
                    <w:tl2br w:val="nil"/>
                    <w:tr2bl w:val="nil"/>
                  </w:tcBorders>
                  <w:noWrap w:val="0"/>
                  <w:vAlign w:val="center"/>
                </w:tcPr>
                <w:p w14:paraId="009D3AC5">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r>
          </w:tbl>
          <w:p w14:paraId="362F70BE">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根据监测结果可知，项目厂界四周环境噪声值满足《工业企业厂界环境噪声排放标准》GB12348-2008中</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类</w:t>
            </w:r>
            <w:r>
              <w:rPr>
                <w:rFonts w:hint="eastAsia" w:ascii="Times New Roman" w:hAnsi="Times New Roman" w:cs="Times New Roman"/>
                <w:color w:val="auto"/>
                <w:lang w:val="en-US" w:eastAsia="zh-CN"/>
              </w:rPr>
              <w:t>、4类相应限值要求</w:t>
            </w:r>
            <w:r>
              <w:rPr>
                <w:rFonts w:hint="default" w:ascii="Times New Roman" w:hAnsi="Times New Roman" w:cs="Times New Roman"/>
                <w:color w:val="auto"/>
                <w:lang w:val="en-US" w:eastAsia="zh-CN"/>
              </w:rPr>
              <w:t>。</w:t>
            </w:r>
          </w:p>
          <w:p w14:paraId="6E892B8F">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原有项目现状监测点位图见图2-2：</w:t>
            </w:r>
          </w:p>
          <w:p w14:paraId="73CCD0E2">
            <w:pPr>
              <w:keepNext/>
              <w:keepLines/>
              <w:pageBreakBefore w:val="0"/>
              <w:widowControl/>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cs="Times New Roman"/>
                <w:color w:val="auto"/>
              </w:rPr>
            </w:pPr>
            <w:r>
              <w:rPr>
                <w:color w:val="auto"/>
              </w:rPr>
              <w:drawing>
                <wp:inline distT="0" distB="0" distL="114300" distR="114300">
                  <wp:extent cx="4629150" cy="5143500"/>
                  <wp:effectExtent l="9525" t="9525" r="9525" b="9525"/>
                  <wp:docPr id="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3"/>
                          <pic:cNvPicPr>
                            <a:picLocks noChangeAspect="1"/>
                          </pic:cNvPicPr>
                        </pic:nvPicPr>
                        <pic:blipFill>
                          <a:blip r:embed="rId15"/>
                          <a:stretch>
                            <a:fillRect/>
                          </a:stretch>
                        </pic:blipFill>
                        <pic:spPr>
                          <a:xfrm>
                            <a:off x="0" y="0"/>
                            <a:ext cx="4629150" cy="514350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1ED34B69">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1"/>
                <w:szCs w:val="21"/>
                <w:lang w:val="en-US" w:eastAsia="zh-CN"/>
              </w:rPr>
              <w:t>图2-2    噪声监测点位示意图</w:t>
            </w:r>
          </w:p>
          <w:p w14:paraId="3BBB2248">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）固废</w:t>
            </w:r>
          </w:p>
          <w:p w14:paraId="21C06A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原有</w:t>
            </w:r>
            <w:r>
              <w:rPr>
                <w:rFonts w:hint="default" w:ascii="Times New Roman" w:hAnsi="Times New Roman" w:eastAsia="宋体" w:cs="Times New Roman"/>
                <w:color w:val="auto"/>
                <w:sz w:val="24"/>
                <w:szCs w:val="24"/>
              </w:rPr>
              <w:t>项目固体废弃物主要为废金属屑、废边角料、</w:t>
            </w:r>
            <w:r>
              <w:rPr>
                <w:rFonts w:hint="eastAsia" w:ascii="Times New Roman" w:hAnsi="Times New Roman" w:eastAsia="宋体" w:cs="Times New Roman"/>
                <w:color w:val="auto"/>
                <w:sz w:val="24"/>
                <w:szCs w:val="24"/>
                <w:lang w:val="en-US" w:eastAsia="zh-CN"/>
              </w:rPr>
              <w:t>废砂轮片、</w:t>
            </w:r>
            <w:r>
              <w:rPr>
                <w:rFonts w:hint="eastAsia" w:ascii="Times New Roman" w:hAnsi="Times New Roman" w:eastAsia="宋体" w:cs="Times New Roman"/>
                <w:color w:val="auto"/>
                <w:sz w:val="24"/>
                <w:szCs w:val="24"/>
                <w:lang w:eastAsia="zh-CN"/>
              </w:rPr>
              <w:t>收尘灰、</w:t>
            </w:r>
            <w:r>
              <w:rPr>
                <w:rFonts w:hint="default" w:ascii="Times New Roman" w:hAnsi="Times New Roman" w:eastAsia="宋体" w:cs="Times New Roman"/>
                <w:color w:val="auto"/>
                <w:sz w:val="24"/>
                <w:szCs w:val="24"/>
              </w:rPr>
              <w:t>生活垃圾及危险废物（废</w:t>
            </w:r>
            <w:r>
              <w:rPr>
                <w:rFonts w:hint="default" w:ascii="Times New Roman" w:hAnsi="Times New Roman" w:eastAsia="宋体" w:cs="Times New Roman"/>
                <w:color w:val="auto"/>
                <w:sz w:val="24"/>
                <w:szCs w:val="24"/>
                <w:lang w:val="en-US" w:eastAsia="zh-CN"/>
              </w:rPr>
              <w:t>切削</w:t>
            </w:r>
            <w:r>
              <w:rPr>
                <w:rFonts w:hint="default" w:ascii="Times New Roman" w:hAnsi="Times New Roman" w:eastAsia="宋体" w:cs="Times New Roman"/>
                <w:color w:val="auto"/>
                <w:sz w:val="24"/>
                <w:szCs w:val="24"/>
                <w:lang w:eastAsia="zh-CN"/>
              </w:rPr>
              <w:t>液、</w:t>
            </w:r>
            <w:r>
              <w:rPr>
                <w:rFonts w:hint="default" w:ascii="Times New Roman" w:hAnsi="Times New Roman" w:eastAsia="宋体" w:cs="Times New Roman"/>
                <w:color w:val="auto"/>
                <w:sz w:val="24"/>
                <w:szCs w:val="24"/>
                <w:lang w:val="en-US" w:eastAsia="zh-CN"/>
              </w:rPr>
              <w:t>废润滑油</w:t>
            </w:r>
            <w:r>
              <w:rPr>
                <w:rFonts w:hint="eastAsia" w:cs="Times New Roman"/>
                <w:color w:val="auto"/>
                <w:sz w:val="24"/>
                <w:szCs w:val="24"/>
                <w:lang w:val="en-US" w:eastAsia="zh-CN"/>
              </w:rPr>
              <w:t>、废液压油</w:t>
            </w:r>
            <w:r>
              <w:rPr>
                <w:rFonts w:hint="default" w:ascii="Times New Roman" w:hAnsi="Times New Roman" w:eastAsia="宋体" w:cs="Times New Roman"/>
                <w:color w:val="auto"/>
                <w:sz w:val="24"/>
                <w:szCs w:val="24"/>
              </w:rPr>
              <w:t>及废含油抹布手套）。</w:t>
            </w:r>
          </w:p>
          <w:p w14:paraId="6E4B9A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根据实际调查，本项目生活垃圾产生量为</w:t>
            </w:r>
            <w:r>
              <w:rPr>
                <w:rFonts w:hint="default" w:ascii="Times New Roman" w:hAnsi="Times New Roman" w:eastAsia="宋体" w:cs="Times New Roman"/>
                <w:color w:val="auto"/>
                <w:sz w:val="24"/>
                <w:szCs w:val="24"/>
                <w:lang w:val="en-US" w:eastAsia="zh-CN"/>
              </w:rPr>
              <w:t>5.4t/a，集中收集定点堆放，由环卫部门定期清运处置；</w:t>
            </w:r>
          </w:p>
          <w:p w14:paraId="414EED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废边角料、废金属屑产生量为</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lang w:eastAsia="zh-CN"/>
              </w:rPr>
              <w:t>收集至</w:t>
            </w:r>
            <w:r>
              <w:rPr>
                <w:rFonts w:hint="eastAsia" w:cs="Times New Roman"/>
                <w:color w:val="auto"/>
                <w:sz w:val="24"/>
                <w:szCs w:val="24"/>
                <w:lang w:eastAsia="zh-CN"/>
              </w:rPr>
              <w:t>危废贮存库，待</w:t>
            </w:r>
            <w:r>
              <w:rPr>
                <w:rFonts w:hint="default" w:ascii="Times New Roman" w:hAnsi="Times New Roman" w:eastAsia="宋体" w:cs="Times New Roman"/>
                <w:color w:val="auto"/>
                <w:sz w:val="24"/>
                <w:szCs w:val="24"/>
                <w:lang w:eastAsia="zh-CN"/>
              </w:rPr>
              <w:t>静置</w:t>
            </w:r>
            <w:r>
              <w:rPr>
                <w:rFonts w:hint="eastAsia" w:cs="Times New Roman"/>
                <w:color w:val="auto"/>
                <w:sz w:val="24"/>
                <w:szCs w:val="24"/>
                <w:lang w:eastAsia="zh-CN"/>
              </w:rPr>
              <w:t>至无</w:t>
            </w:r>
            <w:r>
              <w:rPr>
                <w:rFonts w:hint="default" w:ascii="Times New Roman" w:hAnsi="Times New Roman" w:eastAsia="宋体" w:cs="Times New Roman"/>
                <w:color w:val="auto"/>
                <w:sz w:val="24"/>
                <w:szCs w:val="24"/>
                <w:lang w:eastAsia="zh-CN"/>
              </w:rPr>
              <w:t>油状态</w:t>
            </w:r>
            <w:r>
              <w:rPr>
                <w:rFonts w:hint="eastAsia" w:cs="Times New Roman"/>
                <w:color w:val="auto"/>
                <w:sz w:val="24"/>
                <w:szCs w:val="24"/>
                <w:lang w:eastAsia="zh-CN"/>
              </w:rPr>
              <w:t>后存</w:t>
            </w:r>
            <w:r>
              <w:rPr>
                <w:rFonts w:hint="default" w:ascii="Times New Roman" w:hAnsi="Times New Roman" w:eastAsia="宋体" w:cs="Times New Roman"/>
                <w:color w:val="auto"/>
                <w:sz w:val="24"/>
                <w:szCs w:val="24"/>
                <w:lang w:eastAsia="zh-CN"/>
              </w:rPr>
              <w:t>于一般固废暂存区</w:t>
            </w:r>
            <w:r>
              <w:rPr>
                <w:rFonts w:hint="eastAsia" w:cs="Times New Roman"/>
                <w:color w:val="auto"/>
                <w:sz w:val="24"/>
                <w:szCs w:val="24"/>
                <w:lang w:eastAsia="zh-CN"/>
              </w:rPr>
              <w:t>，然后</w:t>
            </w:r>
            <w:r>
              <w:rPr>
                <w:rFonts w:hint="default" w:ascii="Times New Roman" w:hAnsi="Times New Roman" w:eastAsia="宋体" w:cs="Times New Roman"/>
                <w:color w:val="auto"/>
                <w:sz w:val="24"/>
                <w:szCs w:val="24"/>
              </w:rPr>
              <w:t>外售处理</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收尘灰产生量为</w:t>
            </w:r>
            <w:r>
              <w:rPr>
                <w:rFonts w:hint="eastAsia" w:cs="Times New Roman"/>
                <w:color w:val="auto"/>
                <w:sz w:val="24"/>
                <w:szCs w:val="24"/>
                <w:lang w:val="en-US" w:eastAsia="zh-CN"/>
              </w:rPr>
              <w:t>1.67</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废砂轮片产生量为0.035t/a，</w:t>
            </w:r>
            <w:r>
              <w:rPr>
                <w:rFonts w:hint="eastAsia" w:ascii="Times New Roman" w:hAnsi="Times New Roman" w:eastAsia="宋体" w:cs="Times New Roman"/>
                <w:color w:val="auto"/>
                <w:sz w:val="24"/>
                <w:szCs w:val="24"/>
                <w:lang w:val="en-US" w:eastAsia="zh-CN"/>
              </w:rPr>
              <w:t>暂存一般固废暂存区后外售处理；</w:t>
            </w:r>
          </w:p>
          <w:p w14:paraId="2B7DD6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废</w:t>
            </w:r>
            <w:r>
              <w:rPr>
                <w:rFonts w:hint="default" w:ascii="Times New Roman" w:hAnsi="Times New Roman" w:eastAsia="宋体" w:cs="Times New Roman"/>
                <w:color w:val="auto"/>
                <w:sz w:val="24"/>
                <w:szCs w:val="24"/>
                <w:lang w:val="en-US" w:eastAsia="zh-CN"/>
              </w:rPr>
              <w:t>润滑</w:t>
            </w:r>
            <w:r>
              <w:rPr>
                <w:rFonts w:hint="default" w:ascii="Times New Roman" w:hAnsi="Times New Roman" w:eastAsia="宋体" w:cs="Times New Roman"/>
                <w:color w:val="auto"/>
                <w:sz w:val="24"/>
                <w:szCs w:val="24"/>
                <w:lang w:eastAsia="zh-CN"/>
              </w:rPr>
              <w:t>油产生量为：</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废液压油产生量为0.008t/a，</w:t>
            </w:r>
            <w:r>
              <w:rPr>
                <w:rFonts w:hint="default" w:ascii="Times New Roman" w:hAnsi="Times New Roman" w:eastAsia="宋体" w:cs="Times New Roman"/>
                <w:color w:val="auto"/>
                <w:sz w:val="24"/>
                <w:szCs w:val="24"/>
                <w:lang w:eastAsia="zh-CN"/>
              </w:rPr>
              <w:t>废</w:t>
            </w:r>
            <w:r>
              <w:rPr>
                <w:rFonts w:hint="default" w:ascii="Times New Roman" w:hAnsi="Times New Roman" w:eastAsia="宋体" w:cs="Times New Roman"/>
                <w:color w:val="auto"/>
                <w:sz w:val="24"/>
                <w:szCs w:val="24"/>
                <w:lang w:val="en-US" w:eastAsia="zh-CN"/>
              </w:rPr>
              <w:t>切削</w:t>
            </w:r>
            <w:r>
              <w:rPr>
                <w:rFonts w:hint="default" w:ascii="Times New Roman" w:hAnsi="Times New Roman" w:eastAsia="宋体" w:cs="Times New Roman"/>
                <w:color w:val="auto"/>
                <w:sz w:val="24"/>
                <w:szCs w:val="24"/>
                <w:lang w:eastAsia="zh-CN"/>
              </w:rPr>
              <w:t>液产生量为</w:t>
            </w:r>
            <w:r>
              <w:rPr>
                <w:rFonts w:hint="eastAsia" w:ascii="Times New Roman" w:hAnsi="Times New Roman" w:eastAsia="宋体" w:cs="Times New Roman"/>
                <w:color w:val="auto"/>
                <w:sz w:val="24"/>
                <w:szCs w:val="24"/>
                <w:lang w:val="en-US" w:eastAsia="zh-CN"/>
              </w:rPr>
              <w:t>0.945</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lang w:eastAsia="zh-CN"/>
              </w:rPr>
              <w:t>废油桶产生量为</w:t>
            </w:r>
            <w:r>
              <w:rPr>
                <w:rFonts w:hint="eastAsia" w:ascii="Times New Roman" w:hAnsi="Times New Roman" w:eastAsia="宋体" w:cs="Times New Roman"/>
                <w:color w:val="auto"/>
                <w:sz w:val="24"/>
                <w:szCs w:val="24"/>
                <w:lang w:val="en-US" w:eastAsia="zh-CN"/>
              </w:rPr>
              <w:t>0.6kg</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lang w:eastAsia="zh-CN"/>
              </w:rPr>
              <w:t>废</w:t>
            </w:r>
            <w:r>
              <w:rPr>
                <w:rFonts w:hint="eastAsia" w:ascii="Times New Roman" w:hAnsi="Times New Roman" w:eastAsia="宋体" w:cs="Times New Roman"/>
                <w:color w:val="auto"/>
                <w:sz w:val="24"/>
                <w:szCs w:val="24"/>
                <w:lang w:val="en-US" w:eastAsia="zh-CN"/>
              </w:rPr>
              <w:t>切削液</w:t>
            </w:r>
            <w:r>
              <w:rPr>
                <w:rFonts w:hint="default" w:ascii="Times New Roman" w:hAnsi="Times New Roman" w:eastAsia="宋体" w:cs="Times New Roman"/>
                <w:color w:val="auto"/>
                <w:sz w:val="24"/>
                <w:szCs w:val="24"/>
                <w:lang w:eastAsia="zh-CN"/>
              </w:rPr>
              <w:t>桶</w:t>
            </w:r>
            <w:r>
              <w:rPr>
                <w:rFonts w:hint="eastAsia" w:cs="Times New Roman"/>
                <w:color w:val="auto"/>
                <w:sz w:val="24"/>
                <w:szCs w:val="24"/>
                <w:lang w:val="en-US" w:eastAsia="zh-CN"/>
              </w:rPr>
              <w:t>产生量为</w:t>
            </w:r>
            <w:r>
              <w:rPr>
                <w:rFonts w:hint="eastAsia" w:ascii="Times New Roman" w:hAnsi="Times New Roman" w:eastAsia="宋体" w:cs="Times New Roman"/>
                <w:color w:val="auto"/>
                <w:sz w:val="24"/>
                <w:szCs w:val="24"/>
                <w:lang w:val="en-US" w:eastAsia="zh-CN"/>
              </w:rPr>
              <w:t>2kg</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lang w:eastAsia="zh-CN"/>
              </w:rPr>
              <w:t>废含油抹布手套产生量为</w:t>
            </w:r>
            <w:r>
              <w:rPr>
                <w:rFonts w:hint="default" w:ascii="Times New Roman" w:hAnsi="Times New Roman" w:eastAsia="宋体" w:cs="Times New Roman"/>
                <w:color w:val="auto"/>
                <w:sz w:val="24"/>
                <w:szCs w:val="24"/>
                <w:lang w:val="en-US" w:eastAsia="zh-CN"/>
              </w:rPr>
              <w:t>0.001t/a，</w:t>
            </w:r>
            <w:r>
              <w:rPr>
                <w:rFonts w:hint="default" w:ascii="Times New Roman" w:hAnsi="Times New Roman" w:eastAsia="宋体" w:cs="Times New Roman"/>
                <w:color w:val="auto"/>
                <w:sz w:val="24"/>
                <w:szCs w:val="24"/>
              </w:rPr>
              <w:t>危险废物暂存于</w:t>
            </w:r>
            <w:r>
              <w:rPr>
                <w:rFonts w:hint="eastAsia" w:cs="Times New Roman"/>
                <w:bCs/>
                <w:color w:val="auto"/>
                <w:sz w:val="24"/>
                <w:szCs w:val="24"/>
                <w:lang w:eastAsia="zh-CN"/>
              </w:rPr>
              <w:t>危废贮存库</w:t>
            </w:r>
            <w:r>
              <w:rPr>
                <w:rFonts w:hint="default" w:ascii="Times New Roman" w:hAnsi="Times New Roman" w:eastAsia="宋体" w:cs="Times New Roman"/>
                <w:bCs/>
                <w:color w:val="auto"/>
                <w:sz w:val="24"/>
                <w:szCs w:val="24"/>
              </w:rPr>
              <w:t>，定期交由</w:t>
            </w:r>
            <w:r>
              <w:rPr>
                <w:rFonts w:hint="eastAsia" w:ascii="Times New Roman" w:hAnsi="Times New Roman" w:eastAsia="宋体" w:cs="Times New Roman"/>
                <w:bCs/>
                <w:color w:val="auto"/>
                <w:sz w:val="24"/>
                <w:szCs w:val="24"/>
                <w:lang w:eastAsia="zh-CN"/>
              </w:rPr>
              <w:t>宝鸡明瑞昕盛环保科技有限公司</w:t>
            </w:r>
            <w:r>
              <w:rPr>
                <w:rFonts w:hint="default" w:ascii="Times New Roman" w:hAnsi="Times New Roman" w:eastAsia="宋体" w:cs="Times New Roman"/>
                <w:bCs/>
                <w:color w:val="auto"/>
                <w:sz w:val="24"/>
                <w:szCs w:val="24"/>
              </w:rPr>
              <w:t>处理。</w:t>
            </w:r>
          </w:p>
          <w:p w14:paraId="5F4CC468">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2" w:firstLineChars="200"/>
              <w:textAlignment w:val="auto"/>
              <w:rPr>
                <w:rFonts w:hint="eastAsia" w:ascii="Times New Roman" w:hAnsi="Times New Roman" w:cs="Times New Roman"/>
                <w:color w:val="auto"/>
                <w:szCs w:val="21"/>
                <w:highlight w:val="yellow"/>
                <w:lang w:val="en-US" w:eastAsia="zh-CN"/>
              </w:rPr>
            </w:pPr>
            <w:r>
              <w:rPr>
                <w:rFonts w:hint="eastAsia"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存在的环境问题及“以新带老”措施</w:t>
            </w:r>
          </w:p>
          <w:p w14:paraId="2D2C168C">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eastAsia="zh-CN"/>
              </w:rPr>
              <w:t>）存在问题</w:t>
            </w:r>
          </w:p>
          <w:p w14:paraId="75ACB4AE">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经现场勘察，本次扩建项目设备已进厂安装完毕，现针对现场提出存在问题：</w:t>
            </w:r>
          </w:p>
          <w:p w14:paraId="44812FBD">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①激光切割、焊接处废气收集后的分管道与主管道处未设阀门。</w:t>
            </w:r>
          </w:p>
          <w:p w14:paraId="0A62C30D">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②污水处理设施处，未建设回用水管道。</w:t>
            </w:r>
          </w:p>
          <w:p w14:paraId="54B29DE1">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③固化廊道出入口处敞开，很难形成负压。</w:t>
            </w:r>
          </w:p>
          <w:p w14:paraId="1AD90DAA">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④喷粉产生的废气经处理后无组织排放。</w:t>
            </w:r>
          </w:p>
          <w:p w14:paraId="6A23C816">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⑤</w:t>
            </w:r>
            <w:r>
              <w:rPr>
                <w:rFonts w:hint="eastAsia" w:ascii="Times New Roman" w:hAnsi="Times New Roman" w:cs="Times New Roman"/>
                <w:color w:val="auto"/>
                <w:szCs w:val="21"/>
                <w:highlight w:val="none"/>
                <w:lang w:val="en-US" w:eastAsia="zh-CN"/>
              </w:rPr>
              <w:t>危废间标识标牌张贴不全、托盘设置不规范。</w:t>
            </w:r>
          </w:p>
          <w:p w14:paraId="566DCFD2">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⑥废气排放处均未建设采样平台。</w:t>
            </w:r>
          </w:p>
          <w:p w14:paraId="788EDFF5">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2</w:t>
            </w:r>
            <w:r>
              <w:rPr>
                <w:rFonts w:hint="eastAsia" w:ascii="Times New Roman" w:hAnsi="Times New Roman" w:cs="Times New Roman"/>
                <w:color w:val="auto"/>
                <w:szCs w:val="21"/>
                <w:highlight w:val="none"/>
                <w:lang w:eastAsia="zh-CN"/>
              </w:rPr>
              <w:t>）</w:t>
            </w:r>
            <w:r>
              <w:rPr>
                <w:rFonts w:hint="eastAsia" w:ascii="宋体" w:hAnsi="宋体"/>
                <w:bCs/>
                <w:color w:val="auto"/>
                <w:sz w:val="24"/>
                <w:highlight w:val="none"/>
                <w:lang w:val="en-US" w:eastAsia="zh-CN"/>
              </w:rPr>
              <w:t>整改</w:t>
            </w:r>
            <w:r>
              <w:rPr>
                <w:rFonts w:ascii="宋体" w:hAnsi="宋体"/>
                <w:bCs/>
                <w:color w:val="auto"/>
                <w:sz w:val="24"/>
                <w:highlight w:val="none"/>
              </w:rPr>
              <w:t>措施</w:t>
            </w:r>
          </w:p>
          <w:p w14:paraId="4CA15CB6">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①建议企业在激光切割、焊接工序废气收集后的分管道与主管道连接处安装阀门，避免因其中一工序停产时集气设施吸进空气，导致废气浓度稀释。</w:t>
            </w:r>
          </w:p>
          <w:p w14:paraId="66DA5EBB">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②污水处理设施处重新安装清水箱并连接回用水管道。</w:t>
            </w:r>
          </w:p>
          <w:p w14:paraId="19DBFB09">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③固化廊道出入口处分别延长廊道，只留工件大小尺寸即可，避免吸入空气。</w:t>
            </w:r>
          </w:p>
          <w:p w14:paraId="1CDAACC4">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④喷粉工序经处理后的废气需由排气筒高空有组织排放。</w:t>
            </w:r>
          </w:p>
          <w:p w14:paraId="722FE56F">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eastAsia="宋体" w:cs="Times New Roman"/>
                <w:color w:val="auto"/>
                <w:sz w:val="24"/>
                <w:lang w:val="en-US" w:eastAsia="zh-CN"/>
              </w:rPr>
            </w:pPr>
            <w:r>
              <w:rPr>
                <w:rFonts w:hint="eastAsia" w:cs="Times New Roman"/>
                <w:color w:val="auto"/>
                <w:szCs w:val="21"/>
                <w:highlight w:val="none"/>
                <w:lang w:val="en-US" w:eastAsia="zh-CN"/>
              </w:rPr>
              <w:t>⑤</w:t>
            </w:r>
            <w:r>
              <w:rPr>
                <w:rFonts w:hint="eastAsia" w:ascii="Times New Roman" w:hAnsi="Times New Roman" w:cs="Times New Roman"/>
                <w:color w:val="auto"/>
                <w:szCs w:val="21"/>
                <w:highlight w:val="none"/>
                <w:lang w:val="en-US" w:eastAsia="zh-CN"/>
              </w:rPr>
              <w:t>企业严格按照</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危险废物收集 贮存 运输技术规范</w:t>
            </w:r>
            <w:r>
              <w:rPr>
                <w:rFonts w:hint="default" w:ascii="Times New Roman" w:hAnsi="Times New Roman" w:cs="Times New Roman"/>
                <w:color w:val="auto"/>
                <w:kern w:val="0"/>
                <w:sz w:val="24"/>
                <w:lang w:val="en-US" w:eastAsia="zh-CN"/>
              </w:rPr>
              <w:t>》（HJ2025-2012）及《危险废物贮存污染控制标准》（GB18597-20</w:t>
            </w:r>
            <w:r>
              <w:rPr>
                <w:rFonts w:hint="eastAsia" w:cs="Times New Roman"/>
                <w:color w:val="auto"/>
                <w:kern w:val="0"/>
                <w:sz w:val="24"/>
                <w:lang w:val="en-US" w:eastAsia="zh-CN"/>
              </w:rPr>
              <w:t>23</w:t>
            </w:r>
            <w:r>
              <w:rPr>
                <w:rFonts w:hint="default" w:ascii="Times New Roman" w:hAnsi="Times New Roman" w:cs="Times New Roman"/>
                <w:color w:val="auto"/>
                <w:kern w:val="0"/>
                <w:sz w:val="24"/>
                <w:lang w:val="en-US" w:eastAsia="zh-CN"/>
              </w:rPr>
              <w:t>）中相关规定执行。</w:t>
            </w:r>
            <w:r>
              <w:rPr>
                <w:rFonts w:hint="default" w:ascii="Times New Roman" w:hAnsi="Times New Roman" w:eastAsia="宋体" w:cs="Times New Roman"/>
                <w:color w:val="auto"/>
                <w:sz w:val="24"/>
                <w:lang w:val="en-US" w:eastAsia="zh-CN"/>
              </w:rPr>
              <w:t>盛装容器底部均设置防渗</w:t>
            </w:r>
            <w:r>
              <w:rPr>
                <w:rFonts w:hint="eastAsia" w:ascii="Times New Roman" w:hAnsi="Times New Roman" w:eastAsia="宋体" w:cs="Times New Roman"/>
                <w:color w:val="auto"/>
                <w:sz w:val="24"/>
                <w:lang w:val="en-US" w:eastAsia="zh-CN"/>
              </w:rPr>
              <w:t>带围堰</w:t>
            </w:r>
            <w:r>
              <w:rPr>
                <w:rFonts w:hint="default" w:ascii="Times New Roman" w:hAnsi="Times New Roman" w:eastAsia="宋体" w:cs="Times New Roman"/>
                <w:color w:val="auto"/>
                <w:sz w:val="24"/>
                <w:lang w:val="en-US" w:eastAsia="zh-CN"/>
              </w:rPr>
              <w:t>托盘，</w:t>
            </w:r>
            <w:r>
              <w:rPr>
                <w:rFonts w:hint="eastAsia" w:ascii="Times New Roman" w:hAnsi="Times New Roman" w:eastAsia="宋体" w:cs="Times New Roman"/>
                <w:color w:val="auto"/>
                <w:sz w:val="24"/>
                <w:lang w:val="en-US" w:eastAsia="zh-CN"/>
              </w:rPr>
              <w:t>按照危废种类</w:t>
            </w:r>
            <w:r>
              <w:rPr>
                <w:rFonts w:hint="default" w:ascii="Times New Roman" w:hAnsi="Times New Roman" w:eastAsia="宋体" w:cs="Times New Roman"/>
                <w:color w:val="auto"/>
                <w:sz w:val="24"/>
                <w:lang w:val="en-US" w:eastAsia="zh-CN"/>
              </w:rPr>
              <w:t>张贴危废标识、标签和管理制度</w:t>
            </w:r>
            <w:r>
              <w:rPr>
                <w:rFonts w:hint="eastAsia" w:ascii="Times New Roman" w:hAnsi="Times New Roman" w:eastAsia="宋体" w:cs="Times New Roman"/>
                <w:color w:val="auto"/>
                <w:sz w:val="24"/>
                <w:lang w:val="en-US" w:eastAsia="zh-CN"/>
              </w:rPr>
              <w:t>。</w:t>
            </w:r>
          </w:p>
          <w:p w14:paraId="6B8D1553">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eastAsia="宋体" w:cs="Times New Roman"/>
                <w:bCs/>
                <w:color w:val="auto"/>
                <w:sz w:val="24"/>
                <w:lang w:val="en-US" w:eastAsia="zh-CN"/>
              </w:rPr>
            </w:pPr>
            <w:r>
              <w:rPr>
                <w:rFonts w:hint="eastAsia" w:cs="Times New Roman"/>
                <w:color w:val="auto"/>
                <w:sz w:val="24"/>
                <w:lang w:val="en-US" w:eastAsia="zh-CN"/>
              </w:rPr>
              <w:t>⑥按照规范建设采样平台、采样口。</w:t>
            </w:r>
          </w:p>
        </w:tc>
      </w:tr>
    </w:tbl>
    <w:p w14:paraId="6DBB43BF">
      <w:pPr>
        <w:pStyle w:val="27"/>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A9C2ABF">
      <w:pPr>
        <w:pStyle w:val="27"/>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rPr>
      </w:pPr>
    </w:p>
    <w:p w14:paraId="471D1221">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8622"/>
      </w:tblGrid>
      <w:tr w14:paraId="50683D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0886A2D9">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区域</w:t>
            </w:r>
          </w:p>
          <w:p w14:paraId="16168764">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4D6C2B3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质量</w:t>
            </w:r>
          </w:p>
          <w:p w14:paraId="2B99375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现状</w:t>
            </w:r>
          </w:p>
        </w:tc>
        <w:tc>
          <w:tcPr>
            <w:tcW w:w="8190" w:type="dxa"/>
            <w:noWrap w:val="0"/>
            <w:vAlign w:val="center"/>
          </w:tcPr>
          <w:p w14:paraId="133E61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一、区域环境质量现状</w:t>
            </w:r>
          </w:p>
          <w:p w14:paraId="601B8828">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环境空气质量现状</w:t>
            </w:r>
          </w:p>
          <w:p w14:paraId="03A7473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lang w:eastAsia="zh-CN"/>
              </w:rPr>
              <w:t>常规污染物</w:t>
            </w:r>
          </w:p>
          <w:p w14:paraId="1E199A8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eastAsia" w:ascii="Times New Roman" w:hAnsi="Times New Roman" w:eastAsia="宋体" w:cs="Times New Roman"/>
                <w:color w:val="auto"/>
                <w:sz w:val="24"/>
                <w:szCs w:val="24"/>
                <w:lang w:eastAsia="zh-CN"/>
              </w:rPr>
              <w:t>环境影响评价技术导则 大气环境</w:t>
            </w:r>
            <w:r>
              <w:rPr>
                <w:rFonts w:hint="default" w:ascii="Times New Roman" w:hAnsi="Times New Roman" w:eastAsia="宋体" w:cs="Times New Roman"/>
                <w:color w:val="auto"/>
                <w:sz w:val="24"/>
                <w:szCs w:val="24"/>
              </w:rPr>
              <w:t>》（HJ2.2-2018）6.2.1.2“采用评价范围内国家或地方环境空气质量监测网中评价基准年连续1年的监测数据，或采用生态环境主管部门公开发布的环境空气质量现状数据”。项目所在区域</w:t>
            </w:r>
            <w:r>
              <w:rPr>
                <w:rFonts w:hint="eastAsia" w:cs="Times New Roman"/>
                <w:color w:val="auto"/>
                <w:sz w:val="24"/>
                <w:szCs w:val="24"/>
                <w:lang w:eastAsia="zh-CN"/>
              </w:rPr>
              <w:t>属于</w:t>
            </w:r>
            <w:r>
              <w:rPr>
                <w:rFonts w:hint="default" w:ascii="Times New Roman" w:hAnsi="Times New Roman" w:eastAsia="宋体" w:cs="Times New Roman"/>
                <w:color w:val="auto"/>
                <w:sz w:val="24"/>
                <w:szCs w:val="24"/>
              </w:rPr>
              <w:t>环境空气质量二类功能区，执行《环境空气质量标准》（GB3095-20</w:t>
            </w:r>
            <w:r>
              <w:rPr>
                <w:rFonts w:hint="eastAsia" w:cs="Times New Roman"/>
                <w:color w:val="auto"/>
                <w:sz w:val="24"/>
                <w:szCs w:val="24"/>
                <w:lang w:val="en-US" w:eastAsia="zh-CN"/>
              </w:rPr>
              <w:t>26</w:t>
            </w:r>
            <w:r>
              <w:rPr>
                <w:rFonts w:hint="default" w:ascii="Times New Roman" w:hAnsi="Times New Roman" w:eastAsia="宋体" w:cs="Times New Roman"/>
                <w:color w:val="auto"/>
                <w:sz w:val="24"/>
                <w:szCs w:val="24"/>
              </w:rPr>
              <w:t>）的</w:t>
            </w:r>
            <w:r>
              <w:rPr>
                <w:rFonts w:hint="eastAsia" w:cs="Times New Roman"/>
                <w:color w:val="auto"/>
                <w:sz w:val="24"/>
                <w:szCs w:val="24"/>
                <w:lang w:eastAsia="zh-CN"/>
              </w:rPr>
              <w:t>过渡阶段</w:t>
            </w:r>
            <w:r>
              <w:rPr>
                <w:rFonts w:hint="eastAsia" w:cs="Times New Roman"/>
                <w:color w:val="auto"/>
                <w:sz w:val="24"/>
                <w:szCs w:val="24"/>
                <w:lang w:val="en-US" w:eastAsia="zh-CN"/>
              </w:rPr>
              <w:t>浓度限值</w:t>
            </w:r>
            <w:r>
              <w:rPr>
                <w:rFonts w:hint="default" w:ascii="Times New Roman" w:hAnsi="Times New Roman" w:eastAsia="宋体" w:cs="Times New Roman"/>
                <w:color w:val="auto"/>
                <w:sz w:val="24"/>
                <w:szCs w:val="24"/>
              </w:rPr>
              <w:t>二级标准。</w:t>
            </w:r>
          </w:p>
          <w:p w14:paraId="3DFE7BE1">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为查明项目所在地大气环境质量，本次评价</w:t>
            </w:r>
            <w:r>
              <w:rPr>
                <w:rFonts w:hint="eastAsia" w:ascii="Times New Roman" w:hAnsi="Times New Roman" w:cs="Times New Roman"/>
                <w:color w:val="auto"/>
                <w:sz w:val="24"/>
                <w:szCs w:val="24"/>
                <w:lang w:val="en-US" w:eastAsia="zh-CN"/>
              </w:rPr>
              <w:t>引</w:t>
            </w:r>
            <w:r>
              <w:rPr>
                <w:rFonts w:hint="default" w:ascii="Times New Roman" w:hAnsi="Times New Roman" w:cs="Times New Roman"/>
                <w:color w:val="auto"/>
                <w:sz w:val="24"/>
                <w:szCs w:val="24"/>
              </w:rPr>
              <w:t>用宝鸡市生态环境局办公室发布的《2025年1~12月份各县（区）空气质量状况统计》中陈仓区的统计数据，来分析项目所在地的大气环境质量现状，监测结果整理后见下表。</w:t>
            </w:r>
          </w:p>
          <w:p w14:paraId="4BDB83B8">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表3-1  区域空气质量现状评价表</w:t>
            </w:r>
          </w:p>
          <w:tbl>
            <w:tblPr>
              <w:tblStyle w:val="30"/>
              <w:tblW w:w="8376"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837"/>
              <w:gridCol w:w="3144"/>
              <w:gridCol w:w="1163"/>
              <w:gridCol w:w="1163"/>
              <w:gridCol w:w="966"/>
              <w:gridCol w:w="1103"/>
            </w:tblGrid>
            <w:tr w14:paraId="7255B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09" w:type="pct"/>
                  <w:tcBorders>
                    <w:tl2br w:val="nil"/>
                    <w:tr2bl w:val="nil"/>
                  </w:tcBorders>
                  <w:shd w:val="clear" w:color="auto" w:fill="FFFFFF" w:themeFill="background1"/>
                  <w:vAlign w:val="center"/>
                </w:tcPr>
                <w:p w14:paraId="2832C93C">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885" w:type="pct"/>
                  <w:tcBorders>
                    <w:tl2br w:val="nil"/>
                    <w:tr2bl w:val="nil"/>
                  </w:tcBorders>
                  <w:shd w:val="clear" w:color="auto" w:fill="FFFFFF" w:themeFill="background1"/>
                  <w:vAlign w:val="center"/>
                </w:tcPr>
                <w:p w14:paraId="1DE80B37">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年评价指标</w:t>
                  </w:r>
                </w:p>
              </w:tc>
              <w:tc>
                <w:tcPr>
                  <w:tcW w:w="679" w:type="pct"/>
                  <w:tcBorders>
                    <w:tl2br w:val="nil"/>
                    <w:tr2bl w:val="nil"/>
                  </w:tcBorders>
                  <w:shd w:val="clear" w:color="auto" w:fill="FFFFFF" w:themeFill="background1"/>
                  <w:vAlign w:val="center"/>
                </w:tcPr>
                <w:p w14:paraId="78D38452">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现状浓度（μg/m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671" w:type="pct"/>
                  <w:tcBorders>
                    <w:tl2br w:val="nil"/>
                    <w:tr2bl w:val="nil"/>
                  </w:tcBorders>
                  <w:shd w:val="clear" w:color="auto" w:fill="FFFFFF" w:themeFill="background1"/>
                  <w:vAlign w:val="center"/>
                </w:tcPr>
                <w:p w14:paraId="0B48108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标准值（μg/m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585" w:type="pct"/>
                  <w:tcBorders>
                    <w:tl2br w:val="nil"/>
                    <w:tr2bl w:val="nil"/>
                  </w:tcBorders>
                  <w:shd w:val="clear" w:color="auto" w:fill="FFFFFF" w:themeFill="background1"/>
                  <w:vAlign w:val="center"/>
                </w:tcPr>
                <w:p w14:paraId="15FF3DD6">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占标率（%）</w:t>
                  </w:r>
                </w:p>
              </w:tc>
              <w:tc>
                <w:tcPr>
                  <w:tcW w:w="667" w:type="pct"/>
                  <w:tcBorders>
                    <w:tl2br w:val="nil"/>
                    <w:tr2bl w:val="nil"/>
                  </w:tcBorders>
                  <w:shd w:val="clear" w:color="auto" w:fill="FFFFFF" w:themeFill="background1"/>
                  <w:vAlign w:val="center"/>
                </w:tcPr>
                <w:p w14:paraId="575BC49C">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14:paraId="42FF8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6" w:hRule="atLeast"/>
              </w:trPr>
              <w:tc>
                <w:tcPr>
                  <w:tcW w:w="509" w:type="pct"/>
                  <w:tcBorders>
                    <w:tl2br w:val="nil"/>
                    <w:tr2bl w:val="nil"/>
                  </w:tcBorders>
                  <w:shd w:val="clear" w:color="auto" w:fill="FFFFFF" w:themeFill="background1"/>
                  <w:vAlign w:val="center"/>
                </w:tcPr>
                <w:p w14:paraId="318B1DC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1885" w:type="pct"/>
                  <w:tcBorders>
                    <w:tl2br w:val="nil"/>
                    <w:tr2bl w:val="nil"/>
                  </w:tcBorders>
                  <w:shd w:val="clear" w:color="auto" w:fill="FFFFFF" w:themeFill="background1"/>
                  <w:vAlign w:val="center"/>
                </w:tcPr>
                <w:p w14:paraId="08744E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年平均浓度</w:t>
                  </w:r>
                </w:p>
              </w:tc>
              <w:tc>
                <w:tcPr>
                  <w:tcW w:w="679" w:type="pct"/>
                  <w:tcBorders>
                    <w:tl2br w:val="nil"/>
                    <w:tr2bl w:val="nil"/>
                  </w:tcBorders>
                  <w:shd w:val="clear" w:color="auto" w:fill="FFFFFF" w:themeFill="background1"/>
                  <w:vAlign w:val="center"/>
                </w:tcPr>
                <w:p w14:paraId="212411B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w:t>
                  </w:r>
                </w:p>
              </w:tc>
              <w:tc>
                <w:tcPr>
                  <w:tcW w:w="671" w:type="pct"/>
                  <w:tcBorders>
                    <w:tl2br w:val="nil"/>
                    <w:tr2bl w:val="nil"/>
                  </w:tcBorders>
                  <w:shd w:val="clear" w:color="auto" w:fill="FFFFFF" w:themeFill="background1"/>
                  <w:vAlign w:val="center"/>
                </w:tcPr>
                <w:p w14:paraId="5219376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585" w:type="pct"/>
                  <w:tcBorders>
                    <w:tl2br w:val="nil"/>
                    <w:tr2bl w:val="nil"/>
                  </w:tcBorders>
                  <w:shd w:val="clear" w:color="auto" w:fill="FFFFFF" w:themeFill="background1"/>
                  <w:vAlign w:val="center"/>
                </w:tcPr>
                <w:p w14:paraId="77D8D43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101.7</w:t>
                  </w:r>
                </w:p>
              </w:tc>
              <w:tc>
                <w:tcPr>
                  <w:tcW w:w="667" w:type="pct"/>
                  <w:tcBorders>
                    <w:tl2br w:val="nil"/>
                    <w:tr2bl w:val="nil"/>
                  </w:tcBorders>
                  <w:shd w:val="clear" w:color="auto" w:fill="FFFFFF" w:themeFill="background1"/>
                  <w:vAlign w:val="center"/>
                </w:tcPr>
                <w:p w14:paraId="7D97B25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不</w:t>
                  </w:r>
                  <w:r>
                    <w:rPr>
                      <w:rFonts w:hint="default" w:ascii="Times New Roman" w:hAnsi="Times New Roman" w:eastAsia="宋体" w:cs="Times New Roman"/>
                      <w:color w:val="auto"/>
                      <w:sz w:val="21"/>
                      <w:szCs w:val="21"/>
                      <w:highlight w:val="none"/>
                    </w:rPr>
                    <w:t>达标</w:t>
                  </w:r>
                </w:p>
              </w:tc>
            </w:tr>
            <w:tr w14:paraId="7EA4C6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6" w:hRule="atLeast"/>
              </w:trPr>
              <w:tc>
                <w:tcPr>
                  <w:tcW w:w="509" w:type="pct"/>
                  <w:tcBorders>
                    <w:tl2br w:val="nil"/>
                    <w:tr2bl w:val="nil"/>
                  </w:tcBorders>
                  <w:shd w:val="clear" w:color="auto" w:fill="FFFFFF" w:themeFill="background1"/>
                  <w:vAlign w:val="center"/>
                </w:tcPr>
                <w:p w14:paraId="049CFE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1885" w:type="pct"/>
                  <w:tcBorders>
                    <w:tl2br w:val="nil"/>
                    <w:tr2bl w:val="nil"/>
                  </w:tcBorders>
                  <w:shd w:val="clear" w:color="auto" w:fill="FFFFFF" w:themeFill="background1"/>
                  <w:vAlign w:val="center"/>
                </w:tcPr>
                <w:p w14:paraId="0528CB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年平均浓度</w:t>
                  </w:r>
                </w:p>
              </w:tc>
              <w:tc>
                <w:tcPr>
                  <w:tcW w:w="679" w:type="pct"/>
                  <w:tcBorders>
                    <w:tl2br w:val="nil"/>
                    <w:tr2bl w:val="nil"/>
                  </w:tcBorders>
                  <w:shd w:val="clear" w:color="auto" w:fill="FFFFFF" w:themeFill="background1"/>
                  <w:vAlign w:val="center"/>
                </w:tcPr>
                <w:p w14:paraId="7C15BE6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35.2</w:t>
                  </w:r>
                </w:p>
              </w:tc>
              <w:tc>
                <w:tcPr>
                  <w:tcW w:w="671" w:type="pct"/>
                  <w:tcBorders>
                    <w:tl2br w:val="nil"/>
                    <w:tr2bl w:val="nil"/>
                  </w:tcBorders>
                  <w:shd w:val="clear" w:color="auto" w:fill="FFFFFF" w:themeFill="background1"/>
                  <w:vAlign w:val="center"/>
                </w:tcPr>
                <w:p w14:paraId="53CEF09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585" w:type="pct"/>
                  <w:tcBorders>
                    <w:tl2br w:val="nil"/>
                    <w:tr2bl w:val="nil"/>
                  </w:tcBorders>
                  <w:shd w:val="clear" w:color="auto" w:fill="FFFFFF" w:themeFill="background1"/>
                  <w:vAlign w:val="center"/>
                </w:tcPr>
                <w:p w14:paraId="24C1102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117.3</w:t>
                  </w:r>
                </w:p>
              </w:tc>
              <w:tc>
                <w:tcPr>
                  <w:tcW w:w="667" w:type="pct"/>
                  <w:tcBorders>
                    <w:tl2br w:val="nil"/>
                    <w:tr2bl w:val="nil"/>
                  </w:tcBorders>
                  <w:shd w:val="clear" w:color="auto" w:fill="FFFFFF" w:themeFill="background1"/>
                  <w:vAlign w:val="center"/>
                </w:tcPr>
                <w:p w14:paraId="0EC53F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不达标</w:t>
                  </w:r>
                </w:p>
              </w:tc>
            </w:tr>
            <w:tr w14:paraId="5FD77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6" w:hRule="atLeast"/>
              </w:trPr>
              <w:tc>
                <w:tcPr>
                  <w:tcW w:w="509" w:type="pct"/>
                  <w:tcBorders>
                    <w:tl2br w:val="nil"/>
                    <w:tr2bl w:val="nil"/>
                  </w:tcBorders>
                  <w:shd w:val="clear" w:color="auto" w:fill="FFFFFF" w:themeFill="background1"/>
                  <w:vAlign w:val="center"/>
                </w:tcPr>
                <w:p w14:paraId="4B7801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885" w:type="pct"/>
                  <w:tcBorders>
                    <w:tl2br w:val="nil"/>
                    <w:tr2bl w:val="nil"/>
                  </w:tcBorders>
                  <w:shd w:val="clear" w:color="auto" w:fill="FFFFFF" w:themeFill="background1"/>
                  <w:vAlign w:val="center"/>
                </w:tcPr>
                <w:p w14:paraId="680F27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年平均浓度</w:t>
                  </w:r>
                </w:p>
              </w:tc>
              <w:tc>
                <w:tcPr>
                  <w:tcW w:w="679" w:type="pct"/>
                  <w:tcBorders>
                    <w:tl2br w:val="nil"/>
                    <w:tr2bl w:val="nil"/>
                  </w:tcBorders>
                  <w:shd w:val="clear" w:color="auto" w:fill="FFFFFF" w:themeFill="background1"/>
                  <w:vAlign w:val="center"/>
                </w:tcPr>
                <w:p w14:paraId="13B957B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671" w:type="pct"/>
                  <w:tcBorders>
                    <w:tl2br w:val="nil"/>
                    <w:tr2bl w:val="nil"/>
                  </w:tcBorders>
                  <w:shd w:val="clear" w:color="auto" w:fill="FFFFFF" w:themeFill="background1"/>
                  <w:vAlign w:val="center"/>
                </w:tcPr>
                <w:p w14:paraId="28775E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585" w:type="pct"/>
                  <w:tcBorders>
                    <w:tl2br w:val="nil"/>
                    <w:tr2bl w:val="nil"/>
                  </w:tcBorders>
                  <w:shd w:val="clear" w:color="auto" w:fill="FFFFFF" w:themeFill="background1"/>
                  <w:vAlign w:val="center"/>
                </w:tcPr>
                <w:p w14:paraId="443523E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28.3</w:t>
                  </w:r>
                </w:p>
              </w:tc>
              <w:tc>
                <w:tcPr>
                  <w:tcW w:w="667" w:type="pct"/>
                  <w:tcBorders>
                    <w:tl2br w:val="nil"/>
                    <w:tr2bl w:val="nil"/>
                  </w:tcBorders>
                  <w:shd w:val="clear" w:color="auto" w:fill="FFFFFF" w:themeFill="background1"/>
                  <w:vAlign w:val="center"/>
                </w:tcPr>
                <w:p w14:paraId="0750261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3F164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6" w:hRule="atLeast"/>
              </w:trPr>
              <w:tc>
                <w:tcPr>
                  <w:tcW w:w="509" w:type="pct"/>
                  <w:tcBorders>
                    <w:tl2br w:val="nil"/>
                    <w:tr2bl w:val="nil"/>
                  </w:tcBorders>
                  <w:shd w:val="clear" w:color="auto" w:fill="FFFFFF" w:themeFill="background1"/>
                  <w:vAlign w:val="center"/>
                </w:tcPr>
                <w:p w14:paraId="20AE77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1885" w:type="pct"/>
                  <w:tcBorders>
                    <w:tl2br w:val="nil"/>
                    <w:tr2bl w:val="nil"/>
                  </w:tcBorders>
                  <w:shd w:val="clear" w:color="auto" w:fill="FFFFFF" w:themeFill="background1"/>
                  <w:vAlign w:val="center"/>
                </w:tcPr>
                <w:p w14:paraId="196119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年平均浓度</w:t>
                  </w:r>
                </w:p>
              </w:tc>
              <w:tc>
                <w:tcPr>
                  <w:tcW w:w="679" w:type="pct"/>
                  <w:tcBorders>
                    <w:tl2br w:val="nil"/>
                    <w:tr2bl w:val="nil"/>
                  </w:tcBorders>
                  <w:shd w:val="clear" w:color="auto" w:fill="FFFFFF" w:themeFill="background1"/>
                  <w:vAlign w:val="center"/>
                </w:tcPr>
                <w:p w14:paraId="1BC250C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w:t>
                  </w:r>
                </w:p>
              </w:tc>
              <w:tc>
                <w:tcPr>
                  <w:tcW w:w="671" w:type="pct"/>
                  <w:tcBorders>
                    <w:tl2br w:val="nil"/>
                    <w:tr2bl w:val="nil"/>
                  </w:tcBorders>
                  <w:shd w:val="clear" w:color="auto" w:fill="FFFFFF" w:themeFill="background1"/>
                  <w:vAlign w:val="center"/>
                </w:tcPr>
                <w:p w14:paraId="5273C61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585" w:type="pct"/>
                  <w:tcBorders>
                    <w:tl2br w:val="nil"/>
                    <w:tr2bl w:val="nil"/>
                  </w:tcBorders>
                  <w:shd w:val="clear" w:color="auto" w:fill="FFFFFF" w:themeFill="background1"/>
                  <w:vAlign w:val="center"/>
                </w:tcPr>
                <w:p w14:paraId="5402C14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67.5</w:t>
                  </w:r>
                </w:p>
              </w:tc>
              <w:tc>
                <w:tcPr>
                  <w:tcW w:w="667" w:type="pct"/>
                  <w:tcBorders>
                    <w:tl2br w:val="nil"/>
                    <w:tr2bl w:val="nil"/>
                  </w:tcBorders>
                  <w:shd w:val="clear" w:color="auto" w:fill="FFFFFF" w:themeFill="background1"/>
                  <w:vAlign w:val="center"/>
                </w:tcPr>
                <w:p w14:paraId="11B9EC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26385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44" w:hRule="atLeast"/>
              </w:trPr>
              <w:tc>
                <w:tcPr>
                  <w:tcW w:w="509" w:type="pct"/>
                  <w:tcBorders>
                    <w:tl2br w:val="nil"/>
                    <w:tr2bl w:val="nil"/>
                  </w:tcBorders>
                  <w:shd w:val="clear" w:color="auto" w:fill="FFFFFF" w:themeFill="background1"/>
                  <w:vAlign w:val="center"/>
                </w:tcPr>
                <w:p w14:paraId="2A83D6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1885" w:type="pct"/>
                  <w:tcBorders>
                    <w:tl2br w:val="nil"/>
                    <w:tr2bl w:val="nil"/>
                  </w:tcBorders>
                  <w:shd w:val="clear" w:color="auto" w:fill="FFFFFF" w:themeFill="background1"/>
                  <w:vAlign w:val="center"/>
                </w:tcPr>
                <w:p w14:paraId="5B4AD8E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24小时平均第95百分位数</w:t>
                  </w:r>
                </w:p>
              </w:tc>
              <w:tc>
                <w:tcPr>
                  <w:tcW w:w="679" w:type="pct"/>
                  <w:tcBorders>
                    <w:tl2br w:val="nil"/>
                    <w:tr2bl w:val="nil"/>
                  </w:tcBorders>
                  <w:shd w:val="clear" w:color="auto" w:fill="FFFFFF" w:themeFill="background1"/>
                  <w:vAlign w:val="center"/>
                </w:tcPr>
                <w:p w14:paraId="0460012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w:t>
                  </w:r>
                </w:p>
              </w:tc>
              <w:tc>
                <w:tcPr>
                  <w:tcW w:w="671" w:type="pct"/>
                  <w:tcBorders>
                    <w:tl2br w:val="nil"/>
                    <w:tr2bl w:val="nil"/>
                  </w:tcBorders>
                  <w:shd w:val="clear" w:color="auto" w:fill="FFFFFF" w:themeFill="background1"/>
                  <w:vAlign w:val="center"/>
                </w:tcPr>
                <w:p w14:paraId="7A4A80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4000</w:t>
                  </w:r>
                </w:p>
              </w:tc>
              <w:tc>
                <w:tcPr>
                  <w:tcW w:w="585" w:type="pct"/>
                  <w:tcBorders>
                    <w:tl2br w:val="nil"/>
                    <w:tr2bl w:val="nil"/>
                  </w:tcBorders>
                  <w:shd w:val="clear" w:color="auto" w:fill="FFFFFF" w:themeFill="background1"/>
                  <w:vAlign w:val="center"/>
                </w:tcPr>
                <w:p w14:paraId="3672BBE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667" w:type="pct"/>
                  <w:tcBorders>
                    <w:tl2br w:val="nil"/>
                    <w:tr2bl w:val="nil"/>
                  </w:tcBorders>
                  <w:shd w:val="clear" w:color="auto" w:fill="FFFFFF" w:themeFill="background1"/>
                  <w:vAlign w:val="center"/>
                </w:tcPr>
                <w:p w14:paraId="5BA7AE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3D62D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75" w:hRule="atLeast"/>
              </w:trPr>
              <w:tc>
                <w:tcPr>
                  <w:tcW w:w="509" w:type="pct"/>
                  <w:tcBorders>
                    <w:tl2br w:val="nil"/>
                    <w:tr2bl w:val="nil"/>
                  </w:tcBorders>
                  <w:shd w:val="clear" w:color="auto" w:fill="FFFFFF" w:themeFill="background1"/>
                  <w:vAlign w:val="center"/>
                </w:tcPr>
                <w:p w14:paraId="6C37DF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O3</w:t>
                  </w:r>
                </w:p>
              </w:tc>
              <w:tc>
                <w:tcPr>
                  <w:tcW w:w="1885" w:type="pct"/>
                  <w:tcBorders>
                    <w:tl2br w:val="nil"/>
                    <w:tr2bl w:val="nil"/>
                  </w:tcBorders>
                  <w:shd w:val="clear" w:color="auto" w:fill="FFFFFF" w:themeFill="background1"/>
                  <w:vAlign w:val="center"/>
                </w:tcPr>
                <w:p w14:paraId="4C7D6BA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日最大8小时平均第90百分位数</w:t>
                  </w:r>
                </w:p>
              </w:tc>
              <w:tc>
                <w:tcPr>
                  <w:tcW w:w="679" w:type="pct"/>
                  <w:tcBorders>
                    <w:tl2br w:val="nil"/>
                    <w:tr2bl w:val="nil"/>
                  </w:tcBorders>
                  <w:shd w:val="clear" w:color="auto" w:fill="FFFFFF" w:themeFill="background1"/>
                  <w:vAlign w:val="center"/>
                </w:tcPr>
                <w:p w14:paraId="53FAF4C5">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48</w:t>
                  </w:r>
                </w:p>
              </w:tc>
              <w:tc>
                <w:tcPr>
                  <w:tcW w:w="671" w:type="pct"/>
                  <w:tcBorders>
                    <w:tl2br w:val="nil"/>
                    <w:tr2bl w:val="nil"/>
                  </w:tcBorders>
                  <w:shd w:val="clear" w:color="auto" w:fill="FFFFFF" w:themeFill="background1"/>
                  <w:vAlign w:val="center"/>
                </w:tcPr>
                <w:p w14:paraId="5F09598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585" w:type="pct"/>
                  <w:tcBorders>
                    <w:tl2br w:val="nil"/>
                    <w:tr2bl w:val="nil"/>
                  </w:tcBorders>
                  <w:shd w:val="clear" w:color="auto" w:fill="FFFFFF" w:themeFill="background1"/>
                  <w:vAlign w:val="center"/>
                </w:tcPr>
                <w:p w14:paraId="3A9F9DD3">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92.5</w:t>
                  </w:r>
                </w:p>
              </w:tc>
              <w:tc>
                <w:tcPr>
                  <w:tcW w:w="667" w:type="pct"/>
                  <w:tcBorders>
                    <w:tl2br w:val="nil"/>
                    <w:tr2bl w:val="nil"/>
                  </w:tcBorders>
                  <w:shd w:val="clear" w:color="auto" w:fill="FFFFFF" w:themeFill="background1"/>
                  <w:vAlign w:val="center"/>
                </w:tcPr>
                <w:p w14:paraId="18A5B0E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4B0C78B3">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由上述统计结果可知，202</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年陈仓区环境空气中的SO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和NO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均达到《环境空气质量标准》（GB3095-2026）表1中过渡阶段浓度限值的二级标准，PM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均超过《环境空气质量标准》（GB3095-2026）表1中过渡阶段浓度限值的二级标准。因此，项目所在地区域为不达标区。</w:t>
            </w:r>
          </w:p>
          <w:p w14:paraId="3AB01695">
            <w:pPr>
              <w:widowControl/>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②特征污染物：</w:t>
            </w:r>
          </w:p>
          <w:p w14:paraId="6A15BF30">
            <w:pPr>
              <w:widowControl/>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为了解项目所在地区环境空气中特征因子TSP</w:t>
            </w:r>
            <w:r>
              <w:rPr>
                <w:rFonts w:hint="eastAsia" w:ascii="Times New Roman" w:hAnsi="Times New Roman" w:eastAsia="宋体"/>
                <w:color w:val="auto"/>
                <w:sz w:val="24"/>
                <w:szCs w:val="32"/>
                <w:lang w:eastAsia="zh-CN"/>
              </w:rPr>
              <w:t>和氮氧化物</w:t>
            </w:r>
            <w:r>
              <w:rPr>
                <w:rFonts w:hint="default" w:ascii="Times New Roman" w:hAnsi="Times New Roman" w:cs="Times New Roman"/>
                <w:color w:val="auto"/>
                <w:sz w:val="24"/>
                <w:szCs w:val="24"/>
                <w:lang w:eastAsia="zh-CN"/>
              </w:rPr>
              <w:t>现状，本次环评</w:t>
            </w:r>
            <w:r>
              <w:rPr>
                <w:rFonts w:hint="eastAsia" w:ascii="Times New Roman" w:hAnsi="Times New Roman" w:cs="Times New Roman"/>
                <w:color w:val="auto"/>
                <w:sz w:val="24"/>
                <w:szCs w:val="24"/>
                <w:lang w:val="en-US" w:eastAsia="zh-CN"/>
              </w:rPr>
              <w:t>中</w:t>
            </w:r>
            <w:r>
              <w:rPr>
                <w:rFonts w:hint="default" w:ascii="Times New Roman" w:hAnsi="Times New Roman" w:cs="Times New Roman"/>
                <w:color w:val="auto"/>
                <w:sz w:val="24"/>
                <w:szCs w:val="24"/>
                <w:lang w:eastAsia="zh-CN"/>
              </w:rPr>
              <w:t>TSP</w:t>
            </w:r>
            <w:r>
              <w:rPr>
                <w:rFonts w:hint="eastAsia" w:ascii="Times New Roman" w:hAnsi="Times New Roman" w:cs="Times New Roman"/>
                <w:color w:val="auto"/>
                <w:sz w:val="24"/>
                <w:szCs w:val="24"/>
                <w:lang w:val="en-US" w:eastAsia="zh-CN"/>
              </w:rPr>
              <w:t>及氮氧化物</w:t>
            </w:r>
            <w:r>
              <w:rPr>
                <w:rFonts w:ascii="Times New Roman" w:hAnsi="Times New Roman"/>
                <w:color w:val="auto"/>
                <w:sz w:val="24"/>
                <w:szCs w:val="32"/>
              </w:rPr>
              <w:t>引用距离本项目</w:t>
            </w:r>
            <w:r>
              <w:rPr>
                <w:rFonts w:hint="eastAsia" w:ascii="Times New Roman" w:hAnsi="Times New Roman"/>
                <w:color w:val="auto"/>
                <w:sz w:val="24"/>
                <w:szCs w:val="32"/>
                <w:lang w:val="en-US" w:eastAsia="zh-CN"/>
              </w:rPr>
              <w:t>4867</w:t>
            </w:r>
            <w:r>
              <w:rPr>
                <w:rFonts w:ascii="Times New Roman" w:hAnsi="Times New Roman"/>
                <w:color w:val="auto"/>
                <w:sz w:val="24"/>
                <w:szCs w:val="32"/>
              </w:rPr>
              <w:t>km</w:t>
            </w:r>
            <w:r>
              <w:rPr>
                <w:rFonts w:hint="eastAsia" w:ascii="Times New Roman" w:hAnsi="Times New Roman"/>
                <w:color w:val="auto"/>
                <w:sz w:val="24"/>
                <w:szCs w:val="32"/>
              </w:rPr>
              <w:t>处的</w:t>
            </w:r>
            <w:r>
              <w:rPr>
                <w:rFonts w:hint="eastAsia" w:ascii="Times New Roman" w:hAnsi="Times New Roman"/>
                <w:color w:val="auto"/>
                <w:sz w:val="24"/>
                <w:szCs w:val="32"/>
                <w:lang w:val="en-US" w:eastAsia="zh-CN"/>
              </w:rPr>
              <w:t>陕西玖宸钛工贸有限公司</w:t>
            </w:r>
            <w:r>
              <w:rPr>
                <w:rFonts w:hint="eastAsia" w:ascii="Times New Roman" w:hAnsi="Times New Roman"/>
                <w:color w:val="auto"/>
                <w:sz w:val="24"/>
                <w:szCs w:val="32"/>
              </w:rPr>
              <w:t>（数据摘自《</w:t>
            </w:r>
            <w:r>
              <w:rPr>
                <w:rFonts w:hint="eastAsia" w:ascii="Times New Roman" w:hAnsi="Times New Roman"/>
                <w:color w:val="auto"/>
                <w:sz w:val="24"/>
                <w:szCs w:val="32"/>
                <w:lang w:val="en-US" w:eastAsia="zh-CN"/>
              </w:rPr>
              <w:t>玖宸钛表面处理生产线建设项目</w:t>
            </w:r>
            <w:r>
              <w:rPr>
                <w:rFonts w:hint="eastAsia" w:ascii="Times New Roman" w:hAnsi="Times New Roman"/>
                <w:color w:val="auto"/>
                <w:sz w:val="24"/>
                <w:szCs w:val="32"/>
              </w:rPr>
              <w:t>环境影</w:t>
            </w:r>
            <w:r>
              <w:rPr>
                <w:rFonts w:ascii="Times New Roman" w:hAnsi="Times New Roman"/>
                <w:color w:val="auto"/>
                <w:sz w:val="24"/>
                <w:szCs w:val="32"/>
              </w:rPr>
              <w:t>响报告表》中的环境现状监测数据），数据由</w:t>
            </w:r>
            <w:r>
              <w:rPr>
                <w:rFonts w:hint="eastAsia" w:ascii="Times New Roman" w:hAnsi="Times New Roman"/>
                <w:color w:val="auto"/>
                <w:sz w:val="24"/>
                <w:szCs w:val="32"/>
                <w:lang w:val="en-US" w:eastAsia="zh-CN"/>
              </w:rPr>
              <w:t>陕西特睿智检测技术服务有限公司</w:t>
            </w:r>
            <w:r>
              <w:rPr>
                <w:rFonts w:ascii="Times New Roman" w:hAnsi="Times New Roman" w:eastAsia="宋体"/>
                <w:color w:val="auto"/>
                <w:sz w:val="24"/>
                <w:szCs w:val="32"/>
              </w:rPr>
              <w:t>于</w:t>
            </w:r>
            <w:r>
              <w:rPr>
                <w:rFonts w:ascii="Times New Roman" w:hAnsi="Times New Roman"/>
                <w:color w:val="auto"/>
                <w:sz w:val="24"/>
                <w:szCs w:val="32"/>
              </w:rPr>
              <w:t>202</w:t>
            </w:r>
            <w:r>
              <w:rPr>
                <w:rFonts w:hint="eastAsia" w:ascii="Times New Roman" w:hAnsi="Times New Roman"/>
                <w:color w:val="auto"/>
                <w:sz w:val="24"/>
                <w:szCs w:val="32"/>
                <w:lang w:val="en-US" w:eastAsia="zh-CN"/>
              </w:rPr>
              <w:t>4</w:t>
            </w:r>
            <w:r>
              <w:rPr>
                <w:rFonts w:ascii="Times New Roman" w:hAnsi="Times New Roman"/>
                <w:color w:val="auto"/>
                <w:sz w:val="24"/>
                <w:szCs w:val="32"/>
              </w:rPr>
              <w:t>年</w:t>
            </w:r>
            <w:r>
              <w:rPr>
                <w:rFonts w:hint="eastAsia" w:ascii="Times New Roman" w:hAnsi="Times New Roman"/>
                <w:color w:val="auto"/>
                <w:sz w:val="24"/>
                <w:szCs w:val="32"/>
                <w:lang w:val="en-US" w:eastAsia="zh-CN"/>
              </w:rPr>
              <w:t>5</w:t>
            </w:r>
            <w:r>
              <w:rPr>
                <w:rFonts w:ascii="Times New Roman" w:hAnsi="Times New Roman"/>
                <w:color w:val="auto"/>
                <w:sz w:val="24"/>
                <w:szCs w:val="32"/>
              </w:rPr>
              <w:t>月</w:t>
            </w:r>
            <w:r>
              <w:rPr>
                <w:rFonts w:hint="eastAsia" w:ascii="Times New Roman" w:hAnsi="Times New Roman"/>
                <w:color w:val="auto"/>
                <w:sz w:val="24"/>
                <w:szCs w:val="32"/>
                <w:lang w:val="en-US" w:eastAsia="zh-CN"/>
              </w:rPr>
              <w:t>23</w:t>
            </w:r>
            <w:r>
              <w:rPr>
                <w:rFonts w:ascii="Times New Roman" w:hAnsi="Times New Roman"/>
                <w:color w:val="auto"/>
                <w:sz w:val="24"/>
                <w:szCs w:val="32"/>
              </w:rPr>
              <w:t>日</w:t>
            </w:r>
            <w:r>
              <w:rPr>
                <w:rFonts w:hint="eastAsia"/>
                <w:color w:val="auto"/>
                <w:sz w:val="24"/>
                <w:szCs w:val="32"/>
                <w:lang w:eastAsia="zh-CN"/>
              </w:rPr>
              <w:t>—</w:t>
            </w:r>
            <w:r>
              <w:rPr>
                <w:rFonts w:ascii="Times New Roman" w:hAnsi="Times New Roman"/>
                <w:color w:val="auto"/>
                <w:sz w:val="24"/>
                <w:szCs w:val="32"/>
              </w:rPr>
              <w:t>202</w:t>
            </w:r>
            <w:r>
              <w:rPr>
                <w:rFonts w:hint="eastAsia" w:ascii="Times New Roman" w:hAnsi="Times New Roman"/>
                <w:color w:val="auto"/>
                <w:sz w:val="24"/>
                <w:szCs w:val="32"/>
                <w:lang w:val="en-US" w:eastAsia="zh-CN"/>
              </w:rPr>
              <w:t>4</w:t>
            </w:r>
            <w:r>
              <w:rPr>
                <w:rFonts w:ascii="Times New Roman" w:hAnsi="Times New Roman"/>
                <w:color w:val="auto"/>
                <w:sz w:val="24"/>
                <w:szCs w:val="32"/>
              </w:rPr>
              <w:t>年</w:t>
            </w:r>
            <w:r>
              <w:rPr>
                <w:rFonts w:hint="eastAsia" w:ascii="Times New Roman" w:hAnsi="Times New Roman"/>
                <w:color w:val="auto"/>
                <w:sz w:val="24"/>
                <w:szCs w:val="32"/>
                <w:lang w:val="en-US" w:eastAsia="zh-CN"/>
              </w:rPr>
              <w:t>5</w:t>
            </w:r>
            <w:r>
              <w:rPr>
                <w:rFonts w:ascii="Times New Roman" w:hAnsi="Times New Roman"/>
                <w:color w:val="auto"/>
                <w:sz w:val="24"/>
                <w:szCs w:val="32"/>
              </w:rPr>
              <w:t>月</w:t>
            </w:r>
            <w:r>
              <w:rPr>
                <w:rFonts w:hint="eastAsia" w:ascii="Times New Roman" w:hAnsi="Times New Roman"/>
                <w:color w:val="auto"/>
                <w:sz w:val="24"/>
                <w:szCs w:val="32"/>
                <w:lang w:val="en-US" w:eastAsia="zh-CN"/>
              </w:rPr>
              <w:t>2</w:t>
            </w:r>
            <w:r>
              <w:rPr>
                <w:rFonts w:ascii="Times New Roman" w:hAnsi="Times New Roman"/>
                <w:color w:val="auto"/>
                <w:sz w:val="24"/>
                <w:szCs w:val="32"/>
              </w:rPr>
              <w:t>6日</w:t>
            </w:r>
            <w:r>
              <w:rPr>
                <w:rFonts w:ascii="Times New Roman" w:hAnsi="Times New Roman" w:eastAsia="宋体"/>
                <w:color w:val="auto"/>
                <w:sz w:val="24"/>
                <w:szCs w:val="32"/>
              </w:rPr>
              <w:t>完成。</w:t>
            </w:r>
            <w:r>
              <w:rPr>
                <w:rFonts w:hint="default" w:ascii="Times New Roman" w:hAnsi="Times New Roman" w:cs="Times New Roman"/>
                <w:color w:val="auto"/>
                <w:sz w:val="24"/>
                <w:szCs w:val="24"/>
                <w:lang w:eastAsia="zh-CN"/>
              </w:rPr>
              <w:t>监测点位于本项目</w:t>
            </w:r>
            <w:r>
              <w:rPr>
                <w:rFonts w:hint="eastAsia" w:ascii="Times New Roman" w:hAnsi="Times New Roman" w:cs="Times New Roman"/>
                <w:color w:val="auto"/>
                <w:sz w:val="24"/>
                <w:szCs w:val="24"/>
                <w:lang w:eastAsia="zh-CN"/>
              </w:rPr>
              <w:t>东</w:t>
            </w:r>
            <w:r>
              <w:rPr>
                <w:rFonts w:hint="eastAsia" w:ascii="Times New Roman" w:hAnsi="Times New Roman" w:cs="Times New Roman"/>
                <w:color w:val="auto"/>
                <w:sz w:val="24"/>
                <w:szCs w:val="24"/>
                <w:lang w:val="en-US" w:eastAsia="zh-CN"/>
              </w:rPr>
              <w:t>南</w:t>
            </w:r>
            <w:r>
              <w:rPr>
                <w:rFonts w:hint="default" w:ascii="Times New Roman" w:hAnsi="Times New Roman" w:cs="Times New Roman"/>
                <w:color w:val="auto"/>
                <w:sz w:val="24"/>
                <w:szCs w:val="24"/>
                <w:lang w:eastAsia="zh-CN"/>
              </w:rPr>
              <w:t>侧</w:t>
            </w:r>
            <w:r>
              <w:rPr>
                <w:rFonts w:hint="eastAsia" w:ascii="Times New Roman" w:hAnsi="Times New Roman" w:cs="Times New Roman"/>
                <w:color w:val="auto"/>
                <w:sz w:val="24"/>
                <w:szCs w:val="24"/>
                <w:lang w:val="en-US" w:eastAsia="zh-CN"/>
              </w:rPr>
              <w:t>4867</w:t>
            </w:r>
            <w:r>
              <w:rPr>
                <w:rFonts w:hint="default" w:ascii="Times New Roman" w:hAnsi="Times New Roman" w:cs="Times New Roman"/>
                <w:color w:val="auto"/>
                <w:sz w:val="24"/>
                <w:szCs w:val="24"/>
                <w:lang w:eastAsia="zh-CN"/>
              </w:rPr>
              <w:t>m处，为项目周边</w:t>
            </w:r>
            <w:r>
              <w:rPr>
                <w:rFonts w:hint="default" w:ascii="Times New Roman" w:hAnsi="Times New Roman" w:cs="Times New Roman"/>
                <w:color w:val="auto"/>
                <w:sz w:val="24"/>
                <w:szCs w:val="24"/>
                <w:lang w:val="en-US" w:eastAsia="zh-CN"/>
              </w:rPr>
              <w:t>5km范围内近3年的现有检测数据，符合要求。</w:t>
            </w:r>
            <w:r>
              <w:rPr>
                <w:rFonts w:hint="default" w:ascii="Times New Roman" w:hAnsi="Times New Roman" w:cs="Times New Roman"/>
                <w:color w:val="auto"/>
                <w:sz w:val="24"/>
                <w:szCs w:val="24"/>
                <w:lang w:eastAsia="zh-CN"/>
              </w:rPr>
              <w:t>监测结果见下表3-2</w:t>
            </w:r>
            <w:r>
              <w:rPr>
                <w:rFonts w:hint="eastAsia" w:cs="Times New Roman"/>
                <w:color w:val="auto"/>
                <w:sz w:val="24"/>
                <w:szCs w:val="24"/>
                <w:lang w:eastAsia="zh-CN"/>
              </w:rPr>
              <w:t>：</w:t>
            </w:r>
          </w:p>
          <w:p w14:paraId="7ECA91FD">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表3-2  </w:t>
            </w:r>
            <w:r>
              <w:rPr>
                <w:rFonts w:hint="eastAsia" w:ascii="Times New Roman" w:hAnsi="Times New Roman" w:eastAsia="宋体" w:cs="Times New Roman"/>
                <w:b/>
                <w:bCs/>
                <w:color w:val="auto"/>
                <w:sz w:val="21"/>
                <w:szCs w:val="21"/>
                <w:lang w:val="en-US" w:eastAsia="zh-CN"/>
              </w:rPr>
              <w:t>环境空气质量</w:t>
            </w:r>
            <w:r>
              <w:rPr>
                <w:rFonts w:hint="default" w:ascii="Times New Roman" w:hAnsi="Times New Roman" w:eastAsia="宋体" w:cs="Times New Roman"/>
                <w:b/>
                <w:bCs/>
                <w:color w:val="auto"/>
                <w:sz w:val="21"/>
                <w:szCs w:val="21"/>
                <w:lang w:val="en-US" w:eastAsia="zh-CN"/>
              </w:rPr>
              <w:t>现状监测结果     单位：mg/m³</w:t>
            </w:r>
          </w:p>
          <w:tbl>
            <w:tblPr>
              <w:tblStyle w:val="30"/>
              <w:tblW w:w="499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877"/>
              <w:gridCol w:w="1099"/>
              <w:gridCol w:w="1014"/>
              <w:gridCol w:w="1422"/>
              <w:gridCol w:w="1093"/>
              <w:gridCol w:w="1861"/>
            </w:tblGrid>
            <w:tr w14:paraId="77B156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1122" w:type="pct"/>
                  <w:tcBorders>
                    <w:tl2br w:val="nil"/>
                    <w:tr2bl w:val="nil"/>
                  </w:tcBorders>
                  <w:noWrap w:val="0"/>
                  <w:vAlign w:val="center"/>
                </w:tcPr>
                <w:p w14:paraId="6F74C14A">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监测日期</w:t>
                  </w:r>
                </w:p>
              </w:tc>
              <w:tc>
                <w:tcPr>
                  <w:tcW w:w="657" w:type="pct"/>
                  <w:tcBorders>
                    <w:tl2br w:val="nil"/>
                    <w:tr2bl w:val="nil"/>
                  </w:tcBorders>
                  <w:noWrap w:val="0"/>
                  <w:vAlign w:val="center"/>
                </w:tcPr>
                <w:p w14:paraId="45562751">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监测时间</w:t>
                  </w:r>
                </w:p>
              </w:tc>
              <w:tc>
                <w:tcPr>
                  <w:tcW w:w="606" w:type="pct"/>
                  <w:tcBorders>
                    <w:tl2br w:val="nil"/>
                    <w:tr2bl w:val="nil"/>
                  </w:tcBorders>
                  <w:noWrap w:val="0"/>
                  <w:vAlign w:val="center"/>
                </w:tcPr>
                <w:p w14:paraId="6EE5964A">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监测点位</w:t>
                  </w:r>
                </w:p>
              </w:tc>
              <w:tc>
                <w:tcPr>
                  <w:tcW w:w="850" w:type="pct"/>
                  <w:tcBorders>
                    <w:tl2br w:val="nil"/>
                    <w:tr2bl w:val="nil"/>
                  </w:tcBorders>
                  <w:noWrap w:val="0"/>
                  <w:vAlign w:val="center"/>
                </w:tcPr>
                <w:p w14:paraId="25B62D64">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653" w:type="pct"/>
                  <w:tcBorders>
                    <w:tl2br w:val="nil"/>
                    <w:tr2bl w:val="nil"/>
                  </w:tcBorders>
                  <w:noWrap w:val="0"/>
                  <w:vAlign w:val="center"/>
                </w:tcPr>
                <w:p w14:paraId="6F07CB3E">
                  <w:pPr>
                    <w:pStyle w:val="126"/>
                    <w:keepNext w:val="0"/>
                    <w:keepLines w:val="0"/>
                    <w:pageBreakBefore w:val="0"/>
                    <w:widowControl w:val="0"/>
                    <w:kinsoku/>
                    <w:wordWrap/>
                    <w:overflowPunct/>
                    <w:topLinePunct w:val="0"/>
                    <w:autoSpaceDE/>
                    <w:autoSpaceDN/>
                    <w:bidi w:val="0"/>
                    <w:adjustRightInd/>
                    <w:snapToGrid/>
                    <w:ind w:left="0" w:right="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标准限值</w:t>
                  </w:r>
                </w:p>
              </w:tc>
              <w:tc>
                <w:tcPr>
                  <w:tcW w:w="1108" w:type="pct"/>
                  <w:tcBorders>
                    <w:tl2br w:val="nil"/>
                    <w:tr2bl w:val="nil"/>
                  </w:tcBorders>
                  <w:noWrap w:val="0"/>
                  <w:vAlign w:val="center"/>
                </w:tcPr>
                <w:p w14:paraId="19366215">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占标率</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w:t>
                  </w:r>
                </w:p>
              </w:tc>
            </w:tr>
            <w:tr w14:paraId="439B56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6"/>
                  <w:tcBorders>
                    <w:tl2br w:val="nil"/>
                    <w:tr2bl w:val="nil"/>
                  </w:tcBorders>
                  <w:noWrap w:val="0"/>
                  <w:vAlign w:val="center"/>
                </w:tcPr>
                <w:p w14:paraId="18DF76C2">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TSP </w:t>
                  </w:r>
                </w:p>
              </w:tc>
            </w:tr>
            <w:tr w14:paraId="5C173A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tcBorders>
                    <w:tl2br w:val="nil"/>
                    <w:tr2bl w:val="nil"/>
                  </w:tcBorders>
                  <w:noWrap w:val="0"/>
                  <w:vAlign w:val="center"/>
                </w:tcPr>
                <w:p w14:paraId="1860B75A">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w:t>
                  </w:r>
                  <w:r>
                    <w:rPr>
                      <w:rFonts w:hint="eastAsia" w:ascii="Times New Roman" w:hAnsi="Times New Roman" w:cs="Times New Roman"/>
                      <w:color w:val="auto"/>
                      <w:sz w:val="21"/>
                      <w:szCs w:val="21"/>
                      <w:lang w:val="en-US" w:eastAsia="zh-CN"/>
                    </w:rPr>
                    <w:t>24.5.23-2024.5.24</w:t>
                  </w:r>
                </w:p>
              </w:tc>
              <w:tc>
                <w:tcPr>
                  <w:tcW w:w="657" w:type="pct"/>
                  <w:tcBorders>
                    <w:tl2br w:val="nil"/>
                    <w:tr2bl w:val="nil"/>
                  </w:tcBorders>
                  <w:noWrap w:val="0"/>
                  <w:vAlign w:val="center"/>
                </w:tcPr>
                <w:p w14:paraId="3C99F295">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10:00-10:00</w:t>
                  </w:r>
                </w:p>
              </w:tc>
              <w:tc>
                <w:tcPr>
                  <w:tcW w:w="606" w:type="pct"/>
                  <w:vMerge w:val="restart"/>
                  <w:tcBorders>
                    <w:tl2br w:val="nil"/>
                    <w:tr2bl w:val="nil"/>
                  </w:tcBorders>
                  <w:noWrap w:val="0"/>
                  <w:vAlign w:val="center"/>
                </w:tcPr>
                <w:p w14:paraId="23C055B0">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下风向</w:t>
                  </w:r>
                </w:p>
              </w:tc>
              <w:tc>
                <w:tcPr>
                  <w:tcW w:w="850" w:type="pct"/>
                  <w:tcBorders>
                    <w:tl2br w:val="nil"/>
                    <w:tr2bl w:val="nil"/>
                  </w:tcBorders>
                  <w:noWrap w:val="0"/>
                  <w:vAlign w:val="center"/>
                </w:tcPr>
                <w:p w14:paraId="2E7D81C2">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0.187</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restart"/>
                  <w:tcBorders>
                    <w:tl2br w:val="nil"/>
                    <w:tr2bl w:val="nil"/>
                  </w:tcBorders>
                  <w:noWrap w:val="0"/>
                  <w:vAlign w:val="center"/>
                </w:tcPr>
                <w:p w14:paraId="756DB52B">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0.3mg/m³</w:t>
                  </w:r>
                </w:p>
              </w:tc>
              <w:tc>
                <w:tcPr>
                  <w:tcW w:w="1108" w:type="pct"/>
                  <w:vMerge w:val="restart"/>
                  <w:tcBorders>
                    <w:tl2br w:val="nil"/>
                    <w:tr2bl w:val="nil"/>
                  </w:tcBorders>
                  <w:noWrap w:val="0"/>
                  <w:vAlign w:val="center"/>
                </w:tcPr>
                <w:p w14:paraId="2D1882C8">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59%～60%</w:t>
                  </w:r>
                </w:p>
              </w:tc>
            </w:tr>
            <w:tr w14:paraId="27A06C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tcBorders>
                    <w:tl2br w:val="nil"/>
                    <w:tr2bl w:val="nil"/>
                  </w:tcBorders>
                  <w:noWrap w:val="0"/>
                  <w:vAlign w:val="center"/>
                </w:tcPr>
                <w:p w14:paraId="71F79816">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eastAsia" w:ascii="Times New Roman" w:hAnsi="Times New Roman" w:cs="Times New Roman"/>
                      <w:color w:val="auto"/>
                      <w:sz w:val="21"/>
                      <w:szCs w:val="21"/>
                      <w:lang w:val="en-US" w:eastAsia="zh-CN"/>
                    </w:rPr>
                    <w:t>4.5.24-2024.5.25</w:t>
                  </w:r>
                </w:p>
              </w:tc>
              <w:tc>
                <w:tcPr>
                  <w:tcW w:w="657" w:type="pct"/>
                  <w:tcBorders>
                    <w:tl2br w:val="nil"/>
                    <w:tr2bl w:val="nil"/>
                  </w:tcBorders>
                  <w:noWrap w:val="0"/>
                  <w:vAlign w:val="center"/>
                </w:tcPr>
                <w:p w14:paraId="33772F00">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10:10-10:10</w:t>
                  </w:r>
                </w:p>
              </w:tc>
              <w:tc>
                <w:tcPr>
                  <w:tcW w:w="606" w:type="pct"/>
                  <w:vMerge w:val="continue"/>
                  <w:tcBorders>
                    <w:tl2br w:val="nil"/>
                    <w:tr2bl w:val="nil"/>
                  </w:tcBorders>
                  <w:noWrap w:val="0"/>
                  <w:vAlign w:val="center"/>
                </w:tcPr>
                <w:p w14:paraId="5C41BA83">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rPr>
                  </w:pPr>
                </w:p>
              </w:tc>
              <w:tc>
                <w:tcPr>
                  <w:tcW w:w="850" w:type="pct"/>
                  <w:tcBorders>
                    <w:tl2br w:val="nil"/>
                    <w:tr2bl w:val="nil"/>
                  </w:tcBorders>
                  <w:noWrap w:val="0"/>
                  <w:vAlign w:val="center"/>
                </w:tcPr>
                <w:p w14:paraId="3DAFA923">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0.181</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404F8A92">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089D5966">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74C3FD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tcBorders>
                    <w:tl2br w:val="nil"/>
                    <w:tr2bl w:val="nil"/>
                  </w:tcBorders>
                  <w:noWrap w:val="0"/>
                  <w:vAlign w:val="center"/>
                </w:tcPr>
                <w:p w14:paraId="60766157">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eastAsia" w:ascii="Times New Roman" w:hAnsi="Times New Roman" w:cs="Times New Roman"/>
                      <w:color w:val="auto"/>
                      <w:sz w:val="21"/>
                      <w:szCs w:val="21"/>
                      <w:lang w:val="en-US" w:eastAsia="zh-CN"/>
                    </w:rPr>
                    <w:t>4.5.25-2024.5.26</w:t>
                  </w:r>
                </w:p>
              </w:tc>
              <w:tc>
                <w:tcPr>
                  <w:tcW w:w="657" w:type="pct"/>
                  <w:tcBorders>
                    <w:tl2br w:val="nil"/>
                    <w:tr2bl w:val="nil"/>
                  </w:tcBorders>
                  <w:noWrap w:val="0"/>
                  <w:vAlign w:val="center"/>
                </w:tcPr>
                <w:p w14:paraId="7F4A10C3">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10:20-10:20</w:t>
                  </w:r>
                </w:p>
              </w:tc>
              <w:tc>
                <w:tcPr>
                  <w:tcW w:w="606" w:type="pct"/>
                  <w:vMerge w:val="continue"/>
                  <w:tcBorders>
                    <w:tl2br w:val="nil"/>
                    <w:tr2bl w:val="nil"/>
                  </w:tcBorders>
                  <w:noWrap w:val="0"/>
                  <w:vAlign w:val="center"/>
                </w:tcPr>
                <w:p w14:paraId="33998EF9">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rPr>
                  </w:pPr>
                </w:p>
              </w:tc>
              <w:tc>
                <w:tcPr>
                  <w:tcW w:w="850" w:type="pct"/>
                  <w:tcBorders>
                    <w:tl2br w:val="nil"/>
                    <w:tr2bl w:val="nil"/>
                  </w:tcBorders>
                  <w:noWrap w:val="0"/>
                  <w:vAlign w:val="center"/>
                </w:tcPr>
                <w:p w14:paraId="4FC014E2">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0.178</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2145DE85">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00378508">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2F9B62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6"/>
                  <w:tcBorders>
                    <w:tl2br w:val="nil"/>
                    <w:tr2bl w:val="nil"/>
                  </w:tcBorders>
                  <w:noWrap w:val="0"/>
                  <w:vAlign w:val="center"/>
                </w:tcPr>
                <w:p w14:paraId="2310B781">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氮氧化物</w:t>
                  </w:r>
                </w:p>
              </w:tc>
            </w:tr>
            <w:tr w14:paraId="1D0682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restart"/>
                  <w:tcBorders>
                    <w:tl2br w:val="nil"/>
                    <w:tr2bl w:val="nil"/>
                  </w:tcBorders>
                  <w:noWrap w:val="0"/>
                  <w:vAlign w:val="center"/>
                </w:tcPr>
                <w:p w14:paraId="6D0B3900">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2024.5.23</w:t>
                  </w:r>
                </w:p>
              </w:tc>
              <w:tc>
                <w:tcPr>
                  <w:tcW w:w="657" w:type="pct"/>
                  <w:tcBorders>
                    <w:tl2br w:val="nil"/>
                    <w:tr2bl w:val="nil"/>
                  </w:tcBorders>
                  <w:noWrap w:val="0"/>
                  <w:vAlign w:val="center"/>
                </w:tcPr>
                <w:p w14:paraId="151A8ADD">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10:00-11:00</w:t>
                  </w:r>
                </w:p>
              </w:tc>
              <w:tc>
                <w:tcPr>
                  <w:tcW w:w="606" w:type="pct"/>
                  <w:vMerge w:val="restart"/>
                  <w:tcBorders>
                    <w:tl2br w:val="nil"/>
                    <w:tr2bl w:val="nil"/>
                  </w:tcBorders>
                  <w:noWrap w:val="0"/>
                  <w:vAlign w:val="center"/>
                </w:tcPr>
                <w:p w14:paraId="4D43822D">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下风向</w:t>
                  </w:r>
                </w:p>
              </w:tc>
              <w:tc>
                <w:tcPr>
                  <w:tcW w:w="850" w:type="pct"/>
                  <w:tcBorders>
                    <w:tl2br w:val="nil"/>
                    <w:tr2bl w:val="nil"/>
                  </w:tcBorders>
                  <w:noWrap w:val="0"/>
                  <w:vAlign w:val="center"/>
                </w:tcPr>
                <w:p w14:paraId="2FE77D10">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0.017</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restart"/>
                  <w:tcBorders>
                    <w:tl2br w:val="nil"/>
                    <w:tr2bl w:val="nil"/>
                  </w:tcBorders>
                  <w:noWrap w:val="0"/>
                  <w:vAlign w:val="center"/>
                </w:tcPr>
                <w:p w14:paraId="17C2BF8E">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0.25</w:t>
                  </w:r>
                  <w:r>
                    <w:rPr>
                      <w:rFonts w:hint="default" w:ascii="Times New Roman" w:hAnsi="Times New Roman" w:cs="Times New Roman"/>
                      <w:color w:val="auto"/>
                      <w:sz w:val="21"/>
                      <w:szCs w:val="21"/>
                    </w:rPr>
                    <w:t>mg/m³</w:t>
                  </w:r>
                </w:p>
              </w:tc>
              <w:tc>
                <w:tcPr>
                  <w:tcW w:w="1108" w:type="pct"/>
                  <w:vMerge w:val="restart"/>
                  <w:tcBorders>
                    <w:tl2br w:val="nil"/>
                    <w:tr2bl w:val="nil"/>
                  </w:tcBorders>
                  <w:noWrap w:val="0"/>
                  <w:vAlign w:val="center"/>
                </w:tcPr>
                <w:p w14:paraId="35D43FD0">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6%～11%</w:t>
                  </w:r>
                </w:p>
              </w:tc>
            </w:tr>
            <w:tr w14:paraId="240634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14E8EB4B">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3F0ED624">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12:00-13:00</w:t>
                  </w:r>
                </w:p>
              </w:tc>
              <w:tc>
                <w:tcPr>
                  <w:tcW w:w="606" w:type="pct"/>
                  <w:vMerge w:val="continue"/>
                  <w:tcBorders>
                    <w:tl2br w:val="nil"/>
                    <w:tr2bl w:val="nil"/>
                  </w:tcBorders>
                  <w:noWrap w:val="0"/>
                  <w:vAlign w:val="center"/>
                </w:tcPr>
                <w:p w14:paraId="0622CB50">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2B75D649">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0.015</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1A2AA647">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45F77D12">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757FE8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6803C83C">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5F613A0D">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14:00-15:00</w:t>
                  </w:r>
                </w:p>
              </w:tc>
              <w:tc>
                <w:tcPr>
                  <w:tcW w:w="606" w:type="pct"/>
                  <w:vMerge w:val="continue"/>
                  <w:tcBorders>
                    <w:tl2br w:val="nil"/>
                    <w:tr2bl w:val="nil"/>
                  </w:tcBorders>
                  <w:noWrap w:val="0"/>
                  <w:vAlign w:val="center"/>
                </w:tcPr>
                <w:p w14:paraId="21D907EB">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0FDB6840">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0.024</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00D4FB60">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468278A9">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4B0EED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6475626D">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5BC0952A">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16:00-17:00</w:t>
                  </w:r>
                </w:p>
              </w:tc>
              <w:tc>
                <w:tcPr>
                  <w:tcW w:w="606" w:type="pct"/>
                  <w:vMerge w:val="continue"/>
                  <w:tcBorders>
                    <w:tl2br w:val="nil"/>
                    <w:tr2bl w:val="nil"/>
                  </w:tcBorders>
                  <w:noWrap w:val="0"/>
                  <w:vAlign w:val="center"/>
                </w:tcPr>
                <w:p w14:paraId="7D9469BD">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74C555D5">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0.027</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73171942">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48EA6D87">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7C4B5C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restart"/>
                  <w:tcBorders>
                    <w:tl2br w:val="nil"/>
                    <w:tr2bl w:val="nil"/>
                  </w:tcBorders>
                  <w:noWrap w:val="0"/>
                  <w:vAlign w:val="center"/>
                </w:tcPr>
                <w:p w14:paraId="2FC64482">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2024.5.24</w:t>
                  </w:r>
                </w:p>
              </w:tc>
              <w:tc>
                <w:tcPr>
                  <w:tcW w:w="657" w:type="pct"/>
                  <w:tcBorders>
                    <w:tl2br w:val="nil"/>
                    <w:tr2bl w:val="nil"/>
                  </w:tcBorders>
                  <w:noWrap w:val="0"/>
                  <w:vAlign w:val="center"/>
                </w:tcPr>
                <w:p w14:paraId="6F152BB1">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10:00-11:00</w:t>
                  </w:r>
                </w:p>
              </w:tc>
              <w:tc>
                <w:tcPr>
                  <w:tcW w:w="606" w:type="pct"/>
                  <w:vMerge w:val="restart"/>
                  <w:tcBorders>
                    <w:tl2br w:val="nil"/>
                    <w:tr2bl w:val="nil"/>
                  </w:tcBorders>
                  <w:noWrap w:val="0"/>
                  <w:vAlign w:val="center"/>
                </w:tcPr>
                <w:p w14:paraId="24DAC72E">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下风向</w:t>
                  </w:r>
                </w:p>
              </w:tc>
              <w:tc>
                <w:tcPr>
                  <w:tcW w:w="850" w:type="pct"/>
                  <w:tcBorders>
                    <w:tl2br w:val="nil"/>
                    <w:tr2bl w:val="nil"/>
                  </w:tcBorders>
                  <w:noWrap w:val="0"/>
                  <w:vAlign w:val="center"/>
                </w:tcPr>
                <w:p w14:paraId="21F75150">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0.024</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7DB3E6F0">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10B013DE">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2F4C89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299B74A9">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5A125D26">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12:00-13:00</w:t>
                  </w:r>
                </w:p>
              </w:tc>
              <w:tc>
                <w:tcPr>
                  <w:tcW w:w="606" w:type="pct"/>
                  <w:vMerge w:val="continue"/>
                  <w:tcBorders>
                    <w:tl2br w:val="nil"/>
                    <w:tr2bl w:val="nil"/>
                  </w:tcBorders>
                  <w:noWrap w:val="0"/>
                  <w:vAlign w:val="center"/>
                </w:tcPr>
                <w:p w14:paraId="6DBB7D88">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42234918">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0.020</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604ACC00">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10AFDF8E">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085BF0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4A901EC7">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73D26CB8">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14:00-15:00</w:t>
                  </w:r>
                </w:p>
              </w:tc>
              <w:tc>
                <w:tcPr>
                  <w:tcW w:w="606" w:type="pct"/>
                  <w:vMerge w:val="continue"/>
                  <w:tcBorders>
                    <w:tl2br w:val="nil"/>
                    <w:tr2bl w:val="nil"/>
                  </w:tcBorders>
                  <w:noWrap w:val="0"/>
                  <w:vAlign w:val="center"/>
                </w:tcPr>
                <w:p w14:paraId="67EC71F0">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4BE67EBF">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0.026</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6B8EB7E4">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2614B807">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6A9CA6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5BE0EF4A">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36F74ED2">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16:00-17:00</w:t>
                  </w:r>
                </w:p>
              </w:tc>
              <w:tc>
                <w:tcPr>
                  <w:tcW w:w="606" w:type="pct"/>
                  <w:vMerge w:val="continue"/>
                  <w:tcBorders>
                    <w:tl2br w:val="nil"/>
                    <w:tr2bl w:val="nil"/>
                  </w:tcBorders>
                  <w:noWrap w:val="0"/>
                  <w:vAlign w:val="center"/>
                </w:tcPr>
                <w:p w14:paraId="204BD4FF">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1BF70F3E">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0.017</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4C7D126F">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623C2A37">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59CE73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restart"/>
                  <w:tcBorders>
                    <w:tl2br w:val="nil"/>
                    <w:tr2bl w:val="nil"/>
                  </w:tcBorders>
                  <w:noWrap w:val="0"/>
                  <w:vAlign w:val="center"/>
                </w:tcPr>
                <w:p w14:paraId="22133683">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2024.5.25</w:t>
                  </w:r>
                </w:p>
              </w:tc>
              <w:tc>
                <w:tcPr>
                  <w:tcW w:w="657" w:type="pct"/>
                  <w:tcBorders>
                    <w:tl2br w:val="nil"/>
                    <w:tr2bl w:val="nil"/>
                  </w:tcBorders>
                  <w:noWrap w:val="0"/>
                  <w:vAlign w:val="center"/>
                </w:tcPr>
                <w:p w14:paraId="640EF18A">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10:00-11:00</w:t>
                  </w:r>
                </w:p>
              </w:tc>
              <w:tc>
                <w:tcPr>
                  <w:tcW w:w="606" w:type="pct"/>
                  <w:vMerge w:val="restart"/>
                  <w:tcBorders>
                    <w:tl2br w:val="nil"/>
                    <w:tr2bl w:val="nil"/>
                  </w:tcBorders>
                  <w:noWrap w:val="0"/>
                  <w:vAlign w:val="center"/>
                </w:tcPr>
                <w:p w14:paraId="4DF952B8">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下风向</w:t>
                  </w:r>
                </w:p>
              </w:tc>
              <w:tc>
                <w:tcPr>
                  <w:tcW w:w="850" w:type="pct"/>
                  <w:tcBorders>
                    <w:tl2br w:val="nil"/>
                    <w:tr2bl w:val="nil"/>
                  </w:tcBorders>
                  <w:noWrap w:val="0"/>
                  <w:vAlign w:val="center"/>
                </w:tcPr>
                <w:p w14:paraId="6B745E0A">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0.019</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38D2931E">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2E7E72FA">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1073D4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4289BB06">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5DF9571D">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12:00-13:00</w:t>
                  </w:r>
                </w:p>
              </w:tc>
              <w:tc>
                <w:tcPr>
                  <w:tcW w:w="606" w:type="pct"/>
                  <w:vMerge w:val="continue"/>
                  <w:tcBorders>
                    <w:tl2br w:val="nil"/>
                    <w:tr2bl w:val="nil"/>
                  </w:tcBorders>
                  <w:noWrap w:val="0"/>
                  <w:vAlign w:val="center"/>
                </w:tcPr>
                <w:p w14:paraId="4D8F016B">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7DBD55E4">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0.024</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492C4B77">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43D3707A">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58ABEC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5016EE6C">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279B9555">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14:00-15:00</w:t>
                  </w:r>
                </w:p>
              </w:tc>
              <w:tc>
                <w:tcPr>
                  <w:tcW w:w="606" w:type="pct"/>
                  <w:vMerge w:val="continue"/>
                  <w:tcBorders>
                    <w:tl2br w:val="nil"/>
                    <w:tr2bl w:val="nil"/>
                  </w:tcBorders>
                  <w:noWrap w:val="0"/>
                  <w:vAlign w:val="center"/>
                </w:tcPr>
                <w:p w14:paraId="2A73A89E">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66FB39ED">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0.028</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149BB147">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2A4C0CB1">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24BCD1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33E453A2">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4EC2B6A4">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16:00-17:00</w:t>
                  </w:r>
                </w:p>
              </w:tc>
              <w:tc>
                <w:tcPr>
                  <w:tcW w:w="606" w:type="pct"/>
                  <w:vMerge w:val="continue"/>
                  <w:tcBorders>
                    <w:tl2br w:val="nil"/>
                    <w:tr2bl w:val="nil"/>
                  </w:tcBorders>
                  <w:noWrap w:val="0"/>
                  <w:vAlign w:val="center"/>
                </w:tcPr>
                <w:p w14:paraId="06BE089C">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5CBC7164">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0.018</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666DD97B">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51FD6F1D">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bl>
          <w:p w14:paraId="701B11E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黑体" w:cs="Times New Roman"/>
                <w:bCs/>
                <w:color w:val="auto"/>
                <w:sz w:val="24"/>
                <w:szCs w:val="28"/>
                <w:lang w:val="en-US" w:eastAsia="zh-CN"/>
              </w:rPr>
            </w:pPr>
            <w:r>
              <w:rPr>
                <w:rFonts w:hint="default" w:ascii="Times New Roman" w:hAnsi="Times New Roman" w:cs="Times New Roman"/>
                <w:color w:val="auto"/>
                <w:sz w:val="24"/>
                <w:szCs w:val="24"/>
                <w:lang w:val="en-US" w:eastAsia="zh-CN"/>
              </w:rPr>
              <w:t>由现状监测报告可知，监测区域内TSP浓度</w:t>
            </w:r>
            <w:r>
              <w:rPr>
                <w:rFonts w:hint="eastAsia" w:ascii="Times New Roman" w:hAnsi="Times New Roman" w:cs="Times New Roman"/>
                <w:color w:val="auto"/>
                <w:sz w:val="24"/>
                <w:szCs w:val="24"/>
                <w:lang w:val="en-US" w:eastAsia="zh-CN"/>
              </w:rPr>
              <w:t>范围在0.178-0.187</w:t>
            </w:r>
            <w:r>
              <w:rPr>
                <w:rFonts w:hint="default" w:ascii="Times New Roman" w:hAnsi="Times New Roman" w:cs="Times New Roman"/>
                <w:color w:val="auto"/>
              </w:rPr>
              <w:t xml:space="preserve"> </w:t>
            </w:r>
            <w:r>
              <w:rPr>
                <w:rFonts w:hint="default" w:ascii="Times New Roman" w:hAnsi="Times New Roman" w:cs="Times New Roman"/>
                <w:color w:val="auto"/>
                <w:sz w:val="24"/>
                <w:szCs w:val="24"/>
              </w:rPr>
              <w:t>mg/m³</w:t>
            </w:r>
            <w:r>
              <w:rPr>
                <w:rFonts w:hint="eastAsia" w:ascii="Times New Roman" w:hAnsi="Times New Roman" w:cs="Times New Roman"/>
                <w:color w:val="auto"/>
                <w:lang w:eastAsia="zh-CN"/>
              </w:rPr>
              <w:t>，</w:t>
            </w:r>
            <w:r>
              <w:rPr>
                <w:rFonts w:hint="eastAsia" w:ascii="Times New Roman" w:hAnsi="Times New Roman" w:eastAsia="宋体" w:cs="Times New Roman"/>
                <w:color w:val="auto"/>
                <w:sz w:val="24"/>
                <w:szCs w:val="24"/>
                <w:lang w:val="en-US" w:eastAsia="zh-CN"/>
              </w:rPr>
              <w:t>氮氧化物浓度范围在0.015-0.028</w:t>
            </w:r>
            <w:r>
              <w:rPr>
                <w:rFonts w:hint="default" w:ascii="Times New Roman" w:hAnsi="Times New Roman" w:cs="Times New Roman"/>
                <w:color w:val="auto"/>
              </w:rPr>
              <w:t xml:space="preserve"> </w:t>
            </w:r>
            <w:r>
              <w:rPr>
                <w:rFonts w:hint="default" w:ascii="Times New Roman" w:hAnsi="Times New Roman" w:cs="Times New Roman"/>
                <w:color w:val="auto"/>
                <w:sz w:val="24"/>
                <w:szCs w:val="24"/>
              </w:rPr>
              <w:t>mg/m³</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val="en-US" w:eastAsia="zh-CN"/>
              </w:rPr>
              <w:t>监测值满足《环境空气质量标准》（GB3095-20</w:t>
            </w:r>
            <w:r>
              <w:rPr>
                <w:rFonts w:hint="eastAsia" w:cs="Times New Roman"/>
                <w:color w:val="auto"/>
                <w:sz w:val="24"/>
                <w:szCs w:val="24"/>
                <w:lang w:val="en-US" w:eastAsia="zh-CN"/>
              </w:rPr>
              <w:t>26</w:t>
            </w:r>
            <w:r>
              <w:rPr>
                <w:rFonts w:hint="default" w:ascii="Times New Roman" w:hAnsi="Times New Roman" w:eastAsia="宋体" w:cs="Times New Roman"/>
                <w:color w:val="auto"/>
                <w:sz w:val="24"/>
                <w:szCs w:val="24"/>
                <w:lang w:val="en-US" w:eastAsia="zh-CN"/>
              </w:rPr>
              <w:t>）中的二级标</w:t>
            </w:r>
            <w:r>
              <w:rPr>
                <w:rFonts w:hint="default" w:ascii="Times New Roman" w:hAnsi="Times New Roman" w:eastAsia="宋体" w:cs="Times New Roman"/>
                <w:bCs/>
                <w:color w:val="auto"/>
                <w:sz w:val="24"/>
                <w:szCs w:val="28"/>
                <w:lang w:val="en-US" w:eastAsia="zh-CN"/>
              </w:rPr>
              <w:t>准要求。</w:t>
            </w:r>
          </w:p>
          <w:p w14:paraId="4CF8788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黑体" w:cs="Times New Roman"/>
                <w:bCs/>
                <w:color w:val="auto"/>
                <w:sz w:val="24"/>
                <w:szCs w:val="28"/>
                <w:lang w:val="en-US" w:eastAsia="zh-CN"/>
              </w:rPr>
            </w:pPr>
            <w:r>
              <w:rPr>
                <w:color w:val="auto"/>
              </w:rPr>
              <w:drawing>
                <wp:inline distT="0" distB="0" distL="114300" distR="114300">
                  <wp:extent cx="5073650" cy="3356610"/>
                  <wp:effectExtent l="9525" t="9525" r="22225" b="24765"/>
                  <wp:docPr id="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2"/>
                          <pic:cNvPicPr>
                            <a:picLocks noChangeAspect="1"/>
                          </pic:cNvPicPr>
                        </pic:nvPicPr>
                        <pic:blipFill>
                          <a:blip r:embed="rId16"/>
                          <a:stretch>
                            <a:fillRect/>
                          </a:stretch>
                        </pic:blipFill>
                        <pic:spPr>
                          <a:xfrm>
                            <a:off x="0" y="0"/>
                            <a:ext cx="5073650" cy="335661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39982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1"/>
                <w:szCs w:val="21"/>
                <w:lang w:val="en-US" w:eastAsia="zh-CN" w:bidi="ar-SA"/>
              </w:rPr>
              <w:t>图3-1  现状监测数据引用位置图</w:t>
            </w:r>
          </w:p>
          <w:p w14:paraId="63623B83">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声环境质量现状</w:t>
            </w:r>
          </w:p>
          <w:p w14:paraId="1DA00067">
            <w:pPr>
              <w:keepNext/>
              <w:keepLines/>
              <w:spacing w:line="360" w:lineRule="auto"/>
              <w:ind w:firstLine="480" w:firstLineChars="200"/>
              <w:jc w:val="left"/>
              <w:outlineLvl w:val="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为了解项目周围环境质量现状，陕西秦景蓝环境检测有限公司对项目周边50米范围内声环境敏感点进行取样监测，监测结果见下表：</w:t>
            </w:r>
          </w:p>
          <w:p w14:paraId="24D0427F">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表3-3 </w:t>
            </w:r>
            <w:r>
              <w:rPr>
                <w:rFonts w:hint="default" w:ascii="Times New Roman" w:hAnsi="Times New Roman" w:eastAsia="宋体" w:cs="Times New Roman"/>
                <w:b/>
                <w:bCs/>
                <w:color w:val="auto"/>
                <w:sz w:val="21"/>
                <w:szCs w:val="21"/>
                <w:lang w:val="en-US" w:eastAsia="zh-CN"/>
              </w:rPr>
              <w:t>建设项目环境噪声监测结果</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2092"/>
              <w:gridCol w:w="2094"/>
              <w:gridCol w:w="2095"/>
            </w:tblGrid>
            <w:tr w14:paraId="7A7D2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Merge w:val="restart"/>
                  <w:tcBorders>
                    <w:tl2br w:val="nil"/>
                    <w:tr2bl w:val="nil"/>
                  </w:tcBorders>
                  <w:noWrap w:val="0"/>
                  <w:vAlign w:val="center"/>
                </w:tcPr>
                <w:p w14:paraId="00F41D5F">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监测时间</w:t>
                  </w:r>
                </w:p>
              </w:tc>
              <w:tc>
                <w:tcPr>
                  <w:tcW w:w="1249" w:type="pct"/>
                  <w:vMerge w:val="restart"/>
                  <w:tcBorders>
                    <w:tl2br w:val="nil"/>
                    <w:tr2bl w:val="nil"/>
                  </w:tcBorders>
                  <w:noWrap w:val="0"/>
                  <w:vAlign w:val="center"/>
                </w:tcPr>
                <w:p w14:paraId="5DC3BC7F">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监测点位</w:t>
                  </w:r>
                </w:p>
              </w:tc>
              <w:tc>
                <w:tcPr>
                  <w:tcW w:w="1250" w:type="pct"/>
                  <w:vMerge w:val="restart"/>
                  <w:tcBorders>
                    <w:tl2br w:val="nil"/>
                    <w:tr2bl w:val="nil"/>
                  </w:tcBorders>
                  <w:noWrap w:val="0"/>
                  <w:vAlign w:val="center"/>
                </w:tcPr>
                <w:p w14:paraId="7F75260E">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单位</w:t>
                  </w:r>
                </w:p>
              </w:tc>
              <w:tc>
                <w:tcPr>
                  <w:tcW w:w="1250" w:type="pct"/>
                  <w:tcBorders>
                    <w:tl2br w:val="nil"/>
                    <w:tr2bl w:val="nil"/>
                  </w:tcBorders>
                  <w:noWrap w:val="0"/>
                  <w:vAlign w:val="center"/>
                </w:tcPr>
                <w:p w14:paraId="1D2066C0">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检测结果</w:t>
                  </w:r>
                </w:p>
              </w:tc>
            </w:tr>
            <w:tr w14:paraId="37EA1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Merge w:val="continue"/>
                  <w:tcBorders>
                    <w:tl2br w:val="nil"/>
                    <w:tr2bl w:val="nil"/>
                  </w:tcBorders>
                  <w:noWrap w:val="0"/>
                  <w:vAlign w:val="center"/>
                </w:tcPr>
                <w:p w14:paraId="36F3782F">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p>
              </w:tc>
              <w:tc>
                <w:tcPr>
                  <w:tcW w:w="1249" w:type="pct"/>
                  <w:vMerge w:val="continue"/>
                  <w:tcBorders>
                    <w:tl2br w:val="nil"/>
                    <w:tr2bl w:val="nil"/>
                  </w:tcBorders>
                  <w:noWrap w:val="0"/>
                  <w:vAlign w:val="center"/>
                </w:tcPr>
                <w:p w14:paraId="107CE087">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p>
              </w:tc>
              <w:tc>
                <w:tcPr>
                  <w:tcW w:w="1250" w:type="pct"/>
                  <w:vMerge w:val="continue"/>
                  <w:tcBorders>
                    <w:tl2br w:val="nil"/>
                    <w:tr2bl w:val="nil"/>
                  </w:tcBorders>
                  <w:noWrap w:val="0"/>
                  <w:vAlign w:val="center"/>
                </w:tcPr>
                <w:p w14:paraId="7EDA8F48">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p>
              </w:tc>
              <w:tc>
                <w:tcPr>
                  <w:tcW w:w="1250" w:type="pct"/>
                  <w:tcBorders>
                    <w:tl2br w:val="nil"/>
                    <w:tr2bl w:val="nil"/>
                  </w:tcBorders>
                  <w:noWrap w:val="0"/>
                  <w:vAlign w:val="center"/>
                </w:tcPr>
                <w:p w14:paraId="0918446C">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昼间</w:t>
                  </w:r>
                </w:p>
              </w:tc>
            </w:tr>
            <w:tr w14:paraId="505D9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14:paraId="530E97BA">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黑体" w:cs="Times New Roman"/>
                      <w:bCs/>
                      <w:color w:val="auto"/>
                      <w:kern w:val="2"/>
                      <w:sz w:val="21"/>
                      <w:szCs w:val="21"/>
                      <w:vertAlign w:val="baseline"/>
                      <w:lang w:val="en-US" w:eastAsia="zh-CN" w:bidi="ar-SA"/>
                    </w:rPr>
                  </w:pPr>
                  <w:r>
                    <w:rPr>
                      <w:rFonts w:hint="eastAsia" w:ascii="Times New Roman" w:hAnsi="Times New Roman" w:eastAsia="黑体" w:cs="Times New Roman"/>
                      <w:bCs/>
                      <w:color w:val="auto"/>
                      <w:kern w:val="2"/>
                      <w:sz w:val="21"/>
                      <w:szCs w:val="21"/>
                      <w:vertAlign w:val="baseline"/>
                      <w:lang w:val="en-US" w:eastAsia="zh-CN" w:bidi="ar-SA"/>
                    </w:rPr>
                    <w:t>2025.11.4</w:t>
                  </w:r>
                </w:p>
              </w:tc>
              <w:tc>
                <w:tcPr>
                  <w:tcW w:w="1249" w:type="pct"/>
                  <w:tcBorders>
                    <w:tl2br w:val="nil"/>
                    <w:tr2bl w:val="nil"/>
                  </w:tcBorders>
                  <w:noWrap w:val="0"/>
                  <w:vAlign w:val="center"/>
                </w:tcPr>
                <w:p w14:paraId="55AF8151">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黑体" w:cs="Times New Roman"/>
                      <w:bCs/>
                      <w:color w:val="auto"/>
                      <w:kern w:val="2"/>
                      <w:sz w:val="21"/>
                      <w:szCs w:val="21"/>
                      <w:vertAlign w:val="baseline"/>
                      <w:lang w:val="en-US" w:eastAsia="zh-CN" w:bidi="ar-SA"/>
                    </w:rPr>
                  </w:pPr>
                  <w:r>
                    <w:rPr>
                      <w:rFonts w:hint="eastAsia" w:ascii="Times New Roman" w:hAnsi="Times New Roman" w:eastAsia="宋体" w:cs="Times New Roman"/>
                      <w:color w:val="auto"/>
                      <w:kern w:val="0"/>
                      <w:sz w:val="21"/>
                      <w:szCs w:val="21"/>
                      <w:lang w:val="en-US" w:eastAsia="zh-CN" w:bidi="ar-SA"/>
                    </w:rPr>
                    <w:t>五一村</w:t>
                  </w:r>
                </w:p>
              </w:tc>
              <w:tc>
                <w:tcPr>
                  <w:tcW w:w="1250" w:type="pct"/>
                  <w:tcBorders>
                    <w:tl2br w:val="nil"/>
                    <w:tr2bl w:val="nil"/>
                  </w:tcBorders>
                  <w:noWrap w:val="0"/>
                  <w:vAlign w:val="center"/>
                </w:tcPr>
                <w:p w14:paraId="5CF1D1B0">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黑体" w:cs="Times New Roman"/>
                      <w:bCs/>
                      <w:color w:val="auto"/>
                      <w:kern w:val="2"/>
                      <w:sz w:val="21"/>
                      <w:szCs w:val="21"/>
                      <w:vertAlign w:val="baseline"/>
                      <w:lang w:val="en-US" w:eastAsia="zh-CN" w:bidi="ar-SA"/>
                    </w:rPr>
                  </w:pPr>
                  <w:r>
                    <w:rPr>
                      <w:rFonts w:hint="eastAsia" w:ascii="Times New Roman" w:hAnsi="Times New Roman" w:eastAsia="黑体" w:cs="Times New Roman"/>
                      <w:bCs/>
                      <w:color w:val="auto"/>
                      <w:kern w:val="2"/>
                      <w:sz w:val="21"/>
                      <w:szCs w:val="21"/>
                      <w:vertAlign w:val="baseline"/>
                      <w:lang w:val="en-US" w:eastAsia="zh-CN" w:bidi="ar-SA"/>
                    </w:rPr>
                    <w:t>dB（A）</w:t>
                  </w:r>
                </w:p>
              </w:tc>
              <w:tc>
                <w:tcPr>
                  <w:tcW w:w="1250" w:type="pct"/>
                  <w:tcBorders>
                    <w:tl2br w:val="nil"/>
                    <w:tr2bl w:val="nil"/>
                  </w:tcBorders>
                  <w:noWrap w:val="0"/>
                  <w:vAlign w:val="center"/>
                </w:tcPr>
                <w:p w14:paraId="3BB3C6C3">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黑体" w:cs="Times New Roman"/>
                      <w:bCs/>
                      <w:color w:val="auto"/>
                      <w:kern w:val="2"/>
                      <w:sz w:val="21"/>
                      <w:szCs w:val="21"/>
                      <w:vertAlign w:val="baseline"/>
                      <w:lang w:val="en-US" w:eastAsia="zh-CN" w:bidi="ar-SA"/>
                    </w:rPr>
                  </w:pPr>
                  <w:r>
                    <w:rPr>
                      <w:rFonts w:hint="eastAsia" w:ascii="Times New Roman" w:hAnsi="Times New Roman" w:eastAsia="黑体" w:cs="Times New Roman"/>
                      <w:bCs/>
                      <w:color w:val="auto"/>
                      <w:kern w:val="2"/>
                      <w:sz w:val="21"/>
                      <w:szCs w:val="21"/>
                      <w:vertAlign w:val="baseline"/>
                      <w:lang w:val="en-US" w:eastAsia="zh-CN" w:bidi="ar-SA"/>
                    </w:rPr>
                    <w:t>54</w:t>
                  </w:r>
                </w:p>
              </w:tc>
            </w:tr>
          </w:tbl>
          <w:p w14:paraId="3D64C974">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360" w:lineRule="auto"/>
              <w:ind w:right="0" w:rightChars="0" w:firstLine="360" w:firstLineChars="200"/>
              <w:textAlignment w:val="auto"/>
              <w:rPr>
                <w:rFonts w:hint="default" w:ascii="Times New Roman" w:hAnsi="Times New Roman" w:eastAsia="宋体" w:cs="Times New Roman"/>
                <w:b/>
                <w:bCs/>
                <w:color w:val="auto"/>
                <w:kern w:val="2"/>
                <w:sz w:val="24"/>
                <w:szCs w:val="24"/>
                <w:lang w:val="en-US" w:eastAsia="zh-CN" w:bidi="ar-SA"/>
              </w:rPr>
            </w:pPr>
            <w:r>
              <w:rPr>
                <w:color w:val="auto"/>
              </w:rPr>
              <w:drawing>
                <wp:inline distT="0" distB="0" distL="114300" distR="114300">
                  <wp:extent cx="4657725" cy="5924550"/>
                  <wp:effectExtent l="9525" t="9525" r="19050"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7"/>
                          <a:stretch>
                            <a:fillRect/>
                          </a:stretch>
                        </pic:blipFill>
                        <pic:spPr>
                          <a:xfrm>
                            <a:off x="0" y="0"/>
                            <a:ext cx="4657725" cy="5924550"/>
                          </a:xfrm>
                          <a:prstGeom prst="rect">
                            <a:avLst/>
                          </a:prstGeom>
                          <a:noFill/>
                          <a:ln>
                            <a:solidFill>
                              <a:schemeClr val="tx1"/>
                            </a:solidFill>
                          </a:ln>
                        </pic:spPr>
                      </pic:pic>
                    </a:graphicData>
                  </a:graphic>
                </wp:inline>
              </w:drawing>
            </w:r>
          </w:p>
          <w:p w14:paraId="1B3B2D81">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360" w:lineRule="auto"/>
              <w:ind w:right="0" w:rightChars="0"/>
              <w:jc w:val="center"/>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1"/>
                <w:szCs w:val="21"/>
                <w:lang w:val="en-US" w:eastAsia="zh-CN" w:bidi="ar-SA"/>
              </w:rPr>
              <w:t>图3-</w:t>
            </w:r>
            <w:r>
              <w:rPr>
                <w:rFonts w:hint="eastAsia" w:cs="Times New Roman"/>
                <w:b/>
                <w:bCs/>
                <w:color w:val="auto"/>
                <w:kern w:val="2"/>
                <w:sz w:val="21"/>
                <w:szCs w:val="21"/>
                <w:lang w:val="en-US" w:eastAsia="zh-CN" w:bidi="ar-SA"/>
              </w:rPr>
              <w:t>2</w:t>
            </w:r>
            <w:r>
              <w:rPr>
                <w:rFonts w:hint="eastAsia" w:ascii="Times New Roman" w:hAnsi="Times New Roman" w:eastAsia="宋体" w:cs="Times New Roman"/>
                <w:b/>
                <w:bCs/>
                <w:color w:val="auto"/>
                <w:kern w:val="2"/>
                <w:sz w:val="21"/>
                <w:szCs w:val="21"/>
                <w:lang w:val="en-US" w:eastAsia="zh-CN" w:bidi="ar-SA"/>
              </w:rPr>
              <w:t xml:space="preserve">  现状监测</w:t>
            </w:r>
            <w:r>
              <w:rPr>
                <w:rFonts w:hint="eastAsia" w:cs="Times New Roman"/>
                <w:b/>
                <w:bCs/>
                <w:color w:val="auto"/>
                <w:kern w:val="2"/>
                <w:sz w:val="21"/>
                <w:szCs w:val="21"/>
                <w:lang w:val="en-US" w:eastAsia="zh-CN" w:bidi="ar-SA"/>
              </w:rPr>
              <w:t>点位布设图</w:t>
            </w:r>
          </w:p>
          <w:p w14:paraId="44C56EB7">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360" w:lineRule="auto"/>
              <w:ind w:right="0" w:rightChars="0"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3</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土壤、地下水质量现状</w:t>
            </w:r>
          </w:p>
          <w:p w14:paraId="07AA4135">
            <w:pPr>
              <w:keepNext/>
              <w:keepLines/>
              <w:spacing w:line="360" w:lineRule="auto"/>
              <w:ind w:firstLine="480" w:firstLineChars="200"/>
              <w:jc w:val="left"/>
              <w:outlineLv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根据项目生产工艺特点，本次环评结合项目污染源分布情况，项目所在区域地面以及生产厂房地面均采取了分区防渗及拦挡措施</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且本项目生产车间均已硬化，不存在污染途径。</w:t>
            </w:r>
          </w:p>
        </w:tc>
      </w:tr>
      <w:tr w14:paraId="59C21A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14:paraId="781C315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7CC4F092">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14:paraId="15FA5E33">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目标</w:t>
            </w:r>
          </w:p>
        </w:tc>
        <w:tc>
          <w:tcPr>
            <w:tcW w:w="8190" w:type="dxa"/>
            <w:noWrap w:val="0"/>
            <w:vAlign w:val="center"/>
          </w:tcPr>
          <w:p w14:paraId="4306AA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主要环境保护目标（列出名单及保护级别）</w:t>
            </w:r>
          </w:p>
          <w:p w14:paraId="2A9A24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1.</w:t>
            </w:r>
            <w:r>
              <w:rPr>
                <w:rFonts w:hint="default" w:ascii="Times New Roman" w:hAnsi="Times New Roman" w:eastAsia="宋体" w:cs="Times New Roman"/>
                <w:color w:val="auto"/>
                <w:sz w:val="24"/>
                <w:szCs w:val="24"/>
              </w:rPr>
              <w:t>大气环境：</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厂界外500米范围内存在居住区</w:t>
            </w:r>
            <w:r>
              <w:rPr>
                <w:rFonts w:hint="default" w:ascii="Times New Roman" w:hAnsi="Times New Roman" w:eastAsia="宋体" w:cs="Times New Roman"/>
                <w:color w:val="auto"/>
                <w:sz w:val="24"/>
                <w:szCs w:val="24"/>
                <w:lang w:eastAsia="zh-CN"/>
              </w:rPr>
              <w:t>、学校</w:t>
            </w:r>
            <w:r>
              <w:rPr>
                <w:rFonts w:hint="default" w:ascii="Times New Roman" w:hAnsi="Times New Roman" w:eastAsia="宋体" w:cs="Times New Roman"/>
                <w:color w:val="auto"/>
                <w:sz w:val="24"/>
                <w:szCs w:val="24"/>
              </w:rPr>
              <w:t>等保护目标。</w:t>
            </w:r>
          </w:p>
          <w:p w14:paraId="6C2F20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2.</w:t>
            </w:r>
            <w:r>
              <w:rPr>
                <w:rFonts w:hint="default" w:ascii="Times New Roman" w:hAnsi="Times New Roman" w:eastAsia="宋体" w:cs="Times New Roman"/>
                <w:color w:val="auto"/>
                <w:sz w:val="24"/>
                <w:szCs w:val="24"/>
              </w:rPr>
              <w:t>声环境：</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厂界外50m范围内</w:t>
            </w:r>
            <w:r>
              <w:rPr>
                <w:rFonts w:hint="eastAsia" w:ascii="Times New Roman" w:hAnsi="Times New Roman" w:eastAsia="宋体" w:cs="Times New Roman"/>
                <w:color w:val="auto"/>
                <w:sz w:val="24"/>
                <w:szCs w:val="24"/>
                <w:lang w:val="en-US" w:eastAsia="zh-CN"/>
              </w:rPr>
              <w:t>有</w:t>
            </w:r>
            <w:r>
              <w:rPr>
                <w:rFonts w:hint="default" w:ascii="Times New Roman" w:hAnsi="Times New Roman" w:eastAsia="宋体" w:cs="Times New Roman"/>
                <w:color w:val="auto"/>
                <w:sz w:val="24"/>
                <w:szCs w:val="24"/>
              </w:rPr>
              <w:t>声环境保护目标。</w:t>
            </w:r>
          </w:p>
          <w:p w14:paraId="4393E0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地下水</w:t>
            </w:r>
            <w:r>
              <w:rPr>
                <w:rFonts w:hint="default" w:ascii="Times New Roman" w:hAnsi="Times New Roman" w:eastAsia="宋体" w:cs="Times New Roman"/>
                <w:color w:val="auto"/>
                <w:sz w:val="24"/>
                <w:szCs w:val="24"/>
                <w:lang w:eastAsia="zh-CN"/>
              </w:rPr>
              <w:t>土壤</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本项目生产车间内进行混凝土硬化，且周边</w:t>
            </w:r>
            <w:r>
              <w:rPr>
                <w:rFonts w:hint="default" w:ascii="Times New Roman" w:hAnsi="Times New Roman" w:eastAsia="宋体" w:cs="Times New Roman"/>
                <w:color w:val="auto"/>
                <w:sz w:val="24"/>
                <w:szCs w:val="24"/>
              </w:rPr>
              <w:t>无地下水集中式饮用水水源和热水、矿泉水、温泉等特殊地下水资源。</w:t>
            </w:r>
          </w:p>
          <w:p w14:paraId="5165C8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rPr>
            </w:pP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生态环境：本项目</w:t>
            </w:r>
            <w:r>
              <w:rPr>
                <w:rFonts w:hint="default" w:ascii="Times New Roman" w:hAnsi="Times New Roman" w:eastAsia="宋体" w:cs="Times New Roman"/>
                <w:color w:val="auto"/>
                <w:sz w:val="24"/>
                <w:szCs w:val="24"/>
                <w:lang w:eastAsia="zh-CN"/>
              </w:rPr>
              <w:t>位于陈仓区科技工业园区，不</w:t>
            </w:r>
            <w:r>
              <w:rPr>
                <w:rFonts w:hint="eastAsia" w:cs="Times New Roman"/>
                <w:color w:val="auto"/>
                <w:sz w:val="24"/>
                <w:szCs w:val="24"/>
                <w:lang w:eastAsia="zh-CN"/>
              </w:rPr>
              <w:t>含</w:t>
            </w:r>
            <w:r>
              <w:rPr>
                <w:rFonts w:hint="default" w:ascii="Times New Roman" w:hAnsi="Times New Roman" w:eastAsia="宋体" w:cs="Times New Roman"/>
                <w:color w:val="auto"/>
                <w:sz w:val="24"/>
                <w:szCs w:val="24"/>
              </w:rPr>
              <w:t>生态环境保护目标。</w:t>
            </w:r>
          </w:p>
          <w:p w14:paraId="5FE9B4C8">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b/>
                <w:color w:val="auto"/>
                <w:sz w:val="24"/>
              </w:rPr>
            </w:pPr>
            <w:r>
              <w:rPr>
                <w:rFonts w:hint="default" w:ascii="Times New Roman" w:hAnsi="Times New Roman" w:eastAsia="宋体" w:cs="Times New Roman"/>
                <w:b/>
                <w:bCs/>
                <w:color w:val="auto"/>
                <w:sz w:val="21"/>
                <w:szCs w:val="21"/>
                <w:lang w:val="en-US" w:eastAsia="zh-CN"/>
              </w:rPr>
              <w:t>表3-</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环境保护目标情况</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656"/>
              <w:gridCol w:w="1013"/>
              <w:gridCol w:w="629"/>
              <w:gridCol w:w="1927"/>
              <w:gridCol w:w="1102"/>
              <w:gridCol w:w="584"/>
              <w:gridCol w:w="888"/>
            </w:tblGrid>
            <w:tr w14:paraId="20906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noWrap w:val="0"/>
                  <w:vAlign w:val="center"/>
                </w:tcPr>
                <w:p w14:paraId="0BE9266D">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环境要素</w:t>
                  </w:r>
                </w:p>
              </w:tc>
              <w:tc>
                <w:tcPr>
                  <w:tcW w:w="1580" w:type="dxa"/>
                  <w:noWrap w:val="0"/>
                  <w:vAlign w:val="center"/>
                </w:tcPr>
                <w:p w14:paraId="007D31E7">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坐标（度）</w:t>
                  </w:r>
                </w:p>
              </w:tc>
              <w:tc>
                <w:tcPr>
                  <w:tcW w:w="966" w:type="dxa"/>
                  <w:noWrap w:val="0"/>
                  <w:vAlign w:val="center"/>
                </w:tcPr>
                <w:p w14:paraId="431AC35B">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保护对象</w:t>
                  </w:r>
                </w:p>
              </w:tc>
              <w:tc>
                <w:tcPr>
                  <w:tcW w:w="600" w:type="dxa"/>
                  <w:noWrap w:val="0"/>
                  <w:vAlign w:val="center"/>
                </w:tcPr>
                <w:p w14:paraId="36C282B5">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保护内容</w:t>
                  </w:r>
                </w:p>
              </w:tc>
              <w:tc>
                <w:tcPr>
                  <w:tcW w:w="1838" w:type="dxa"/>
                  <w:noWrap w:val="0"/>
                  <w:vAlign w:val="center"/>
                </w:tcPr>
                <w:p w14:paraId="21612567">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环境功能区</w:t>
                  </w:r>
                </w:p>
              </w:tc>
              <w:tc>
                <w:tcPr>
                  <w:tcW w:w="1051" w:type="dxa"/>
                  <w:noWrap w:val="0"/>
                  <w:vAlign w:val="center"/>
                </w:tcPr>
                <w:p w14:paraId="4D4036C5">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规模</w:t>
                  </w:r>
                </w:p>
              </w:tc>
              <w:tc>
                <w:tcPr>
                  <w:tcW w:w="557" w:type="dxa"/>
                  <w:noWrap w:val="0"/>
                  <w:vAlign w:val="center"/>
                </w:tcPr>
                <w:p w14:paraId="2A74EB51">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方位</w:t>
                  </w:r>
                </w:p>
              </w:tc>
              <w:tc>
                <w:tcPr>
                  <w:tcW w:w="847" w:type="dxa"/>
                  <w:noWrap w:val="0"/>
                  <w:vAlign w:val="center"/>
                </w:tcPr>
                <w:p w14:paraId="2E9C7470">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相对厂界距离（m）</w:t>
                  </w:r>
                </w:p>
              </w:tc>
            </w:tr>
            <w:tr w14:paraId="1A7D6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vMerge w:val="restart"/>
                  <w:noWrap w:val="0"/>
                  <w:vAlign w:val="center"/>
                </w:tcPr>
                <w:p w14:paraId="6711B279">
                  <w:pPr>
                    <w:autoSpaceDE w:val="0"/>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环境空气</w:t>
                  </w:r>
                </w:p>
              </w:tc>
              <w:tc>
                <w:tcPr>
                  <w:tcW w:w="1580" w:type="dxa"/>
                  <w:noWrap w:val="0"/>
                  <w:vAlign w:val="center"/>
                </w:tcPr>
                <w:p w14:paraId="084D336A">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107.426677°</w:t>
                  </w:r>
                </w:p>
                <w:p w14:paraId="4E573075">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34.352542°</w:t>
                  </w:r>
                </w:p>
              </w:tc>
              <w:tc>
                <w:tcPr>
                  <w:tcW w:w="966" w:type="dxa"/>
                  <w:noWrap w:val="0"/>
                  <w:vAlign w:val="center"/>
                </w:tcPr>
                <w:p w14:paraId="5C9F3815">
                  <w:pPr>
                    <w:pStyle w:val="165"/>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靳家庄</w:t>
                  </w:r>
                </w:p>
              </w:tc>
              <w:tc>
                <w:tcPr>
                  <w:tcW w:w="600" w:type="dxa"/>
                  <w:vMerge w:val="restart"/>
                  <w:noWrap w:val="0"/>
                  <w:vAlign w:val="center"/>
                </w:tcPr>
                <w:p w14:paraId="323F1EFE">
                  <w:pPr>
                    <w:pStyle w:val="165"/>
                    <w:rPr>
                      <w:rFonts w:hint="default" w:ascii="Times New Roman" w:hAnsi="Times New Roman" w:cs="Times New Roman"/>
                      <w:color w:val="auto"/>
                      <w:szCs w:val="21"/>
                    </w:rPr>
                  </w:pPr>
                  <w:r>
                    <w:rPr>
                      <w:rFonts w:hint="default" w:ascii="Times New Roman" w:hAnsi="Times New Roman" w:cs="Times New Roman"/>
                      <w:color w:val="auto"/>
                      <w:szCs w:val="21"/>
                    </w:rPr>
                    <w:t>人群健康</w:t>
                  </w:r>
                </w:p>
              </w:tc>
              <w:tc>
                <w:tcPr>
                  <w:tcW w:w="1838" w:type="dxa"/>
                  <w:vMerge w:val="restart"/>
                  <w:noWrap w:val="0"/>
                  <w:vAlign w:val="center"/>
                </w:tcPr>
                <w:p w14:paraId="071132BA">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《环境空气质量标准》</w:t>
                  </w:r>
                  <w:r>
                    <w:rPr>
                      <w:rFonts w:hint="default" w:ascii="Times New Roman" w:hAnsi="Times New Roman" w:cs="Times New Roman"/>
                      <w:bCs/>
                      <w:color w:val="auto"/>
                      <w:szCs w:val="21"/>
                    </w:rPr>
                    <w:t>（GB3095-20</w:t>
                  </w:r>
                  <w:r>
                    <w:rPr>
                      <w:rFonts w:hint="eastAsia" w:cs="Times New Roman"/>
                      <w:bCs/>
                      <w:color w:val="auto"/>
                      <w:szCs w:val="21"/>
                      <w:lang w:val="en-US" w:eastAsia="zh-CN"/>
                    </w:rPr>
                    <w:t>26</w:t>
                  </w:r>
                  <w:r>
                    <w:rPr>
                      <w:rFonts w:hint="default" w:ascii="Times New Roman" w:hAnsi="Times New Roman" w:cs="Times New Roman"/>
                      <w:bCs/>
                      <w:color w:val="auto"/>
                      <w:szCs w:val="21"/>
                    </w:rPr>
                    <w:t>）</w:t>
                  </w:r>
                  <w:r>
                    <w:rPr>
                      <w:rFonts w:hint="default" w:ascii="Times New Roman" w:hAnsi="Times New Roman" w:cs="Times New Roman"/>
                      <w:color w:val="auto"/>
                      <w:szCs w:val="21"/>
                    </w:rPr>
                    <w:t>二级标准</w:t>
                  </w:r>
                </w:p>
              </w:tc>
              <w:tc>
                <w:tcPr>
                  <w:tcW w:w="1051" w:type="dxa"/>
                  <w:noWrap w:val="0"/>
                  <w:vAlign w:val="center"/>
                </w:tcPr>
                <w:p w14:paraId="59A8316A">
                  <w:pPr>
                    <w:pStyle w:val="165"/>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365</w:t>
                  </w:r>
                  <w:r>
                    <w:rPr>
                      <w:rFonts w:hint="default" w:ascii="Times New Roman" w:hAnsi="Times New Roman" w:cs="Times New Roman"/>
                      <w:color w:val="auto"/>
                      <w:szCs w:val="21"/>
                    </w:rPr>
                    <w:t>人</w:t>
                  </w:r>
                </w:p>
              </w:tc>
              <w:tc>
                <w:tcPr>
                  <w:tcW w:w="557" w:type="dxa"/>
                  <w:noWrap w:val="0"/>
                  <w:vAlign w:val="center"/>
                </w:tcPr>
                <w:p w14:paraId="14C7F01D">
                  <w:pPr>
                    <w:pStyle w:val="165"/>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北</w:t>
                  </w:r>
                </w:p>
              </w:tc>
              <w:tc>
                <w:tcPr>
                  <w:tcW w:w="847" w:type="dxa"/>
                  <w:noWrap w:val="0"/>
                  <w:vAlign w:val="center"/>
                </w:tcPr>
                <w:p w14:paraId="3DDA431D">
                  <w:pPr>
                    <w:pStyle w:val="165"/>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195</w:t>
                  </w:r>
                </w:p>
              </w:tc>
            </w:tr>
            <w:tr w14:paraId="3B5DA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vMerge w:val="continue"/>
                  <w:noWrap w:val="0"/>
                  <w:vAlign w:val="center"/>
                </w:tcPr>
                <w:p w14:paraId="15D61FC1">
                  <w:pPr>
                    <w:autoSpaceDE w:val="0"/>
                    <w:autoSpaceDN w:val="0"/>
                    <w:jc w:val="center"/>
                    <w:rPr>
                      <w:rFonts w:hint="default" w:ascii="Times New Roman" w:hAnsi="Times New Roman" w:cs="Times New Roman"/>
                      <w:color w:val="auto"/>
                      <w:szCs w:val="21"/>
                    </w:rPr>
                  </w:pPr>
                </w:p>
              </w:tc>
              <w:tc>
                <w:tcPr>
                  <w:tcW w:w="1580" w:type="dxa"/>
                  <w:noWrap w:val="0"/>
                  <w:vAlign w:val="center"/>
                </w:tcPr>
                <w:p w14:paraId="4B1DDCD7">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107.425518°</w:t>
                  </w:r>
                </w:p>
                <w:p w14:paraId="610E39D8">
                  <w:pPr>
                    <w:pStyle w:val="7"/>
                    <w:ind w:left="0" w:leftChars="0" w:firstLine="210" w:firstLineChars="100"/>
                    <w:rPr>
                      <w:rFonts w:hint="default"/>
                      <w:color w:val="auto"/>
                    </w:rPr>
                  </w:pPr>
                  <w:r>
                    <w:rPr>
                      <w:rFonts w:hint="default"/>
                      <w:color w:val="auto"/>
                    </w:rPr>
                    <w:t>34.353251°</w:t>
                  </w:r>
                </w:p>
              </w:tc>
              <w:tc>
                <w:tcPr>
                  <w:tcW w:w="966" w:type="dxa"/>
                  <w:noWrap w:val="0"/>
                  <w:vAlign w:val="center"/>
                </w:tcPr>
                <w:p w14:paraId="31949DBD">
                  <w:pPr>
                    <w:pStyle w:val="165"/>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阁底堡</w:t>
                  </w:r>
                </w:p>
              </w:tc>
              <w:tc>
                <w:tcPr>
                  <w:tcW w:w="600" w:type="dxa"/>
                  <w:vMerge w:val="continue"/>
                  <w:noWrap w:val="0"/>
                  <w:vAlign w:val="center"/>
                </w:tcPr>
                <w:p w14:paraId="497B3684">
                  <w:pPr>
                    <w:pStyle w:val="165"/>
                    <w:rPr>
                      <w:rFonts w:hint="default" w:ascii="Times New Roman" w:hAnsi="Times New Roman" w:cs="Times New Roman"/>
                      <w:color w:val="auto"/>
                      <w:szCs w:val="21"/>
                    </w:rPr>
                  </w:pPr>
                </w:p>
              </w:tc>
              <w:tc>
                <w:tcPr>
                  <w:tcW w:w="1838" w:type="dxa"/>
                  <w:vMerge w:val="continue"/>
                  <w:noWrap w:val="0"/>
                  <w:vAlign w:val="center"/>
                </w:tcPr>
                <w:p w14:paraId="7A09D0A0">
                  <w:pPr>
                    <w:autoSpaceDE w:val="0"/>
                    <w:autoSpaceDN w:val="0"/>
                    <w:jc w:val="center"/>
                    <w:rPr>
                      <w:rFonts w:hint="default" w:ascii="Times New Roman" w:hAnsi="Times New Roman" w:cs="Times New Roman"/>
                      <w:color w:val="auto"/>
                      <w:szCs w:val="21"/>
                    </w:rPr>
                  </w:pPr>
                </w:p>
              </w:tc>
              <w:tc>
                <w:tcPr>
                  <w:tcW w:w="1051" w:type="dxa"/>
                  <w:noWrap w:val="0"/>
                  <w:vAlign w:val="center"/>
                </w:tcPr>
                <w:p w14:paraId="3D028602">
                  <w:pPr>
                    <w:pStyle w:val="165"/>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540人</w:t>
                  </w:r>
                </w:p>
              </w:tc>
              <w:tc>
                <w:tcPr>
                  <w:tcW w:w="557" w:type="dxa"/>
                  <w:noWrap w:val="0"/>
                  <w:vAlign w:val="center"/>
                </w:tcPr>
                <w:p w14:paraId="37ACC45B">
                  <w:pPr>
                    <w:pStyle w:val="165"/>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北</w:t>
                  </w:r>
                </w:p>
              </w:tc>
              <w:tc>
                <w:tcPr>
                  <w:tcW w:w="847" w:type="dxa"/>
                  <w:noWrap w:val="0"/>
                  <w:vAlign w:val="center"/>
                </w:tcPr>
                <w:p w14:paraId="3285C8BD">
                  <w:pPr>
                    <w:pStyle w:val="165"/>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201</w:t>
                  </w:r>
                </w:p>
              </w:tc>
            </w:tr>
            <w:tr w14:paraId="4CDCD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vMerge w:val="continue"/>
                  <w:noWrap w:val="0"/>
                  <w:vAlign w:val="center"/>
                </w:tcPr>
                <w:p w14:paraId="3B61666F">
                  <w:pPr>
                    <w:autoSpaceDE w:val="0"/>
                    <w:autoSpaceDN w:val="0"/>
                    <w:jc w:val="center"/>
                    <w:rPr>
                      <w:rFonts w:hint="default" w:ascii="Times New Roman" w:hAnsi="Times New Roman" w:cs="Times New Roman"/>
                      <w:color w:val="auto"/>
                      <w:szCs w:val="21"/>
                    </w:rPr>
                  </w:pPr>
                </w:p>
              </w:tc>
              <w:tc>
                <w:tcPr>
                  <w:tcW w:w="1580" w:type="dxa"/>
                  <w:noWrap w:val="0"/>
                  <w:vAlign w:val="center"/>
                </w:tcPr>
                <w:p w14:paraId="2241DC92">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107.425594°</w:t>
                  </w:r>
                </w:p>
                <w:p w14:paraId="3948C78B">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34.351325°</w:t>
                  </w:r>
                </w:p>
              </w:tc>
              <w:tc>
                <w:tcPr>
                  <w:tcW w:w="966" w:type="dxa"/>
                  <w:noWrap w:val="0"/>
                  <w:vAlign w:val="center"/>
                </w:tcPr>
                <w:p w14:paraId="4CA5686D">
                  <w:pPr>
                    <w:pStyle w:val="165"/>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五一村</w:t>
                  </w:r>
                </w:p>
              </w:tc>
              <w:tc>
                <w:tcPr>
                  <w:tcW w:w="600" w:type="dxa"/>
                  <w:vMerge w:val="continue"/>
                  <w:noWrap w:val="0"/>
                  <w:vAlign w:val="center"/>
                </w:tcPr>
                <w:p w14:paraId="550D01DE">
                  <w:pPr>
                    <w:pStyle w:val="165"/>
                    <w:rPr>
                      <w:rFonts w:hint="default" w:ascii="Times New Roman" w:hAnsi="Times New Roman" w:cs="Times New Roman"/>
                      <w:color w:val="auto"/>
                      <w:szCs w:val="21"/>
                    </w:rPr>
                  </w:pPr>
                </w:p>
              </w:tc>
              <w:tc>
                <w:tcPr>
                  <w:tcW w:w="1838" w:type="dxa"/>
                  <w:vMerge w:val="continue"/>
                  <w:noWrap w:val="0"/>
                  <w:vAlign w:val="center"/>
                </w:tcPr>
                <w:p w14:paraId="27174D0E">
                  <w:pPr>
                    <w:autoSpaceDE w:val="0"/>
                    <w:autoSpaceDN w:val="0"/>
                    <w:jc w:val="center"/>
                    <w:rPr>
                      <w:rFonts w:hint="default" w:ascii="Times New Roman" w:hAnsi="Times New Roman" w:cs="Times New Roman"/>
                      <w:color w:val="auto"/>
                      <w:szCs w:val="21"/>
                    </w:rPr>
                  </w:pPr>
                </w:p>
              </w:tc>
              <w:tc>
                <w:tcPr>
                  <w:tcW w:w="1051" w:type="dxa"/>
                  <w:noWrap w:val="0"/>
                  <w:vAlign w:val="center"/>
                </w:tcPr>
                <w:p w14:paraId="5B5E57BD">
                  <w:pPr>
                    <w:pStyle w:val="165"/>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15人</w:t>
                  </w:r>
                </w:p>
              </w:tc>
              <w:tc>
                <w:tcPr>
                  <w:tcW w:w="557" w:type="dxa"/>
                  <w:noWrap w:val="0"/>
                  <w:vAlign w:val="center"/>
                </w:tcPr>
                <w:p w14:paraId="43DF4601">
                  <w:pPr>
                    <w:pStyle w:val="165"/>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北</w:t>
                  </w:r>
                </w:p>
              </w:tc>
              <w:tc>
                <w:tcPr>
                  <w:tcW w:w="847" w:type="dxa"/>
                  <w:noWrap w:val="0"/>
                  <w:vAlign w:val="center"/>
                </w:tcPr>
                <w:p w14:paraId="52C06840">
                  <w:pPr>
                    <w:pStyle w:val="165"/>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40</w:t>
                  </w:r>
                </w:p>
              </w:tc>
            </w:tr>
            <w:tr w14:paraId="078C8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noWrap w:val="0"/>
                  <w:vAlign w:val="center"/>
                </w:tcPr>
                <w:p w14:paraId="2549BDEE">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声环境</w:t>
                  </w:r>
                </w:p>
              </w:tc>
              <w:tc>
                <w:tcPr>
                  <w:tcW w:w="1580" w:type="dxa"/>
                  <w:noWrap w:val="0"/>
                  <w:vAlign w:val="center"/>
                </w:tcPr>
                <w:p w14:paraId="50405A50">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107.426677°</w:t>
                  </w:r>
                </w:p>
                <w:p w14:paraId="1CD733DC">
                  <w:pPr>
                    <w:autoSpaceDE w:val="0"/>
                    <w:autoSpaceDN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34.352542°</w:t>
                  </w:r>
                </w:p>
              </w:tc>
              <w:tc>
                <w:tcPr>
                  <w:tcW w:w="966" w:type="dxa"/>
                  <w:noWrap w:val="0"/>
                  <w:vAlign w:val="center"/>
                </w:tcPr>
                <w:p w14:paraId="54F34DE1">
                  <w:pPr>
                    <w:pStyle w:val="165"/>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Cs w:val="21"/>
                      <w:lang w:val="en-US" w:eastAsia="zh-CN"/>
                    </w:rPr>
                    <w:t>五一村</w:t>
                  </w:r>
                </w:p>
              </w:tc>
              <w:tc>
                <w:tcPr>
                  <w:tcW w:w="600" w:type="dxa"/>
                  <w:vMerge w:val="continue"/>
                  <w:noWrap w:val="0"/>
                  <w:vAlign w:val="center"/>
                </w:tcPr>
                <w:p w14:paraId="2CC0A715">
                  <w:pPr>
                    <w:pStyle w:val="165"/>
                    <w:rPr>
                      <w:rFonts w:hint="default" w:ascii="Times New Roman" w:hAnsi="Times New Roman" w:cs="Times New Roman"/>
                      <w:color w:val="auto"/>
                      <w:szCs w:val="21"/>
                    </w:rPr>
                  </w:pPr>
                </w:p>
              </w:tc>
              <w:tc>
                <w:tcPr>
                  <w:tcW w:w="1838" w:type="dxa"/>
                  <w:noWrap w:val="0"/>
                  <w:vAlign w:val="center"/>
                </w:tcPr>
                <w:p w14:paraId="64E56A89">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声环境质量标准</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GB3096-2008</w:t>
                  </w:r>
                  <w:r>
                    <w:rPr>
                      <w:rFonts w:hint="eastAsia" w:ascii="Times New Roman" w:hAnsi="Times New Roman" w:cs="Times New Roman"/>
                      <w:color w:val="auto"/>
                      <w:szCs w:val="21"/>
                      <w:lang w:eastAsia="zh-CN"/>
                    </w:rPr>
                    <w:t>）</w:t>
                  </w:r>
                  <w:r>
                    <w:rPr>
                      <w:rFonts w:hint="eastAsia" w:cs="Times New Roman"/>
                      <w:color w:val="auto"/>
                      <w:szCs w:val="21"/>
                      <w:lang w:val="en-US" w:eastAsia="zh-CN"/>
                    </w:rPr>
                    <w:t>4类</w:t>
                  </w:r>
                </w:p>
              </w:tc>
              <w:tc>
                <w:tcPr>
                  <w:tcW w:w="1051" w:type="dxa"/>
                  <w:noWrap w:val="0"/>
                  <w:vAlign w:val="center"/>
                </w:tcPr>
                <w:p w14:paraId="1938688F">
                  <w:pPr>
                    <w:pStyle w:val="165"/>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15人</w:t>
                  </w:r>
                </w:p>
              </w:tc>
              <w:tc>
                <w:tcPr>
                  <w:tcW w:w="557" w:type="dxa"/>
                  <w:noWrap w:val="0"/>
                  <w:vAlign w:val="center"/>
                </w:tcPr>
                <w:p w14:paraId="3CD3821E">
                  <w:pPr>
                    <w:pStyle w:val="165"/>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北</w:t>
                  </w:r>
                </w:p>
              </w:tc>
              <w:tc>
                <w:tcPr>
                  <w:tcW w:w="847" w:type="dxa"/>
                  <w:noWrap w:val="0"/>
                  <w:vAlign w:val="center"/>
                </w:tcPr>
                <w:p w14:paraId="1834EAC5">
                  <w:pPr>
                    <w:pStyle w:val="165"/>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40</w:t>
                  </w:r>
                </w:p>
              </w:tc>
            </w:tr>
          </w:tbl>
          <w:p w14:paraId="0D0FAEF9">
            <w:pPr>
              <w:widowControl/>
              <w:adjustRightInd w:val="0"/>
              <w:snapToGrid w:val="0"/>
              <w:spacing w:line="360" w:lineRule="auto"/>
              <w:ind w:firstLine="482"/>
              <w:rPr>
                <w:rFonts w:hint="default" w:ascii="Times New Roman" w:hAnsi="Times New Roman" w:cs="Times New Roman"/>
                <w:color w:val="auto"/>
                <w:kern w:val="0"/>
                <w:szCs w:val="21"/>
              </w:rPr>
            </w:pPr>
          </w:p>
        </w:tc>
      </w:tr>
      <w:tr w14:paraId="32DA31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tcMar>
              <w:left w:w="28" w:type="dxa"/>
              <w:right w:w="28" w:type="dxa"/>
            </w:tcMar>
            <w:vAlign w:val="center"/>
          </w:tcPr>
          <w:p w14:paraId="60C9ED6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14:paraId="5054595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14:paraId="0AEBEF63">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14:paraId="4C42B9C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14:paraId="0EDEE03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190" w:type="dxa"/>
            <w:noWrap w:val="0"/>
            <w:vAlign w:val="center"/>
          </w:tcPr>
          <w:p w14:paraId="4E3A693A">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噪声排放标准</w:t>
            </w:r>
          </w:p>
          <w:p w14:paraId="0C75983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lang w:val="en-US" w:eastAsia="zh-CN"/>
              </w:rPr>
            </w:pPr>
            <w:bookmarkStart w:id="2" w:name="_Hlk41382489"/>
            <w:r>
              <w:rPr>
                <w:rFonts w:hint="default" w:ascii="Times New Roman" w:hAnsi="Times New Roman" w:cs="Times New Roman"/>
                <w:color w:val="auto"/>
                <w:sz w:val="24"/>
                <w:lang w:eastAsia="zh-CN"/>
              </w:rPr>
              <w:t>根据宝鸡市城市区域噪声环境功能区划图，</w:t>
            </w:r>
            <w:r>
              <w:rPr>
                <w:rFonts w:hint="eastAsia" w:ascii="Times New Roman" w:hAnsi="Times New Roman" w:cs="Times New Roman"/>
                <w:color w:val="auto"/>
                <w:sz w:val="24"/>
                <w:lang w:val="en-US" w:eastAsia="zh-CN"/>
              </w:rPr>
              <w:t>以及</w:t>
            </w:r>
            <w:r>
              <w:rPr>
                <w:rFonts w:hint="default" w:ascii="Times New Roman" w:hAnsi="Times New Roman" w:eastAsia="宋体" w:cs="Times New Roman"/>
                <w:color w:val="auto"/>
                <w:sz w:val="24"/>
                <w:lang w:val="en-US" w:eastAsia="zh-CN"/>
              </w:rPr>
              <w:t>宝鸡市生态环境局发布的“关于《宝鸡市声环境功能区划分情况评估报告》的解释说明”可知</w:t>
            </w:r>
            <w:r>
              <w:rPr>
                <w:rFonts w:hint="eastAsia" w:ascii="Times New Roman" w:hAnsi="Times New Roman" w:eastAsia="宋体" w:cs="Times New Roman"/>
                <w:color w:val="auto"/>
                <w:sz w:val="24"/>
                <w:lang w:val="en-US" w:eastAsia="zh-CN"/>
              </w:rPr>
              <w:t>陈仓科技工业园属于3类区</w:t>
            </w:r>
            <w:r>
              <w:rPr>
                <w:rFonts w:hint="default" w:ascii="Times New Roman" w:hAnsi="Times New Roman" w:eastAsia="宋体" w:cs="Times New Roman"/>
                <w:color w:val="auto"/>
                <w:sz w:val="24"/>
                <w:lang w:val="en-US" w:eastAsia="zh-CN"/>
              </w:rPr>
              <w:t>，结合本项目所在地位置（位于陈仓科技工业园内），本项目所在地</w:t>
            </w:r>
            <w:r>
              <w:rPr>
                <w:rFonts w:hint="eastAsia" w:cs="Times New Roman"/>
                <w:color w:val="auto"/>
                <w:sz w:val="24"/>
                <w:lang w:val="en-US" w:eastAsia="zh-CN"/>
              </w:rPr>
              <w:t>属于</w:t>
            </w:r>
            <w:r>
              <w:rPr>
                <w:rFonts w:hint="default" w:ascii="Times New Roman" w:hAnsi="Times New Roman" w:eastAsia="宋体" w:cs="Times New Roman"/>
                <w:color w:val="auto"/>
                <w:sz w:val="24"/>
                <w:lang w:val="en-US" w:eastAsia="zh-CN"/>
              </w:rPr>
              <w:t>3类区</w:t>
            </w:r>
            <w:r>
              <w:rPr>
                <w:rFonts w:hint="eastAsia" w:ascii="Times New Roman" w:hAnsi="Times New Roman" w:eastAsia="宋体" w:cs="Times New Roman"/>
                <w:color w:val="auto"/>
                <w:sz w:val="24"/>
                <w:lang w:val="en-US" w:eastAsia="zh-CN"/>
              </w:rPr>
              <w:t>范围</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故</w:t>
            </w:r>
            <w:r>
              <w:rPr>
                <w:rFonts w:hint="default" w:ascii="Times New Roman" w:hAnsi="Times New Roman" w:eastAsia="宋体" w:cs="Times New Roman"/>
                <w:color w:val="auto"/>
                <w:sz w:val="24"/>
                <w:lang w:val="en-US" w:eastAsia="zh-CN"/>
              </w:rPr>
              <w:t>运</w:t>
            </w:r>
            <w:r>
              <w:rPr>
                <w:rFonts w:hint="default" w:ascii="Times New Roman" w:hAnsi="Times New Roman" w:cs="Times New Roman"/>
                <w:color w:val="auto"/>
                <w:sz w:val="24"/>
              </w:rPr>
              <w:t>营期</w:t>
            </w:r>
            <w:r>
              <w:rPr>
                <w:rFonts w:hint="eastAsia" w:ascii="Times New Roman" w:hAnsi="Times New Roman" w:cs="Times New Roman"/>
                <w:color w:val="auto"/>
                <w:sz w:val="24"/>
                <w:lang w:val="en-US" w:eastAsia="zh-CN"/>
              </w:rPr>
              <w:t>厂界</w:t>
            </w:r>
            <w:r>
              <w:rPr>
                <w:rFonts w:hint="eastAsia" w:ascii="Times New Roman" w:hAnsi="Times New Roman" w:cs="Times New Roman"/>
                <w:color w:val="auto"/>
                <w:sz w:val="24"/>
                <w:lang w:eastAsia="zh-CN"/>
              </w:rPr>
              <w:t>东、南、西侧</w:t>
            </w:r>
            <w:r>
              <w:rPr>
                <w:rFonts w:hint="default" w:ascii="Times New Roman" w:hAnsi="Times New Roman" w:cs="Times New Roman"/>
                <w:color w:val="auto"/>
                <w:sz w:val="24"/>
              </w:rPr>
              <w:t>噪声排放限值执行《工业企业厂界环境噪声排放标准》（GB12348-2008）</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类标准限值</w:t>
            </w:r>
            <w:bookmarkEnd w:id="2"/>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北侧</w:t>
            </w:r>
            <w:r>
              <w:rPr>
                <w:rFonts w:hint="eastAsia" w:ascii="Times New Roman" w:hAnsi="Times New Roman" w:cs="Times New Roman"/>
                <w:color w:val="auto"/>
                <w:sz w:val="24"/>
                <w:lang w:val="en-US" w:eastAsia="zh-CN"/>
              </w:rPr>
              <w:t>紧邻虢蔡路，即北侧</w:t>
            </w:r>
            <w:r>
              <w:rPr>
                <w:rFonts w:hint="default" w:ascii="Times New Roman" w:hAnsi="Times New Roman" w:cs="Times New Roman"/>
                <w:color w:val="auto"/>
                <w:sz w:val="24"/>
              </w:rPr>
              <w:t>噪声排放限值执行《工业企业厂界环境噪声排放标准》（GB12348-2008）</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类标准限值详见表3-</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w:t>
            </w:r>
            <w:r>
              <w:rPr>
                <w:rFonts w:hint="eastAsia" w:cs="Times New Roman"/>
                <w:color w:val="auto"/>
                <w:sz w:val="24"/>
                <w:lang w:val="en-US" w:eastAsia="zh-CN"/>
              </w:rPr>
              <w:t>北侧五一村紧邻虢蔡路，即敏感点五一村噪声执行《声环境质量标准》（GB3096-2008）</w:t>
            </w:r>
            <w:bookmarkStart w:id="3" w:name="_Hlk41382497"/>
            <w:r>
              <w:rPr>
                <w:rFonts w:hint="eastAsia" w:cs="Times New Roman"/>
                <w:color w:val="auto"/>
                <w:sz w:val="24"/>
                <w:lang w:val="en-US" w:eastAsia="zh-CN"/>
              </w:rPr>
              <w:t>中4类限值要求。</w:t>
            </w:r>
          </w:p>
          <w:p w14:paraId="0959A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auto"/>
                <w:sz w:val="24"/>
              </w:rPr>
            </w:pPr>
            <w:r>
              <w:rPr>
                <w:rFonts w:hint="default" w:ascii="Times New Roman" w:hAnsi="Times New Roman" w:eastAsia="宋体" w:cs="Times New Roman"/>
                <w:b/>
                <w:bCs/>
                <w:color w:val="auto"/>
                <w:sz w:val="21"/>
                <w:szCs w:val="21"/>
                <w:lang w:val="en-US" w:eastAsia="zh-CN"/>
              </w:rPr>
              <w:t>表3-</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《工业企业厂界环境噪声排放标准》（GB12348-2008）单位dB（A）</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66"/>
              <w:gridCol w:w="4007"/>
            </w:tblGrid>
            <w:tr w14:paraId="54CE7E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2607" w:type="pct"/>
                  <w:noWrap w:val="0"/>
                  <w:vAlign w:val="center"/>
                </w:tcPr>
                <w:p w14:paraId="49AA43F8">
                  <w:pPr>
                    <w:widowControl/>
                    <w:autoSpaceDE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声环境功能区类别</w:t>
                  </w:r>
                </w:p>
              </w:tc>
              <w:tc>
                <w:tcPr>
                  <w:tcW w:w="2392" w:type="pct"/>
                  <w:noWrap w:val="0"/>
                  <w:vAlign w:val="center"/>
                </w:tcPr>
                <w:p w14:paraId="09553732">
                  <w:pPr>
                    <w:widowControl/>
                    <w:autoSpaceDE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昼间</w:t>
                  </w:r>
                </w:p>
              </w:tc>
            </w:tr>
            <w:tr w14:paraId="5286C7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2607" w:type="pct"/>
                  <w:noWrap w:val="0"/>
                  <w:vAlign w:val="center"/>
                </w:tcPr>
                <w:p w14:paraId="5C90150B">
                  <w:pPr>
                    <w:widowControl/>
                    <w:autoSpaceDE w:val="0"/>
                    <w:adjustRightInd w:val="0"/>
                    <w:snapToGrid w:val="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rPr>
                    <w:t>类</w:t>
                  </w:r>
                </w:p>
              </w:tc>
              <w:tc>
                <w:tcPr>
                  <w:tcW w:w="2392" w:type="pct"/>
                  <w:noWrap w:val="0"/>
                  <w:vAlign w:val="center"/>
                </w:tcPr>
                <w:p w14:paraId="4CB977D4">
                  <w:pPr>
                    <w:widowControl/>
                    <w:autoSpaceDE w:val="0"/>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65</w:t>
                  </w:r>
                </w:p>
              </w:tc>
            </w:tr>
            <w:tr w14:paraId="5E727C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07" w:type="pct"/>
                  <w:noWrap w:val="0"/>
                  <w:vAlign w:val="center"/>
                </w:tcPr>
                <w:p w14:paraId="22C305FC">
                  <w:pPr>
                    <w:widowControl/>
                    <w:autoSpaceDE w:val="0"/>
                    <w:adjustRightInd w:val="0"/>
                    <w:snapToGrid w:val="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4类</w:t>
                  </w:r>
                </w:p>
              </w:tc>
              <w:tc>
                <w:tcPr>
                  <w:tcW w:w="2392" w:type="pct"/>
                  <w:noWrap w:val="0"/>
                  <w:vAlign w:val="center"/>
                </w:tcPr>
                <w:p w14:paraId="3B90A58F">
                  <w:pPr>
                    <w:widowControl/>
                    <w:autoSpaceDE w:val="0"/>
                    <w:adjustRightInd w:val="0"/>
                    <w:snapToGrid w:val="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70</w:t>
                  </w:r>
                </w:p>
              </w:tc>
            </w:tr>
            <w:bookmarkEnd w:id="3"/>
          </w:tbl>
          <w:p w14:paraId="1E068ACA">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大气排放标准</w:t>
            </w:r>
          </w:p>
          <w:p w14:paraId="632116F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w:t>
            </w:r>
            <w:r>
              <w:rPr>
                <w:rFonts w:hint="eastAsia" w:ascii="Times New Roman" w:hAnsi="Times New Roman" w:eastAsia="宋体" w:cs="Times New Roman"/>
                <w:color w:val="auto"/>
                <w:sz w:val="24"/>
                <w:lang w:eastAsia="zh-CN"/>
              </w:rPr>
              <w:t>废气主要为切割、</w:t>
            </w:r>
            <w:r>
              <w:rPr>
                <w:rFonts w:hint="eastAsia" w:ascii="Times New Roman" w:hAnsi="Times New Roman" w:eastAsia="宋体" w:cs="Times New Roman"/>
                <w:color w:val="auto"/>
                <w:sz w:val="24"/>
                <w:lang w:val="en-US" w:eastAsia="zh-CN"/>
              </w:rPr>
              <w:t>焊接、</w:t>
            </w:r>
            <w:r>
              <w:rPr>
                <w:rFonts w:hint="default" w:ascii="Times New Roman" w:hAnsi="Times New Roman" w:eastAsia="宋体" w:cs="Times New Roman"/>
                <w:color w:val="auto"/>
                <w:sz w:val="24"/>
                <w:lang w:val="en-US" w:eastAsia="zh-CN"/>
              </w:rPr>
              <w:t>抛丸</w:t>
            </w:r>
            <w:r>
              <w:rPr>
                <w:rFonts w:hint="default" w:ascii="Times New Roman" w:hAnsi="Times New Roman" w:eastAsia="宋体" w:cs="Times New Roman"/>
                <w:color w:val="auto"/>
                <w:sz w:val="24"/>
                <w:lang w:eastAsia="zh-CN"/>
              </w:rPr>
              <w:t>工序</w:t>
            </w:r>
            <w:r>
              <w:rPr>
                <w:rFonts w:hint="eastAsia" w:ascii="Times New Roman" w:hAnsi="Times New Roman" w:eastAsia="宋体" w:cs="Times New Roman"/>
                <w:color w:val="auto"/>
                <w:sz w:val="24"/>
                <w:lang w:eastAsia="zh-CN"/>
              </w:rPr>
              <w:t>、</w:t>
            </w:r>
            <w:r>
              <w:rPr>
                <w:rFonts w:hint="eastAsia" w:cs="Times New Roman"/>
                <w:color w:val="auto"/>
                <w:sz w:val="24"/>
                <w:lang w:val="en-US" w:eastAsia="zh-CN"/>
              </w:rPr>
              <w:t>喷粉</w:t>
            </w:r>
            <w:r>
              <w:rPr>
                <w:rFonts w:hint="eastAsia" w:ascii="Times New Roman" w:hAnsi="Times New Roman" w:eastAsia="宋体" w:cs="Times New Roman"/>
                <w:color w:val="auto"/>
                <w:sz w:val="24"/>
                <w:lang w:eastAsia="zh-CN"/>
              </w:rPr>
              <w:t>工序</w:t>
            </w:r>
            <w:r>
              <w:rPr>
                <w:rFonts w:hint="default" w:ascii="Times New Roman" w:hAnsi="Times New Roman" w:eastAsia="宋体" w:cs="Times New Roman"/>
                <w:color w:val="auto"/>
                <w:sz w:val="24"/>
                <w:lang w:eastAsia="zh-CN"/>
              </w:rPr>
              <w:t>产生的</w:t>
            </w:r>
            <w:r>
              <w:rPr>
                <w:rFonts w:hint="eastAsia" w:ascii="Times New Roman" w:hAnsi="Times New Roman" w:eastAsia="宋体" w:cs="Times New Roman"/>
                <w:color w:val="auto"/>
                <w:sz w:val="24"/>
                <w:lang w:eastAsia="zh-CN"/>
              </w:rPr>
              <w:t>颗粒物、</w:t>
            </w:r>
            <w:r>
              <w:rPr>
                <w:rFonts w:hint="eastAsia" w:ascii="Times New Roman" w:hAnsi="Times New Roman" w:eastAsia="宋体" w:cs="Times New Roman"/>
                <w:color w:val="auto"/>
                <w:sz w:val="24"/>
                <w:lang w:val="en-US" w:eastAsia="zh-CN"/>
              </w:rPr>
              <w:t>固化</w:t>
            </w:r>
            <w:r>
              <w:rPr>
                <w:rFonts w:hint="eastAsia" w:cs="Times New Roman"/>
                <w:color w:val="auto"/>
                <w:sz w:val="24"/>
                <w:lang w:val="en-US" w:eastAsia="zh-CN"/>
              </w:rPr>
              <w:t>工序</w:t>
            </w:r>
            <w:r>
              <w:rPr>
                <w:rFonts w:hint="eastAsia" w:ascii="Times New Roman" w:hAnsi="Times New Roman" w:eastAsia="宋体" w:cs="Times New Roman"/>
                <w:color w:val="auto"/>
                <w:sz w:val="24"/>
                <w:lang w:val="en-US" w:eastAsia="zh-CN"/>
              </w:rPr>
              <w:t>产生的有机废气及天然气燃烧废气。</w:t>
            </w:r>
          </w:p>
          <w:p w14:paraId="0C0166E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切割、</w:t>
            </w:r>
            <w:r>
              <w:rPr>
                <w:rFonts w:hint="eastAsia" w:ascii="Times New Roman" w:hAnsi="Times New Roman" w:eastAsia="宋体" w:cs="Times New Roman"/>
                <w:color w:val="auto"/>
                <w:sz w:val="24"/>
                <w:lang w:val="en-US" w:eastAsia="zh-CN"/>
              </w:rPr>
              <w:t>焊接、</w:t>
            </w:r>
            <w:r>
              <w:rPr>
                <w:rFonts w:hint="default" w:ascii="Times New Roman" w:hAnsi="Times New Roman" w:eastAsia="宋体" w:cs="Times New Roman"/>
                <w:color w:val="auto"/>
                <w:sz w:val="24"/>
                <w:lang w:val="en-US" w:eastAsia="zh-CN"/>
              </w:rPr>
              <w:t>抛丸</w:t>
            </w:r>
            <w:r>
              <w:rPr>
                <w:rFonts w:hint="default" w:ascii="Times New Roman" w:hAnsi="Times New Roman" w:eastAsia="宋体" w:cs="Times New Roman"/>
                <w:color w:val="auto"/>
                <w:sz w:val="24"/>
                <w:lang w:eastAsia="zh-CN"/>
              </w:rPr>
              <w:t>工序</w:t>
            </w:r>
            <w:r>
              <w:rPr>
                <w:rFonts w:hint="eastAsia" w:ascii="Times New Roman" w:hAnsi="Times New Roman" w:eastAsia="宋体" w:cs="Times New Roman"/>
                <w:color w:val="auto"/>
                <w:sz w:val="24"/>
                <w:lang w:eastAsia="zh-CN"/>
              </w:rPr>
              <w:t>、</w:t>
            </w:r>
            <w:r>
              <w:rPr>
                <w:rFonts w:hint="eastAsia" w:cs="Times New Roman"/>
                <w:color w:val="auto"/>
                <w:sz w:val="24"/>
                <w:lang w:val="en-US" w:eastAsia="zh-CN"/>
              </w:rPr>
              <w:t>喷粉</w:t>
            </w:r>
            <w:r>
              <w:rPr>
                <w:rFonts w:hint="eastAsia" w:ascii="Times New Roman" w:hAnsi="Times New Roman" w:eastAsia="宋体" w:cs="Times New Roman"/>
                <w:color w:val="auto"/>
                <w:sz w:val="24"/>
                <w:lang w:eastAsia="zh-CN"/>
              </w:rPr>
              <w:t>工序</w:t>
            </w:r>
            <w:r>
              <w:rPr>
                <w:rFonts w:hint="default" w:ascii="Times New Roman" w:hAnsi="Times New Roman" w:eastAsia="宋体" w:cs="Times New Roman"/>
                <w:color w:val="auto"/>
                <w:sz w:val="24"/>
                <w:lang w:eastAsia="zh-CN"/>
              </w:rPr>
              <w:t>产生的</w:t>
            </w:r>
            <w:r>
              <w:rPr>
                <w:rFonts w:hint="eastAsia" w:ascii="Times New Roman" w:hAnsi="Times New Roman" w:eastAsia="宋体" w:cs="Times New Roman"/>
                <w:color w:val="auto"/>
                <w:sz w:val="24"/>
                <w:lang w:eastAsia="zh-CN"/>
              </w:rPr>
              <w:t>颗粒物</w:t>
            </w:r>
            <w:r>
              <w:rPr>
                <w:rFonts w:hint="default" w:ascii="Times New Roman" w:hAnsi="Times New Roman" w:eastAsia="宋体" w:cs="Times New Roman"/>
                <w:color w:val="auto"/>
                <w:sz w:val="24"/>
                <w:lang w:eastAsia="zh-CN"/>
              </w:rPr>
              <w:t>执行《</w:t>
            </w:r>
            <w:r>
              <w:rPr>
                <w:rFonts w:hint="default" w:ascii="Times New Roman" w:hAnsi="Times New Roman" w:eastAsia="宋体" w:cs="Times New Roman"/>
                <w:color w:val="auto"/>
                <w:sz w:val="24"/>
                <w:lang w:val="en-US" w:eastAsia="zh-CN"/>
              </w:rPr>
              <w:t>大气污染物综合排放标准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GB16297-1996</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2中排放限值要求及无组织排放监控浓度限值</w:t>
            </w:r>
            <w:r>
              <w:rPr>
                <w:rFonts w:hint="eastAsia" w:ascii="Times New Roman" w:hAnsi="Times New Roman" w:eastAsia="宋体" w:cs="Times New Roman"/>
                <w:color w:val="auto"/>
                <w:sz w:val="24"/>
                <w:lang w:val="en-US" w:eastAsia="zh-CN"/>
              </w:rPr>
              <w:t>；</w:t>
            </w:r>
          </w:p>
          <w:p w14:paraId="360F841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固化工序</w:t>
            </w:r>
            <w:r>
              <w:rPr>
                <w:rFonts w:ascii="宋体" w:hAnsi="宋体" w:eastAsia="宋体" w:cs="宋体"/>
                <w:color w:val="auto"/>
                <w:sz w:val="24"/>
                <w:szCs w:val="24"/>
              </w:rPr>
              <w:t>产生</w:t>
            </w:r>
            <w:r>
              <w:rPr>
                <w:rFonts w:hint="eastAsia" w:ascii="宋体" w:hAnsi="宋体" w:cs="宋体"/>
                <w:color w:val="auto"/>
                <w:sz w:val="24"/>
                <w:szCs w:val="24"/>
                <w:lang w:eastAsia="zh-CN"/>
              </w:rPr>
              <w:t>的</w:t>
            </w:r>
            <w:r>
              <w:rPr>
                <w:rFonts w:hint="eastAsia" w:ascii="宋体" w:hAnsi="宋体" w:cs="宋体"/>
                <w:color w:val="auto"/>
                <w:sz w:val="24"/>
                <w:szCs w:val="24"/>
                <w:lang w:val="en-US" w:eastAsia="zh-CN"/>
              </w:rPr>
              <w:t>有机废气</w:t>
            </w:r>
            <w:r>
              <w:rPr>
                <w:rFonts w:hint="eastAsia" w:cs="Times New Roman"/>
                <w:color w:val="auto"/>
                <w:sz w:val="24"/>
                <w:szCs w:val="24"/>
                <w:lang w:val="en-US" w:eastAsia="zh-CN"/>
              </w:rPr>
              <w:t>（</w:t>
            </w:r>
            <w:r>
              <w:rPr>
                <w:rFonts w:hint="default" w:ascii="Times New Roman" w:hAnsi="Times New Roman" w:cs="Times New Roman"/>
                <w:color w:val="auto"/>
                <w:sz w:val="24"/>
                <w:szCs w:val="24"/>
                <w:lang w:eastAsia="zh-CN"/>
              </w:rPr>
              <w:t>非甲烷总烃</w:t>
            </w:r>
            <w:r>
              <w:rPr>
                <w:rFonts w:hint="eastAsia" w:cs="Times New Roman"/>
                <w:color w:val="auto"/>
                <w:sz w:val="24"/>
                <w:szCs w:val="24"/>
                <w:lang w:val="en-US" w:eastAsia="zh-CN"/>
              </w:rPr>
              <w:t>）</w:t>
            </w:r>
            <w:r>
              <w:rPr>
                <w:rFonts w:ascii="宋体" w:hAnsi="宋体" w:eastAsia="宋体" w:cs="宋体"/>
                <w:color w:val="auto"/>
                <w:sz w:val="24"/>
                <w:szCs w:val="24"/>
              </w:rPr>
              <w:t>有组织</w:t>
            </w:r>
            <w:r>
              <w:rPr>
                <w:rFonts w:hint="eastAsia" w:ascii="宋体" w:hAnsi="宋体" w:eastAsia="宋体" w:cs="宋体"/>
                <w:color w:val="auto"/>
                <w:sz w:val="24"/>
                <w:szCs w:val="24"/>
                <w:lang w:val="en-US" w:eastAsia="zh-CN"/>
              </w:rPr>
              <w:t>废气</w:t>
            </w:r>
            <w:r>
              <w:rPr>
                <w:rFonts w:hint="default" w:ascii="Times New Roman" w:hAnsi="Times New Roman" w:cs="Times New Roman"/>
                <w:color w:val="auto"/>
                <w:sz w:val="24"/>
                <w:szCs w:val="24"/>
                <w:lang w:eastAsia="zh-CN"/>
              </w:rPr>
              <w:t>执行《挥发性有机物排放控制标准》（DB61/T1061-2017）表1中表面涂装行业排放浓度限值</w:t>
            </w:r>
            <w:r>
              <w:rPr>
                <w:rFonts w:hint="eastAsia" w:cs="Times New Roman"/>
                <w:color w:val="auto"/>
                <w:sz w:val="24"/>
                <w:szCs w:val="24"/>
                <w:lang w:eastAsia="zh-CN"/>
              </w:rPr>
              <w:t>，</w:t>
            </w:r>
            <w:r>
              <w:rPr>
                <w:rFonts w:hint="eastAsia" w:cs="Times New Roman"/>
                <w:color w:val="auto"/>
                <w:sz w:val="24"/>
                <w:szCs w:val="24"/>
                <w:lang w:val="en-US" w:eastAsia="zh-CN"/>
              </w:rPr>
              <w:t>有机废气（</w:t>
            </w:r>
            <w:r>
              <w:rPr>
                <w:rFonts w:hint="default" w:ascii="Times New Roman" w:hAnsi="Times New Roman" w:cs="Times New Roman"/>
                <w:color w:val="auto"/>
                <w:sz w:val="24"/>
                <w:szCs w:val="24"/>
                <w:lang w:eastAsia="zh-CN"/>
              </w:rPr>
              <w:t>非甲烷总烃</w:t>
            </w:r>
            <w:r>
              <w:rPr>
                <w:rFonts w:hint="eastAsia" w:cs="Times New Roman"/>
                <w:color w:val="auto"/>
                <w:sz w:val="24"/>
                <w:szCs w:val="24"/>
                <w:lang w:val="en-US" w:eastAsia="zh-CN"/>
              </w:rPr>
              <w:t>）</w:t>
            </w:r>
            <w:r>
              <w:rPr>
                <w:rFonts w:hint="default" w:ascii="Times New Roman" w:hAnsi="Times New Roman" w:cs="Times New Roman"/>
                <w:color w:val="auto"/>
                <w:sz w:val="24"/>
                <w:szCs w:val="24"/>
                <w:lang w:eastAsia="zh-CN"/>
              </w:rPr>
              <w:t>无组织厂区内执行《挥发性有机物无组织排放控制标准》（GB37822-2019）中相关标准，</w:t>
            </w:r>
            <w:r>
              <w:rPr>
                <w:rFonts w:hint="default" w:ascii="Times New Roman" w:hAnsi="Times New Roman" w:cs="Times New Roman"/>
                <w:color w:val="auto"/>
                <w:sz w:val="24"/>
                <w:szCs w:val="24"/>
                <w:lang w:val="en-US" w:eastAsia="zh-CN"/>
              </w:rPr>
              <w:t>厂界</w:t>
            </w:r>
            <w:r>
              <w:rPr>
                <w:rFonts w:hint="default" w:ascii="Times New Roman" w:hAnsi="Times New Roman" w:cs="Times New Roman"/>
                <w:color w:val="auto"/>
                <w:sz w:val="24"/>
                <w:szCs w:val="24"/>
                <w:lang w:eastAsia="zh-CN"/>
              </w:rPr>
              <w:t>执行《挥发性有机物排放控制标准》（DB61/T1061-2017）</w:t>
            </w:r>
            <w:r>
              <w:rPr>
                <w:rFonts w:hint="eastAsia" w:cs="Times New Roman"/>
                <w:color w:val="auto"/>
                <w:sz w:val="24"/>
                <w:szCs w:val="24"/>
                <w:lang w:eastAsia="zh-CN"/>
              </w:rPr>
              <w:t>中厂界排放标准</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天然气燃烧废气执行《工业炉窑大气污染物综合治理方案》（环大气</w:t>
            </w:r>
            <w:r>
              <w:rPr>
                <w:rFonts w:hint="eastAsia" w:cs="Times New Roman"/>
                <w:color w:val="auto"/>
                <w:sz w:val="24"/>
                <w:szCs w:val="24"/>
                <w:lang w:val="en-US" w:eastAsia="zh-CN"/>
              </w:rPr>
              <w:t>〔2019〕56号</w:t>
            </w:r>
            <w:r>
              <w:rPr>
                <w:rFonts w:hint="eastAsia" w:ascii="Times New Roman" w:hAnsi="Times New Roman" w:cs="Times New Roman"/>
                <w:color w:val="auto"/>
                <w:sz w:val="24"/>
                <w:szCs w:val="24"/>
                <w:lang w:val="en-US" w:eastAsia="zh-CN"/>
              </w:rPr>
              <w:t>）中相应管控要求；厂界无组织废气颗粒物执</w:t>
            </w:r>
            <w:r>
              <w:rPr>
                <w:rFonts w:hint="eastAsia" w:ascii="Times New Roman" w:hAnsi="Times New Roman" w:eastAsia="宋体" w:cs="Times New Roman"/>
                <w:color w:val="auto"/>
                <w:sz w:val="24"/>
                <w:szCs w:val="24"/>
                <w:lang w:val="en-US" w:eastAsia="zh-CN"/>
              </w:rPr>
              <w:t>行</w:t>
            </w:r>
            <w:r>
              <w:rPr>
                <w:rFonts w:hint="default" w:ascii="Times New Roman" w:hAnsi="Times New Roman" w:eastAsia="宋体" w:cs="Times New Roman"/>
                <w:color w:val="auto"/>
                <w:sz w:val="24"/>
                <w:szCs w:val="24"/>
                <w:lang w:val="en-US" w:eastAsia="zh-CN"/>
              </w:rPr>
              <w:t>《大气污染物综合排放标准》（GB16297-1996）</w:t>
            </w:r>
            <w:r>
              <w:rPr>
                <w:rFonts w:hint="eastAsia" w:ascii="Times New Roman" w:hAnsi="Times New Roman" w:eastAsia="宋体" w:cs="Times New Roman"/>
                <w:color w:val="auto"/>
                <w:sz w:val="24"/>
                <w:szCs w:val="24"/>
                <w:lang w:val="en-US" w:eastAsia="zh-CN"/>
              </w:rPr>
              <w:t>中相应限值要求。具体</w:t>
            </w:r>
            <w:r>
              <w:rPr>
                <w:rFonts w:hint="default" w:ascii="Times New Roman" w:hAnsi="Times New Roman" w:eastAsia="宋体" w:cs="Times New Roman"/>
                <w:color w:val="auto"/>
                <w:sz w:val="24"/>
                <w:szCs w:val="24"/>
                <w:lang w:val="en-US" w:eastAsia="zh-CN"/>
              </w:rPr>
              <w:t>见表3-</w:t>
            </w:r>
            <w:r>
              <w:rPr>
                <w:rFonts w:hint="eastAsia" w:ascii="Times New Roman" w:hAnsi="Times New Roman" w:eastAsia="宋体" w:cs="Times New Roman"/>
                <w:color w:val="auto"/>
                <w:sz w:val="24"/>
                <w:szCs w:val="24"/>
                <w:lang w:val="en-US" w:eastAsia="zh-CN"/>
              </w:rPr>
              <w:t>6</w:t>
            </w:r>
            <w:r>
              <w:rPr>
                <w:rFonts w:hint="eastAsia" w:cs="Times New Roman"/>
                <w:color w:val="auto"/>
                <w:sz w:val="24"/>
                <w:szCs w:val="24"/>
                <w:lang w:val="en-US" w:eastAsia="zh-CN"/>
              </w:rPr>
              <w:t>、3-7</w:t>
            </w:r>
            <w:r>
              <w:rPr>
                <w:rFonts w:hint="default" w:ascii="Times New Roman" w:hAnsi="Times New Roman" w:eastAsia="宋体" w:cs="Times New Roman"/>
                <w:color w:val="auto"/>
                <w:sz w:val="24"/>
                <w:szCs w:val="24"/>
                <w:lang w:val="en-US" w:eastAsia="zh-CN"/>
              </w:rPr>
              <w:t>：</w:t>
            </w:r>
          </w:p>
          <w:p w14:paraId="039E5E3A">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ascii="Times New Roman" w:hAnsi="Times New Roman" w:eastAsia="宋体"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lang w:val="en-US" w:eastAsia="zh-CN"/>
              </w:rPr>
              <w:t xml:space="preserve"> 有组织废气污染物执行标准</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27"/>
              <w:gridCol w:w="1059"/>
              <w:gridCol w:w="1568"/>
              <w:gridCol w:w="1602"/>
              <w:gridCol w:w="1020"/>
              <w:gridCol w:w="2197"/>
            </w:tblGrid>
            <w:tr w14:paraId="59D73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3" w:type="pct"/>
                  <w:vMerge w:val="restart"/>
                  <w:shd w:val="clear" w:color="auto" w:fill="FFFFFF"/>
                  <w:noWrap w:val="0"/>
                  <w:vAlign w:val="center"/>
                </w:tcPr>
                <w:p w14:paraId="0E0D4835">
                  <w:pPr>
                    <w:pStyle w:val="27"/>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废气类别</w:t>
                  </w:r>
                </w:p>
              </w:tc>
              <w:tc>
                <w:tcPr>
                  <w:tcW w:w="632" w:type="pct"/>
                  <w:vMerge w:val="restart"/>
                  <w:shd w:val="clear" w:color="auto" w:fill="FFFFFF"/>
                  <w:noWrap w:val="0"/>
                  <w:vAlign w:val="center"/>
                </w:tcPr>
                <w:p w14:paraId="78915B6E">
                  <w:pPr>
                    <w:pStyle w:val="27"/>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936" w:type="pct"/>
                  <w:vMerge w:val="restart"/>
                  <w:shd w:val="clear" w:color="auto" w:fill="FFFFFF"/>
                  <w:noWrap w:val="0"/>
                  <w:vAlign w:val="center"/>
                </w:tcPr>
                <w:p w14:paraId="5691EC7D">
                  <w:pPr>
                    <w:pStyle w:val="27"/>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最高允许排放浓度</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eastAsia" w:ascii="Times New Roman" w:hAnsi="Times New Roman" w:eastAsia="宋体" w:cs="Times New Roman"/>
                      <w:b/>
                      <w:bCs/>
                      <w:color w:val="auto"/>
                      <w:sz w:val="21"/>
                      <w:szCs w:val="21"/>
                      <w:lang w:eastAsia="zh-CN"/>
                    </w:rPr>
                    <w:t>）</w:t>
                  </w:r>
                </w:p>
              </w:tc>
              <w:tc>
                <w:tcPr>
                  <w:tcW w:w="1565" w:type="pct"/>
                  <w:gridSpan w:val="2"/>
                  <w:shd w:val="clear" w:color="auto" w:fill="FFFFFF"/>
                  <w:noWrap w:val="0"/>
                  <w:vAlign w:val="center"/>
                </w:tcPr>
                <w:p w14:paraId="4827209E">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最高允许排放速率</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kg/h</w:t>
                  </w:r>
                  <w:r>
                    <w:rPr>
                      <w:rFonts w:hint="eastAsia" w:ascii="Times New Roman" w:hAnsi="Times New Roman" w:eastAsia="宋体" w:cs="Times New Roman"/>
                      <w:b/>
                      <w:bCs/>
                      <w:color w:val="auto"/>
                      <w:sz w:val="21"/>
                      <w:szCs w:val="21"/>
                      <w:lang w:eastAsia="zh-CN"/>
                    </w:rPr>
                    <w:t>）</w:t>
                  </w:r>
                </w:p>
              </w:tc>
              <w:tc>
                <w:tcPr>
                  <w:tcW w:w="1311" w:type="pct"/>
                  <w:vMerge w:val="restart"/>
                  <w:shd w:val="clear" w:color="auto" w:fill="FFFFFF"/>
                  <w:noWrap w:val="0"/>
                  <w:vAlign w:val="center"/>
                </w:tcPr>
                <w:p w14:paraId="0258FE05">
                  <w:pPr>
                    <w:pStyle w:val="27"/>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执行标准</w:t>
                  </w:r>
                </w:p>
              </w:tc>
            </w:tr>
            <w:tr w14:paraId="3A21C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3" w:type="pct"/>
                  <w:vMerge w:val="continue"/>
                  <w:shd w:val="clear" w:color="auto" w:fill="auto"/>
                  <w:noWrap w:val="0"/>
                  <w:vAlign w:val="center"/>
                </w:tcPr>
                <w:p w14:paraId="122EDC64">
                  <w:pPr>
                    <w:pStyle w:val="27"/>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p>
              </w:tc>
              <w:tc>
                <w:tcPr>
                  <w:tcW w:w="632" w:type="pct"/>
                  <w:vMerge w:val="continue"/>
                  <w:shd w:val="clear" w:color="auto" w:fill="auto"/>
                  <w:noWrap w:val="0"/>
                  <w:vAlign w:val="center"/>
                </w:tcPr>
                <w:p w14:paraId="01656211">
                  <w:pPr>
                    <w:pStyle w:val="27"/>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p>
              </w:tc>
              <w:tc>
                <w:tcPr>
                  <w:tcW w:w="936" w:type="pct"/>
                  <w:vMerge w:val="continue"/>
                  <w:shd w:val="clear" w:color="auto" w:fill="auto"/>
                  <w:noWrap w:val="0"/>
                  <w:vAlign w:val="center"/>
                </w:tcPr>
                <w:p w14:paraId="4F966C8E">
                  <w:pPr>
                    <w:pStyle w:val="27"/>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p>
              </w:tc>
              <w:tc>
                <w:tcPr>
                  <w:tcW w:w="956" w:type="pct"/>
                  <w:shd w:val="clear" w:color="auto" w:fill="FFFFFF"/>
                  <w:noWrap w:val="0"/>
                  <w:vAlign w:val="center"/>
                </w:tcPr>
                <w:p w14:paraId="720125E9">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排气筒高度</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eastAsia" w:ascii="Times New Roman" w:hAnsi="Times New Roman" w:eastAsia="宋体" w:cs="Times New Roman"/>
                      <w:b/>
                      <w:bCs/>
                      <w:color w:val="auto"/>
                      <w:sz w:val="21"/>
                      <w:szCs w:val="21"/>
                      <w:lang w:eastAsia="zh-CN"/>
                    </w:rPr>
                    <w:t>）</w:t>
                  </w:r>
                </w:p>
              </w:tc>
              <w:tc>
                <w:tcPr>
                  <w:tcW w:w="608" w:type="pct"/>
                  <w:shd w:val="clear" w:color="auto" w:fill="FFFFFF"/>
                  <w:noWrap w:val="0"/>
                  <w:vAlign w:val="center"/>
                </w:tcPr>
                <w:p w14:paraId="11A290DC">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二级</w:t>
                  </w:r>
                </w:p>
              </w:tc>
              <w:tc>
                <w:tcPr>
                  <w:tcW w:w="1311" w:type="pct"/>
                  <w:vMerge w:val="continue"/>
                  <w:shd w:val="clear" w:color="auto" w:fill="FFFFFF"/>
                  <w:noWrap w:val="0"/>
                  <w:vAlign w:val="center"/>
                </w:tcPr>
                <w:p w14:paraId="55B197F0">
                  <w:pPr>
                    <w:pStyle w:val="27"/>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p>
              </w:tc>
            </w:tr>
            <w:tr w14:paraId="56985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3" w:type="pct"/>
                  <w:shd w:val="clear" w:color="auto" w:fill="FFFFFF"/>
                  <w:noWrap w:val="0"/>
                  <w:vAlign w:val="center"/>
                </w:tcPr>
                <w:p w14:paraId="5C94A43E">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切割、焊接、修磨抛丸</w:t>
                  </w:r>
                </w:p>
              </w:tc>
              <w:tc>
                <w:tcPr>
                  <w:tcW w:w="632" w:type="pct"/>
                  <w:shd w:val="clear" w:color="auto" w:fill="FFFFFF"/>
                  <w:noWrap w:val="0"/>
                  <w:vAlign w:val="center"/>
                </w:tcPr>
                <w:p w14:paraId="3C44E4C3">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936" w:type="pct"/>
                  <w:vMerge w:val="restart"/>
                  <w:shd w:val="clear" w:color="auto" w:fill="FFFFFF"/>
                  <w:noWrap w:val="0"/>
                  <w:vAlign w:val="center"/>
                </w:tcPr>
                <w:p w14:paraId="29AA25A2">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956" w:type="pct"/>
                  <w:vMerge w:val="restart"/>
                  <w:shd w:val="clear" w:color="auto" w:fill="FFFFFF"/>
                  <w:noWrap w:val="0"/>
                  <w:vAlign w:val="center"/>
                </w:tcPr>
                <w:p w14:paraId="75E0B91B">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08" w:type="pct"/>
                  <w:vMerge w:val="restart"/>
                  <w:shd w:val="clear" w:color="auto" w:fill="FFFFFF"/>
                  <w:noWrap w:val="0"/>
                  <w:vAlign w:val="center"/>
                </w:tcPr>
                <w:p w14:paraId="31FC0059">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1311" w:type="pct"/>
                  <w:vMerge w:val="restart"/>
                  <w:shd w:val="clear" w:color="auto" w:fill="FFFFFF"/>
                  <w:noWrap w:val="0"/>
                  <w:vAlign w:val="center"/>
                </w:tcPr>
                <w:p w14:paraId="6B29AD78">
                  <w:pPr>
                    <w:pStyle w:val="27"/>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b w:val="0"/>
                      <w:bCs w:val="0"/>
                      <w:color w:val="auto"/>
                      <w:sz w:val="21"/>
                      <w:szCs w:val="21"/>
                      <w:lang w:val="en-US" w:eastAsia="zh-CN"/>
                    </w:rPr>
                    <w:t>《大气污染物综合排放标准》（GB16297-1996）表2</w:t>
                  </w:r>
                </w:p>
              </w:tc>
            </w:tr>
            <w:tr w14:paraId="18B67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53" w:type="pct"/>
                  <w:shd w:val="clear" w:color="auto" w:fill="FFFFFF"/>
                  <w:noWrap w:val="0"/>
                  <w:vAlign w:val="center"/>
                </w:tcPr>
                <w:p w14:paraId="437600E8">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喷粉</w:t>
                  </w:r>
                  <w:r>
                    <w:rPr>
                      <w:rFonts w:hint="eastAsia" w:ascii="Times New Roman" w:hAnsi="Times New Roman" w:eastAsia="宋体" w:cs="Times New Roman"/>
                      <w:color w:val="auto"/>
                      <w:sz w:val="21"/>
                      <w:szCs w:val="21"/>
                      <w:lang w:val="en-US" w:eastAsia="zh-CN"/>
                    </w:rPr>
                    <w:t>废气</w:t>
                  </w:r>
                </w:p>
              </w:tc>
              <w:tc>
                <w:tcPr>
                  <w:tcW w:w="632" w:type="pct"/>
                  <w:shd w:val="clear" w:color="auto" w:fill="FFFFFF"/>
                  <w:noWrap w:val="0"/>
                  <w:vAlign w:val="center"/>
                </w:tcPr>
                <w:p w14:paraId="52D71EA2">
                  <w:pPr>
                    <w:pStyle w:val="27"/>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936" w:type="pct"/>
                  <w:vMerge w:val="continue"/>
                  <w:shd w:val="clear" w:color="auto" w:fill="FFFFFF"/>
                  <w:noWrap w:val="0"/>
                  <w:vAlign w:val="center"/>
                </w:tcPr>
                <w:p w14:paraId="08913A59">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c>
                <w:tcPr>
                  <w:tcW w:w="956" w:type="pct"/>
                  <w:vMerge w:val="continue"/>
                  <w:shd w:val="clear" w:color="auto" w:fill="FFFFFF"/>
                  <w:noWrap w:val="0"/>
                  <w:vAlign w:val="center"/>
                </w:tcPr>
                <w:p w14:paraId="223C1C69">
                  <w:pPr>
                    <w:pStyle w:val="27"/>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p>
              </w:tc>
              <w:tc>
                <w:tcPr>
                  <w:tcW w:w="608" w:type="pct"/>
                  <w:vMerge w:val="continue"/>
                  <w:shd w:val="clear" w:color="auto" w:fill="FFFFFF"/>
                  <w:noWrap w:val="0"/>
                  <w:vAlign w:val="center"/>
                </w:tcPr>
                <w:p w14:paraId="395B1512">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c>
                <w:tcPr>
                  <w:tcW w:w="1311" w:type="pct"/>
                  <w:vMerge w:val="continue"/>
                  <w:shd w:val="clear" w:color="auto" w:fill="FFFFFF"/>
                  <w:noWrap w:val="0"/>
                  <w:vAlign w:val="center"/>
                </w:tcPr>
                <w:p w14:paraId="6492B9CE">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r>
            <w:tr w14:paraId="68F2E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3" w:type="pct"/>
                  <w:shd w:val="clear" w:color="auto" w:fill="FFFFFF"/>
                  <w:noWrap w:val="0"/>
                  <w:vAlign w:val="center"/>
                </w:tcPr>
                <w:p w14:paraId="3B8968C6">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固化废气</w:t>
                  </w:r>
                </w:p>
              </w:tc>
              <w:tc>
                <w:tcPr>
                  <w:tcW w:w="632" w:type="pct"/>
                  <w:shd w:val="clear" w:color="auto" w:fill="FFFFFF"/>
                  <w:noWrap w:val="0"/>
                  <w:vAlign w:val="center"/>
                </w:tcPr>
                <w:p w14:paraId="782551EC">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936" w:type="pct"/>
                  <w:shd w:val="clear" w:color="auto" w:fill="FFFFFF"/>
                  <w:noWrap w:val="0"/>
                  <w:vAlign w:val="center"/>
                </w:tcPr>
                <w:p w14:paraId="73423917">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956" w:type="pct"/>
                  <w:shd w:val="clear" w:color="auto" w:fill="FFFFFF"/>
                  <w:noWrap w:val="0"/>
                  <w:vAlign w:val="center"/>
                </w:tcPr>
                <w:p w14:paraId="78D6C1AF">
                  <w:pPr>
                    <w:pStyle w:val="27"/>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8" w:type="pct"/>
                  <w:shd w:val="clear" w:color="auto" w:fill="FFFFFF"/>
                  <w:noWrap w:val="0"/>
                  <w:vAlign w:val="center"/>
                </w:tcPr>
                <w:p w14:paraId="3F6AC9FD">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11" w:type="pct"/>
                  <w:shd w:val="clear" w:color="auto" w:fill="FFFFFF"/>
                  <w:noWrap w:val="0"/>
                  <w:vAlign w:val="center"/>
                </w:tcPr>
                <w:p w14:paraId="6D42BB10">
                  <w:pPr>
                    <w:pStyle w:val="27"/>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《挥发性有机物排放控制标准》（DB61/T1061-2017）表1 中表面涂装行业排放浓度限值</w:t>
                  </w:r>
                </w:p>
              </w:tc>
            </w:tr>
            <w:tr w14:paraId="1FA1E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3" w:type="pct"/>
                  <w:vMerge w:val="restart"/>
                  <w:shd w:val="clear" w:color="auto" w:fill="FFFFFF"/>
                  <w:noWrap w:val="0"/>
                  <w:vAlign w:val="center"/>
                </w:tcPr>
                <w:p w14:paraId="1A83E7BB">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天然气燃烧废气</w:t>
                  </w:r>
                </w:p>
              </w:tc>
              <w:tc>
                <w:tcPr>
                  <w:tcW w:w="632" w:type="pct"/>
                  <w:shd w:val="clear" w:color="auto" w:fill="FFFFFF"/>
                  <w:noWrap w:val="0"/>
                  <w:vAlign w:val="center"/>
                </w:tcPr>
                <w:p w14:paraId="000EA7B5">
                  <w:pPr>
                    <w:pStyle w:val="27"/>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936" w:type="pct"/>
                  <w:shd w:val="clear" w:color="auto" w:fill="FFFFFF"/>
                  <w:noWrap w:val="0"/>
                  <w:vAlign w:val="center"/>
                </w:tcPr>
                <w:p w14:paraId="6DE48D97">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956" w:type="pct"/>
                  <w:shd w:val="clear" w:color="auto" w:fill="FFFFFF"/>
                  <w:noWrap w:val="0"/>
                  <w:vAlign w:val="center"/>
                </w:tcPr>
                <w:p w14:paraId="2CEE00FD">
                  <w:pPr>
                    <w:pStyle w:val="27"/>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8" w:type="pct"/>
                  <w:shd w:val="clear" w:color="auto" w:fill="FFFFFF"/>
                  <w:noWrap w:val="0"/>
                  <w:vAlign w:val="center"/>
                </w:tcPr>
                <w:p w14:paraId="55671293">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11" w:type="pct"/>
                  <w:vMerge w:val="restart"/>
                  <w:shd w:val="clear" w:color="auto" w:fill="FFFFFF"/>
                  <w:noWrap w:val="0"/>
                  <w:vAlign w:val="center"/>
                </w:tcPr>
                <w:p w14:paraId="1A350C44">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kern w:val="0"/>
                      <w:sz w:val="21"/>
                      <w:szCs w:val="21"/>
                    </w:rPr>
                    <w:t>《</w:t>
                  </w:r>
                  <w:r>
                    <w:rPr>
                      <w:rFonts w:hint="default" w:ascii="Times New Roman" w:hAnsi="Times New Roman" w:eastAsia="宋体" w:cs="Times New Roman"/>
                      <w:bCs/>
                      <w:color w:val="auto"/>
                      <w:kern w:val="0"/>
                      <w:sz w:val="21"/>
                      <w:szCs w:val="21"/>
                      <w:lang w:eastAsia="zh-CN"/>
                    </w:rPr>
                    <w:t>工业炉窑大气污染综合治理方案</w:t>
                  </w:r>
                  <w:r>
                    <w:rPr>
                      <w:rFonts w:hint="default" w:ascii="Times New Roman" w:hAnsi="Times New Roman" w:eastAsia="宋体" w:cs="Times New Roman"/>
                      <w:bCs/>
                      <w:color w:val="auto"/>
                      <w:kern w:val="0"/>
                      <w:sz w:val="21"/>
                      <w:szCs w:val="21"/>
                    </w:rPr>
                    <w:t>》</w:t>
                  </w:r>
                  <w:r>
                    <w:rPr>
                      <w:rFonts w:hint="eastAsia" w:ascii="Times New Roman" w:hAnsi="Times New Roman" w:eastAsia="宋体" w:cs="Times New Roman"/>
                      <w:bCs/>
                      <w:color w:val="auto"/>
                      <w:kern w:val="0"/>
                      <w:sz w:val="21"/>
                      <w:szCs w:val="21"/>
                      <w:lang w:eastAsia="zh-CN"/>
                    </w:rPr>
                    <w:t>（</w:t>
                  </w:r>
                  <w:r>
                    <w:rPr>
                      <w:rFonts w:hint="eastAsia" w:ascii="Times New Roman" w:hAnsi="Times New Roman" w:eastAsia="宋体" w:cs="Times New Roman"/>
                      <w:bCs/>
                      <w:color w:val="auto"/>
                      <w:kern w:val="0"/>
                      <w:sz w:val="21"/>
                      <w:szCs w:val="21"/>
                      <w:lang w:val="en-US" w:eastAsia="zh-CN"/>
                    </w:rPr>
                    <w:t>环大气</w:t>
                  </w:r>
                  <w:r>
                    <w:rPr>
                      <w:rFonts w:hint="eastAsia" w:ascii="Times New Roman" w:hAnsi="Times New Roman" w:cs="Times New Roman"/>
                      <w:bCs/>
                      <w:color w:val="auto"/>
                      <w:kern w:val="0"/>
                      <w:sz w:val="21"/>
                      <w:szCs w:val="21"/>
                      <w:lang w:val="en-US" w:eastAsia="zh-CN"/>
                    </w:rPr>
                    <w:t>〔2019〕56号</w:t>
                  </w:r>
                  <w:r>
                    <w:rPr>
                      <w:rFonts w:hint="eastAsia" w:ascii="Times New Roman" w:hAnsi="Times New Roman" w:eastAsia="宋体" w:cs="Times New Roman"/>
                      <w:bCs/>
                      <w:color w:val="auto"/>
                      <w:kern w:val="0"/>
                      <w:sz w:val="21"/>
                      <w:szCs w:val="21"/>
                      <w:lang w:eastAsia="zh-CN"/>
                    </w:rPr>
                    <w:t>）</w:t>
                  </w:r>
                  <w:r>
                    <w:rPr>
                      <w:rFonts w:hint="default" w:ascii="Times New Roman" w:hAnsi="Times New Roman" w:eastAsia="宋体" w:cs="Times New Roman"/>
                      <w:bCs/>
                      <w:color w:val="auto"/>
                      <w:kern w:val="0"/>
                      <w:sz w:val="21"/>
                      <w:szCs w:val="21"/>
                      <w:lang w:eastAsia="zh-CN"/>
                    </w:rPr>
                    <w:t>中</w:t>
                  </w:r>
                  <w:r>
                    <w:rPr>
                      <w:rFonts w:hint="eastAsia" w:ascii="Times New Roman" w:hAnsi="Times New Roman" w:eastAsia="宋体" w:cs="Times New Roman"/>
                      <w:bCs/>
                      <w:color w:val="auto"/>
                      <w:kern w:val="0"/>
                      <w:sz w:val="21"/>
                      <w:szCs w:val="21"/>
                      <w:lang w:val="en-US" w:eastAsia="zh-CN"/>
                    </w:rPr>
                    <w:t>相应管控要求</w:t>
                  </w:r>
                </w:p>
              </w:tc>
            </w:tr>
            <w:tr w14:paraId="4DCF9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3" w:type="pct"/>
                  <w:vMerge w:val="continue"/>
                  <w:shd w:val="clear" w:color="auto" w:fill="FFFFFF"/>
                  <w:noWrap w:val="0"/>
                  <w:vAlign w:val="center"/>
                </w:tcPr>
                <w:p w14:paraId="2C28FFE0">
                  <w:pPr>
                    <w:pStyle w:val="27"/>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p>
              </w:tc>
              <w:tc>
                <w:tcPr>
                  <w:tcW w:w="632" w:type="pct"/>
                  <w:shd w:val="clear" w:color="auto" w:fill="FFFFFF"/>
                  <w:noWrap w:val="0"/>
                  <w:vAlign w:val="center"/>
                </w:tcPr>
                <w:p w14:paraId="21FA0F12">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二氧化硫</w:t>
                  </w:r>
                </w:p>
              </w:tc>
              <w:tc>
                <w:tcPr>
                  <w:tcW w:w="936" w:type="pct"/>
                  <w:shd w:val="clear" w:color="auto" w:fill="FFFFFF"/>
                  <w:noWrap w:val="0"/>
                  <w:vAlign w:val="center"/>
                </w:tcPr>
                <w:p w14:paraId="4B99109F">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c>
                <w:tcPr>
                  <w:tcW w:w="956" w:type="pct"/>
                  <w:shd w:val="clear" w:color="auto" w:fill="FFFFFF"/>
                  <w:noWrap w:val="0"/>
                  <w:vAlign w:val="center"/>
                </w:tcPr>
                <w:p w14:paraId="75E60D23">
                  <w:pPr>
                    <w:pStyle w:val="27"/>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8" w:type="pct"/>
                  <w:shd w:val="clear" w:color="auto" w:fill="FFFFFF"/>
                  <w:noWrap w:val="0"/>
                  <w:vAlign w:val="center"/>
                </w:tcPr>
                <w:p w14:paraId="13CAAB20">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11" w:type="pct"/>
                  <w:vMerge w:val="continue"/>
                  <w:shd w:val="clear" w:color="auto" w:fill="FFFFFF"/>
                  <w:noWrap w:val="0"/>
                  <w:vAlign w:val="center"/>
                </w:tcPr>
                <w:p w14:paraId="521EEFB4">
                  <w:pPr>
                    <w:pStyle w:val="27"/>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p>
              </w:tc>
            </w:tr>
            <w:tr w14:paraId="2B0AF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3" w:type="pct"/>
                  <w:vMerge w:val="continue"/>
                  <w:shd w:val="clear" w:color="auto" w:fill="FFFFFF"/>
                  <w:noWrap w:val="0"/>
                  <w:vAlign w:val="center"/>
                </w:tcPr>
                <w:p w14:paraId="4516B576">
                  <w:pPr>
                    <w:pStyle w:val="27"/>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p>
              </w:tc>
              <w:tc>
                <w:tcPr>
                  <w:tcW w:w="632" w:type="pct"/>
                  <w:shd w:val="clear" w:color="auto" w:fill="FFFFFF"/>
                  <w:noWrap w:val="0"/>
                  <w:vAlign w:val="center"/>
                </w:tcPr>
                <w:p w14:paraId="3599E16E">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氮氧化物</w:t>
                  </w:r>
                </w:p>
              </w:tc>
              <w:tc>
                <w:tcPr>
                  <w:tcW w:w="936" w:type="pct"/>
                  <w:shd w:val="clear" w:color="auto" w:fill="FFFFFF"/>
                  <w:noWrap w:val="0"/>
                  <w:vAlign w:val="center"/>
                </w:tcPr>
                <w:p w14:paraId="6FB9EBAD">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p>
              </w:tc>
              <w:tc>
                <w:tcPr>
                  <w:tcW w:w="956" w:type="pct"/>
                  <w:shd w:val="clear" w:color="auto" w:fill="FFFFFF"/>
                  <w:noWrap w:val="0"/>
                  <w:vAlign w:val="center"/>
                </w:tcPr>
                <w:p w14:paraId="20C532C7">
                  <w:pPr>
                    <w:pStyle w:val="27"/>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8" w:type="pct"/>
                  <w:shd w:val="clear" w:color="auto" w:fill="FFFFFF"/>
                  <w:noWrap w:val="0"/>
                  <w:vAlign w:val="center"/>
                </w:tcPr>
                <w:p w14:paraId="47525811">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311" w:type="pct"/>
                  <w:vMerge w:val="continue"/>
                  <w:shd w:val="clear" w:color="auto" w:fill="FFFFFF"/>
                  <w:noWrap w:val="0"/>
                  <w:vAlign w:val="center"/>
                </w:tcPr>
                <w:p w14:paraId="776EBAFA">
                  <w:pPr>
                    <w:pStyle w:val="27"/>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p>
              </w:tc>
            </w:tr>
            <w:tr w14:paraId="49291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53" w:type="pct"/>
                  <w:vMerge w:val="continue"/>
                  <w:shd w:val="clear" w:color="auto" w:fill="FFFFFF"/>
                  <w:noWrap w:val="0"/>
                  <w:vAlign w:val="center"/>
                </w:tcPr>
                <w:p w14:paraId="3BE47810">
                  <w:pPr>
                    <w:pStyle w:val="27"/>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p>
              </w:tc>
              <w:tc>
                <w:tcPr>
                  <w:tcW w:w="632" w:type="pct"/>
                  <w:shd w:val="clear" w:color="auto" w:fill="FFFFFF"/>
                  <w:noWrap w:val="0"/>
                  <w:vAlign w:val="center"/>
                </w:tcPr>
                <w:p w14:paraId="67B73004">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林格曼黑度</w:t>
                  </w:r>
                </w:p>
              </w:tc>
              <w:tc>
                <w:tcPr>
                  <w:tcW w:w="2501" w:type="pct"/>
                  <w:gridSpan w:val="3"/>
                  <w:shd w:val="clear" w:color="auto" w:fill="FFFFFF"/>
                  <w:noWrap w:val="0"/>
                  <w:vAlign w:val="center"/>
                </w:tcPr>
                <w:p w14:paraId="43AAD4A7">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≤1级</w:t>
                  </w:r>
                </w:p>
              </w:tc>
              <w:tc>
                <w:tcPr>
                  <w:tcW w:w="1311" w:type="pct"/>
                  <w:shd w:val="clear" w:color="auto" w:fill="FFFFFF"/>
                  <w:noWrap w:val="0"/>
                  <w:vAlign w:val="center"/>
                </w:tcPr>
                <w:p w14:paraId="01EFF94D">
                  <w:pPr>
                    <w:pStyle w:val="27"/>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《工业窑炉大气污染物排放标准（GB9078-1996）表2二级排放标准限值要求</w:t>
                  </w:r>
                </w:p>
              </w:tc>
            </w:tr>
          </w:tbl>
          <w:p w14:paraId="52EFD803">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无组织废气污染物执行标准</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365"/>
              <w:gridCol w:w="2700"/>
              <w:gridCol w:w="1154"/>
              <w:gridCol w:w="1223"/>
              <w:gridCol w:w="1931"/>
            </w:tblGrid>
            <w:tr w14:paraId="4C94F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15" w:type="pct"/>
                  <w:tcBorders>
                    <w:tl2br w:val="nil"/>
                    <w:tr2bl w:val="nil"/>
                  </w:tcBorders>
                  <w:noWrap w:val="0"/>
                  <w:vAlign w:val="center"/>
                </w:tcPr>
                <w:p w14:paraId="44C9A064">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无组织废气</w:t>
                  </w:r>
                </w:p>
              </w:tc>
              <w:tc>
                <w:tcPr>
                  <w:tcW w:w="1612" w:type="pct"/>
                  <w:tcBorders>
                    <w:tl2br w:val="nil"/>
                    <w:tr2bl w:val="nil"/>
                  </w:tcBorders>
                  <w:noWrap w:val="0"/>
                  <w:vAlign w:val="center"/>
                </w:tcPr>
                <w:p w14:paraId="459061AF">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标准名称</w:t>
                  </w:r>
                </w:p>
              </w:tc>
              <w:tc>
                <w:tcPr>
                  <w:tcW w:w="689" w:type="pct"/>
                  <w:tcBorders>
                    <w:tl2br w:val="nil"/>
                    <w:tr2bl w:val="nil"/>
                  </w:tcBorders>
                  <w:noWrap w:val="0"/>
                  <w:vAlign w:val="center"/>
                </w:tcPr>
                <w:p w14:paraId="577B3ABE">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污染物</w:t>
                  </w:r>
                </w:p>
              </w:tc>
              <w:tc>
                <w:tcPr>
                  <w:tcW w:w="730" w:type="pct"/>
                  <w:tcBorders>
                    <w:tl2br w:val="nil"/>
                    <w:tr2bl w:val="nil"/>
                  </w:tcBorders>
                  <w:noWrap w:val="0"/>
                  <w:vAlign w:val="center"/>
                </w:tcPr>
                <w:p w14:paraId="6B7A5263">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监控点</w:t>
                  </w:r>
                </w:p>
              </w:tc>
              <w:tc>
                <w:tcPr>
                  <w:tcW w:w="1152" w:type="pct"/>
                  <w:tcBorders>
                    <w:tl2br w:val="nil"/>
                    <w:tr2bl w:val="nil"/>
                  </w:tcBorders>
                  <w:noWrap w:val="0"/>
                  <w:vAlign w:val="center"/>
                </w:tcPr>
                <w:p w14:paraId="45CF277C">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无组织排放监控浓度限值（</w:t>
                  </w:r>
                  <w:r>
                    <w:rPr>
                      <w:rFonts w:hint="default" w:ascii="Times New Roman" w:hAnsi="Times New Roman" w:eastAsia="宋体" w:cs="Times New Roman"/>
                      <w:b/>
                      <w:bCs/>
                      <w:color w:val="auto"/>
                      <w:sz w:val="18"/>
                      <w:szCs w:val="18"/>
                      <w:lang w:val="en-US" w:eastAsia="zh-CN"/>
                    </w:rPr>
                    <w:t>mg/m³</w:t>
                  </w:r>
                  <w:r>
                    <w:rPr>
                      <w:rFonts w:hint="default" w:ascii="Times New Roman" w:hAnsi="Times New Roman" w:eastAsia="宋体" w:cs="Times New Roman"/>
                      <w:b/>
                      <w:bCs/>
                      <w:color w:val="auto"/>
                      <w:lang w:val="en-US" w:eastAsia="zh-CN"/>
                    </w:rPr>
                    <w:t>）</w:t>
                  </w:r>
                </w:p>
              </w:tc>
            </w:tr>
            <w:tr w14:paraId="41548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15" w:type="pct"/>
                  <w:vMerge w:val="restart"/>
                  <w:tcBorders>
                    <w:tl2br w:val="nil"/>
                    <w:tr2bl w:val="nil"/>
                  </w:tcBorders>
                  <w:noWrap w:val="0"/>
                  <w:vAlign w:val="center"/>
                </w:tcPr>
                <w:p w14:paraId="7A61454C">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厂界无组织</w:t>
                  </w:r>
                </w:p>
              </w:tc>
              <w:tc>
                <w:tcPr>
                  <w:tcW w:w="1612" w:type="pct"/>
                  <w:tcBorders>
                    <w:tl2br w:val="nil"/>
                    <w:tr2bl w:val="nil"/>
                  </w:tcBorders>
                  <w:noWrap w:val="0"/>
                  <w:vAlign w:val="center"/>
                </w:tcPr>
                <w:p w14:paraId="14643DD2">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大气污染物综合排放标准</w:t>
                  </w:r>
                  <w:r>
                    <w:rPr>
                      <w:rFonts w:hint="default" w:ascii="Times New Roman" w:hAnsi="Times New Roman" w:eastAsia="宋体" w:cs="Times New Roman"/>
                      <w:color w:val="auto"/>
                      <w:sz w:val="21"/>
                      <w:szCs w:val="21"/>
                    </w:rPr>
                    <w:t>》（GB</w:t>
                  </w:r>
                  <w:r>
                    <w:rPr>
                      <w:rFonts w:hint="default" w:ascii="Times New Roman" w:hAnsi="Times New Roman" w:eastAsia="宋体" w:cs="Times New Roman"/>
                      <w:color w:val="auto"/>
                      <w:sz w:val="21"/>
                      <w:szCs w:val="21"/>
                      <w:lang w:val="en-US" w:eastAsia="zh-CN"/>
                    </w:rPr>
                    <w:t>16297-1996</w:t>
                  </w:r>
                  <w:r>
                    <w:rPr>
                      <w:rFonts w:hint="default" w:ascii="Times New Roman" w:hAnsi="Times New Roman" w:eastAsia="宋体" w:cs="Times New Roman"/>
                      <w:color w:val="auto"/>
                      <w:sz w:val="21"/>
                      <w:szCs w:val="21"/>
                    </w:rPr>
                    <w:t>）</w:t>
                  </w:r>
                </w:p>
              </w:tc>
              <w:tc>
                <w:tcPr>
                  <w:tcW w:w="689" w:type="pct"/>
                  <w:tcBorders>
                    <w:tl2br w:val="nil"/>
                    <w:tr2bl w:val="nil"/>
                  </w:tcBorders>
                  <w:noWrap w:val="0"/>
                  <w:vAlign w:val="center"/>
                </w:tcPr>
                <w:p w14:paraId="356BFFAC">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颗粒物</w:t>
                  </w:r>
                </w:p>
              </w:tc>
              <w:tc>
                <w:tcPr>
                  <w:tcW w:w="730" w:type="pct"/>
                  <w:vMerge w:val="restart"/>
                  <w:tcBorders>
                    <w:tl2br w:val="nil"/>
                    <w:tr2bl w:val="nil"/>
                  </w:tcBorders>
                  <w:noWrap w:val="0"/>
                  <w:vAlign w:val="center"/>
                </w:tcPr>
                <w:p w14:paraId="548B2123">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周界外浓度</w:t>
                  </w:r>
                </w:p>
                <w:p w14:paraId="6845B4A8">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default" w:ascii="Times New Roman" w:hAnsi="Times New Roman" w:eastAsia="宋体" w:cs="Times New Roman"/>
                      <w:color w:val="auto"/>
                      <w:lang w:val="en-US" w:eastAsia="zh-CN"/>
                    </w:rPr>
                    <w:t>最高点</w:t>
                  </w:r>
                </w:p>
              </w:tc>
              <w:tc>
                <w:tcPr>
                  <w:tcW w:w="1152" w:type="pct"/>
                  <w:tcBorders>
                    <w:tl2br w:val="nil"/>
                    <w:tr2bl w:val="nil"/>
                  </w:tcBorders>
                  <w:noWrap w:val="0"/>
                  <w:vAlign w:val="center"/>
                </w:tcPr>
                <w:p w14:paraId="258B9459">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default" w:ascii="Times New Roman" w:hAnsi="Times New Roman" w:eastAsia="宋体" w:cs="Times New Roman"/>
                      <w:color w:val="auto"/>
                      <w:lang w:val="en-US" w:eastAsia="zh-CN"/>
                    </w:rPr>
                    <w:t>1</w:t>
                  </w:r>
                </w:p>
              </w:tc>
            </w:tr>
            <w:tr w14:paraId="763E2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15" w:type="pct"/>
                  <w:vMerge w:val="continue"/>
                  <w:tcBorders>
                    <w:tl2br w:val="nil"/>
                    <w:tr2bl w:val="nil"/>
                  </w:tcBorders>
                  <w:noWrap w:val="0"/>
                  <w:vAlign w:val="center"/>
                </w:tcPr>
                <w:p w14:paraId="18A6506C">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p>
              </w:tc>
              <w:tc>
                <w:tcPr>
                  <w:tcW w:w="1612" w:type="pct"/>
                  <w:tcBorders>
                    <w:tl2br w:val="nil"/>
                    <w:tr2bl w:val="nil"/>
                  </w:tcBorders>
                  <w:noWrap w:val="0"/>
                  <w:vAlign w:val="center"/>
                </w:tcPr>
                <w:p w14:paraId="73FF6B4B">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b w:val="0"/>
                      <w:bCs w:val="0"/>
                      <w:color w:val="auto"/>
                      <w:sz w:val="21"/>
                      <w:szCs w:val="21"/>
                      <w:lang w:val="en-US" w:eastAsia="zh-CN"/>
                    </w:rPr>
                    <w:t>挥发性有机物排放控制标准》（DB61/T1061-2017）表</w:t>
                  </w:r>
                  <w:r>
                    <w:rPr>
                      <w:rFonts w:hint="eastAsia" w:ascii="Times New Roman" w:hAnsi="Times New Roman" w:cs="Times New Roman"/>
                      <w:b w:val="0"/>
                      <w:bCs w:val="0"/>
                      <w:color w:val="auto"/>
                      <w:sz w:val="21"/>
                      <w:szCs w:val="21"/>
                      <w:lang w:val="en-US" w:eastAsia="zh-CN"/>
                    </w:rPr>
                    <w:t>3企业边界监控点浓度限值</w:t>
                  </w:r>
                </w:p>
              </w:tc>
              <w:tc>
                <w:tcPr>
                  <w:tcW w:w="689" w:type="pct"/>
                  <w:tcBorders>
                    <w:tl2br w:val="nil"/>
                    <w:tr2bl w:val="nil"/>
                  </w:tcBorders>
                  <w:noWrap w:val="0"/>
                  <w:vAlign w:val="center"/>
                </w:tcPr>
                <w:p w14:paraId="51BDBB2E">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c>
                <w:tcPr>
                  <w:tcW w:w="730" w:type="pct"/>
                  <w:vMerge w:val="continue"/>
                  <w:tcBorders>
                    <w:tl2br w:val="nil"/>
                    <w:tr2bl w:val="nil"/>
                  </w:tcBorders>
                  <w:noWrap w:val="0"/>
                  <w:vAlign w:val="center"/>
                </w:tcPr>
                <w:p w14:paraId="236F68E6">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p>
              </w:tc>
              <w:tc>
                <w:tcPr>
                  <w:tcW w:w="1152" w:type="pct"/>
                  <w:tcBorders>
                    <w:tl2br w:val="nil"/>
                    <w:tr2bl w:val="nil"/>
                  </w:tcBorders>
                  <w:noWrap w:val="0"/>
                  <w:vAlign w:val="center"/>
                </w:tcPr>
                <w:p w14:paraId="4E828B62">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r>
            <w:tr w14:paraId="52D08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15" w:type="pct"/>
                  <w:tcBorders>
                    <w:tl2br w:val="nil"/>
                    <w:tr2bl w:val="nil"/>
                  </w:tcBorders>
                  <w:noWrap w:val="0"/>
                  <w:vAlign w:val="center"/>
                </w:tcPr>
                <w:p w14:paraId="4A202210">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厂内无组织</w:t>
                  </w:r>
                </w:p>
              </w:tc>
              <w:tc>
                <w:tcPr>
                  <w:tcW w:w="1612" w:type="pct"/>
                  <w:tcBorders>
                    <w:tl2br w:val="nil"/>
                    <w:tr2bl w:val="nil"/>
                  </w:tcBorders>
                  <w:noWrap w:val="0"/>
                  <w:vAlign w:val="center"/>
                </w:tcPr>
                <w:p w14:paraId="106E6BAD">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《挥发性有机物无组织排放控制标准》GB37822-2019</w:t>
                  </w:r>
                </w:p>
              </w:tc>
              <w:tc>
                <w:tcPr>
                  <w:tcW w:w="689" w:type="pct"/>
                  <w:tcBorders>
                    <w:tl2br w:val="nil"/>
                    <w:tr2bl w:val="nil"/>
                  </w:tcBorders>
                  <w:noWrap w:val="0"/>
                  <w:vAlign w:val="center"/>
                </w:tcPr>
                <w:p w14:paraId="74A39381">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c>
                <w:tcPr>
                  <w:tcW w:w="730" w:type="pct"/>
                  <w:tcBorders>
                    <w:tl2br w:val="nil"/>
                    <w:tr2bl w:val="nil"/>
                  </w:tcBorders>
                  <w:noWrap w:val="0"/>
                  <w:vAlign w:val="center"/>
                </w:tcPr>
                <w:p w14:paraId="653B9736">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default" w:ascii="Times New Roman" w:hAnsi="Times New Roman" w:eastAsia="宋体" w:cs="Times New Roman"/>
                      <w:b w:val="0"/>
                      <w:color w:val="auto"/>
                      <w:kern w:val="0"/>
                      <w:sz w:val="21"/>
                      <w:szCs w:val="20"/>
                      <w:lang w:val="en-US" w:eastAsia="zh-CN" w:bidi="ar-SA"/>
                    </w:rPr>
                    <w:t>厂房外设置</w:t>
                  </w:r>
                </w:p>
                <w:p w14:paraId="6507D938">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default" w:ascii="Times New Roman" w:hAnsi="Times New Roman" w:eastAsia="宋体" w:cs="Times New Roman"/>
                      <w:b w:val="0"/>
                      <w:color w:val="auto"/>
                      <w:kern w:val="0"/>
                      <w:sz w:val="21"/>
                      <w:szCs w:val="20"/>
                      <w:lang w:val="en-US" w:eastAsia="zh-CN" w:bidi="ar-SA"/>
                    </w:rPr>
                    <w:t>监控点</w:t>
                  </w:r>
                </w:p>
              </w:tc>
              <w:tc>
                <w:tcPr>
                  <w:tcW w:w="1152" w:type="pct"/>
                  <w:tcBorders>
                    <w:tl2br w:val="nil"/>
                    <w:tr2bl w:val="nil"/>
                  </w:tcBorders>
                  <w:noWrap w:val="0"/>
                  <w:vAlign w:val="center"/>
                </w:tcPr>
                <w:p w14:paraId="34AA80A8">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p w14:paraId="7DEB20C6">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（监控点处1h平均浓度值）</w:t>
                  </w:r>
                </w:p>
              </w:tc>
            </w:tr>
          </w:tbl>
          <w:p w14:paraId="0FC9519F">
            <w:pPr>
              <w:widowControl/>
              <w:spacing w:line="360" w:lineRule="auto"/>
              <w:ind w:firstLine="480" w:firstLineChars="200"/>
              <w:rPr>
                <w:rFonts w:hint="default" w:ascii="Times New Roman" w:hAnsi="Times New Roman" w:eastAsia="黑体" w:cs="Times New Roman"/>
                <w:bCs/>
                <w:color w:val="auto"/>
                <w:sz w:val="24"/>
                <w:szCs w:val="24"/>
                <w:lang w:val="en-US" w:eastAsia="zh-CN"/>
              </w:rPr>
            </w:pPr>
            <w:r>
              <w:rPr>
                <w:rFonts w:hint="default" w:ascii="Times New Roman" w:hAnsi="Times New Roman" w:cs="Times New Roman"/>
                <w:b w:val="0"/>
                <w:bCs/>
                <w:color w:val="auto"/>
                <w:sz w:val="24"/>
                <w:szCs w:val="24"/>
                <w:lang w:val="en-US" w:eastAsia="zh-CN"/>
              </w:rPr>
              <w:t>根据《挥发性有机物无组织排放控制标准》（GB37822-2019）中同时，根据《重污染天气重点行业应急减排措施制定技术指南》（环办大气函</w:t>
            </w:r>
            <w:r>
              <w:rPr>
                <w:rFonts w:hint="eastAsia" w:cs="Times New Roman"/>
                <w:b w:val="0"/>
                <w:bCs/>
                <w:color w:val="auto"/>
                <w:sz w:val="24"/>
                <w:szCs w:val="24"/>
                <w:lang w:val="en-US" w:eastAsia="zh-CN"/>
              </w:rPr>
              <w:t>〔2020〕</w:t>
            </w:r>
            <w:r>
              <w:rPr>
                <w:rFonts w:hint="default" w:ascii="Times New Roman" w:hAnsi="Times New Roman" w:cs="Times New Roman"/>
                <w:b w:val="0"/>
                <w:bCs/>
                <w:color w:val="auto"/>
                <w:sz w:val="24"/>
                <w:szCs w:val="24"/>
                <w:lang w:val="en-US" w:eastAsia="zh-CN"/>
              </w:rPr>
              <w:t>340号）中工业涂装A级企业“排放限值”要求，在连续一年的监测数据中，车间或生产设施排气筒排放的NMHC为20mg/m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—30mg/m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，厂区内无组织排放监控点NMHC的小时平均浓度值不超过6mg/m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vertAlign w:val="baseline"/>
                <w:lang w:val="en-US" w:eastAsia="zh-CN"/>
              </w:rPr>
              <w:t>、任意一次浓度值不超过20</w:t>
            </w:r>
            <w:r>
              <w:rPr>
                <w:rFonts w:hint="default" w:ascii="Times New Roman" w:hAnsi="Times New Roman" w:cs="Times New Roman"/>
                <w:b w:val="0"/>
                <w:bCs/>
                <w:color w:val="auto"/>
                <w:sz w:val="24"/>
                <w:szCs w:val="24"/>
                <w:lang w:val="en-US" w:eastAsia="zh-CN"/>
              </w:rPr>
              <w:t>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vertAlign w:val="baseline"/>
                <w:lang w:val="en-US" w:eastAsia="zh-CN"/>
              </w:rPr>
              <w:t>。</w:t>
            </w:r>
          </w:p>
          <w:p w14:paraId="45F32138">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3</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固体废物</w:t>
            </w:r>
          </w:p>
          <w:p w14:paraId="78C14463">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固体废物的处理、处置均应满足《中华人民共和国固体废物污染环境防治法》中的有关规定要求。采用库房、包装工具（罐、桶、包装袋等）贮存一般工业固体废物过程的污染控制，其贮存过程应满足相应防渗漏、防雨淋、防扬尘等环境保护要求。</w:t>
            </w:r>
          </w:p>
          <w:p w14:paraId="3FDBDB35">
            <w:pPr>
              <w:adjustRightInd w:val="0"/>
              <w:snapToGrid w:val="0"/>
              <w:spacing w:line="360" w:lineRule="auto"/>
              <w:ind w:firstLine="48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sz w:val="24"/>
              </w:rPr>
              <w:t>危险废物执行《危险废物贮存污染控制标准》（GB18597-2023）。</w:t>
            </w:r>
          </w:p>
        </w:tc>
      </w:tr>
      <w:tr w14:paraId="07A3C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800" w:type="dxa"/>
            <w:noWrap w:val="0"/>
            <w:vAlign w:val="center"/>
          </w:tcPr>
          <w:p w14:paraId="586AB41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总量</w:t>
            </w:r>
          </w:p>
          <w:p w14:paraId="581F3919">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控制</w:t>
            </w:r>
          </w:p>
          <w:p w14:paraId="25B897C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指标</w:t>
            </w:r>
          </w:p>
        </w:tc>
        <w:tc>
          <w:tcPr>
            <w:tcW w:w="8190" w:type="dxa"/>
            <w:noWrap w:val="0"/>
            <w:vAlign w:val="center"/>
          </w:tcPr>
          <w:p w14:paraId="211CBBB3">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根据《陕西省“十四五”生态环境保护规划》（陕政办发</w:t>
            </w:r>
            <w:r>
              <w:rPr>
                <w:rFonts w:hint="eastAsia" w:cs="Times New Roman"/>
                <w:color w:val="auto"/>
                <w:sz w:val="24"/>
                <w:lang w:eastAsia="zh-CN"/>
              </w:rPr>
              <w:t>〔2021〕25号</w:t>
            </w:r>
            <w:r>
              <w:rPr>
                <w:rFonts w:hint="default" w:ascii="Times New Roman" w:hAnsi="Times New Roman" w:cs="Times New Roman"/>
                <w:color w:val="auto"/>
                <w:sz w:val="24"/>
              </w:rPr>
              <w:t>）文件，对NO</w:t>
            </w:r>
            <w:r>
              <w:rPr>
                <w:rFonts w:hint="default" w:ascii="Times New Roman" w:hAnsi="Times New Roman" w:cs="Times New Roman"/>
                <w:color w:val="auto"/>
                <w:sz w:val="24"/>
                <w:vertAlign w:val="subscript"/>
              </w:rPr>
              <w:t>X</w:t>
            </w:r>
            <w:r>
              <w:rPr>
                <w:rFonts w:hint="default" w:ascii="Times New Roman" w:hAnsi="Times New Roman" w:cs="Times New Roman"/>
                <w:color w:val="auto"/>
                <w:sz w:val="24"/>
              </w:rPr>
              <w:t>、VOC</w:t>
            </w:r>
            <w:r>
              <w:rPr>
                <w:rFonts w:hint="eastAsia" w:ascii="Times New Roman" w:hAnsi="Times New Roman" w:cs="Times New Roman"/>
                <w:color w:val="auto"/>
                <w:sz w:val="24"/>
                <w:vertAlign w:val="subscript"/>
                <w:lang w:val="en-US" w:eastAsia="zh-CN"/>
              </w:rPr>
              <w:t>S</w:t>
            </w:r>
            <w:r>
              <w:rPr>
                <w:rFonts w:hint="default" w:ascii="Times New Roman" w:hAnsi="Times New Roman" w:cs="Times New Roman"/>
                <w:color w:val="auto"/>
                <w:sz w:val="24"/>
              </w:rPr>
              <w:t>、COD和NH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-N污染物排放实行总量控制和计划管理的规定。本项目建成后涉及废气因子主要为颗粒物、二氧化硫、氮氧化物和非甲烷总烃。</w:t>
            </w:r>
          </w:p>
          <w:p w14:paraId="4A0E35AF">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综上，本项目主要涉及的总量控制因子为氮氧化物和VOC</w:t>
            </w:r>
            <w:r>
              <w:rPr>
                <w:rFonts w:hint="eastAsia" w:ascii="Times New Roman" w:hAnsi="Times New Roman" w:cs="Times New Roman"/>
                <w:color w:val="auto"/>
                <w:sz w:val="24"/>
                <w:vertAlign w:val="subscript"/>
                <w:lang w:val="en-US" w:eastAsia="zh-CN"/>
              </w:rPr>
              <w:t>S</w:t>
            </w:r>
            <w:r>
              <w:rPr>
                <w:rFonts w:hint="default" w:ascii="Times New Roman" w:hAnsi="Times New Roman" w:cs="Times New Roman"/>
                <w:color w:val="auto"/>
                <w:sz w:val="24"/>
              </w:rPr>
              <w:t>，排放总量分别为0.</w:t>
            </w:r>
            <w:r>
              <w:rPr>
                <w:rFonts w:hint="eastAsia" w:ascii="Times New Roman" w:hAnsi="Times New Roman" w:cs="Times New Roman"/>
                <w:color w:val="auto"/>
                <w:sz w:val="24"/>
                <w:lang w:val="en-US" w:eastAsia="zh-CN"/>
              </w:rPr>
              <w:t>112</w:t>
            </w:r>
            <w:r>
              <w:rPr>
                <w:rFonts w:hint="default" w:ascii="Times New Roman" w:hAnsi="Times New Roman" w:cs="Times New Roman"/>
                <w:color w:val="auto"/>
                <w:sz w:val="24"/>
              </w:rPr>
              <w:t>t/a和0.</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2t/a。具体总量指标最后以当地生态环境保护部门核定的总量为准。本项目总量通过排污权交易获得。</w:t>
            </w:r>
          </w:p>
        </w:tc>
      </w:tr>
    </w:tbl>
    <w:p w14:paraId="46E85670">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r>
        <w:rPr>
          <w:rFonts w:hint="default" w:ascii="Times New Roman" w:hAnsi="Times New Roman" w:eastAsia="黑体" w:cs="Times New Roman"/>
          <w:snapToGrid w:val="0"/>
          <w:color w:val="auto"/>
          <w:sz w:val="30"/>
          <w:szCs w:val="30"/>
        </w:rPr>
        <w:t>四、主要环境影响和保护措施</w:t>
      </w:r>
    </w:p>
    <w:tbl>
      <w:tblPr>
        <w:tblStyle w:val="3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5"/>
        <w:gridCol w:w="8736"/>
      </w:tblGrid>
      <w:tr w14:paraId="52E47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6" w:hRule="atLeast"/>
          <w:jc w:val="center"/>
        </w:trPr>
        <w:tc>
          <w:tcPr>
            <w:tcW w:w="628" w:type="dxa"/>
            <w:noWrap w:val="0"/>
            <w:tcMar>
              <w:left w:w="28" w:type="dxa"/>
              <w:right w:w="28" w:type="dxa"/>
            </w:tcMar>
            <w:vAlign w:val="center"/>
          </w:tcPr>
          <w:p w14:paraId="154DB0D1">
            <w:pPr>
              <w:pStyle w:val="2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14:paraId="4EB324BD">
            <w:pPr>
              <w:pStyle w:val="2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14:paraId="5C883C51">
            <w:pPr>
              <w:pStyle w:val="2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3A2B8848">
            <w:pPr>
              <w:pStyle w:val="2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14:paraId="3EA47BED">
            <w:pPr>
              <w:pStyle w:val="27"/>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353" w:type="dxa"/>
            <w:noWrap w:val="0"/>
            <w:vAlign w:val="center"/>
          </w:tcPr>
          <w:p w14:paraId="06AE4C49">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val="en-US" w:eastAsia="zh-CN"/>
              </w:rPr>
              <w:t>在原有项目内预留位置进行设备安装，</w:t>
            </w:r>
            <w:r>
              <w:rPr>
                <w:rFonts w:hint="default" w:ascii="Times New Roman" w:hAnsi="Times New Roman" w:cs="Times New Roman"/>
                <w:color w:val="auto"/>
                <w:sz w:val="24"/>
                <w:szCs w:val="24"/>
              </w:rPr>
              <w:t>安装过程</w:t>
            </w:r>
            <w:r>
              <w:rPr>
                <w:rFonts w:hint="default" w:ascii="Times New Roman" w:hAnsi="Times New Roman" w:cs="Times New Roman"/>
                <w:color w:val="auto"/>
                <w:sz w:val="24"/>
                <w:szCs w:val="24"/>
                <w:lang w:val="en-US" w:eastAsia="zh-CN"/>
              </w:rPr>
              <w:t>会</w:t>
            </w:r>
            <w:r>
              <w:rPr>
                <w:rFonts w:hint="default" w:ascii="Times New Roman" w:hAnsi="Times New Roman" w:cs="Times New Roman"/>
                <w:color w:val="auto"/>
                <w:sz w:val="24"/>
                <w:szCs w:val="24"/>
              </w:rPr>
              <w:t>产生噪声和少量</w:t>
            </w:r>
            <w:r>
              <w:rPr>
                <w:rFonts w:hint="default" w:ascii="Times New Roman" w:hAnsi="Times New Roman" w:cs="Times New Roman"/>
                <w:color w:val="auto"/>
                <w:sz w:val="24"/>
                <w:szCs w:val="24"/>
                <w:lang w:eastAsia="zh-CN"/>
              </w:rPr>
              <w:t>固废（</w:t>
            </w:r>
            <w:r>
              <w:rPr>
                <w:rFonts w:hint="default" w:ascii="Times New Roman" w:hAnsi="Times New Roman" w:cs="Times New Roman"/>
                <w:color w:val="auto"/>
                <w:sz w:val="24"/>
                <w:szCs w:val="24"/>
              </w:rPr>
              <w:t>包装垃圾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p>
          <w:p w14:paraId="709DF5B2">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噪声：设备安装和调试过程均在厂房内进行，</w:t>
            </w:r>
            <w:r>
              <w:rPr>
                <w:rFonts w:hint="default" w:ascii="Times New Roman" w:hAnsi="Times New Roman" w:cs="Times New Roman"/>
                <w:color w:val="auto"/>
                <w:sz w:val="24"/>
                <w:szCs w:val="24"/>
                <w:lang w:val="en-US" w:eastAsia="zh-CN"/>
              </w:rPr>
              <w:t>厂房均为砖混结构，</w:t>
            </w:r>
            <w:r>
              <w:rPr>
                <w:rFonts w:hint="default" w:ascii="Times New Roman" w:hAnsi="Times New Roman" w:cs="Times New Roman"/>
                <w:color w:val="auto"/>
                <w:sz w:val="24"/>
                <w:szCs w:val="24"/>
                <w:lang w:eastAsia="zh-CN"/>
              </w:rPr>
              <w:t>通过厂房隔声降低对周围环境的影响。</w:t>
            </w:r>
          </w:p>
          <w:p w14:paraId="612CE38F">
            <w:pPr>
              <w:pStyle w:val="2"/>
              <w:keepNext/>
              <w:keepLines/>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固废：主要为废包装材料（废木板、纸箱、塑料等），收集后交物资回收公司。</w:t>
            </w:r>
          </w:p>
          <w:p w14:paraId="3B6ACDD6">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sz w:val="24"/>
                <w:szCs w:val="24"/>
              </w:rPr>
              <w:t>项目设备安装数量较少、工期较短，设备安装时噪声和少量固废随施工期结束而消除，因此项目施工期环境影响较小。</w:t>
            </w:r>
          </w:p>
        </w:tc>
      </w:tr>
      <w:tr w14:paraId="0BE60F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noWrap w:val="0"/>
            <w:tcMar>
              <w:left w:w="28" w:type="dxa"/>
              <w:right w:w="28" w:type="dxa"/>
            </w:tcMar>
            <w:vAlign w:val="center"/>
          </w:tcPr>
          <w:p w14:paraId="4874A1BD">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5F88A264">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436F2EAB">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2EC4A8B9">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3714B37D">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6D438957">
            <w:pPr>
              <w:pStyle w:val="2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bCs/>
                <w:color w:val="auto"/>
                <w:szCs w:val="21"/>
              </w:rPr>
              <w:t>措施</w:t>
            </w:r>
          </w:p>
        </w:tc>
        <w:tc>
          <w:tcPr>
            <w:tcW w:w="8353" w:type="dxa"/>
            <w:noWrap w:val="0"/>
            <w:vAlign w:val="center"/>
          </w:tcPr>
          <w:p w14:paraId="48783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8"/>
                <w:szCs w:val="28"/>
                <w:lang w:val="en-US" w:eastAsia="zh-CN" w:bidi="ar-SA"/>
              </w:rPr>
              <w:t>一、运营期大气环境影响和保护措施</w:t>
            </w:r>
          </w:p>
          <w:p w14:paraId="7FC50E4E">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1.大气环境污染工序及源强分析</w:t>
            </w:r>
          </w:p>
          <w:p w14:paraId="35BA9B78">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）废气产排情况一览表</w:t>
            </w:r>
          </w:p>
          <w:p w14:paraId="2033861D">
            <w:pPr>
              <w:keepNext/>
              <w:keepLines/>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kern w:val="0"/>
                <w:sz w:val="24"/>
              </w:rPr>
            </w:pPr>
            <w:r>
              <w:rPr>
                <w:rFonts w:hint="default" w:ascii="Times New Roman" w:hAnsi="Times New Roman" w:eastAsia="宋体" w:cs="Times New Roman"/>
                <w:color w:val="auto"/>
                <w:kern w:val="2"/>
                <w:sz w:val="24"/>
                <w:szCs w:val="24"/>
                <w:lang w:val="en-US" w:eastAsia="zh-CN" w:bidi="ar-SA"/>
              </w:rPr>
              <w:t>本项目抛丸经自带除尘器处理后有组织排放、激光切割、焊接的废气经密闭收集后进入袋式除尘器处理后由15米排气筒（DA001）排放；固化废气经二级活性炭吸附处理，天然气燃烧废气经低氮燃烧器处理后与固化废气经同一根15米排气筒（DA003）高空排放；喷粉工序在密闭喷粉室内进行静电喷涂，废气收集经大旋风除尘器处理后部分回用，部分废粉沉淀收集后外售，其余经排气筒DA002高空排</w:t>
            </w:r>
            <w:r>
              <w:rPr>
                <w:rFonts w:hint="default" w:ascii="Times New Roman" w:hAnsi="Times New Roman" w:cs="Times New Roman"/>
                <w:color w:val="auto"/>
                <w:kern w:val="0"/>
                <w:sz w:val="24"/>
              </w:rPr>
              <w:t>放。</w:t>
            </w:r>
          </w:p>
          <w:p w14:paraId="64049051">
            <w:pPr>
              <w:keepNext/>
              <w:keepLines/>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表4-1</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项目废气产排情况一览表</w:t>
            </w:r>
          </w:p>
          <w:tbl>
            <w:tblPr>
              <w:tblStyle w:val="30"/>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889"/>
              <w:gridCol w:w="2538"/>
              <w:gridCol w:w="1137"/>
              <w:gridCol w:w="17"/>
              <w:gridCol w:w="1120"/>
              <w:gridCol w:w="1164"/>
              <w:gridCol w:w="24"/>
              <w:gridCol w:w="1162"/>
            </w:tblGrid>
            <w:tr w14:paraId="07F54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gridSpan w:val="2"/>
                  <w:tcBorders>
                    <w:tl2br w:val="nil"/>
                    <w:tr2bl w:val="nil"/>
                  </w:tcBorders>
                  <w:noWrap w:val="0"/>
                  <w:vAlign w:val="center"/>
                </w:tcPr>
                <w:p w14:paraId="6967BCCB">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产污环节</w:t>
                  </w:r>
                </w:p>
              </w:tc>
              <w:tc>
                <w:tcPr>
                  <w:tcW w:w="1496" w:type="pct"/>
                  <w:tcBorders>
                    <w:tl2br w:val="nil"/>
                    <w:tr2bl w:val="nil"/>
                  </w:tcBorders>
                  <w:noWrap w:val="0"/>
                  <w:vAlign w:val="center"/>
                </w:tcPr>
                <w:p w14:paraId="57A4BB64">
                  <w:pPr>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抛丸工序</w:t>
                  </w:r>
                </w:p>
              </w:tc>
              <w:tc>
                <w:tcPr>
                  <w:tcW w:w="1340" w:type="pct"/>
                  <w:gridSpan w:val="3"/>
                  <w:tcBorders>
                    <w:tl2br w:val="nil"/>
                    <w:tr2bl w:val="nil"/>
                  </w:tcBorders>
                  <w:noWrap w:val="0"/>
                  <w:vAlign w:val="center"/>
                </w:tcPr>
                <w:p w14:paraId="5F0E16F8">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激光切割</w:t>
                  </w:r>
                </w:p>
              </w:tc>
              <w:tc>
                <w:tcPr>
                  <w:tcW w:w="1385" w:type="pct"/>
                  <w:gridSpan w:val="3"/>
                  <w:tcBorders>
                    <w:tl2br w:val="nil"/>
                    <w:tr2bl w:val="nil"/>
                  </w:tcBorders>
                  <w:noWrap w:val="0"/>
                  <w:vAlign w:val="center"/>
                </w:tcPr>
                <w:p w14:paraId="78853C33">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焊接</w:t>
                  </w:r>
                </w:p>
              </w:tc>
            </w:tr>
            <w:tr w14:paraId="73D15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gridSpan w:val="2"/>
                  <w:tcBorders>
                    <w:tl2br w:val="nil"/>
                    <w:tr2bl w:val="nil"/>
                  </w:tcBorders>
                  <w:noWrap w:val="0"/>
                  <w:vAlign w:val="center"/>
                </w:tcPr>
                <w:p w14:paraId="1CC1BC7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污染物种类</w:t>
                  </w:r>
                </w:p>
              </w:tc>
              <w:tc>
                <w:tcPr>
                  <w:tcW w:w="1496" w:type="pct"/>
                  <w:tcBorders>
                    <w:tl2br w:val="nil"/>
                    <w:tr2bl w:val="nil"/>
                  </w:tcBorders>
                  <w:noWrap w:val="0"/>
                  <w:vAlign w:val="center"/>
                </w:tcPr>
                <w:p w14:paraId="7F786B2F">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颗粒物</w:t>
                  </w:r>
                </w:p>
              </w:tc>
              <w:tc>
                <w:tcPr>
                  <w:tcW w:w="1340" w:type="pct"/>
                  <w:gridSpan w:val="3"/>
                  <w:tcBorders>
                    <w:tl2br w:val="nil"/>
                    <w:tr2bl w:val="nil"/>
                  </w:tcBorders>
                  <w:noWrap w:val="0"/>
                  <w:vAlign w:val="center"/>
                </w:tcPr>
                <w:p w14:paraId="5B9F9AD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1385" w:type="pct"/>
                  <w:gridSpan w:val="3"/>
                  <w:tcBorders>
                    <w:tl2br w:val="nil"/>
                    <w:tr2bl w:val="nil"/>
                  </w:tcBorders>
                  <w:noWrap w:val="0"/>
                  <w:vAlign w:val="center"/>
                </w:tcPr>
                <w:p w14:paraId="5BFFB9B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r>
            <w:tr w14:paraId="4A571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gridSpan w:val="2"/>
                  <w:tcBorders>
                    <w:tl2br w:val="nil"/>
                    <w:tr2bl w:val="nil"/>
                  </w:tcBorders>
                  <w:noWrap w:val="0"/>
                  <w:vAlign w:val="center"/>
                </w:tcPr>
                <w:p w14:paraId="3E7C1CE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污染物产生量（t/a）</w:t>
                  </w:r>
                </w:p>
              </w:tc>
              <w:tc>
                <w:tcPr>
                  <w:tcW w:w="1496" w:type="pct"/>
                  <w:tcBorders>
                    <w:tl2br w:val="nil"/>
                    <w:tr2bl w:val="nil"/>
                  </w:tcBorders>
                  <w:noWrap w:val="0"/>
                  <w:vAlign w:val="center"/>
                </w:tcPr>
                <w:p w14:paraId="5937BEC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4.43</w:t>
                  </w:r>
                </w:p>
              </w:tc>
              <w:tc>
                <w:tcPr>
                  <w:tcW w:w="1340" w:type="pct"/>
                  <w:gridSpan w:val="3"/>
                  <w:tcBorders>
                    <w:tl2br w:val="nil"/>
                    <w:tr2bl w:val="nil"/>
                  </w:tcBorders>
                  <w:noWrap w:val="0"/>
                  <w:vAlign w:val="center"/>
                </w:tcPr>
                <w:p w14:paraId="0A8D683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0.88</w:t>
                  </w:r>
                </w:p>
              </w:tc>
              <w:tc>
                <w:tcPr>
                  <w:tcW w:w="1385" w:type="pct"/>
                  <w:gridSpan w:val="3"/>
                  <w:tcBorders>
                    <w:tl2br w:val="nil"/>
                    <w:tr2bl w:val="nil"/>
                  </w:tcBorders>
                  <w:noWrap w:val="0"/>
                  <w:vAlign w:val="center"/>
                </w:tcPr>
                <w:p w14:paraId="1C7E3B6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w:t>
                  </w:r>
                </w:p>
              </w:tc>
            </w:tr>
            <w:tr w14:paraId="63184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gridSpan w:val="2"/>
                  <w:tcBorders>
                    <w:tl2br w:val="nil"/>
                    <w:tr2bl w:val="nil"/>
                  </w:tcBorders>
                  <w:noWrap w:val="0"/>
                  <w:vAlign w:val="center"/>
                </w:tcPr>
                <w:p w14:paraId="3856933C">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产生速率（kg/h）</w:t>
                  </w:r>
                </w:p>
              </w:tc>
              <w:tc>
                <w:tcPr>
                  <w:tcW w:w="1496" w:type="pct"/>
                  <w:tcBorders>
                    <w:tl2br w:val="nil"/>
                    <w:tr2bl w:val="nil"/>
                  </w:tcBorders>
                  <w:noWrap w:val="0"/>
                  <w:vAlign w:val="center"/>
                </w:tcPr>
                <w:p w14:paraId="4039C203">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2.46</w:t>
                  </w:r>
                </w:p>
              </w:tc>
              <w:tc>
                <w:tcPr>
                  <w:tcW w:w="1340" w:type="pct"/>
                  <w:gridSpan w:val="3"/>
                  <w:tcBorders>
                    <w:tl2br w:val="nil"/>
                    <w:tr2bl w:val="nil"/>
                  </w:tcBorders>
                  <w:noWrap w:val="0"/>
                  <w:vAlign w:val="center"/>
                </w:tcPr>
                <w:p w14:paraId="789734F0">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0.49</w:t>
                  </w:r>
                </w:p>
              </w:tc>
              <w:tc>
                <w:tcPr>
                  <w:tcW w:w="1385" w:type="pct"/>
                  <w:gridSpan w:val="3"/>
                  <w:tcBorders>
                    <w:tl2br w:val="nil"/>
                    <w:tr2bl w:val="nil"/>
                  </w:tcBorders>
                  <w:noWrap w:val="0"/>
                  <w:vAlign w:val="center"/>
                </w:tcPr>
                <w:p w14:paraId="28397507">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0.006</w:t>
                  </w:r>
                </w:p>
              </w:tc>
            </w:tr>
            <w:tr w14:paraId="726DB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gridSpan w:val="2"/>
                  <w:tcBorders>
                    <w:tl2br w:val="nil"/>
                    <w:tr2bl w:val="nil"/>
                  </w:tcBorders>
                  <w:noWrap w:val="0"/>
                  <w:vAlign w:val="center"/>
                </w:tcPr>
                <w:p w14:paraId="7AA86F1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产生浓度（mg/m³）</w:t>
                  </w:r>
                </w:p>
              </w:tc>
              <w:tc>
                <w:tcPr>
                  <w:tcW w:w="1496" w:type="pct"/>
                  <w:tcBorders>
                    <w:tl2br w:val="nil"/>
                    <w:tr2bl w:val="nil"/>
                  </w:tcBorders>
                  <w:noWrap w:val="0"/>
                  <w:vAlign w:val="center"/>
                </w:tcPr>
                <w:p w14:paraId="5E0B3E1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144.7</w:t>
                  </w:r>
                </w:p>
              </w:tc>
              <w:tc>
                <w:tcPr>
                  <w:tcW w:w="1340" w:type="pct"/>
                  <w:gridSpan w:val="3"/>
                  <w:tcBorders>
                    <w:tl2br w:val="nil"/>
                    <w:tr2bl w:val="nil"/>
                  </w:tcBorders>
                  <w:noWrap w:val="0"/>
                  <w:vAlign w:val="center"/>
                </w:tcPr>
                <w:p w14:paraId="26A75266">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49</w:t>
                  </w:r>
                </w:p>
              </w:tc>
              <w:tc>
                <w:tcPr>
                  <w:tcW w:w="1385" w:type="pct"/>
                  <w:gridSpan w:val="3"/>
                  <w:tcBorders>
                    <w:tl2br w:val="nil"/>
                    <w:tr2bl w:val="nil"/>
                  </w:tcBorders>
                  <w:noWrap w:val="0"/>
                  <w:vAlign w:val="center"/>
                </w:tcPr>
                <w:p w14:paraId="2BFC49A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0.6</w:t>
                  </w:r>
                </w:p>
              </w:tc>
            </w:tr>
            <w:tr w14:paraId="00FD8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gridSpan w:val="2"/>
                  <w:tcBorders>
                    <w:tl2br w:val="nil"/>
                    <w:tr2bl w:val="nil"/>
                  </w:tcBorders>
                  <w:noWrap w:val="0"/>
                  <w:vAlign w:val="center"/>
                </w:tcPr>
                <w:p w14:paraId="5DF3F77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排放形式</w:t>
                  </w:r>
                </w:p>
              </w:tc>
              <w:tc>
                <w:tcPr>
                  <w:tcW w:w="1496" w:type="pct"/>
                  <w:tcBorders>
                    <w:tl2br w:val="nil"/>
                    <w:tr2bl w:val="nil"/>
                  </w:tcBorders>
                  <w:noWrap w:val="0"/>
                  <w:vAlign w:val="center"/>
                </w:tcPr>
                <w:p w14:paraId="31EC063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有组织</w:t>
                  </w:r>
                </w:p>
              </w:tc>
              <w:tc>
                <w:tcPr>
                  <w:tcW w:w="670" w:type="pct"/>
                  <w:tcBorders>
                    <w:tl2br w:val="nil"/>
                    <w:tr2bl w:val="nil"/>
                  </w:tcBorders>
                  <w:noWrap w:val="0"/>
                  <w:vAlign w:val="center"/>
                </w:tcPr>
                <w:p w14:paraId="333FCC15">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有</w:t>
                  </w:r>
                  <w:r>
                    <w:rPr>
                      <w:rFonts w:hint="eastAsia" w:ascii="Times New Roman" w:hAnsi="Times New Roman" w:eastAsia="宋体" w:cs="Times New Roman"/>
                      <w:color w:val="auto"/>
                      <w:szCs w:val="21"/>
                      <w:lang w:eastAsia="zh-CN"/>
                    </w:rPr>
                    <w:t>组织</w:t>
                  </w:r>
                </w:p>
              </w:tc>
              <w:tc>
                <w:tcPr>
                  <w:tcW w:w="670" w:type="pct"/>
                  <w:gridSpan w:val="2"/>
                  <w:tcBorders>
                    <w:tl2br w:val="nil"/>
                    <w:tr2bl w:val="nil"/>
                  </w:tcBorders>
                  <w:noWrap w:val="0"/>
                  <w:vAlign w:val="center"/>
                </w:tcPr>
                <w:p w14:paraId="4FC8ABF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无组织</w:t>
                  </w:r>
                </w:p>
              </w:tc>
              <w:tc>
                <w:tcPr>
                  <w:tcW w:w="686" w:type="pct"/>
                  <w:tcBorders>
                    <w:tl2br w:val="nil"/>
                    <w:tr2bl w:val="nil"/>
                  </w:tcBorders>
                  <w:noWrap w:val="0"/>
                  <w:vAlign w:val="center"/>
                </w:tcPr>
                <w:p w14:paraId="1E04B0D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有组织</w:t>
                  </w:r>
                </w:p>
              </w:tc>
              <w:tc>
                <w:tcPr>
                  <w:tcW w:w="699" w:type="pct"/>
                  <w:gridSpan w:val="2"/>
                  <w:tcBorders>
                    <w:tl2br w:val="nil"/>
                    <w:tr2bl w:val="nil"/>
                  </w:tcBorders>
                  <w:noWrap w:val="0"/>
                  <w:vAlign w:val="center"/>
                </w:tcPr>
                <w:p w14:paraId="63FFE97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无组织</w:t>
                  </w:r>
                </w:p>
              </w:tc>
            </w:tr>
            <w:tr w14:paraId="19D7D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restart"/>
                  <w:tcBorders>
                    <w:tl2br w:val="nil"/>
                    <w:tr2bl w:val="nil"/>
                  </w:tcBorders>
                  <w:noWrap w:val="0"/>
                  <w:vAlign w:val="center"/>
                </w:tcPr>
                <w:p w14:paraId="4859110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治理设施</w:t>
                  </w:r>
                </w:p>
              </w:tc>
              <w:tc>
                <w:tcPr>
                  <w:tcW w:w="523" w:type="pct"/>
                  <w:tcBorders>
                    <w:tl2br w:val="nil"/>
                    <w:tr2bl w:val="nil"/>
                  </w:tcBorders>
                  <w:noWrap w:val="0"/>
                  <w:vAlign w:val="center"/>
                </w:tcPr>
                <w:p w14:paraId="2ABFA4E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处理设施</w:t>
                  </w:r>
                </w:p>
              </w:tc>
              <w:tc>
                <w:tcPr>
                  <w:tcW w:w="1496" w:type="pct"/>
                  <w:tcBorders>
                    <w:tl2br w:val="nil"/>
                    <w:tr2bl w:val="nil"/>
                  </w:tcBorders>
                  <w:noWrap w:val="0"/>
                  <w:vAlign w:val="center"/>
                </w:tcPr>
                <w:p w14:paraId="34E0D003">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履带式抛丸机配套袋式除尘器、挂钩式抛丸机配套滤筒除尘器</w:t>
                  </w:r>
                </w:p>
              </w:tc>
              <w:tc>
                <w:tcPr>
                  <w:tcW w:w="1340" w:type="pct"/>
                  <w:gridSpan w:val="3"/>
                  <w:tcBorders>
                    <w:tl2br w:val="nil"/>
                    <w:tr2bl w:val="nil"/>
                  </w:tcBorders>
                  <w:noWrap w:val="0"/>
                  <w:vAlign w:val="center"/>
                </w:tcPr>
                <w:p w14:paraId="6223BDC3">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袋式</w:t>
                  </w:r>
                  <w:r>
                    <w:rPr>
                      <w:rFonts w:hint="eastAsia" w:ascii="Times New Roman" w:hAnsi="Times New Roman" w:eastAsia="宋体" w:cs="Times New Roman"/>
                      <w:color w:val="auto"/>
                      <w:szCs w:val="21"/>
                      <w:lang w:val="en-US" w:eastAsia="zh-CN"/>
                    </w:rPr>
                    <w:t>除尘器</w:t>
                  </w:r>
                </w:p>
              </w:tc>
              <w:tc>
                <w:tcPr>
                  <w:tcW w:w="1385" w:type="pct"/>
                  <w:gridSpan w:val="3"/>
                  <w:tcBorders>
                    <w:tl2br w:val="nil"/>
                    <w:tr2bl w:val="nil"/>
                  </w:tcBorders>
                  <w:noWrap w:val="0"/>
                  <w:vAlign w:val="center"/>
                </w:tcPr>
                <w:p w14:paraId="687D4652">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袋式</w:t>
                  </w:r>
                  <w:r>
                    <w:rPr>
                      <w:rFonts w:hint="eastAsia" w:ascii="Times New Roman" w:hAnsi="Times New Roman" w:eastAsia="宋体" w:cs="Times New Roman"/>
                      <w:color w:val="auto"/>
                      <w:szCs w:val="21"/>
                      <w:lang w:val="en-US" w:eastAsia="zh-CN"/>
                    </w:rPr>
                    <w:t>除尘器</w:t>
                  </w:r>
                </w:p>
              </w:tc>
            </w:tr>
            <w:tr w14:paraId="740EC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continue"/>
                  <w:tcBorders>
                    <w:tl2br w:val="nil"/>
                    <w:tr2bl w:val="nil"/>
                  </w:tcBorders>
                  <w:noWrap w:val="0"/>
                  <w:vAlign w:val="center"/>
                </w:tcPr>
                <w:p w14:paraId="08DF5CF0">
                  <w:pPr>
                    <w:adjustRightInd w:val="0"/>
                    <w:snapToGrid w:val="0"/>
                    <w:jc w:val="center"/>
                    <w:rPr>
                      <w:rFonts w:hint="default" w:ascii="Times New Roman" w:hAnsi="Times New Roman" w:eastAsia="宋体" w:cs="Times New Roman"/>
                      <w:color w:val="auto"/>
                      <w:szCs w:val="21"/>
                    </w:rPr>
                  </w:pPr>
                </w:p>
              </w:tc>
              <w:tc>
                <w:tcPr>
                  <w:tcW w:w="523" w:type="pct"/>
                  <w:tcBorders>
                    <w:tl2br w:val="nil"/>
                    <w:tr2bl w:val="nil"/>
                  </w:tcBorders>
                  <w:noWrap w:val="0"/>
                  <w:vAlign w:val="center"/>
                </w:tcPr>
                <w:p w14:paraId="7E39C01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收集效率%</w:t>
                  </w:r>
                </w:p>
              </w:tc>
              <w:tc>
                <w:tcPr>
                  <w:tcW w:w="1496" w:type="pct"/>
                  <w:tcBorders>
                    <w:tl2br w:val="nil"/>
                    <w:tr2bl w:val="nil"/>
                  </w:tcBorders>
                  <w:noWrap w:val="0"/>
                  <w:vAlign w:val="center"/>
                </w:tcPr>
                <w:p w14:paraId="6920DFA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c>
                <w:tcPr>
                  <w:tcW w:w="1340" w:type="pct"/>
                  <w:gridSpan w:val="3"/>
                  <w:tcBorders>
                    <w:tl2br w:val="nil"/>
                    <w:tr2bl w:val="nil"/>
                  </w:tcBorders>
                  <w:noWrap w:val="0"/>
                  <w:vAlign w:val="center"/>
                </w:tcPr>
                <w:p w14:paraId="01B4C8E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85</w:t>
                  </w:r>
                </w:p>
              </w:tc>
              <w:tc>
                <w:tcPr>
                  <w:tcW w:w="1385" w:type="pct"/>
                  <w:gridSpan w:val="3"/>
                  <w:tcBorders>
                    <w:tl2br w:val="nil"/>
                    <w:tr2bl w:val="nil"/>
                  </w:tcBorders>
                  <w:noWrap w:val="0"/>
                  <w:vAlign w:val="center"/>
                </w:tcPr>
                <w:p w14:paraId="0BB6DD9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95</w:t>
                  </w:r>
                </w:p>
              </w:tc>
            </w:tr>
            <w:tr w14:paraId="5E358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continue"/>
                  <w:tcBorders>
                    <w:tl2br w:val="nil"/>
                    <w:tr2bl w:val="nil"/>
                  </w:tcBorders>
                  <w:noWrap w:val="0"/>
                  <w:vAlign w:val="center"/>
                </w:tcPr>
                <w:p w14:paraId="43E64A59">
                  <w:pPr>
                    <w:adjustRightInd w:val="0"/>
                    <w:snapToGrid w:val="0"/>
                    <w:jc w:val="center"/>
                    <w:rPr>
                      <w:rFonts w:hint="default" w:ascii="Times New Roman" w:hAnsi="Times New Roman" w:eastAsia="宋体" w:cs="Times New Roman"/>
                      <w:color w:val="auto"/>
                      <w:szCs w:val="21"/>
                    </w:rPr>
                  </w:pPr>
                </w:p>
              </w:tc>
              <w:tc>
                <w:tcPr>
                  <w:tcW w:w="523" w:type="pct"/>
                  <w:tcBorders>
                    <w:tl2br w:val="nil"/>
                    <w:tr2bl w:val="nil"/>
                  </w:tcBorders>
                  <w:noWrap w:val="0"/>
                  <w:vAlign w:val="center"/>
                </w:tcPr>
                <w:p w14:paraId="1DF5A0B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治理工艺去除率%</w:t>
                  </w:r>
                </w:p>
              </w:tc>
              <w:tc>
                <w:tcPr>
                  <w:tcW w:w="1496" w:type="pct"/>
                  <w:tcBorders>
                    <w:tl2br w:val="nil"/>
                    <w:tr2bl w:val="nil"/>
                  </w:tcBorders>
                  <w:noWrap w:val="0"/>
                  <w:vAlign w:val="center"/>
                </w:tcPr>
                <w:p w14:paraId="4C17A181">
                  <w:pPr>
                    <w:adjustRightInd w:val="0"/>
                    <w:snapToGrid w:val="0"/>
                    <w:jc w:val="center"/>
                    <w:rPr>
                      <w:rFonts w:hint="default" w:ascii="Times New Roman" w:hAnsi="Times New Roman" w:eastAsia="宋体" w:cs="Times New Roman"/>
                      <w:color w:val="auto"/>
                      <w:szCs w:val="21"/>
                      <w:lang w:val="en-US" w:eastAsia="zh-CN"/>
                    </w:rPr>
                  </w:pPr>
                  <w:r>
                    <w:rPr>
                      <w:rFonts w:hint="eastAsia"/>
                      <w:color w:val="auto"/>
                      <w:lang w:val="en-US" w:eastAsia="zh-CN"/>
                    </w:rPr>
                    <w:t>99</w:t>
                  </w:r>
                </w:p>
              </w:tc>
              <w:tc>
                <w:tcPr>
                  <w:tcW w:w="1340" w:type="pct"/>
                  <w:gridSpan w:val="3"/>
                  <w:tcBorders>
                    <w:tl2br w:val="nil"/>
                    <w:tr2bl w:val="nil"/>
                  </w:tcBorders>
                  <w:noWrap w:val="0"/>
                  <w:vAlign w:val="center"/>
                </w:tcPr>
                <w:p w14:paraId="1CE12C23">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99</w:t>
                  </w:r>
                </w:p>
              </w:tc>
              <w:tc>
                <w:tcPr>
                  <w:tcW w:w="1385" w:type="pct"/>
                  <w:gridSpan w:val="3"/>
                  <w:tcBorders>
                    <w:tl2br w:val="nil"/>
                    <w:tr2bl w:val="nil"/>
                  </w:tcBorders>
                  <w:noWrap w:val="0"/>
                  <w:vAlign w:val="center"/>
                </w:tcPr>
                <w:p w14:paraId="572723D0">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99</w:t>
                  </w:r>
                </w:p>
              </w:tc>
            </w:tr>
            <w:tr w14:paraId="2E3C5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continue"/>
                  <w:tcBorders>
                    <w:tl2br w:val="nil"/>
                    <w:tr2bl w:val="nil"/>
                  </w:tcBorders>
                  <w:noWrap w:val="0"/>
                  <w:vAlign w:val="center"/>
                </w:tcPr>
                <w:p w14:paraId="0E3722D3">
                  <w:pPr>
                    <w:adjustRightInd w:val="0"/>
                    <w:snapToGrid w:val="0"/>
                    <w:jc w:val="center"/>
                    <w:rPr>
                      <w:rFonts w:hint="default" w:ascii="Times New Roman" w:hAnsi="Times New Roman" w:eastAsia="宋体" w:cs="Times New Roman"/>
                      <w:color w:val="auto"/>
                      <w:szCs w:val="21"/>
                    </w:rPr>
                  </w:pPr>
                </w:p>
              </w:tc>
              <w:tc>
                <w:tcPr>
                  <w:tcW w:w="523" w:type="pct"/>
                  <w:tcBorders>
                    <w:tl2br w:val="nil"/>
                    <w:tr2bl w:val="nil"/>
                  </w:tcBorders>
                  <w:noWrap w:val="0"/>
                  <w:vAlign w:val="center"/>
                </w:tcPr>
                <w:p w14:paraId="571D7F0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是否为可行技术</w:t>
                  </w:r>
                </w:p>
              </w:tc>
              <w:tc>
                <w:tcPr>
                  <w:tcW w:w="1496" w:type="pct"/>
                  <w:tcBorders>
                    <w:tl2br w:val="nil"/>
                    <w:tr2bl w:val="nil"/>
                  </w:tcBorders>
                  <w:noWrap w:val="0"/>
                  <w:vAlign w:val="center"/>
                </w:tcPr>
                <w:p w14:paraId="11BF8271">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是</w:t>
                  </w:r>
                </w:p>
              </w:tc>
              <w:tc>
                <w:tcPr>
                  <w:tcW w:w="1340" w:type="pct"/>
                  <w:gridSpan w:val="3"/>
                  <w:tcBorders>
                    <w:tl2br w:val="nil"/>
                    <w:tr2bl w:val="nil"/>
                  </w:tcBorders>
                  <w:noWrap w:val="0"/>
                  <w:vAlign w:val="center"/>
                </w:tcPr>
                <w:p w14:paraId="1C605F94">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是</w:t>
                  </w:r>
                </w:p>
              </w:tc>
              <w:tc>
                <w:tcPr>
                  <w:tcW w:w="1385" w:type="pct"/>
                  <w:gridSpan w:val="3"/>
                  <w:tcBorders>
                    <w:tl2br w:val="nil"/>
                    <w:tr2bl w:val="nil"/>
                  </w:tcBorders>
                  <w:noWrap w:val="0"/>
                  <w:vAlign w:val="center"/>
                </w:tcPr>
                <w:p w14:paraId="4A57D958">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是</w:t>
                  </w:r>
                </w:p>
              </w:tc>
            </w:tr>
            <w:tr w14:paraId="004D0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gridSpan w:val="2"/>
                  <w:tcBorders>
                    <w:tl2br w:val="nil"/>
                    <w:tr2bl w:val="nil"/>
                  </w:tcBorders>
                  <w:noWrap w:val="0"/>
                  <w:vAlign w:val="center"/>
                </w:tcPr>
                <w:p w14:paraId="4B8470D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496" w:type="pct"/>
                  <w:tcBorders>
                    <w:tl2br w:val="nil"/>
                    <w:tr2bl w:val="nil"/>
                  </w:tcBorders>
                  <w:noWrap w:val="0"/>
                  <w:vAlign w:val="center"/>
                </w:tcPr>
                <w:p w14:paraId="110277AB">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w:t>
                  </w:r>
                </w:p>
              </w:tc>
              <w:tc>
                <w:tcPr>
                  <w:tcW w:w="680" w:type="pct"/>
                  <w:gridSpan w:val="2"/>
                  <w:tcBorders>
                    <w:tl2br w:val="nil"/>
                    <w:tr2bl w:val="nil"/>
                  </w:tcBorders>
                  <w:noWrap w:val="0"/>
                  <w:vAlign w:val="center"/>
                </w:tcPr>
                <w:p w14:paraId="23D732E0">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0.42</w:t>
                  </w:r>
                </w:p>
              </w:tc>
              <w:tc>
                <w:tcPr>
                  <w:tcW w:w="660" w:type="pct"/>
                  <w:tcBorders>
                    <w:tl2br w:val="nil"/>
                    <w:tr2bl w:val="nil"/>
                  </w:tcBorders>
                  <w:noWrap w:val="0"/>
                  <w:vAlign w:val="center"/>
                </w:tcPr>
                <w:p w14:paraId="2761ADDE">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700" w:type="pct"/>
                  <w:gridSpan w:val="2"/>
                  <w:tcBorders>
                    <w:tl2br w:val="nil"/>
                    <w:tr2bl w:val="nil"/>
                  </w:tcBorders>
                  <w:noWrap w:val="0"/>
                  <w:vAlign w:val="center"/>
                </w:tcPr>
                <w:p w14:paraId="054653C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0.0053</w:t>
                  </w:r>
                </w:p>
              </w:tc>
              <w:tc>
                <w:tcPr>
                  <w:tcW w:w="684" w:type="pct"/>
                  <w:tcBorders>
                    <w:tl2br w:val="nil"/>
                    <w:tr2bl w:val="nil"/>
                  </w:tcBorders>
                  <w:noWrap w:val="0"/>
                  <w:vAlign w:val="center"/>
                </w:tcPr>
                <w:p w14:paraId="4D5F6E31">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23A735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gridSpan w:val="2"/>
                  <w:tcBorders>
                    <w:tl2br w:val="nil"/>
                    <w:tr2bl w:val="nil"/>
                  </w:tcBorders>
                  <w:noWrap w:val="0"/>
                  <w:vAlign w:val="center"/>
                </w:tcPr>
                <w:p w14:paraId="0F45A36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污染物排放速率（kg/h）</w:t>
                  </w:r>
                </w:p>
              </w:tc>
              <w:tc>
                <w:tcPr>
                  <w:tcW w:w="1496" w:type="pct"/>
                  <w:tcBorders>
                    <w:tl2br w:val="nil"/>
                    <w:tr2bl w:val="nil"/>
                  </w:tcBorders>
                  <w:noWrap w:val="0"/>
                  <w:vAlign w:val="center"/>
                </w:tcPr>
                <w:p w14:paraId="7A0C7CF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w:t>
                  </w:r>
                  <w:r>
                    <w:rPr>
                      <w:rFonts w:hint="eastAsia" w:cs="Times New Roman"/>
                      <w:color w:val="auto"/>
                      <w:szCs w:val="21"/>
                      <w:lang w:val="en-US" w:eastAsia="zh-CN"/>
                    </w:rPr>
                    <w:t>24</w:t>
                  </w:r>
                </w:p>
              </w:tc>
              <w:tc>
                <w:tcPr>
                  <w:tcW w:w="680" w:type="pct"/>
                  <w:gridSpan w:val="2"/>
                  <w:tcBorders>
                    <w:tl2br w:val="nil"/>
                    <w:tr2bl w:val="nil"/>
                  </w:tcBorders>
                  <w:noWrap w:val="0"/>
                  <w:vAlign w:val="center"/>
                </w:tcPr>
                <w:p w14:paraId="6918DD00">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0.0042</w:t>
                  </w:r>
                </w:p>
              </w:tc>
              <w:tc>
                <w:tcPr>
                  <w:tcW w:w="660" w:type="pct"/>
                  <w:tcBorders>
                    <w:tl2br w:val="nil"/>
                    <w:tr2bl w:val="nil"/>
                  </w:tcBorders>
                  <w:noWrap w:val="0"/>
                  <w:vAlign w:val="center"/>
                </w:tcPr>
                <w:p w14:paraId="16DB8E2A">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0.072</w:t>
                  </w:r>
                </w:p>
              </w:tc>
              <w:tc>
                <w:tcPr>
                  <w:tcW w:w="700" w:type="pct"/>
                  <w:gridSpan w:val="2"/>
                  <w:tcBorders>
                    <w:tl2br w:val="nil"/>
                    <w:tr2bl w:val="nil"/>
                  </w:tcBorders>
                  <w:noWrap w:val="0"/>
                  <w:vAlign w:val="center"/>
                </w:tcPr>
                <w:p w14:paraId="616C78E4">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0.000053</w:t>
                  </w:r>
                </w:p>
              </w:tc>
              <w:tc>
                <w:tcPr>
                  <w:tcW w:w="684" w:type="pct"/>
                  <w:tcBorders>
                    <w:tl2br w:val="nil"/>
                    <w:tr2bl w:val="nil"/>
                  </w:tcBorders>
                  <w:noWrap w:val="0"/>
                  <w:vAlign w:val="center"/>
                </w:tcPr>
                <w:p w14:paraId="6F0507C1">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0.0003</w:t>
                  </w:r>
                </w:p>
              </w:tc>
            </w:tr>
            <w:tr w14:paraId="42790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gridSpan w:val="2"/>
                  <w:tcBorders>
                    <w:tl2br w:val="nil"/>
                    <w:tr2bl w:val="nil"/>
                  </w:tcBorders>
                  <w:noWrap w:val="0"/>
                  <w:vAlign w:val="center"/>
                </w:tcPr>
                <w:p w14:paraId="67AE370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污染物排放量（t/a）</w:t>
                  </w:r>
                </w:p>
              </w:tc>
              <w:tc>
                <w:tcPr>
                  <w:tcW w:w="1496" w:type="pct"/>
                  <w:tcBorders>
                    <w:tl2br w:val="nil"/>
                    <w:tr2bl w:val="nil"/>
                  </w:tcBorders>
                  <w:noWrap w:val="0"/>
                  <w:vAlign w:val="center"/>
                </w:tcPr>
                <w:p w14:paraId="3A99E8D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044</w:t>
                  </w:r>
                </w:p>
              </w:tc>
              <w:tc>
                <w:tcPr>
                  <w:tcW w:w="680" w:type="pct"/>
                  <w:gridSpan w:val="2"/>
                  <w:tcBorders>
                    <w:tl2br w:val="nil"/>
                    <w:tr2bl w:val="nil"/>
                  </w:tcBorders>
                  <w:noWrap w:val="0"/>
                  <w:vAlign w:val="center"/>
                </w:tcPr>
                <w:p w14:paraId="3372A66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0.0075</w:t>
                  </w:r>
                </w:p>
              </w:tc>
              <w:tc>
                <w:tcPr>
                  <w:tcW w:w="660" w:type="pct"/>
                  <w:tcBorders>
                    <w:tl2br w:val="nil"/>
                    <w:tr2bl w:val="nil"/>
                  </w:tcBorders>
                  <w:noWrap w:val="0"/>
                  <w:vAlign w:val="center"/>
                </w:tcPr>
                <w:p w14:paraId="0F24EC1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0.13</w:t>
                  </w:r>
                </w:p>
              </w:tc>
              <w:tc>
                <w:tcPr>
                  <w:tcW w:w="700" w:type="pct"/>
                  <w:gridSpan w:val="2"/>
                  <w:tcBorders>
                    <w:tl2br w:val="nil"/>
                    <w:tr2bl w:val="nil"/>
                  </w:tcBorders>
                  <w:noWrap w:val="0"/>
                  <w:vAlign w:val="center"/>
                </w:tcPr>
                <w:p w14:paraId="2C2B033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w:t>
                  </w:r>
                  <w:r>
                    <w:rPr>
                      <w:rFonts w:hint="eastAsia" w:cs="Times New Roman"/>
                      <w:color w:val="auto"/>
                      <w:szCs w:val="21"/>
                      <w:lang w:val="en-US" w:eastAsia="zh-CN"/>
                    </w:rPr>
                    <w:t>09</w:t>
                  </w:r>
                  <w:r>
                    <w:rPr>
                      <w:rFonts w:hint="eastAsia" w:ascii="Times New Roman" w:hAnsi="Times New Roman" w:eastAsia="宋体" w:cs="Times New Roman"/>
                      <w:color w:val="auto"/>
                      <w:szCs w:val="21"/>
                      <w:lang w:val="en-US" w:eastAsia="zh-CN"/>
                    </w:rPr>
                    <w:t>5</w:t>
                  </w:r>
                </w:p>
              </w:tc>
              <w:tc>
                <w:tcPr>
                  <w:tcW w:w="684" w:type="pct"/>
                  <w:tcBorders>
                    <w:tl2br w:val="nil"/>
                    <w:tr2bl w:val="nil"/>
                  </w:tcBorders>
                  <w:noWrap w:val="0"/>
                  <w:vAlign w:val="center"/>
                </w:tcPr>
                <w:p w14:paraId="4E0A854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0.0005</w:t>
                  </w:r>
                </w:p>
              </w:tc>
            </w:tr>
            <w:tr w14:paraId="15C2A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restart"/>
                  <w:tcBorders>
                    <w:tl2br w:val="nil"/>
                    <w:tr2bl w:val="nil"/>
                  </w:tcBorders>
                  <w:noWrap w:val="0"/>
                  <w:vAlign w:val="center"/>
                </w:tcPr>
                <w:p w14:paraId="5EC573F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排放口基本信息</w:t>
                  </w:r>
                </w:p>
              </w:tc>
              <w:tc>
                <w:tcPr>
                  <w:tcW w:w="523" w:type="pct"/>
                  <w:tcBorders>
                    <w:tl2br w:val="nil"/>
                    <w:tr2bl w:val="nil"/>
                  </w:tcBorders>
                  <w:noWrap w:val="0"/>
                  <w:vAlign w:val="center"/>
                </w:tcPr>
                <w:p w14:paraId="1FEC140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高度（m）</w:t>
                  </w:r>
                </w:p>
              </w:tc>
              <w:tc>
                <w:tcPr>
                  <w:tcW w:w="4221" w:type="pct"/>
                  <w:gridSpan w:val="7"/>
                  <w:tcBorders>
                    <w:tl2br w:val="nil"/>
                    <w:tr2bl w:val="nil"/>
                  </w:tcBorders>
                  <w:noWrap w:val="0"/>
                  <w:vAlign w:val="center"/>
                </w:tcPr>
                <w:p w14:paraId="62D48A0B">
                  <w:pPr>
                    <w:adjustRightInd w:val="0"/>
                    <w:snapToGrid w:val="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15</w:t>
                  </w:r>
                </w:p>
              </w:tc>
            </w:tr>
            <w:tr w14:paraId="6F7EA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continue"/>
                  <w:tcBorders>
                    <w:tl2br w:val="nil"/>
                    <w:tr2bl w:val="nil"/>
                  </w:tcBorders>
                  <w:noWrap w:val="0"/>
                  <w:vAlign w:val="center"/>
                </w:tcPr>
                <w:p w14:paraId="51072576">
                  <w:pPr>
                    <w:adjustRightInd w:val="0"/>
                    <w:snapToGrid w:val="0"/>
                    <w:jc w:val="center"/>
                    <w:rPr>
                      <w:rFonts w:hint="default" w:ascii="Times New Roman" w:hAnsi="Times New Roman" w:eastAsia="宋体" w:cs="Times New Roman"/>
                      <w:color w:val="auto"/>
                      <w:szCs w:val="21"/>
                    </w:rPr>
                  </w:pPr>
                </w:p>
              </w:tc>
              <w:tc>
                <w:tcPr>
                  <w:tcW w:w="523" w:type="pct"/>
                  <w:tcBorders>
                    <w:tl2br w:val="nil"/>
                    <w:tr2bl w:val="nil"/>
                  </w:tcBorders>
                  <w:noWrap w:val="0"/>
                  <w:vAlign w:val="center"/>
                </w:tcPr>
                <w:p w14:paraId="6E2CF7D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排气筒内径（m）</w:t>
                  </w:r>
                </w:p>
              </w:tc>
              <w:tc>
                <w:tcPr>
                  <w:tcW w:w="4221" w:type="pct"/>
                  <w:gridSpan w:val="7"/>
                  <w:tcBorders>
                    <w:tl2br w:val="nil"/>
                    <w:tr2bl w:val="nil"/>
                  </w:tcBorders>
                  <w:noWrap w:val="0"/>
                  <w:vAlign w:val="center"/>
                </w:tcPr>
                <w:p w14:paraId="44B1FC05">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lang w:val="en-US" w:eastAsia="zh-CN"/>
                    </w:rPr>
                    <w:t>45</w:t>
                  </w:r>
                </w:p>
              </w:tc>
            </w:tr>
            <w:tr w14:paraId="05F51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continue"/>
                  <w:tcBorders>
                    <w:tl2br w:val="nil"/>
                    <w:tr2bl w:val="nil"/>
                  </w:tcBorders>
                  <w:noWrap w:val="0"/>
                  <w:vAlign w:val="center"/>
                </w:tcPr>
                <w:p w14:paraId="35B92B6A">
                  <w:pPr>
                    <w:adjustRightInd w:val="0"/>
                    <w:snapToGrid w:val="0"/>
                    <w:jc w:val="center"/>
                    <w:rPr>
                      <w:rFonts w:hint="default" w:ascii="Times New Roman" w:hAnsi="Times New Roman" w:eastAsia="宋体" w:cs="Times New Roman"/>
                      <w:color w:val="auto"/>
                      <w:szCs w:val="21"/>
                    </w:rPr>
                  </w:pPr>
                </w:p>
              </w:tc>
              <w:tc>
                <w:tcPr>
                  <w:tcW w:w="523" w:type="pct"/>
                  <w:tcBorders>
                    <w:tl2br w:val="nil"/>
                    <w:tr2bl w:val="nil"/>
                  </w:tcBorders>
                  <w:noWrap w:val="0"/>
                  <w:vAlign w:val="center"/>
                </w:tcPr>
                <w:p w14:paraId="1B9614B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温度（℃）</w:t>
                  </w:r>
                </w:p>
              </w:tc>
              <w:tc>
                <w:tcPr>
                  <w:tcW w:w="4221" w:type="pct"/>
                  <w:gridSpan w:val="7"/>
                  <w:tcBorders>
                    <w:tl2br w:val="nil"/>
                    <w:tr2bl w:val="nil"/>
                  </w:tcBorders>
                  <w:noWrap w:val="0"/>
                  <w:vAlign w:val="center"/>
                </w:tcPr>
                <w:p w14:paraId="178E1AC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常温</w:t>
                  </w:r>
                </w:p>
              </w:tc>
            </w:tr>
            <w:tr w14:paraId="4F695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continue"/>
                  <w:tcBorders>
                    <w:tl2br w:val="nil"/>
                    <w:tr2bl w:val="nil"/>
                  </w:tcBorders>
                  <w:noWrap w:val="0"/>
                  <w:vAlign w:val="center"/>
                </w:tcPr>
                <w:p w14:paraId="22174E87">
                  <w:pPr>
                    <w:adjustRightInd w:val="0"/>
                    <w:snapToGrid w:val="0"/>
                    <w:jc w:val="center"/>
                    <w:rPr>
                      <w:rFonts w:hint="default" w:ascii="Times New Roman" w:hAnsi="Times New Roman" w:eastAsia="宋体" w:cs="Times New Roman"/>
                      <w:color w:val="auto"/>
                      <w:szCs w:val="21"/>
                    </w:rPr>
                  </w:pPr>
                </w:p>
              </w:tc>
              <w:tc>
                <w:tcPr>
                  <w:tcW w:w="523" w:type="pct"/>
                  <w:tcBorders>
                    <w:tl2br w:val="nil"/>
                    <w:tr2bl w:val="nil"/>
                  </w:tcBorders>
                  <w:noWrap w:val="0"/>
                  <w:vAlign w:val="center"/>
                </w:tcPr>
                <w:p w14:paraId="127F6C6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编号及名称</w:t>
                  </w:r>
                </w:p>
              </w:tc>
              <w:tc>
                <w:tcPr>
                  <w:tcW w:w="4221" w:type="pct"/>
                  <w:gridSpan w:val="7"/>
                  <w:tcBorders>
                    <w:tl2br w:val="nil"/>
                    <w:tr2bl w:val="nil"/>
                  </w:tcBorders>
                  <w:noWrap w:val="0"/>
                  <w:vAlign w:val="center"/>
                </w:tcPr>
                <w:p w14:paraId="6158403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DA001</w:t>
                  </w:r>
                </w:p>
              </w:tc>
            </w:tr>
            <w:tr w14:paraId="3F1471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continue"/>
                  <w:tcBorders>
                    <w:tl2br w:val="nil"/>
                    <w:tr2bl w:val="nil"/>
                  </w:tcBorders>
                  <w:noWrap w:val="0"/>
                  <w:vAlign w:val="center"/>
                </w:tcPr>
                <w:p w14:paraId="08E87AB7">
                  <w:pPr>
                    <w:adjustRightInd w:val="0"/>
                    <w:snapToGrid w:val="0"/>
                    <w:jc w:val="center"/>
                    <w:rPr>
                      <w:rFonts w:hint="default" w:ascii="Times New Roman" w:hAnsi="Times New Roman" w:eastAsia="宋体" w:cs="Times New Roman"/>
                      <w:color w:val="auto"/>
                      <w:szCs w:val="21"/>
                    </w:rPr>
                  </w:pPr>
                </w:p>
              </w:tc>
              <w:tc>
                <w:tcPr>
                  <w:tcW w:w="523" w:type="pct"/>
                  <w:tcBorders>
                    <w:tl2br w:val="nil"/>
                    <w:tr2bl w:val="nil"/>
                  </w:tcBorders>
                  <w:noWrap w:val="0"/>
                  <w:vAlign w:val="center"/>
                </w:tcPr>
                <w:p w14:paraId="60BEEFA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地理</w:t>
                  </w:r>
                </w:p>
                <w:p w14:paraId="43A25E0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坐标（°）</w:t>
                  </w:r>
                </w:p>
              </w:tc>
              <w:tc>
                <w:tcPr>
                  <w:tcW w:w="4221" w:type="pct"/>
                  <w:gridSpan w:val="7"/>
                  <w:tcBorders>
                    <w:tl2br w:val="nil"/>
                    <w:tr2bl w:val="nil"/>
                  </w:tcBorders>
                  <w:noWrap w:val="0"/>
                  <w:vAlign w:val="center"/>
                </w:tcPr>
                <w:p w14:paraId="27E17A76">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东经107.424820823，北纬34.350638751</w:t>
                  </w:r>
                </w:p>
              </w:tc>
            </w:tr>
            <w:tr w14:paraId="7FBCEA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8" w:type="pct"/>
                  <w:gridSpan w:val="2"/>
                  <w:tcBorders>
                    <w:tl2br w:val="nil"/>
                    <w:tr2bl w:val="nil"/>
                  </w:tcBorders>
                  <w:noWrap w:val="0"/>
                  <w:vAlign w:val="center"/>
                </w:tcPr>
                <w:p w14:paraId="6EACFCD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排放标准</w:t>
                  </w:r>
                </w:p>
              </w:tc>
              <w:tc>
                <w:tcPr>
                  <w:tcW w:w="4221" w:type="pct"/>
                  <w:gridSpan w:val="7"/>
                  <w:tcBorders>
                    <w:tl2br w:val="nil"/>
                    <w:tr2bl w:val="nil"/>
                  </w:tcBorders>
                  <w:noWrap w:val="0"/>
                  <w:vAlign w:val="center"/>
                </w:tcPr>
                <w:p w14:paraId="30656CB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《大气污染物综合排放标准》（GB16297-1996）表</w:t>
                  </w:r>
                  <w:r>
                    <w:rPr>
                      <w:rFonts w:hint="eastAsia" w:ascii="Times New Roman" w:hAnsi="Times New Roman" w:eastAsia="宋体" w:cs="Times New Roman"/>
                      <w:color w:val="auto"/>
                      <w:szCs w:val="21"/>
                      <w:lang w:val="en-US" w:eastAsia="zh-CN"/>
                    </w:rPr>
                    <w:t>2</w:t>
                  </w:r>
                </w:p>
              </w:tc>
            </w:tr>
            <w:tr w14:paraId="0ADB5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4" w:type="pct"/>
                  <w:vMerge w:val="restart"/>
                  <w:tcBorders>
                    <w:tl2br w:val="nil"/>
                    <w:tr2bl w:val="nil"/>
                  </w:tcBorders>
                  <w:noWrap w:val="0"/>
                  <w:vAlign w:val="center"/>
                </w:tcPr>
                <w:p w14:paraId="0D4F7F7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4E55C5C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要求</w:t>
                  </w:r>
                </w:p>
              </w:tc>
              <w:tc>
                <w:tcPr>
                  <w:tcW w:w="523" w:type="pct"/>
                  <w:tcBorders>
                    <w:tl2br w:val="nil"/>
                    <w:tr2bl w:val="nil"/>
                  </w:tcBorders>
                  <w:noWrap w:val="0"/>
                  <w:vAlign w:val="center"/>
                </w:tcPr>
                <w:p w14:paraId="7CA341F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3FD95F4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点位</w:t>
                  </w:r>
                </w:p>
              </w:tc>
              <w:tc>
                <w:tcPr>
                  <w:tcW w:w="4221" w:type="pct"/>
                  <w:gridSpan w:val="7"/>
                  <w:tcBorders>
                    <w:tl2br w:val="nil"/>
                    <w:tr2bl w:val="nil"/>
                  </w:tcBorders>
                  <w:noWrap w:val="0"/>
                  <w:vAlign w:val="center"/>
                </w:tcPr>
                <w:p w14:paraId="2105E33B">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有组织：</w:t>
                  </w:r>
                  <w:r>
                    <w:rPr>
                      <w:rFonts w:hint="default" w:ascii="Times New Roman" w:hAnsi="Times New Roman" w:eastAsia="宋体" w:cs="Times New Roman"/>
                      <w:color w:val="auto"/>
                      <w:szCs w:val="21"/>
                    </w:rPr>
                    <w:t>DA001出口</w:t>
                  </w:r>
                </w:p>
                <w:p w14:paraId="524DD6ED">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无组织：</w:t>
                  </w:r>
                  <w:r>
                    <w:rPr>
                      <w:rFonts w:hint="default" w:ascii="Times New Roman" w:hAnsi="Times New Roman" w:eastAsia="宋体" w:cs="Times New Roman"/>
                      <w:color w:val="auto"/>
                      <w:szCs w:val="21"/>
                    </w:rPr>
                    <w:t>厂界上风向1处，下风向3处</w:t>
                  </w:r>
                </w:p>
              </w:tc>
            </w:tr>
            <w:tr w14:paraId="3DB97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continue"/>
                  <w:tcBorders>
                    <w:tl2br w:val="nil"/>
                    <w:tr2bl w:val="nil"/>
                  </w:tcBorders>
                  <w:noWrap w:val="0"/>
                  <w:vAlign w:val="center"/>
                </w:tcPr>
                <w:p w14:paraId="733A67D7">
                  <w:pPr>
                    <w:adjustRightInd w:val="0"/>
                    <w:snapToGrid w:val="0"/>
                    <w:jc w:val="center"/>
                    <w:rPr>
                      <w:rFonts w:hint="default" w:ascii="Times New Roman" w:hAnsi="Times New Roman" w:eastAsia="宋体" w:cs="Times New Roman"/>
                      <w:color w:val="auto"/>
                      <w:szCs w:val="21"/>
                    </w:rPr>
                  </w:pPr>
                </w:p>
              </w:tc>
              <w:tc>
                <w:tcPr>
                  <w:tcW w:w="523" w:type="pct"/>
                  <w:tcBorders>
                    <w:tl2br w:val="nil"/>
                    <w:tr2bl w:val="nil"/>
                  </w:tcBorders>
                  <w:noWrap w:val="0"/>
                  <w:vAlign w:val="center"/>
                </w:tcPr>
                <w:p w14:paraId="707D335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4A4C754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因子</w:t>
                  </w:r>
                </w:p>
              </w:tc>
              <w:tc>
                <w:tcPr>
                  <w:tcW w:w="4221" w:type="pct"/>
                  <w:gridSpan w:val="7"/>
                  <w:tcBorders>
                    <w:tl2br w:val="nil"/>
                    <w:tr2bl w:val="nil"/>
                  </w:tcBorders>
                  <w:noWrap w:val="0"/>
                  <w:vAlign w:val="center"/>
                </w:tcPr>
                <w:p w14:paraId="5B4D14C1">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颗粒物</w:t>
                  </w:r>
                </w:p>
              </w:tc>
            </w:tr>
            <w:tr w14:paraId="6C549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continue"/>
                  <w:tcBorders>
                    <w:tl2br w:val="nil"/>
                    <w:tr2bl w:val="nil"/>
                  </w:tcBorders>
                  <w:noWrap w:val="0"/>
                  <w:vAlign w:val="center"/>
                </w:tcPr>
                <w:p w14:paraId="5EE22AA8">
                  <w:pPr>
                    <w:adjustRightInd w:val="0"/>
                    <w:snapToGrid w:val="0"/>
                    <w:jc w:val="center"/>
                    <w:rPr>
                      <w:rFonts w:hint="default" w:ascii="Times New Roman" w:hAnsi="Times New Roman" w:eastAsia="宋体" w:cs="Times New Roman"/>
                      <w:color w:val="auto"/>
                      <w:szCs w:val="21"/>
                    </w:rPr>
                  </w:pPr>
                </w:p>
              </w:tc>
              <w:tc>
                <w:tcPr>
                  <w:tcW w:w="523" w:type="pct"/>
                  <w:tcBorders>
                    <w:tl2br w:val="nil"/>
                    <w:tr2bl w:val="nil"/>
                  </w:tcBorders>
                  <w:noWrap w:val="0"/>
                  <w:vAlign w:val="center"/>
                </w:tcPr>
                <w:p w14:paraId="561F1C8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3E31E4A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频次</w:t>
                  </w:r>
                </w:p>
              </w:tc>
              <w:tc>
                <w:tcPr>
                  <w:tcW w:w="4221" w:type="pct"/>
                  <w:gridSpan w:val="7"/>
                  <w:tcBorders>
                    <w:tl2br w:val="nil"/>
                    <w:tr2bl w:val="nil"/>
                  </w:tcBorders>
                  <w:noWrap w:val="0"/>
                  <w:vAlign w:val="center"/>
                </w:tcPr>
                <w:p w14:paraId="2C546FD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r>
          </w:tbl>
          <w:p w14:paraId="0FC88511">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1"/>
                <w:szCs w:val="21"/>
                <w:lang w:val="en-US" w:eastAsia="zh-CN"/>
              </w:rPr>
              <w:t xml:space="preserve">表4-1续  </w:t>
            </w:r>
            <w:r>
              <w:rPr>
                <w:rFonts w:hint="default" w:ascii="Times New Roman" w:hAnsi="Times New Roman" w:eastAsia="宋体" w:cs="Times New Roman"/>
                <w:b/>
                <w:bCs/>
                <w:color w:val="auto"/>
                <w:sz w:val="21"/>
                <w:szCs w:val="21"/>
                <w:lang w:val="en-US" w:eastAsia="zh-CN"/>
              </w:rPr>
              <w:t>项目废气产排情况一览表</w:t>
            </w:r>
          </w:p>
          <w:tbl>
            <w:tblPr>
              <w:tblStyle w:val="30"/>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52"/>
              <w:gridCol w:w="971"/>
              <w:gridCol w:w="972"/>
              <w:gridCol w:w="1329"/>
              <w:gridCol w:w="1338"/>
              <w:gridCol w:w="689"/>
              <w:gridCol w:w="886"/>
              <w:gridCol w:w="1019"/>
            </w:tblGrid>
            <w:tr w14:paraId="5124B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pct"/>
                  <w:gridSpan w:val="2"/>
                  <w:tcBorders>
                    <w:tl2br w:val="nil"/>
                    <w:tr2bl w:val="nil"/>
                  </w:tcBorders>
                  <w:noWrap w:val="0"/>
                  <w:vAlign w:val="center"/>
                </w:tcPr>
                <w:p w14:paraId="1ADA223E">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产污环节</w:t>
                  </w:r>
                </w:p>
              </w:tc>
              <w:tc>
                <w:tcPr>
                  <w:tcW w:w="1145" w:type="pct"/>
                  <w:gridSpan w:val="2"/>
                  <w:tcBorders>
                    <w:tl2br w:val="nil"/>
                    <w:tr2bl w:val="nil"/>
                  </w:tcBorders>
                  <w:noWrap w:val="0"/>
                  <w:vAlign w:val="center"/>
                </w:tcPr>
                <w:p w14:paraId="5DFA27C0">
                  <w:pPr>
                    <w:adjustRightInd w:val="0"/>
                    <w:snapToGrid w:val="0"/>
                    <w:jc w:val="center"/>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喷粉</w:t>
                  </w:r>
                </w:p>
              </w:tc>
              <w:tc>
                <w:tcPr>
                  <w:tcW w:w="1571" w:type="pct"/>
                  <w:gridSpan w:val="2"/>
                  <w:tcBorders>
                    <w:tl2br w:val="nil"/>
                    <w:tr2bl w:val="nil"/>
                  </w:tcBorders>
                  <w:noWrap w:val="0"/>
                  <w:vAlign w:val="center"/>
                </w:tcPr>
                <w:p w14:paraId="17F3DC6E">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固化</w:t>
                  </w:r>
                </w:p>
              </w:tc>
              <w:tc>
                <w:tcPr>
                  <w:tcW w:w="1529" w:type="pct"/>
                  <w:gridSpan w:val="3"/>
                  <w:tcBorders>
                    <w:tl2br w:val="nil"/>
                    <w:tr2bl w:val="nil"/>
                  </w:tcBorders>
                  <w:noWrap w:val="0"/>
                  <w:vAlign w:val="center"/>
                </w:tcPr>
                <w:p w14:paraId="77A6E963">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燃烧</w:t>
                  </w:r>
                </w:p>
              </w:tc>
            </w:tr>
            <w:tr w14:paraId="289080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pct"/>
                  <w:gridSpan w:val="2"/>
                  <w:tcBorders>
                    <w:tl2br w:val="nil"/>
                    <w:tr2bl w:val="nil"/>
                  </w:tcBorders>
                  <w:noWrap w:val="0"/>
                  <w:vAlign w:val="center"/>
                </w:tcPr>
                <w:p w14:paraId="524E810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污染物种类</w:t>
                  </w:r>
                </w:p>
              </w:tc>
              <w:tc>
                <w:tcPr>
                  <w:tcW w:w="1145" w:type="pct"/>
                  <w:gridSpan w:val="2"/>
                  <w:tcBorders>
                    <w:tl2br w:val="nil"/>
                    <w:tr2bl w:val="nil"/>
                  </w:tcBorders>
                  <w:noWrap w:val="0"/>
                  <w:vAlign w:val="center"/>
                </w:tcPr>
                <w:p w14:paraId="120976FD">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颗粒物</w:t>
                  </w:r>
                </w:p>
              </w:tc>
              <w:tc>
                <w:tcPr>
                  <w:tcW w:w="1571" w:type="pct"/>
                  <w:gridSpan w:val="2"/>
                  <w:tcBorders>
                    <w:tl2br w:val="nil"/>
                    <w:tr2bl w:val="nil"/>
                  </w:tcBorders>
                  <w:noWrap w:val="0"/>
                  <w:vAlign w:val="center"/>
                </w:tcPr>
                <w:p w14:paraId="3B0EA39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p>
              </w:tc>
              <w:tc>
                <w:tcPr>
                  <w:tcW w:w="406" w:type="pct"/>
                  <w:tcBorders>
                    <w:tl2br w:val="nil"/>
                    <w:tr2bl w:val="nil"/>
                  </w:tcBorders>
                  <w:noWrap w:val="0"/>
                  <w:vAlign w:val="center"/>
                </w:tcPr>
                <w:p w14:paraId="5B2507C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523" w:type="pct"/>
                  <w:tcBorders>
                    <w:tl2br w:val="nil"/>
                    <w:tr2bl w:val="nil"/>
                  </w:tcBorders>
                  <w:noWrap w:val="0"/>
                  <w:vAlign w:val="center"/>
                </w:tcPr>
                <w:p w14:paraId="06EB1B0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二氧化硫</w:t>
                  </w:r>
                </w:p>
              </w:tc>
              <w:tc>
                <w:tcPr>
                  <w:tcW w:w="600" w:type="pct"/>
                  <w:tcBorders>
                    <w:tl2br w:val="nil"/>
                    <w:tr2bl w:val="nil"/>
                  </w:tcBorders>
                  <w:noWrap w:val="0"/>
                  <w:vAlign w:val="center"/>
                </w:tcPr>
                <w:p w14:paraId="69366C9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氮氧化物</w:t>
                  </w:r>
                </w:p>
              </w:tc>
            </w:tr>
            <w:tr w14:paraId="2B5E8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pct"/>
                  <w:gridSpan w:val="2"/>
                  <w:tcBorders>
                    <w:tl2br w:val="nil"/>
                    <w:tr2bl w:val="nil"/>
                  </w:tcBorders>
                  <w:noWrap w:val="0"/>
                  <w:vAlign w:val="center"/>
                </w:tcPr>
                <w:p w14:paraId="682AFAA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污染物产生量（t/a）</w:t>
                  </w:r>
                </w:p>
              </w:tc>
              <w:tc>
                <w:tcPr>
                  <w:tcW w:w="1145" w:type="pct"/>
                  <w:gridSpan w:val="2"/>
                  <w:tcBorders>
                    <w:tl2br w:val="nil"/>
                    <w:tr2bl w:val="nil"/>
                  </w:tcBorders>
                  <w:noWrap w:val="0"/>
                  <w:vAlign w:val="center"/>
                </w:tcPr>
                <w:p w14:paraId="2B42687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w:t>
                  </w:r>
                </w:p>
              </w:tc>
              <w:tc>
                <w:tcPr>
                  <w:tcW w:w="1571" w:type="pct"/>
                  <w:gridSpan w:val="2"/>
                  <w:tcBorders>
                    <w:tl2br w:val="nil"/>
                    <w:tr2bl w:val="nil"/>
                  </w:tcBorders>
                  <w:noWrap w:val="0"/>
                  <w:vAlign w:val="center"/>
                </w:tcPr>
                <w:p w14:paraId="3DCC05B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0.37</w:t>
                  </w:r>
                </w:p>
              </w:tc>
              <w:tc>
                <w:tcPr>
                  <w:tcW w:w="406" w:type="pct"/>
                  <w:tcBorders>
                    <w:tl2br w:val="nil"/>
                    <w:tr2bl w:val="nil"/>
                  </w:tcBorders>
                  <w:noWrap w:val="0"/>
                  <w:vAlign w:val="center"/>
                </w:tcPr>
                <w:p w14:paraId="15F83E1A">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0.017</w:t>
                  </w:r>
                </w:p>
              </w:tc>
              <w:tc>
                <w:tcPr>
                  <w:tcW w:w="523" w:type="pct"/>
                  <w:tcBorders>
                    <w:tl2br w:val="nil"/>
                    <w:tr2bl w:val="nil"/>
                  </w:tcBorders>
                  <w:noWrap w:val="0"/>
                  <w:vAlign w:val="center"/>
                </w:tcPr>
                <w:p w14:paraId="3CDB32E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0.0024</w:t>
                  </w:r>
                </w:p>
              </w:tc>
              <w:tc>
                <w:tcPr>
                  <w:tcW w:w="600" w:type="pct"/>
                  <w:tcBorders>
                    <w:tl2br w:val="nil"/>
                    <w:tr2bl w:val="nil"/>
                  </w:tcBorders>
                  <w:noWrap w:val="0"/>
                  <w:vAlign w:val="center"/>
                </w:tcPr>
                <w:p w14:paraId="74AAD2D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0.112</w:t>
                  </w:r>
                </w:p>
              </w:tc>
            </w:tr>
            <w:tr w14:paraId="244E1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pct"/>
                  <w:gridSpan w:val="2"/>
                  <w:tcBorders>
                    <w:tl2br w:val="nil"/>
                    <w:tr2bl w:val="nil"/>
                  </w:tcBorders>
                  <w:shd w:val="clear" w:color="auto" w:fill="auto"/>
                  <w:noWrap w:val="0"/>
                  <w:vAlign w:val="center"/>
                </w:tcPr>
                <w:p w14:paraId="4151C2F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产生速率（kg/h）</w:t>
                  </w:r>
                </w:p>
              </w:tc>
              <w:tc>
                <w:tcPr>
                  <w:tcW w:w="1145" w:type="pct"/>
                  <w:gridSpan w:val="2"/>
                  <w:tcBorders>
                    <w:tl2br w:val="nil"/>
                    <w:tr2bl w:val="nil"/>
                  </w:tcBorders>
                  <w:noWrap w:val="0"/>
                  <w:vAlign w:val="center"/>
                </w:tcPr>
                <w:p w14:paraId="3923B94C">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w:t>
                  </w:r>
                </w:p>
              </w:tc>
              <w:tc>
                <w:tcPr>
                  <w:tcW w:w="1571" w:type="pct"/>
                  <w:gridSpan w:val="2"/>
                  <w:tcBorders>
                    <w:tl2br w:val="nil"/>
                    <w:tr2bl w:val="nil"/>
                  </w:tcBorders>
                  <w:noWrap w:val="0"/>
                  <w:vAlign w:val="center"/>
                </w:tcPr>
                <w:p w14:paraId="1C93E5FE">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0.25</w:t>
                  </w:r>
                </w:p>
              </w:tc>
              <w:tc>
                <w:tcPr>
                  <w:tcW w:w="406" w:type="pct"/>
                  <w:tcBorders>
                    <w:tl2br w:val="nil"/>
                    <w:tr2bl w:val="nil"/>
                  </w:tcBorders>
                  <w:shd w:val="clear" w:color="auto" w:fill="auto"/>
                  <w:noWrap w:val="0"/>
                  <w:vAlign w:val="center"/>
                </w:tcPr>
                <w:p w14:paraId="35379B0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0.011</w:t>
                  </w:r>
                </w:p>
              </w:tc>
              <w:tc>
                <w:tcPr>
                  <w:tcW w:w="523" w:type="pct"/>
                  <w:tcBorders>
                    <w:tl2br w:val="nil"/>
                    <w:tr2bl w:val="nil"/>
                  </w:tcBorders>
                  <w:shd w:val="clear" w:color="auto" w:fill="auto"/>
                  <w:noWrap w:val="0"/>
                  <w:vAlign w:val="center"/>
                </w:tcPr>
                <w:p w14:paraId="477AB00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0.0016</w:t>
                  </w:r>
                </w:p>
              </w:tc>
              <w:tc>
                <w:tcPr>
                  <w:tcW w:w="600" w:type="pct"/>
                  <w:tcBorders>
                    <w:tl2br w:val="nil"/>
                    <w:tr2bl w:val="nil"/>
                  </w:tcBorders>
                  <w:shd w:val="clear" w:color="auto" w:fill="auto"/>
                  <w:noWrap w:val="0"/>
                  <w:vAlign w:val="center"/>
                </w:tcPr>
                <w:p w14:paraId="0670C49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0.075</w:t>
                  </w:r>
                </w:p>
              </w:tc>
            </w:tr>
            <w:tr w14:paraId="0A188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pct"/>
                  <w:gridSpan w:val="2"/>
                  <w:tcBorders>
                    <w:tl2br w:val="nil"/>
                    <w:tr2bl w:val="nil"/>
                  </w:tcBorders>
                  <w:shd w:val="clear" w:color="auto" w:fill="auto"/>
                  <w:noWrap w:val="0"/>
                  <w:vAlign w:val="center"/>
                </w:tcPr>
                <w:p w14:paraId="105B5B0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产生浓度（mg/m³）</w:t>
                  </w:r>
                </w:p>
              </w:tc>
              <w:tc>
                <w:tcPr>
                  <w:tcW w:w="1145" w:type="pct"/>
                  <w:gridSpan w:val="2"/>
                  <w:tcBorders>
                    <w:tl2br w:val="nil"/>
                    <w:tr2bl w:val="nil"/>
                  </w:tcBorders>
                  <w:noWrap w:val="0"/>
                  <w:vAlign w:val="center"/>
                </w:tcPr>
                <w:p w14:paraId="71836D0E">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106.67</w:t>
                  </w:r>
                </w:p>
              </w:tc>
              <w:tc>
                <w:tcPr>
                  <w:tcW w:w="1571" w:type="pct"/>
                  <w:gridSpan w:val="2"/>
                  <w:tcBorders>
                    <w:tl2br w:val="nil"/>
                    <w:tr2bl w:val="nil"/>
                  </w:tcBorders>
                  <w:noWrap w:val="0"/>
                  <w:vAlign w:val="center"/>
                </w:tcPr>
                <w:p w14:paraId="2BC5830B">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25</w:t>
                  </w:r>
                </w:p>
              </w:tc>
              <w:tc>
                <w:tcPr>
                  <w:tcW w:w="406" w:type="pct"/>
                  <w:tcBorders>
                    <w:tl2br w:val="nil"/>
                    <w:tr2bl w:val="nil"/>
                  </w:tcBorders>
                  <w:shd w:val="clear" w:color="auto" w:fill="auto"/>
                  <w:noWrap w:val="0"/>
                  <w:vAlign w:val="center"/>
                </w:tcPr>
                <w:p w14:paraId="33DF068B">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20.73</w:t>
                  </w:r>
                </w:p>
              </w:tc>
              <w:tc>
                <w:tcPr>
                  <w:tcW w:w="523" w:type="pct"/>
                  <w:tcBorders>
                    <w:tl2br w:val="nil"/>
                    <w:tr2bl w:val="nil"/>
                  </w:tcBorders>
                  <w:shd w:val="clear" w:color="auto" w:fill="auto"/>
                  <w:noWrap w:val="0"/>
                  <w:vAlign w:val="center"/>
                </w:tcPr>
                <w:p w14:paraId="3CF25A1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2.93</w:t>
                  </w:r>
                </w:p>
              </w:tc>
              <w:tc>
                <w:tcPr>
                  <w:tcW w:w="600" w:type="pct"/>
                  <w:tcBorders>
                    <w:tl2br w:val="nil"/>
                    <w:tr2bl w:val="nil"/>
                  </w:tcBorders>
                  <w:shd w:val="clear" w:color="auto" w:fill="auto"/>
                  <w:noWrap w:val="0"/>
                  <w:vAlign w:val="center"/>
                </w:tcPr>
                <w:p w14:paraId="532BB63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136.59</w:t>
                  </w:r>
                </w:p>
              </w:tc>
            </w:tr>
            <w:tr w14:paraId="7D533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pct"/>
                  <w:gridSpan w:val="2"/>
                  <w:tcBorders>
                    <w:tl2br w:val="nil"/>
                    <w:tr2bl w:val="nil"/>
                  </w:tcBorders>
                  <w:noWrap w:val="0"/>
                  <w:vAlign w:val="center"/>
                </w:tcPr>
                <w:p w14:paraId="3651445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排放形式</w:t>
                  </w:r>
                </w:p>
              </w:tc>
              <w:tc>
                <w:tcPr>
                  <w:tcW w:w="572" w:type="pct"/>
                  <w:tcBorders>
                    <w:tl2br w:val="nil"/>
                    <w:tr2bl w:val="nil"/>
                  </w:tcBorders>
                  <w:noWrap w:val="0"/>
                  <w:vAlign w:val="center"/>
                </w:tcPr>
                <w:p w14:paraId="48A0210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有组织</w:t>
                  </w:r>
                </w:p>
              </w:tc>
              <w:tc>
                <w:tcPr>
                  <w:tcW w:w="572" w:type="pct"/>
                  <w:tcBorders>
                    <w:tl2br w:val="nil"/>
                    <w:tr2bl w:val="nil"/>
                  </w:tcBorders>
                  <w:noWrap w:val="0"/>
                  <w:vAlign w:val="center"/>
                </w:tcPr>
                <w:p w14:paraId="62D8CE95">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无组织</w:t>
                  </w:r>
                </w:p>
              </w:tc>
              <w:tc>
                <w:tcPr>
                  <w:tcW w:w="783" w:type="pct"/>
                  <w:tcBorders>
                    <w:tl2br w:val="nil"/>
                    <w:tr2bl w:val="nil"/>
                  </w:tcBorders>
                  <w:noWrap w:val="0"/>
                  <w:vAlign w:val="center"/>
                </w:tcPr>
                <w:p w14:paraId="71C40554">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有</w:t>
                  </w:r>
                  <w:r>
                    <w:rPr>
                      <w:rFonts w:hint="eastAsia" w:ascii="Times New Roman" w:hAnsi="Times New Roman" w:eastAsia="宋体" w:cs="Times New Roman"/>
                      <w:color w:val="auto"/>
                      <w:szCs w:val="21"/>
                      <w:lang w:eastAsia="zh-CN"/>
                    </w:rPr>
                    <w:t>组织</w:t>
                  </w:r>
                </w:p>
              </w:tc>
              <w:tc>
                <w:tcPr>
                  <w:tcW w:w="788" w:type="pct"/>
                  <w:tcBorders>
                    <w:tl2br w:val="nil"/>
                    <w:tr2bl w:val="nil"/>
                  </w:tcBorders>
                  <w:noWrap w:val="0"/>
                  <w:vAlign w:val="center"/>
                </w:tcPr>
                <w:p w14:paraId="7562CAC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无组织</w:t>
                  </w:r>
                </w:p>
              </w:tc>
              <w:tc>
                <w:tcPr>
                  <w:tcW w:w="406" w:type="pct"/>
                  <w:tcBorders>
                    <w:tl2br w:val="nil"/>
                    <w:tr2bl w:val="nil"/>
                  </w:tcBorders>
                  <w:noWrap w:val="0"/>
                  <w:vAlign w:val="center"/>
                </w:tcPr>
                <w:p w14:paraId="1A2E6E7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有组织</w:t>
                  </w:r>
                </w:p>
              </w:tc>
              <w:tc>
                <w:tcPr>
                  <w:tcW w:w="523" w:type="pct"/>
                  <w:tcBorders>
                    <w:tl2br w:val="nil"/>
                    <w:tr2bl w:val="nil"/>
                  </w:tcBorders>
                  <w:noWrap w:val="0"/>
                  <w:vAlign w:val="center"/>
                </w:tcPr>
                <w:p w14:paraId="2301CAE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有组织</w:t>
                  </w:r>
                </w:p>
              </w:tc>
              <w:tc>
                <w:tcPr>
                  <w:tcW w:w="600" w:type="pct"/>
                  <w:tcBorders>
                    <w:tl2br w:val="nil"/>
                    <w:tr2bl w:val="nil"/>
                  </w:tcBorders>
                  <w:noWrap w:val="0"/>
                  <w:vAlign w:val="center"/>
                </w:tcPr>
                <w:p w14:paraId="3F87564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有组织</w:t>
                  </w:r>
                </w:p>
              </w:tc>
            </w:tr>
            <w:tr w14:paraId="5120C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restart"/>
                  <w:tcBorders>
                    <w:tl2br w:val="nil"/>
                    <w:tr2bl w:val="nil"/>
                  </w:tcBorders>
                  <w:noWrap w:val="0"/>
                  <w:vAlign w:val="center"/>
                </w:tcPr>
                <w:p w14:paraId="007D4C1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治理设施</w:t>
                  </w:r>
                </w:p>
              </w:tc>
              <w:tc>
                <w:tcPr>
                  <w:tcW w:w="502" w:type="pct"/>
                  <w:tcBorders>
                    <w:tl2br w:val="nil"/>
                    <w:tr2bl w:val="nil"/>
                  </w:tcBorders>
                  <w:noWrap w:val="0"/>
                  <w:vAlign w:val="center"/>
                </w:tcPr>
                <w:p w14:paraId="20013AB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处理设施</w:t>
                  </w:r>
                </w:p>
              </w:tc>
              <w:tc>
                <w:tcPr>
                  <w:tcW w:w="572" w:type="pct"/>
                  <w:tcBorders>
                    <w:tl2br w:val="nil"/>
                    <w:tr2bl w:val="nil"/>
                  </w:tcBorders>
                  <w:noWrap w:val="0"/>
                  <w:vAlign w:val="center"/>
                </w:tcPr>
                <w:p w14:paraId="28EC8AF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旋风除尘器</w:t>
                  </w:r>
                  <w:r>
                    <w:rPr>
                      <w:rFonts w:hint="eastAsia" w:cs="Times New Roman"/>
                      <w:color w:val="auto"/>
                      <w:szCs w:val="21"/>
                      <w:lang w:val="en-US" w:eastAsia="zh-CN"/>
                    </w:rPr>
                    <w:t>+精滤</w:t>
                  </w:r>
                </w:p>
              </w:tc>
              <w:tc>
                <w:tcPr>
                  <w:tcW w:w="572" w:type="pct"/>
                  <w:tcBorders>
                    <w:tl2br w:val="nil"/>
                    <w:tr2bl w:val="nil"/>
                  </w:tcBorders>
                  <w:noWrap w:val="0"/>
                  <w:vAlign w:val="center"/>
                </w:tcPr>
                <w:p w14:paraId="661B916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密闭喷房</w:t>
                  </w:r>
                </w:p>
              </w:tc>
              <w:tc>
                <w:tcPr>
                  <w:tcW w:w="783" w:type="pct"/>
                  <w:tcBorders>
                    <w:tl2br w:val="nil"/>
                    <w:tr2bl w:val="nil"/>
                  </w:tcBorders>
                  <w:noWrap w:val="0"/>
                  <w:vAlign w:val="center"/>
                </w:tcPr>
                <w:p w14:paraId="4C53BC99">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二级活性炭</w:t>
                  </w:r>
                </w:p>
              </w:tc>
              <w:tc>
                <w:tcPr>
                  <w:tcW w:w="788" w:type="pct"/>
                  <w:tcBorders>
                    <w:tl2br w:val="nil"/>
                    <w:tr2bl w:val="nil"/>
                  </w:tcBorders>
                  <w:noWrap w:val="0"/>
                  <w:vAlign w:val="center"/>
                </w:tcPr>
                <w:p w14:paraId="09EB135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06" w:type="pct"/>
                  <w:tcBorders>
                    <w:tl2br w:val="nil"/>
                    <w:tr2bl w:val="nil"/>
                  </w:tcBorders>
                  <w:noWrap w:val="0"/>
                  <w:vAlign w:val="center"/>
                </w:tcPr>
                <w:p w14:paraId="0CFB2A48">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w:t>
                  </w:r>
                </w:p>
              </w:tc>
              <w:tc>
                <w:tcPr>
                  <w:tcW w:w="523" w:type="pct"/>
                  <w:tcBorders>
                    <w:tl2br w:val="nil"/>
                    <w:tr2bl w:val="nil"/>
                  </w:tcBorders>
                  <w:noWrap w:val="0"/>
                  <w:vAlign w:val="center"/>
                </w:tcPr>
                <w:p w14:paraId="5DA56EA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00" w:type="pct"/>
                  <w:tcBorders>
                    <w:tl2br w:val="nil"/>
                    <w:tr2bl w:val="nil"/>
                  </w:tcBorders>
                  <w:noWrap w:val="0"/>
                  <w:vAlign w:val="center"/>
                </w:tcPr>
                <w:p w14:paraId="7A28168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低氮燃烧</w:t>
                  </w:r>
                </w:p>
              </w:tc>
            </w:tr>
            <w:tr w14:paraId="62D9E9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0"/>
                  <w:vAlign w:val="center"/>
                </w:tcPr>
                <w:p w14:paraId="4C0A54F6">
                  <w:pPr>
                    <w:adjustRightInd w:val="0"/>
                    <w:snapToGrid w:val="0"/>
                    <w:jc w:val="center"/>
                    <w:rPr>
                      <w:rFonts w:hint="default" w:ascii="Times New Roman" w:hAnsi="Times New Roman" w:eastAsia="宋体" w:cs="Times New Roman"/>
                      <w:color w:val="auto"/>
                      <w:szCs w:val="21"/>
                    </w:rPr>
                  </w:pPr>
                </w:p>
              </w:tc>
              <w:tc>
                <w:tcPr>
                  <w:tcW w:w="502" w:type="pct"/>
                  <w:tcBorders>
                    <w:tl2br w:val="nil"/>
                    <w:tr2bl w:val="nil"/>
                  </w:tcBorders>
                  <w:noWrap w:val="0"/>
                  <w:vAlign w:val="center"/>
                </w:tcPr>
                <w:p w14:paraId="38AD046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收集效率%</w:t>
                  </w:r>
                </w:p>
              </w:tc>
              <w:tc>
                <w:tcPr>
                  <w:tcW w:w="1145" w:type="pct"/>
                  <w:gridSpan w:val="2"/>
                  <w:tcBorders>
                    <w:tl2br w:val="nil"/>
                    <w:tr2bl w:val="nil"/>
                  </w:tcBorders>
                  <w:noWrap w:val="0"/>
                  <w:vAlign w:val="center"/>
                </w:tcPr>
                <w:p w14:paraId="37DCA93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95</w:t>
                  </w:r>
                </w:p>
              </w:tc>
              <w:tc>
                <w:tcPr>
                  <w:tcW w:w="783" w:type="pct"/>
                  <w:tcBorders>
                    <w:tl2br w:val="nil"/>
                    <w:tr2bl w:val="nil"/>
                  </w:tcBorders>
                  <w:noWrap w:val="0"/>
                  <w:vAlign w:val="center"/>
                </w:tcPr>
                <w:p w14:paraId="742305F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85</w:t>
                  </w:r>
                </w:p>
              </w:tc>
              <w:tc>
                <w:tcPr>
                  <w:tcW w:w="788" w:type="pct"/>
                  <w:tcBorders>
                    <w:tl2br w:val="nil"/>
                    <w:tr2bl w:val="nil"/>
                  </w:tcBorders>
                  <w:noWrap w:val="0"/>
                  <w:vAlign w:val="center"/>
                </w:tcPr>
                <w:p w14:paraId="3EB4A75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06" w:type="pct"/>
                  <w:tcBorders>
                    <w:tl2br w:val="nil"/>
                    <w:tr2bl w:val="nil"/>
                  </w:tcBorders>
                  <w:noWrap w:val="0"/>
                  <w:vAlign w:val="center"/>
                </w:tcPr>
                <w:p w14:paraId="78F3828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523" w:type="pct"/>
                  <w:tcBorders>
                    <w:tl2br w:val="nil"/>
                    <w:tr2bl w:val="nil"/>
                  </w:tcBorders>
                  <w:noWrap w:val="0"/>
                  <w:vAlign w:val="center"/>
                </w:tcPr>
                <w:p w14:paraId="0335880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00" w:type="pct"/>
                  <w:tcBorders>
                    <w:tl2br w:val="nil"/>
                    <w:tr2bl w:val="nil"/>
                  </w:tcBorders>
                  <w:noWrap w:val="0"/>
                  <w:vAlign w:val="center"/>
                </w:tcPr>
                <w:p w14:paraId="60E4B51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r w14:paraId="7D376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0"/>
                  <w:vAlign w:val="center"/>
                </w:tcPr>
                <w:p w14:paraId="7FAD707F">
                  <w:pPr>
                    <w:adjustRightInd w:val="0"/>
                    <w:snapToGrid w:val="0"/>
                    <w:jc w:val="center"/>
                    <w:rPr>
                      <w:rFonts w:hint="default" w:ascii="Times New Roman" w:hAnsi="Times New Roman" w:eastAsia="宋体" w:cs="Times New Roman"/>
                      <w:color w:val="auto"/>
                      <w:szCs w:val="21"/>
                    </w:rPr>
                  </w:pPr>
                </w:p>
              </w:tc>
              <w:tc>
                <w:tcPr>
                  <w:tcW w:w="502" w:type="pct"/>
                  <w:tcBorders>
                    <w:tl2br w:val="nil"/>
                    <w:tr2bl w:val="nil"/>
                  </w:tcBorders>
                  <w:noWrap w:val="0"/>
                  <w:vAlign w:val="center"/>
                </w:tcPr>
                <w:p w14:paraId="6954092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治理工艺去除率%</w:t>
                  </w:r>
                </w:p>
              </w:tc>
              <w:tc>
                <w:tcPr>
                  <w:tcW w:w="1145" w:type="pct"/>
                  <w:gridSpan w:val="2"/>
                  <w:tcBorders>
                    <w:tl2br w:val="nil"/>
                    <w:tr2bl w:val="nil"/>
                  </w:tcBorders>
                  <w:noWrap w:val="0"/>
                  <w:vAlign w:val="center"/>
                </w:tcPr>
                <w:p w14:paraId="257E226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95</w:t>
                  </w:r>
                </w:p>
              </w:tc>
              <w:tc>
                <w:tcPr>
                  <w:tcW w:w="783" w:type="pct"/>
                  <w:tcBorders>
                    <w:tl2br w:val="nil"/>
                    <w:tr2bl w:val="nil"/>
                  </w:tcBorders>
                  <w:noWrap w:val="0"/>
                  <w:vAlign w:val="center"/>
                </w:tcPr>
                <w:p w14:paraId="50BD018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w:t>
                  </w:r>
                </w:p>
              </w:tc>
              <w:tc>
                <w:tcPr>
                  <w:tcW w:w="788" w:type="pct"/>
                  <w:tcBorders>
                    <w:tl2br w:val="nil"/>
                    <w:tr2bl w:val="nil"/>
                  </w:tcBorders>
                  <w:noWrap w:val="0"/>
                  <w:vAlign w:val="center"/>
                </w:tcPr>
                <w:p w14:paraId="2F0C4C9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06" w:type="pct"/>
                  <w:tcBorders>
                    <w:tl2br w:val="nil"/>
                    <w:tr2bl w:val="nil"/>
                  </w:tcBorders>
                  <w:noWrap w:val="0"/>
                  <w:vAlign w:val="center"/>
                </w:tcPr>
                <w:p w14:paraId="6957597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523" w:type="pct"/>
                  <w:tcBorders>
                    <w:tl2br w:val="nil"/>
                    <w:tr2bl w:val="nil"/>
                  </w:tcBorders>
                  <w:noWrap w:val="0"/>
                  <w:vAlign w:val="center"/>
                </w:tcPr>
                <w:p w14:paraId="1984410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00" w:type="pct"/>
                  <w:tcBorders>
                    <w:tl2br w:val="nil"/>
                    <w:tr2bl w:val="nil"/>
                  </w:tcBorders>
                  <w:noWrap w:val="0"/>
                  <w:vAlign w:val="center"/>
                </w:tcPr>
                <w:p w14:paraId="47014E6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w:t>
                  </w:r>
                </w:p>
              </w:tc>
            </w:tr>
            <w:tr w14:paraId="66C70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0"/>
                  <w:vAlign w:val="center"/>
                </w:tcPr>
                <w:p w14:paraId="497D7334">
                  <w:pPr>
                    <w:adjustRightInd w:val="0"/>
                    <w:snapToGrid w:val="0"/>
                    <w:jc w:val="center"/>
                    <w:rPr>
                      <w:rFonts w:hint="default" w:ascii="Times New Roman" w:hAnsi="Times New Roman" w:eastAsia="宋体" w:cs="Times New Roman"/>
                      <w:color w:val="auto"/>
                      <w:szCs w:val="21"/>
                    </w:rPr>
                  </w:pPr>
                </w:p>
              </w:tc>
              <w:tc>
                <w:tcPr>
                  <w:tcW w:w="502" w:type="pct"/>
                  <w:tcBorders>
                    <w:tl2br w:val="nil"/>
                    <w:tr2bl w:val="nil"/>
                  </w:tcBorders>
                  <w:noWrap w:val="0"/>
                  <w:vAlign w:val="center"/>
                </w:tcPr>
                <w:p w14:paraId="7385AF7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是否为可行技术</w:t>
                  </w:r>
                </w:p>
              </w:tc>
              <w:tc>
                <w:tcPr>
                  <w:tcW w:w="1145" w:type="pct"/>
                  <w:gridSpan w:val="2"/>
                  <w:tcBorders>
                    <w:tl2br w:val="nil"/>
                    <w:tr2bl w:val="nil"/>
                  </w:tcBorders>
                  <w:noWrap w:val="0"/>
                  <w:vAlign w:val="center"/>
                </w:tcPr>
                <w:p w14:paraId="1EC56C0C">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是</w:t>
                  </w:r>
                </w:p>
              </w:tc>
              <w:tc>
                <w:tcPr>
                  <w:tcW w:w="783" w:type="pct"/>
                  <w:tcBorders>
                    <w:tl2br w:val="nil"/>
                    <w:tr2bl w:val="nil"/>
                  </w:tcBorders>
                  <w:noWrap w:val="0"/>
                  <w:vAlign w:val="center"/>
                </w:tcPr>
                <w:p w14:paraId="689D15D7">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是</w:t>
                  </w:r>
                </w:p>
              </w:tc>
              <w:tc>
                <w:tcPr>
                  <w:tcW w:w="788" w:type="pct"/>
                  <w:tcBorders>
                    <w:tl2br w:val="nil"/>
                    <w:tr2bl w:val="nil"/>
                  </w:tcBorders>
                  <w:noWrap w:val="0"/>
                  <w:vAlign w:val="center"/>
                </w:tcPr>
                <w:p w14:paraId="54E3073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06" w:type="pct"/>
                  <w:tcBorders>
                    <w:tl2br w:val="nil"/>
                    <w:tr2bl w:val="nil"/>
                  </w:tcBorders>
                  <w:noWrap w:val="0"/>
                  <w:vAlign w:val="center"/>
                </w:tcPr>
                <w:p w14:paraId="5769F92E">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w:t>
                  </w:r>
                </w:p>
              </w:tc>
              <w:tc>
                <w:tcPr>
                  <w:tcW w:w="523" w:type="pct"/>
                  <w:tcBorders>
                    <w:tl2br w:val="nil"/>
                    <w:tr2bl w:val="nil"/>
                  </w:tcBorders>
                  <w:noWrap w:val="0"/>
                  <w:vAlign w:val="center"/>
                </w:tcPr>
                <w:p w14:paraId="69A85B4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00" w:type="pct"/>
                  <w:tcBorders>
                    <w:tl2br w:val="nil"/>
                    <w:tr2bl w:val="nil"/>
                  </w:tcBorders>
                  <w:noWrap w:val="0"/>
                  <w:vAlign w:val="center"/>
                </w:tcPr>
                <w:p w14:paraId="008BF19D">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是</w:t>
                  </w:r>
                </w:p>
              </w:tc>
            </w:tr>
            <w:tr w14:paraId="32C22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pct"/>
                  <w:gridSpan w:val="2"/>
                  <w:tcBorders>
                    <w:tl2br w:val="nil"/>
                    <w:tr2bl w:val="nil"/>
                  </w:tcBorders>
                  <w:noWrap w:val="0"/>
                  <w:vAlign w:val="center"/>
                </w:tcPr>
                <w:p w14:paraId="103EEBA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572" w:type="pct"/>
                  <w:tcBorders>
                    <w:tl2br w:val="nil"/>
                    <w:tr2bl w:val="nil"/>
                  </w:tcBorders>
                  <w:noWrap w:val="0"/>
                  <w:vAlign w:val="center"/>
                </w:tcPr>
                <w:p w14:paraId="08F5B4A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0.87</w:t>
                  </w:r>
                </w:p>
              </w:tc>
              <w:tc>
                <w:tcPr>
                  <w:tcW w:w="572" w:type="pct"/>
                  <w:tcBorders>
                    <w:tl2br w:val="nil"/>
                    <w:tr2bl w:val="nil"/>
                  </w:tcBorders>
                  <w:noWrap w:val="0"/>
                  <w:vAlign w:val="center"/>
                </w:tcPr>
                <w:p w14:paraId="647D125B">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w:t>
                  </w:r>
                </w:p>
              </w:tc>
              <w:tc>
                <w:tcPr>
                  <w:tcW w:w="783" w:type="pct"/>
                  <w:tcBorders>
                    <w:tl2br w:val="nil"/>
                    <w:tr2bl w:val="nil"/>
                  </w:tcBorders>
                  <w:noWrap w:val="0"/>
                  <w:vAlign w:val="center"/>
                </w:tcPr>
                <w:p w14:paraId="78A9DC6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w:t>
                  </w:r>
                </w:p>
              </w:tc>
              <w:tc>
                <w:tcPr>
                  <w:tcW w:w="788" w:type="pct"/>
                  <w:tcBorders>
                    <w:tl2br w:val="nil"/>
                    <w:tr2bl w:val="nil"/>
                  </w:tcBorders>
                  <w:noWrap w:val="0"/>
                  <w:vAlign w:val="center"/>
                </w:tcPr>
                <w:p w14:paraId="6098146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06" w:type="pct"/>
                  <w:tcBorders>
                    <w:tl2br w:val="nil"/>
                    <w:tr2bl w:val="nil"/>
                  </w:tcBorders>
                  <w:noWrap w:val="0"/>
                  <w:vAlign w:val="center"/>
                </w:tcPr>
                <w:p w14:paraId="15A5528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20.73</w:t>
                  </w:r>
                </w:p>
              </w:tc>
              <w:tc>
                <w:tcPr>
                  <w:tcW w:w="523" w:type="pct"/>
                  <w:tcBorders>
                    <w:tl2br w:val="nil"/>
                    <w:tr2bl w:val="nil"/>
                  </w:tcBorders>
                  <w:noWrap w:val="0"/>
                  <w:vAlign w:val="center"/>
                </w:tcPr>
                <w:p w14:paraId="56AFAA7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2.93</w:t>
                  </w:r>
                </w:p>
              </w:tc>
              <w:tc>
                <w:tcPr>
                  <w:tcW w:w="600" w:type="pct"/>
                  <w:tcBorders>
                    <w:tl2br w:val="nil"/>
                    <w:tr2bl w:val="nil"/>
                  </w:tcBorders>
                  <w:noWrap w:val="0"/>
                  <w:vAlign w:val="center"/>
                </w:tcPr>
                <w:p w14:paraId="46E243A7">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68.295</w:t>
                  </w:r>
                </w:p>
              </w:tc>
            </w:tr>
            <w:tr w14:paraId="7A1BA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pct"/>
                  <w:gridSpan w:val="2"/>
                  <w:tcBorders>
                    <w:tl2br w:val="nil"/>
                    <w:tr2bl w:val="nil"/>
                  </w:tcBorders>
                  <w:noWrap w:val="0"/>
                  <w:vAlign w:val="center"/>
                </w:tcPr>
                <w:p w14:paraId="6A50B81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污染物排放速率（kg/h）</w:t>
                  </w:r>
                </w:p>
              </w:tc>
              <w:tc>
                <w:tcPr>
                  <w:tcW w:w="572" w:type="pct"/>
                  <w:tcBorders>
                    <w:tl2br w:val="nil"/>
                    <w:tr2bl w:val="nil"/>
                  </w:tcBorders>
                  <w:noWrap w:val="0"/>
                  <w:vAlign w:val="center"/>
                </w:tcPr>
                <w:p w14:paraId="2BC5B96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013</w:t>
                  </w:r>
                </w:p>
              </w:tc>
              <w:tc>
                <w:tcPr>
                  <w:tcW w:w="572" w:type="pct"/>
                  <w:tcBorders>
                    <w:tl2br w:val="nil"/>
                    <w:tr2bl w:val="nil"/>
                  </w:tcBorders>
                  <w:noWrap w:val="0"/>
                  <w:vAlign w:val="center"/>
                </w:tcPr>
                <w:p w14:paraId="5DF69F8E">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0.03</w:t>
                  </w:r>
                </w:p>
              </w:tc>
              <w:tc>
                <w:tcPr>
                  <w:tcW w:w="783" w:type="pct"/>
                  <w:tcBorders>
                    <w:tl2br w:val="nil"/>
                    <w:tr2bl w:val="nil"/>
                  </w:tcBorders>
                  <w:noWrap w:val="0"/>
                  <w:vAlign w:val="center"/>
                </w:tcPr>
                <w:p w14:paraId="1019B8C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w:t>
                  </w:r>
                  <w:r>
                    <w:rPr>
                      <w:rFonts w:hint="eastAsia" w:cs="Times New Roman"/>
                      <w:color w:val="auto"/>
                      <w:szCs w:val="21"/>
                      <w:lang w:val="en-US" w:eastAsia="zh-CN"/>
                    </w:rPr>
                    <w:t>1</w:t>
                  </w:r>
                </w:p>
              </w:tc>
              <w:tc>
                <w:tcPr>
                  <w:tcW w:w="788" w:type="pct"/>
                  <w:tcBorders>
                    <w:tl2br w:val="nil"/>
                    <w:tr2bl w:val="nil"/>
                  </w:tcBorders>
                  <w:noWrap w:val="0"/>
                  <w:vAlign w:val="center"/>
                </w:tcPr>
                <w:p w14:paraId="1A58E48D">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0.04</w:t>
                  </w:r>
                </w:p>
              </w:tc>
              <w:tc>
                <w:tcPr>
                  <w:tcW w:w="406" w:type="pct"/>
                  <w:tcBorders>
                    <w:tl2br w:val="nil"/>
                    <w:tr2bl w:val="nil"/>
                  </w:tcBorders>
                  <w:noWrap w:val="0"/>
                  <w:vAlign w:val="center"/>
                </w:tcPr>
                <w:p w14:paraId="2FA2378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0.011</w:t>
                  </w:r>
                </w:p>
              </w:tc>
              <w:tc>
                <w:tcPr>
                  <w:tcW w:w="523" w:type="pct"/>
                  <w:tcBorders>
                    <w:tl2br w:val="nil"/>
                    <w:tr2bl w:val="nil"/>
                  </w:tcBorders>
                  <w:noWrap w:val="0"/>
                  <w:vAlign w:val="center"/>
                </w:tcPr>
                <w:p w14:paraId="70457D41">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0.0016</w:t>
                  </w:r>
                </w:p>
              </w:tc>
              <w:tc>
                <w:tcPr>
                  <w:tcW w:w="600" w:type="pct"/>
                  <w:tcBorders>
                    <w:tl2br w:val="nil"/>
                    <w:tr2bl w:val="nil"/>
                  </w:tcBorders>
                  <w:noWrap w:val="0"/>
                  <w:vAlign w:val="center"/>
                </w:tcPr>
                <w:p w14:paraId="25F9953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0.0037</w:t>
                  </w:r>
                </w:p>
              </w:tc>
            </w:tr>
            <w:tr w14:paraId="7248B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pct"/>
                  <w:gridSpan w:val="2"/>
                  <w:tcBorders>
                    <w:tl2br w:val="nil"/>
                    <w:tr2bl w:val="nil"/>
                  </w:tcBorders>
                  <w:noWrap w:val="0"/>
                  <w:vAlign w:val="center"/>
                </w:tcPr>
                <w:p w14:paraId="7515D0B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污染物排放量（t/a）</w:t>
                  </w:r>
                </w:p>
              </w:tc>
              <w:tc>
                <w:tcPr>
                  <w:tcW w:w="572" w:type="pct"/>
                  <w:tcBorders>
                    <w:tl2br w:val="nil"/>
                    <w:tr2bl w:val="nil"/>
                  </w:tcBorders>
                  <w:noWrap w:val="0"/>
                  <w:vAlign w:val="center"/>
                </w:tcPr>
                <w:p w14:paraId="005115F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0.02</w:t>
                  </w:r>
                </w:p>
              </w:tc>
              <w:tc>
                <w:tcPr>
                  <w:tcW w:w="572" w:type="pct"/>
                  <w:tcBorders>
                    <w:tl2br w:val="nil"/>
                    <w:tr2bl w:val="nil"/>
                  </w:tcBorders>
                  <w:noWrap w:val="0"/>
                  <w:vAlign w:val="center"/>
                </w:tcPr>
                <w:p w14:paraId="30C49781">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0.05</w:t>
                  </w:r>
                </w:p>
              </w:tc>
              <w:tc>
                <w:tcPr>
                  <w:tcW w:w="783" w:type="pct"/>
                  <w:tcBorders>
                    <w:tl2br w:val="nil"/>
                    <w:tr2bl w:val="nil"/>
                  </w:tcBorders>
                  <w:noWrap w:val="0"/>
                  <w:vAlign w:val="center"/>
                </w:tcPr>
                <w:p w14:paraId="3227CBED">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0.16</w:t>
                  </w:r>
                </w:p>
              </w:tc>
              <w:tc>
                <w:tcPr>
                  <w:tcW w:w="788" w:type="pct"/>
                  <w:tcBorders>
                    <w:tl2br w:val="nil"/>
                    <w:tr2bl w:val="nil"/>
                  </w:tcBorders>
                  <w:noWrap w:val="0"/>
                  <w:vAlign w:val="center"/>
                </w:tcPr>
                <w:p w14:paraId="5425614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0.06</w:t>
                  </w:r>
                </w:p>
              </w:tc>
              <w:tc>
                <w:tcPr>
                  <w:tcW w:w="406" w:type="pct"/>
                  <w:tcBorders>
                    <w:tl2br w:val="nil"/>
                    <w:tr2bl w:val="nil"/>
                  </w:tcBorders>
                  <w:noWrap w:val="0"/>
                  <w:vAlign w:val="center"/>
                </w:tcPr>
                <w:p w14:paraId="6020ADD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0.017</w:t>
                  </w:r>
                </w:p>
              </w:tc>
              <w:tc>
                <w:tcPr>
                  <w:tcW w:w="523" w:type="pct"/>
                  <w:tcBorders>
                    <w:tl2br w:val="nil"/>
                    <w:tr2bl w:val="nil"/>
                  </w:tcBorders>
                  <w:noWrap w:val="0"/>
                  <w:vAlign w:val="center"/>
                </w:tcPr>
                <w:p w14:paraId="38A1742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0.0024</w:t>
                  </w:r>
                </w:p>
              </w:tc>
              <w:tc>
                <w:tcPr>
                  <w:tcW w:w="600" w:type="pct"/>
                  <w:tcBorders>
                    <w:tl2br w:val="nil"/>
                    <w:tr2bl w:val="nil"/>
                  </w:tcBorders>
                  <w:noWrap w:val="0"/>
                  <w:vAlign w:val="center"/>
                </w:tcPr>
                <w:p w14:paraId="2BD42FA6">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0.056</w:t>
                  </w:r>
                </w:p>
              </w:tc>
            </w:tr>
            <w:tr w14:paraId="397C9C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restart"/>
                  <w:tcBorders>
                    <w:tl2br w:val="nil"/>
                    <w:tr2bl w:val="nil"/>
                  </w:tcBorders>
                  <w:noWrap w:val="0"/>
                  <w:vAlign w:val="center"/>
                </w:tcPr>
                <w:p w14:paraId="04C1E6F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排放口基本信息</w:t>
                  </w:r>
                </w:p>
              </w:tc>
              <w:tc>
                <w:tcPr>
                  <w:tcW w:w="502" w:type="pct"/>
                  <w:tcBorders>
                    <w:tl2br w:val="nil"/>
                    <w:tr2bl w:val="nil"/>
                  </w:tcBorders>
                  <w:noWrap w:val="0"/>
                  <w:vAlign w:val="center"/>
                </w:tcPr>
                <w:p w14:paraId="06CD155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高度（m）</w:t>
                  </w:r>
                </w:p>
              </w:tc>
              <w:tc>
                <w:tcPr>
                  <w:tcW w:w="1145" w:type="pct"/>
                  <w:gridSpan w:val="2"/>
                  <w:tcBorders>
                    <w:tl2br w:val="nil"/>
                    <w:tr2bl w:val="nil"/>
                  </w:tcBorders>
                  <w:noWrap w:val="0"/>
                  <w:vAlign w:val="center"/>
                </w:tcPr>
                <w:p w14:paraId="1ADBDAED">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3101" w:type="pct"/>
                  <w:gridSpan w:val="5"/>
                  <w:tcBorders>
                    <w:tl2br w:val="nil"/>
                    <w:tr2bl w:val="nil"/>
                  </w:tcBorders>
                  <w:noWrap w:val="0"/>
                  <w:vAlign w:val="center"/>
                </w:tcPr>
                <w:p w14:paraId="7D9C3EE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r>
            <w:tr w14:paraId="39C8D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0"/>
                  <w:vAlign w:val="center"/>
                </w:tcPr>
                <w:p w14:paraId="77F8DC40">
                  <w:pPr>
                    <w:adjustRightInd w:val="0"/>
                    <w:snapToGrid w:val="0"/>
                    <w:jc w:val="center"/>
                    <w:rPr>
                      <w:rFonts w:hint="default" w:ascii="Times New Roman" w:hAnsi="Times New Roman" w:eastAsia="宋体" w:cs="Times New Roman"/>
                      <w:color w:val="auto"/>
                      <w:szCs w:val="21"/>
                    </w:rPr>
                  </w:pPr>
                </w:p>
              </w:tc>
              <w:tc>
                <w:tcPr>
                  <w:tcW w:w="502" w:type="pct"/>
                  <w:tcBorders>
                    <w:tl2br w:val="nil"/>
                    <w:tr2bl w:val="nil"/>
                  </w:tcBorders>
                  <w:noWrap w:val="0"/>
                  <w:vAlign w:val="center"/>
                </w:tcPr>
                <w:p w14:paraId="3805736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排气筒内径（m）</w:t>
                  </w:r>
                </w:p>
              </w:tc>
              <w:tc>
                <w:tcPr>
                  <w:tcW w:w="1145" w:type="pct"/>
                  <w:gridSpan w:val="2"/>
                  <w:tcBorders>
                    <w:tl2br w:val="nil"/>
                    <w:tr2bl w:val="nil"/>
                  </w:tcBorders>
                  <w:noWrap w:val="0"/>
                  <w:vAlign w:val="center"/>
                </w:tcPr>
                <w:p w14:paraId="17D1D6B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3101" w:type="pct"/>
                  <w:gridSpan w:val="5"/>
                  <w:tcBorders>
                    <w:tl2br w:val="nil"/>
                    <w:tr2bl w:val="nil"/>
                  </w:tcBorders>
                  <w:noWrap w:val="0"/>
                  <w:vAlign w:val="center"/>
                </w:tcPr>
                <w:p w14:paraId="4988475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0.45</w:t>
                  </w:r>
                </w:p>
              </w:tc>
            </w:tr>
            <w:tr w14:paraId="7D7E2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0"/>
                  <w:vAlign w:val="center"/>
                </w:tcPr>
                <w:p w14:paraId="7726F66B">
                  <w:pPr>
                    <w:adjustRightInd w:val="0"/>
                    <w:snapToGrid w:val="0"/>
                    <w:jc w:val="center"/>
                    <w:rPr>
                      <w:rFonts w:hint="default" w:ascii="Times New Roman" w:hAnsi="Times New Roman" w:eastAsia="宋体" w:cs="Times New Roman"/>
                      <w:color w:val="auto"/>
                      <w:szCs w:val="21"/>
                    </w:rPr>
                  </w:pPr>
                </w:p>
              </w:tc>
              <w:tc>
                <w:tcPr>
                  <w:tcW w:w="502" w:type="pct"/>
                  <w:tcBorders>
                    <w:tl2br w:val="nil"/>
                    <w:tr2bl w:val="nil"/>
                  </w:tcBorders>
                  <w:noWrap w:val="0"/>
                  <w:vAlign w:val="center"/>
                </w:tcPr>
                <w:p w14:paraId="5458814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温度（℃）</w:t>
                  </w:r>
                </w:p>
              </w:tc>
              <w:tc>
                <w:tcPr>
                  <w:tcW w:w="1145" w:type="pct"/>
                  <w:gridSpan w:val="2"/>
                  <w:tcBorders>
                    <w:tl2br w:val="nil"/>
                    <w:tr2bl w:val="nil"/>
                  </w:tcBorders>
                  <w:noWrap w:val="0"/>
                  <w:vAlign w:val="center"/>
                </w:tcPr>
                <w:p w14:paraId="0E58063C">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3101" w:type="pct"/>
                  <w:gridSpan w:val="5"/>
                  <w:tcBorders>
                    <w:tl2br w:val="nil"/>
                    <w:tr2bl w:val="nil"/>
                  </w:tcBorders>
                  <w:noWrap w:val="0"/>
                  <w:vAlign w:val="center"/>
                </w:tcPr>
                <w:p w14:paraId="72B1D7A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r w14:paraId="4C7B4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0"/>
                  <w:vAlign w:val="center"/>
                </w:tcPr>
                <w:p w14:paraId="08A4016E">
                  <w:pPr>
                    <w:adjustRightInd w:val="0"/>
                    <w:snapToGrid w:val="0"/>
                    <w:jc w:val="center"/>
                    <w:rPr>
                      <w:rFonts w:hint="default" w:ascii="Times New Roman" w:hAnsi="Times New Roman" w:eastAsia="宋体" w:cs="Times New Roman"/>
                      <w:color w:val="auto"/>
                      <w:szCs w:val="21"/>
                    </w:rPr>
                  </w:pPr>
                </w:p>
              </w:tc>
              <w:tc>
                <w:tcPr>
                  <w:tcW w:w="502" w:type="pct"/>
                  <w:tcBorders>
                    <w:tl2br w:val="nil"/>
                    <w:tr2bl w:val="nil"/>
                  </w:tcBorders>
                  <w:noWrap w:val="0"/>
                  <w:vAlign w:val="center"/>
                </w:tcPr>
                <w:p w14:paraId="0346FED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编号及名称</w:t>
                  </w:r>
                </w:p>
              </w:tc>
              <w:tc>
                <w:tcPr>
                  <w:tcW w:w="1145" w:type="pct"/>
                  <w:gridSpan w:val="2"/>
                  <w:tcBorders>
                    <w:tl2br w:val="nil"/>
                    <w:tr2bl w:val="nil"/>
                  </w:tcBorders>
                  <w:noWrap w:val="0"/>
                  <w:vAlign w:val="center"/>
                </w:tcPr>
                <w:p w14:paraId="397A29D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101" w:type="pct"/>
                  <w:gridSpan w:val="5"/>
                  <w:tcBorders>
                    <w:tl2br w:val="nil"/>
                    <w:tr2bl w:val="nil"/>
                  </w:tcBorders>
                  <w:noWrap w:val="0"/>
                  <w:vAlign w:val="center"/>
                </w:tcPr>
                <w:p w14:paraId="0B4ABC8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DA002</w:t>
                  </w:r>
                </w:p>
              </w:tc>
            </w:tr>
            <w:tr w14:paraId="2041A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0"/>
                  <w:vAlign w:val="center"/>
                </w:tcPr>
                <w:p w14:paraId="39798219">
                  <w:pPr>
                    <w:adjustRightInd w:val="0"/>
                    <w:snapToGrid w:val="0"/>
                    <w:jc w:val="center"/>
                    <w:rPr>
                      <w:rFonts w:hint="default" w:ascii="Times New Roman" w:hAnsi="Times New Roman" w:eastAsia="宋体" w:cs="Times New Roman"/>
                      <w:color w:val="auto"/>
                      <w:szCs w:val="21"/>
                    </w:rPr>
                  </w:pPr>
                </w:p>
              </w:tc>
              <w:tc>
                <w:tcPr>
                  <w:tcW w:w="502" w:type="pct"/>
                  <w:tcBorders>
                    <w:tl2br w:val="nil"/>
                    <w:tr2bl w:val="nil"/>
                  </w:tcBorders>
                  <w:noWrap w:val="0"/>
                  <w:vAlign w:val="center"/>
                </w:tcPr>
                <w:p w14:paraId="5F14919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地理</w:t>
                  </w:r>
                </w:p>
                <w:p w14:paraId="00E8888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坐标（°）</w:t>
                  </w:r>
                </w:p>
              </w:tc>
              <w:tc>
                <w:tcPr>
                  <w:tcW w:w="1145" w:type="pct"/>
                  <w:gridSpan w:val="2"/>
                  <w:tcBorders>
                    <w:tl2br w:val="nil"/>
                    <w:tr2bl w:val="nil"/>
                  </w:tcBorders>
                  <w:noWrap w:val="0"/>
                  <w:vAlign w:val="center"/>
                </w:tcPr>
                <w:p w14:paraId="4357A370">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lang w:val="en-US" w:eastAsia="zh-CN"/>
                    </w:rPr>
                    <w:t>/</w:t>
                  </w:r>
                </w:p>
              </w:tc>
              <w:tc>
                <w:tcPr>
                  <w:tcW w:w="3101" w:type="pct"/>
                  <w:gridSpan w:val="5"/>
                  <w:tcBorders>
                    <w:tl2br w:val="nil"/>
                    <w:tr2bl w:val="nil"/>
                  </w:tcBorders>
                  <w:noWrap w:val="0"/>
                  <w:vAlign w:val="center"/>
                </w:tcPr>
                <w:p w14:paraId="5192B884">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东经</w:t>
                  </w:r>
                  <w:r>
                    <w:rPr>
                      <w:rFonts w:hint="eastAsia" w:ascii="Times New Roman" w:hAnsi="Times New Roman" w:eastAsia="宋体" w:cs="Times New Roman"/>
                      <w:color w:val="auto"/>
                      <w:sz w:val="21"/>
                      <w:szCs w:val="21"/>
                      <w:lang w:val="en-US" w:eastAsia="zh-CN"/>
                    </w:rPr>
                    <w:t>107.425620122</w:t>
                  </w:r>
                  <w:r>
                    <w:rPr>
                      <w:rFonts w:hint="eastAsia" w:cs="Times New Roman"/>
                      <w:color w:val="auto"/>
                      <w:sz w:val="21"/>
                      <w:szCs w:val="21"/>
                      <w:lang w:val="en-US" w:eastAsia="zh-CN"/>
                    </w:rPr>
                    <w:t>，北纬</w:t>
                  </w:r>
                  <w:r>
                    <w:rPr>
                      <w:rFonts w:hint="eastAsia" w:ascii="Times New Roman" w:hAnsi="Times New Roman" w:eastAsia="宋体" w:cs="Times New Roman"/>
                      <w:color w:val="auto"/>
                      <w:sz w:val="21"/>
                      <w:szCs w:val="21"/>
                      <w:lang w:val="en-US" w:eastAsia="zh-CN"/>
                    </w:rPr>
                    <w:t>34.350869421</w:t>
                  </w:r>
                </w:p>
              </w:tc>
            </w:tr>
            <w:tr w14:paraId="5153C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pct"/>
                  <w:gridSpan w:val="2"/>
                  <w:tcBorders>
                    <w:tl2br w:val="nil"/>
                    <w:tr2bl w:val="nil"/>
                  </w:tcBorders>
                  <w:noWrap w:val="0"/>
                  <w:vAlign w:val="center"/>
                </w:tcPr>
                <w:p w14:paraId="59E3A61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排放标准</w:t>
                  </w:r>
                </w:p>
              </w:tc>
              <w:tc>
                <w:tcPr>
                  <w:tcW w:w="1145" w:type="pct"/>
                  <w:gridSpan w:val="2"/>
                  <w:tcBorders>
                    <w:tl2br w:val="nil"/>
                    <w:tr2bl w:val="nil"/>
                  </w:tcBorders>
                  <w:noWrap w:val="0"/>
                  <w:vAlign w:val="center"/>
                </w:tcPr>
                <w:p w14:paraId="7DAAF6AA">
                  <w:pPr>
                    <w:adjustRightInd w:val="0"/>
                    <w:snapToGrid w:val="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《大气污染物综合排放标准》（GB16297-1996）</w:t>
                  </w:r>
                  <w:r>
                    <w:rPr>
                      <w:rFonts w:hint="eastAsia" w:cs="Times New Roman"/>
                      <w:color w:val="auto"/>
                      <w:szCs w:val="21"/>
                      <w:lang w:val="en-US" w:eastAsia="zh-CN"/>
                    </w:rPr>
                    <w:t>无组织（</w:t>
                  </w:r>
                  <w:r>
                    <w:rPr>
                      <w:rFonts w:hint="eastAsia" w:ascii="Times New Roman" w:hAnsi="Times New Roman" w:eastAsia="宋体" w:cs="Times New Roman"/>
                      <w:color w:val="auto"/>
                      <w:sz w:val="21"/>
                      <w:szCs w:val="21"/>
                      <w:lang w:val="en-US" w:eastAsia="zh-CN"/>
                    </w:rPr>
                    <w:t>排放浓度</w:t>
                  </w:r>
                  <w:r>
                    <w:rPr>
                      <w:rFonts w:hint="eastAsia" w:cs="Times New Roman"/>
                      <w:b w:val="0"/>
                      <w:bCs/>
                      <w:color w:val="auto"/>
                      <w:sz w:val="21"/>
                      <w:szCs w:val="21"/>
                      <w:lang w:val="en-US" w:eastAsia="zh-CN"/>
                    </w:rPr>
                    <w:t>1.0mg/m</w:t>
                  </w:r>
                  <w:r>
                    <w:rPr>
                      <w:rFonts w:hint="eastAsia" w:cs="Times New Roman"/>
                      <w:b w:val="0"/>
                      <w:bCs/>
                      <w:color w:val="auto"/>
                      <w:sz w:val="21"/>
                      <w:szCs w:val="21"/>
                      <w:vertAlign w:val="superscript"/>
                      <w:lang w:val="en-US" w:eastAsia="zh-CN"/>
                    </w:rPr>
                    <w:t>3</w:t>
                  </w:r>
                  <w:r>
                    <w:rPr>
                      <w:rFonts w:hint="eastAsia" w:cs="Times New Roman"/>
                      <w:color w:val="auto"/>
                      <w:szCs w:val="21"/>
                      <w:lang w:val="en-US" w:eastAsia="zh-CN"/>
                    </w:rPr>
                    <w:t>）</w:t>
                  </w:r>
                </w:p>
              </w:tc>
              <w:tc>
                <w:tcPr>
                  <w:tcW w:w="1571" w:type="pct"/>
                  <w:gridSpan w:val="2"/>
                  <w:tcBorders>
                    <w:tl2br w:val="nil"/>
                    <w:tr2bl w:val="nil"/>
                  </w:tcBorders>
                  <w:noWrap w:val="0"/>
                  <w:vAlign w:val="center"/>
                </w:tcPr>
                <w:p w14:paraId="075288CB">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有组织需满足</w:t>
                  </w:r>
                  <w:r>
                    <w:rPr>
                      <w:rFonts w:hint="default" w:ascii="Times New Roman" w:hAnsi="Times New Roman" w:eastAsia="宋体" w:cs="Times New Roman"/>
                      <w:color w:val="auto"/>
                      <w:szCs w:val="21"/>
                    </w:rPr>
                    <w:t>《挥发性有机物排放控制标准》（DB61/T1061-2017）（排放浓度为50mg/m3），同时需满足《重污染天气重点行业应急减排措施制定技术指南》（环办大气函</w:t>
                  </w:r>
                  <w:r>
                    <w:rPr>
                      <w:rFonts w:hint="eastAsia" w:cs="Times New Roman"/>
                      <w:color w:val="auto"/>
                      <w:szCs w:val="21"/>
                      <w:lang w:eastAsia="zh-CN"/>
                    </w:rPr>
                    <w:t>〔2020〕</w:t>
                  </w:r>
                  <w:r>
                    <w:rPr>
                      <w:rFonts w:hint="default" w:ascii="Times New Roman" w:hAnsi="Times New Roman" w:eastAsia="宋体" w:cs="Times New Roman"/>
                      <w:color w:val="auto"/>
                      <w:szCs w:val="21"/>
                    </w:rPr>
                    <w:t>340号）中工业涂装A级企业“排放限值”要求（20mg/m3—30mg/m3）</w:t>
                  </w:r>
                  <w:r>
                    <w:rPr>
                      <w:rFonts w:hint="eastAsia" w:cs="Times New Roman"/>
                      <w:color w:val="auto"/>
                      <w:szCs w:val="21"/>
                      <w:lang w:eastAsia="zh-CN"/>
                    </w:rPr>
                    <w:t>；</w:t>
                  </w:r>
                  <w:r>
                    <w:rPr>
                      <w:rFonts w:hint="eastAsia" w:cs="Times New Roman"/>
                      <w:color w:val="auto"/>
                      <w:szCs w:val="21"/>
                      <w:lang w:val="en-US" w:eastAsia="zh-CN"/>
                    </w:rPr>
                    <w:t>无组织需满足</w:t>
                  </w:r>
                  <w:r>
                    <w:rPr>
                      <w:rFonts w:hint="default" w:ascii="Times New Roman" w:hAnsi="Times New Roman" w:eastAsia="宋体" w:cs="Times New Roman"/>
                      <w:color w:val="auto"/>
                      <w:szCs w:val="21"/>
                      <w:lang w:val="en-US" w:eastAsia="zh-CN"/>
                    </w:rPr>
                    <w:t>《挥发性有机物无组织排放控制标准》（GB37822-2019），同时需满足《重污染天气重点行业应急减排措施制定技术指南》（环办大气函</w:t>
                  </w:r>
                  <w:r>
                    <w:rPr>
                      <w:rFonts w:hint="eastAsia" w:cs="Times New Roman"/>
                      <w:color w:val="auto"/>
                      <w:szCs w:val="21"/>
                      <w:lang w:val="en-US" w:eastAsia="zh-CN"/>
                    </w:rPr>
                    <w:t>〔2020〕</w:t>
                  </w:r>
                  <w:r>
                    <w:rPr>
                      <w:rFonts w:hint="default" w:ascii="Times New Roman" w:hAnsi="Times New Roman" w:eastAsia="宋体" w:cs="Times New Roman"/>
                      <w:color w:val="auto"/>
                      <w:szCs w:val="21"/>
                      <w:lang w:val="en-US" w:eastAsia="zh-CN"/>
                    </w:rPr>
                    <w:t>340号）中工业涂装A级企业“排放限值”要求（排放浓度为6mg/</w:t>
                  </w:r>
                  <w:r>
                    <w:rPr>
                      <w:rFonts w:hint="eastAsia" w:ascii="Times New Roman" w:hAnsi="Times New Roman" w:eastAsia="宋体" w:cs="Times New Roman"/>
                      <w:color w:val="auto"/>
                      <w:szCs w:val="21"/>
                      <w:lang w:val="en-US" w:eastAsia="zh-CN"/>
                    </w:rPr>
                    <w:t>m³</w:t>
                  </w:r>
                  <w:r>
                    <w:rPr>
                      <w:rFonts w:hint="default" w:ascii="Times New Roman" w:hAnsi="Times New Roman" w:eastAsia="宋体" w:cs="Times New Roman"/>
                      <w:color w:val="auto"/>
                      <w:szCs w:val="21"/>
                      <w:lang w:val="en-US" w:eastAsia="zh-CN"/>
                    </w:rPr>
                    <w:t>、任意一次浓度值不超过20mg/</w:t>
                  </w:r>
                  <w:r>
                    <w:rPr>
                      <w:rFonts w:hint="eastAsia" w:ascii="Times New Roman" w:hAnsi="Times New Roman" w:eastAsia="宋体" w:cs="Times New Roman"/>
                      <w:color w:val="auto"/>
                      <w:szCs w:val="21"/>
                      <w:lang w:val="en-US" w:eastAsia="zh-CN"/>
                    </w:rPr>
                    <w:t>m³</w:t>
                  </w:r>
                  <w:r>
                    <w:rPr>
                      <w:rFonts w:hint="default" w:ascii="Times New Roman" w:hAnsi="Times New Roman" w:eastAsia="宋体" w:cs="Times New Roman"/>
                      <w:color w:val="auto"/>
                      <w:szCs w:val="21"/>
                      <w:lang w:val="en-US" w:eastAsia="zh-CN"/>
                    </w:rPr>
                    <w:t>。）</w:t>
                  </w:r>
                </w:p>
              </w:tc>
              <w:tc>
                <w:tcPr>
                  <w:tcW w:w="1529" w:type="pct"/>
                  <w:gridSpan w:val="3"/>
                  <w:tcBorders>
                    <w:tl2br w:val="nil"/>
                    <w:tr2bl w:val="nil"/>
                  </w:tcBorders>
                  <w:noWrap w:val="0"/>
                  <w:vAlign w:val="center"/>
                </w:tcPr>
                <w:p w14:paraId="200B1A6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kern w:val="0"/>
                      <w:sz w:val="21"/>
                      <w:szCs w:val="21"/>
                    </w:rPr>
                    <w:t>《</w:t>
                  </w:r>
                  <w:r>
                    <w:rPr>
                      <w:rFonts w:hint="default" w:ascii="Times New Roman" w:hAnsi="Times New Roman" w:eastAsia="宋体" w:cs="Times New Roman"/>
                      <w:bCs/>
                      <w:color w:val="auto"/>
                      <w:kern w:val="0"/>
                      <w:sz w:val="21"/>
                      <w:szCs w:val="21"/>
                      <w:lang w:eastAsia="zh-CN"/>
                    </w:rPr>
                    <w:t>工业炉窑大气污染综合治理方案</w:t>
                  </w:r>
                  <w:r>
                    <w:rPr>
                      <w:rFonts w:hint="default" w:ascii="Times New Roman" w:hAnsi="Times New Roman" w:eastAsia="宋体" w:cs="Times New Roman"/>
                      <w:bCs/>
                      <w:color w:val="auto"/>
                      <w:kern w:val="0"/>
                      <w:sz w:val="21"/>
                      <w:szCs w:val="21"/>
                    </w:rPr>
                    <w:t>》</w:t>
                  </w:r>
                  <w:r>
                    <w:rPr>
                      <w:rFonts w:hint="eastAsia" w:ascii="Times New Roman" w:hAnsi="Times New Roman" w:eastAsia="宋体" w:cs="Times New Roman"/>
                      <w:bCs/>
                      <w:color w:val="auto"/>
                      <w:kern w:val="0"/>
                      <w:sz w:val="21"/>
                      <w:szCs w:val="21"/>
                      <w:lang w:eastAsia="zh-CN"/>
                    </w:rPr>
                    <w:t>（</w:t>
                  </w:r>
                  <w:r>
                    <w:rPr>
                      <w:rFonts w:hint="eastAsia" w:ascii="Times New Roman" w:hAnsi="Times New Roman" w:eastAsia="宋体" w:cs="Times New Roman"/>
                      <w:bCs/>
                      <w:color w:val="auto"/>
                      <w:kern w:val="0"/>
                      <w:sz w:val="21"/>
                      <w:szCs w:val="21"/>
                      <w:lang w:val="en-US" w:eastAsia="zh-CN"/>
                    </w:rPr>
                    <w:t>环大气</w:t>
                  </w:r>
                  <w:r>
                    <w:rPr>
                      <w:rFonts w:hint="eastAsia" w:cs="Times New Roman"/>
                      <w:bCs/>
                      <w:color w:val="auto"/>
                      <w:kern w:val="0"/>
                      <w:sz w:val="21"/>
                      <w:szCs w:val="21"/>
                      <w:lang w:val="en-US" w:eastAsia="zh-CN"/>
                    </w:rPr>
                    <w:t>〔2019〕56号</w:t>
                  </w:r>
                  <w:r>
                    <w:rPr>
                      <w:rFonts w:hint="eastAsia" w:ascii="Times New Roman" w:hAnsi="Times New Roman" w:eastAsia="宋体" w:cs="Times New Roman"/>
                      <w:bCs/>
                      <w:color w:val="auto"/>
                      <w:kern w:val="0"/>
                      <w:sz w:val="21"/>
                      <w:szCs w:val="21"/>
                      <w:lang w:eastAsia="zh-CN"/>
                    </w:rPr>
                    <w:t>）</w:t>
                  </w:r>
                  <w:r>
                    <w:rPr>
                      <w:rFonts w:hint="default" w:ascii="Times New Roman" w:hAnsi="Times New Roman" w:eastAsia="宋体" w:cs="Times New Roman"/>
                      <w:bCs/>
                      <w:color w:val="auto"/>
                      <w:kern w:val="0"/>
                      <w:sz w:val="21"/>
                      <w:szCs w:val="21"/>
                      <w:lang w:eastAsia="zh-CN"/>
                    </w:rPr>
                    <w:t>中</w:t>
                  </w:r>
                  <w:r>
                    <w:rPr>
                      <w:rFonts w:hint="eastAsia" w:ascii="Times New Roman" w:hAnsi="Times New Roman" w:eastAsia="宋体" w:cs="Times New Roman"/>
                      <w:bCs/>
                      <w:color w:val="auto"/>
                      <w:kern w:val="0"/>
                      <w:sz w:val="21"/>
                      <w:szCs w:val="21"/>
                      <w:lang w:val="en-US" w:eastAsia="zh-CN"/>
                    </w:rPr>
                    <w:t>相应管控要求（</w:t>
                  </w:r>
                  <w:r>
                    <w:rPr>
                      <w:rFonts w:hint="eastAsia" w:ascii="Times New Roman" w:hAnsi="Times New Roman" w:cs="Times New Roman"/>
                      <w:color w:val="auto"/>
                      <w:sz w:val="21"/>
                      <w:szCs w:val="21"/>
                      <w:lang w:val="en-US" w:eastAsia="zh-CN"/>
                    </w:rPr>
                    <w:t>颗粒物</w:t>
                  </w:r>
                  <w:r>
                    <w:rPr>
                      <w:rFonts w:hint="eastAsia" w:ascii="Times New Roman" w:hAnsi="Times New Roman" w:eastAsia="宋体" w:cs="Times New Roman"/>
                      <w:color w:val="auto"/>
                      <w:sz w:val="21"/>
                      <w:szCs w:val="21"/>
                      <w:lang w:val="en-US" w:eastAsia="zh-CN"/>
                    </w:rPr>
                    <w:t>排放浓度</w:t>
                  </w:r>
                  <w:r>
                    <w:rPr>
                      <w:rFonts w:hint="eastAsia" w:ascii="Times New Roman" w:hAnsi="Times New Roman" w:cs="Times New Roman"/>
                      <w:color w:val="auto"/>
                      <w:sz w:val="21"/>
                      <w:szCs w:val="21"/>
                      <w:lang w:val="en-US" w:eastAsia="zh-CN"/>
                    </w:rPr>
                    <w:t>为30mg/m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排放浓度为</w:t>
                  </w:r>
                  <w:r>
                    <w:rPr>
                      <w:rFonts w:hint="eastAsia" w:ascii="Times New Roman" w:hAnsi="Times New Roman" w:cs="Times New Roman"/>
                      <w:color w:val="auto"/>
                      <w:sz w:val="21"/>
                      <w:szCs w:val="21"/>
                      <w:lang w:val="en-US" w:eastAsia="zh-CN"/>
                    </w:rPr>
                    <w:t>200mg/m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，NOx</w:t>
                  </w:r>
                  <w:r>
                    <w:rPr>
                      <w:rFonts w:hint="eastAsia" w:ascii="Times New Roman" w:hAnsi="Times New Roman" w:eastAsia="宋体" w:cs="Times New Roman"/>
                      <w:color w:val="auto"/>
                      <w:sz w:val="21"/>
                      <w:szCs w:val="21"/>
                      <w:lang w:val="en-US" w:eastAsia="zh-CN"/>
                    </w:rPr>
                    <w:t>排放浓度为</w:t>
                  </w:r>
                  <w:r>
                    <w:rPr>
                      <w:rFonts w:hint="eastAsia" w:ascii="Times New Roman" w:hAnsi="Times New Roman" w:cs="Times New Roman"/>
                      <w:color w:val="auto"/>
                      <w:sz w:val="21"/>
                      <w:szCs w:val="21"/>
                      <w:lang w:val="en-US" w:eastAsia="zh-CN"/>
                    </w:rPr>
                    <w:t>300mg/m</w:t>
                  </w:r>
                  <w:r>
                    <w:rPr>
                      <w:rFonts w:hint="eastAsia" w:ascii="Times New Roman" w:hAnsi="Times New Roman" w:eastAsia="宋体" w:cs="Times New Roman"/>
                      <w:bCs/>
                      <w:color w:val="auto"/>
                      <w:kern w:val="0"/>
                      <w:sz w:val="21"/>
                      <w:szCs w:val="21"/>
                      <w:lang w:val="en-US" w:eastAsia="zh-CN"/>
                    </w:rPr>
                    <w:t>）</w:t>
                  </w:r>
                  <w:r>
                    <w:rPr>
                      <w:rFonts w:hint="eastAsia" w:cs="Times New Roman"/>
                      <w:bCs/>
                      <w:color w:val="auto"/>
                      <w:kern w:val="0"/>
                      <w:sz w:val="21"/>
                      <w:szCs w:val="21"/>
                      <w:lang w:val="en-US" w:eastAsia="zh-CN"/>
                    </w:rPr>
                    <w:t>；林格曼黑度需满足</w:t>
                  </w:r>
                  <w:r>
                    <w:rPr>
                      <w:rFonts w:hint="default" w:ascii="Times New Roman" w:hAnsi="Times New Roman" w:eastAsia="宋体" w:cs="Times New Roman"/>
                      <w:color w:val="auto"/>
                      <w:szCs w:val="21"/>
                    </w:rPr>
                    <w:t>《工业窑炉大气污染物排放标准</w:t>
                  </w:r>
                  <w:r>
                    <w:rPr>
                      <w:rFonts w:hint="eastAsia" w:cs="Times New Roman"/>
                      <w:color w:val="auto"/>
                      <w:szCs w:val="21"/>
                      <w:lang w:eastAsia="zh-CN"/>
                    </w:rPr>
                    <w:t>》</w:t>
                  </w:r>
                  <w:r>
                    <w:rPr>
                      <w:rFonts w:hint="default" w:ascii="Times New Roman" w:hAnsi="Times New Roman" w:eastAsia="宋体" w:cs="Times New Roman"/>
                      <w:color w:val="auto"/>
                      <w:szCs w:val="21"/>
                    </w:rPr>
                    <w:t>（GB9078-1996）表2二级排放标准限值要求</w:t>
                  </w:r>
                  <w:r>
                    <w:rPr>
                      <w:rFonts w:hint="eastAsia" w:ascii="Times New Roman" w:hAnsi="Times New Roman" w:eastAsia="宋体" w:cs="Times New Roman"/>
                      <w:color w:val="auto"/>
                      <w:szCs w:val="21"/>
                      <w:lang w:eastAsia="zh-CN"/>
                    </w:rPr>
                    <w:t>（</w:t>
                  </w:r>
                  <w:r>
                    <w:rPr>
                      <w:rFonts w:hint="eastAsia" w:ascii="Times New Roman" w:hAnsi="Times New Roman" w:cs="Times New Roman"/>
                      <w:color w:val="auto"/>
                      <w:sz w:val="21"/>
                      <w:szCs w:val="21"/>
                      <w:lang w:val="en-US" w:eastAsia="zh-CN"/>
                    </w:rPr>
                    <w:t>林格曼黑度</w:t>
                  </w:r>
                  <w:r>
                    <w:rPr>
                      <w:rFonts w:hint="default" w:ascii="Times New Roman" w:hAnsi="Times New Roman" w:eastAsia="宋体" w:cs="Times New Roman"/>
                      <w:color w:val="auto"/>
                      <w:sz w:val="21"/>
                      <w:szCs w:val="21"/>
                      <w:lang w:eastAsia="zh-CN"/>
                    </w:rPr>
                    <w:t>≤1</w:t>
                  </w:r>
                  <w:r>
                    <w:rPr>
                      <w:rFonts w:hint="eastAsia" w:ascii="Times New Roman" w:hAnsi="Times New Roman" w:eastAsia="宋体" w:cs="Times New Roman"/>
                      <w:color w:val="auto"/>
                      <w:szCs w:val="21"/>
                      <w:lang w:eastAsia="zh-CN"/>
                    </w:rPr>
                    <w:t>）</w:t>
                  </w:r>
                </w:p>
              </w:tc>
            </w:tr>
            <w:tr w14:paraId="7BA63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restart"/>
                  <w:tcBorders>
                    <w:tl2br w:val="nil"/>
                    <w:tr2bl w:val="nil"/>
                  </w:tcBorders>
                  <w:noWrap w:val="0"/>
                  <w:vAlign w:val="center"/>
                </w:tcPr>
                <w:p w14:paraId="48D6037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6CB8FBE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要求</w:t>
                  </w:r>
                </w:p>
              </w:tc>
              <w:tc>
                <w:tcPr>
                  <w:tcW w:w="502" w:type="pct"/>
                  <w:tcBorders>
                    <w:tl2br w:val="nil"/>
                    <w:tr2bl w:val="nil"/>
                  </w:tcBorders>
                  <w:noWrap w:val="0"/>
                  <w:vAlign w:val="center"/>
                </w:tcPr>
                <w:p w14:paraId="0F11D21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371B94E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点位</w:t>
                  </w:r>
                </w:p>
              </w:tc>
              <w:tc>
                <w:tcPr>
                  <w:tcW w:w="4246" w:type="pct"/>
                  <w:gridSpan w:val="7"/>
                  <w:tcBorders>
                    <w:tl2br w:val="nil"/>
                    <w:tr2bl w:val="nil"/>
                  </w:tcBorders>
                  <w:noWrap w:val="0"/>
                  <w:vAlign w:val="center"/>
                </w:tcPr>
                <w:p w14:paraId="1B63D65D">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有组织：</w:t>
                  </w:r>
                  <w:r>
                    <w:rPr>
                      <w:rFonts w:hint="default" w:ascii="Times New Roman" w:hAnsi="Times New Roman" w:eastAsia="宋体" w:cs="Times New Roman"/>
                      <w:color w:val="auto"/>
                      <w:szCs w:val="21"/>
                    </w:rPr>
                    <w:t>DA00</w:t>
                  </w:r>
                  <w:r>
                    <w:rPr>
                      <w:rFonts w:hint="eastAsia" w:ascii="Times New Roman" w:hAnsi="Times New Roman" w:eastAsia="宋体" w:cs="Times New Roman"/>
                      <w:color w:val="auto"/>
                      <w:szCs w:val="21"/>
                      <w:lang w:val="en-US" w:eastAsia="zh-CN"/>
                    </w:rPr>
                    <w:t>2</w:t>
                  </w:r>
                  <w:r>
                    <w:rPr>
                      <w:rFonts w:hint="eastAsia" w:cs="Times New Roman"/>
                      <w:color w:val="auto"/>
                      <w:szCs w:val="21"/>
                      <w:lang w:val="en-US" w:eastAsia="zh-CN"/>
                    </w:rPr>
                    <w:t>进</w:t>
                  </w:r>
                  <w:r>
                    <w:rPr>
                      <w:rFonts w:hint="default" w:ascii="Times New Roman" w:hAnsi="Times New Roman" w:eastAsia="宋体" w:cs="Times New Roman"/>
                      <w:color w:val="auto"/>
                      <w:szCs w:val="21"/>
                    </w:rPr>
                    <w:t>出口</w:t>
                  </w:r>
                  <w:r>
                    <w:rPr>
                      <w:rFonts w:hint="eastAsia" w:cs="Times New Roman"/>
                      <w:color w:val="auto"/>
                      <w:szCs w:val="21"/>
                      <w:lang w:eastAsia="zh-CN"/>
                    </w:rPr>
                    <w:t>（</w:t>
                  </w:r>
                  <w:r>
                    <w:rPr>
                      <w:rFonts w:hint="eastAsia" w:cs="Times New Roman"/>
                      <w:color w:val="auto"/>
                      <w:szCs w:val="21"/>
                      <w:lang w:val="en-US" w:eastAsia="zh-CN"/>
                    </w:rPr>
                    <w:t>非甲烷总烃、颗粒物、二氧化硫、氮氧化物、林格曼黑度</w:t>
                  </w:r>
                  <w:r>
                    <w:rPr>
                      <w:rFonts w:hint="eastAsia" w:cs="Times New Roman"/>
                      <w:color w:val="auto"/>
                      <w:szCs w:val="21"/>
                      <w:lang w:eastAsia="zh-CN"/>
                    </w:rPr>
                    <w:t>）</w:t>
                  </w:r>
                </w:p>
                <w:p w14:paraId="21207B7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无组织：</w:t>
                  </w:r>
                  <w:r>
                    <w:rPr>
                      <w:rFonts w:hint="eastAsia" w:cs="Times New Roman"/>
                      <w:color w:val="auto"/>
                      <w:szCs w:val="21"/>
                      <w:lang w:val="en-US" w:eastAsia="zh-CN"/>
                    </w:rPr>
                    <w:t>颗粒物、非甲烷总烃在</w:t>
                  </w:r>
                  <w:r>
                    <w:rPr>
                      <w:rFonts w:hint="default" w:ascii="Times New Roman" w:hAnsi="Times New Roman" w:eastAsia="宋体" w:cs="Times New Roman"/>
                      <w:color w:val="auto"/>
                      <w:szCs w:val="21"/>
                    </w:rPr>
                    <w:t>厂界上风向1处，下风向3处</w:t>
                  </w:r>
                  <w:r>
                    <w:rPr>
                      <w:rFonts w:hint="eastAsia" w:cs="Times New Roman"/>
                      <w:color w:val="auto"/>
                      <w:szCs w:val="21"/>
                      <w:lang w:eastAsia="zh-CN"/>
                    </w:rPr>
                    <w:t>；</w:t>
                  </w:r>
                  <w:r>
                    <w:rPr>
                      <w:rFonts w:hint="eastAsia" w:cs="Times New Roman"/>
                      <w:color w:val="auto"/>
                      <w:szCs w:val="21"/>
                      <w:lang w:val="en-US" w:eastAsia="zh-CN"/>
                    </w:rPr>
                    <w:t>非甲烷总烃需在厂界设置监测点，还需在</w:t>
                  </w:r>
                  <w:r>
                    <w:rPr>
                      <w:rFonts w:hint="eastAsia" w:ascii="Times New Roman" w:hAnsi="Times New Roman" w:eastAsia="宋体" w:cs="Times New Roman"/>
                      <w:color w:val="auto"/>
                      <w:szCs w:val="21"/>
                      <w:lang w:val="en-US" w:eastAsia="zh-CN"/>
                    </w:rPr>
                    <w:t>厂区内，厂房外设置监控点</w:t>
                  </w:r>
                </w:p>
              </w:tc>
            </w:tr>
            <w:tr w14:paraId="16F90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0"/>
                  <w:vAlign w:val="center"/>
                </w:tcPr>
                <w:p w14:paraId="698767A4">
                  <w:pPr>
                    <w:adjustRightInd w:val="0"/>
                    <w:snapToGrid w:val="0"/>
                    <w:jc w:val="center"/>
                    <w:rPr>
                      <w:rFonts w:hint="default" w:ascii="Times New Roman" w:hAnsi="Times New Roman" w:eastAsia="宋体" w:cs="Times New Roman"/>
                      <w:color w:val="auto"/>
                      <w:szCs w:val="21"/>
                    </w:rPr>
                  </w:pPr>
                </w:p>
              </w:tc>
              <w:tc>
                <w:tcPr>
                  <w:tcW w:w="502" w:type="pct"/>
                  <w:tcBorders>
                    <w:tl2br w:val="nil"/>
                    <w:tr2bl w:val="nil"/>
                  </w:tcBorders>
                  <w:noWrap w:val="0"/>
                  <w:vAlign w:val="center"/>
                </w:tcPr>
                <w:p w14:paraId="7B53A1C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314A25F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因子</w:t>
                  </w:r>
                </w:p>
              </w:tc>
              <w:tc>
                <w:tcPr>
                  <w:tcW w:w="4246" w:type="pct"/>
                  <w:gridSpan w:val="7"/>
                  <w:tcBorders>
                    <w:tl2br w:val="nil"/>
                    <w:tr2bl w:val="nil"/>
                  </w:tcBorders>
                  <w:noWrap w:val="0"/>
                  <w:vAlign w:val="center"/>
                </w:tcPr>
                <w:p w14:paraId="0291F38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r>
                    <w:rPr>
                      <w:rFonts w:hint="eastAsia" w:ascii="Times New Roman" w:hAnsi="Times New Roman" w:eastAsia="宋体" w:cs="Times New Roman"/>
                      <w:color w:val="auto"/>
                      <w:szCs w:val="21"/>
                      <w:lang w:eastAsia="zh-CN"/>
                    </w:rPr>
                    <w:t>颗粒物、</w:t>
                  </w:r>
                  <w:r>
                    <w:rPr>
                      <w:rFonts w:hint="eastAsia" w:ascii="Times New Roman" w:hAnsi="Times New Roman" w:eastAsia="宋体" w:cs="Times New Roman"/>
                      <w:color w:val="auto"/>
                      <w:szCs w:val="21"/>
                      <w:lang w:val="en-US" w:eastAsia="zh-CN"/>
                    </w:rPr>
                    <w:t>二氧化硫、氮氧化物</w:t>
                  </w:r>
                </w:p>
              </w:tc>
            </w:tr>
            <w:tr w14:paraId="55EC9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vMerge w:val="continue"/>
                  <w:tcBorders>
                    <w:tl2br w:val="nil"/>
                    <w:tr2bl w:val="nil"/>
                  </w:tcBorders>
                  <w:noWrap w:val="0"/>
                  <w:vAlign w:val="center"/>
                </w:tcPr>
                <w:p w14:paraId="447A2F85">
                  <w:pPr>
                    <w:adjustRightInd w:val="0"/>
                    <w:snapToGrid w:val="0"/>
                    <w:jc w:val="center"/>
                    <w:rPr>
                      <w:rFonts w:hint="default" w:ascii="Times New Roman" w:hAnsi="Times New Roman" w:eastAsia="宋体" w:cs="Times New Roman"/>
                      <w:color w:val="auto"/>
                      <w:szCs w:val="21"/>
                    </w:rPr>
                  </w:pPr>
                </w:p>
              </w:tc>
              <w:tc>
                <w:tcPr>
                  <w:tcW w:w="502" w:type="pct"/>
                  <w:tcBorders>
                    <w:tl2br w:val="nil"/>
                    <w:tr2bl w:val="nil"/>
                  </w:tcBorders>
                  <w:noWrap w:val="0"/>
                  <w:vAlign w:val="center"/>
                </w:tcPr>
                <w:p w14:paraId="07503CA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1FA5174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频次</w:t>
                  </w:r>
                </w:p>
              </w:tc>
              <w:tc>
                <w:tcPr>
                  <w:tcW w:w="4246" w:type="pct"/>
                  <w:gridSpan w:val="7"/>
                  <w:tcBorders>
                    <w:tl2br w:val="nil"/>
                    <w:tr2bl w:val="nil"/>
                  </w:tcBorders>
                  <w:noWrap w:val="0"/>
                  <w:vAlign w:val="center"/>
                </w:tcPr>
                <w:p w14:paraId="56C6AF5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r>
          </w:tbl>
          <w:p w14:paraId="4A0A567C">
            <w:pPr>
              <w:keepNext/>
              <w:keepLines/>
              <w:pageBreakBefore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eastAsia="zh-CN"/>
              </w:rPr>
              <w:t>）污染源源强核算过程</w:t>
            </w:r>
          </w:p>
          <w:p w14:paraId="7E9F1EAB">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lang w:eastAsia="zh-CN"/>
              </w:rPr>
            </w:pPr>
            <w:r>
              <w:rPr>
                <w:rFonts w:hint="eastAsia" w:ascii="Times New Roman" w:hAnsi="Times New Roman" w:eastAsia="宋体" w:cs="Times New Roman"/>
                <w:b/>
                <w:bCs/>
                <w:color w:val="auto"/>
                <w:sz w:val="24"/>
                <w:lang w:eastAsia="zh-CN"/>
              </w:rPr>
              <w:t>①抛丸废气（含钢丸废气）</w:t>
            </w:r>
          </w:p>
          <w:p w14:paraId="7E43DB67">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根据《排放源统计调查产排污核算方法和系数手册》中的《33 金属制品业、34 通用设备制造业、35 专用设备制造业、36 汽车制造业、37 铁路、船舶、航空航天和其他运输设备制造业、431 金属制品修理、432 通用设备修理、433 专用设备修理、434 铁路、船舶、航空航天等运输设备修理（不包括电镀工艺）行业系数手册》中“干式预处理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抛丸、喷砂、打磨、滚筒”，确定预处理过程颗粒物的产污系数为2.19千克/吨</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原料。</w:t>
            </w:r>
          </w:p>
          <w:p w14:paraId="08AE2740">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w:t>
            </w:r>
            <w:r>
              <w:rPr>
                <w:rFonts w:hint="eastAsia" w:cs="Times New Roman"/>
                <w:color w:val="auto"/>
                <w:sz w:val="24"/>
                <w:lang w:val="en-US" w:eastAsia="zh-CN"/>
              </w:rPr>
              <w:t>建成</w:t>
            </w:r>
            <w:r>
              <w:rPr>
                <w:rFonts w:hint="eastAsia" w:ascii="Times New Roman" w:hAnsi="Times New Roman" w:eastAsia="宋体" w:cs="Times New Roman"/>
                <w:color w:val="auto"/>
                <w:sz w:val="24"/>
                <w:lang w:val="en-US" w:eastAsia="zh-CN"/>
              </w:rPr>
              <w:t>后</w:t>
            </w:r>
            <w:r>
              <w:rPr>
                <w:rFonts w:hint="eastAsia" w:ascii="Times New Roman" w:hAnsi="Times New Roman" w:eastAsia="宋体" w:cs="Times New Roman"/>
                <w:color w:val="auto"/>
                <w:sz w:val="24"/>
                <w:lang w:eastAsia="zh-CN"/>
              </w:rPr>
              <w:t>钢板</w:t>
            </w:r>
            <w:r>
              <w:rPr>
                <w:rFonts w:hint="eastAsia" w:ascii="Times New Roman" w:hAnsi="Times New Roman" w:eastAsia="宋体" w:cs="Times New Roman"/>
                <w:color w:val="auto"/>
                <w:sz w:val="24"/>
                <w:lang w:val="en-US" w:eastAsia="zh-CN"/>
              </w:rPr>
              <w:t>和铝板</w:t>
            </w:r>
            <w:r>
              <w:rPr>
                <w:rFonts w:hint="eastAsia" w:ascii="Times New Roman" w:hAnsi="Times New Roman" w:eastAsia="宋体" w:cs="Times New Roman"/>
                <w:color w:val="auto"/>
                <w:sz w:val="24"/>
                <w:lang w:eastAsia="zh-CN"/>
              </w:rPr>
              <w:t>加工量为</w:t>
            </w:r>
            <w:r>
              <w:rPr>
                <w:rFonts w:hint="eastAsia" w:ascii="Times New Roman" w:hAnsi="Times New Roman" w:eastAsia="宋体" w:cs="Times New Roman"/>
                <w:color w:val="auto"/>
                <w:sz w:val="24"/>
                <w:lang w:val="en-US" w:eastAsia="zh-CN"/>
              </w:rPr>
              <w:t>802t/a，</w:t>
            </w:r>
            <w:r>
              <w:rPr>
                <w:rFonts w:hint="eastAsia" w:ascii="Times New Roman" w:hAnsi="Times New Roman" w:eastAsia="宋体" w:cs="Times New Roman"/>
                <w:color w:val="auto"/>
                <w:sz w:val="24"/>
                <w:lang w:eastAsia="zh-CN"/>
              </w:rPr>
              <w:t>规格大于</w:t>
            </w:r>
            <w:r>
              <w:rPr>
                <w:rFonts w:hint="eastAsia" w:ascii="Times New Roman" w:hAnsi="Times New Roman" w:eastAsia="宋体" w:cs="Times New Roman"/>
                <w:color w:val="auto"/>
                <w:sz w:val="24"/>
                <w:lang w:val="en-US" w:eastAsia="zh-CN"/>
              </w:rPr>
              <w:t>200*250mm的工件占</w:t>
            </w:r>
            <w:r>
              <w:rPr>
                <w:rFonts w:hint="eastAsia" w:cs="Times New Roman"/>
                <w:color w:val="auto"/>
                <w:sz w:val="24"/>
                <w:lang w:val="en-US" w:eastAsia="zh-CN"/>
              </w:rPr>
              <w:t>比</w:t>
            </w:r>
            <w:r>
              <w:rPr>
                <w:rFonts w:hint="eastAsia" w:ascii="Times New Roman" w:hAnsi="Times New Roman" w:eastAsia="宋体" w:cs="Times New Roman"/>
                <w:color w:val="auto"/>
                <w:sz w:val="24"/>
                <w:lang w:val="en-US" w:eastAsia="zh-CN"/>
              </w:rPr>
              <w:t>约为70%，故抛丸加工量约为560t/a，粉尘产生量为1.23t/a</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所用辅料为钢丸</w:t>
            </w:r>
            <w:r>
              <w:rPr>
                <w:rFonts w:hint="eastAsia" w:cs="Times New Roman"/>
                <w:color w:val="auto"/>
                <w:sz w:val="24"/>
                <w:lang w:val="en-US" w:eastAsia="zh-CN"/>
              </w:rPr>
              <w:t>。抛丸设备分别为2台履带式抛丸机和1台挂钩式抛丸机，设备分别配套的除尘器为2台布袋除尘器和1台脉冲式滤筒除尘器，风机风量分别为3500m³/h、3500m³/h和10000m³/h，抛丸有效工作时间共计为1800h/a。</w:t>
            </w:r>
          </w:p>
          <w:p w14:paraId="0A5CEDBB">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经核算，抛丸工序产生的粉尘量为1.23t/a，钢丸在抛丸过程中会产生消耗，废钢丸与新钢丸</w:t>
            </w:r>
            <w:r>
              <w:rPr>
                <w:rFonts w:hint="eastAsia" w:cs="Times New Roman"/>
                <w:color w:val="auto"/>
                <w:sz w:val="24"/>
                <w:lang w:val="en-US" w:eastAsia="zh-CN"/>
              </w:rPr>
              <w:t>掺</w:t>
            </w:r>
            <w:r>
              <w:rPr>
                <w:rFonts w:hint="eastAsia" w:ascii="Times New Roman" w:hAnsi="Times New Roman" w:eastAsia="宋体" w:cs="Times New Roman"/>
                <w:color w:val="auto"/>
                <w:sz w:val="24"/>
                <w:lang w:val="en-US" w:eastAsia="zh-CN"/>
              </w:rPr>
              <w:t>半重复利用，直径消耗0.2mm就需要进行更换，项目年使用钢丸共计8t/a，损耗量占</w:t>
            </w:r>
            <w:r>
              <w:rPr>
                <w:rFonts w:hint="eastAsia" w:cs="Times New Roman"/>
                <w:color w:val="auto"/>
                <w:sz w:val="24"/>
                <w:lang w:val="en-US" w:eastAsia="zh-CN"/>
              </w:rPr>
              <w:t>4</w:t>
            </w:r>
            <w:r>
              <w:rPr>
                <w:rFonts w:hint="eastAsia" w:ascii="Times New Roman" w:hAnsi="Times New Roman" w:eastAsia="宋体" w:cs="Times New Roman"/>
                <w:color w:val="auto"/>
                <w:sz w:val="24"/>
                <w:lang w:val="en-US" w:eastAsia="zh-CN"/>
              </w:rPr>
              <w:t>0%，故钢丸粉尘约为</w:t>
            </w:r>
            <w:r>
              <w:rPr>
                <w:rFonts w:hint="eastAsia" w:cs="Times New Roman"/>
                <w:color w:val="auto"/>
                <w:sz w:val="24"/>
                <w:lang w:val="en-US" w:eastAsia="zh-CN"/>
              </w:rPr>
              <w:t>3.2</w:t>
            </w:r>
            <w:r>
              <w:rPr>
                <w:rFonts w:hint="eastAsia" w:ascii="Times New Roman" w:hAnsi="Times New Roman" w:eastAsia="宋体" w:cs="Times New Roman"/>
                <w:color w:val="auto"/>
                <w:sz w:val="24"/>
                <w:lang w:val="en-US" w:eastAsia="zh-CN"/>
              </w:rPr>
              <w:t>t/a，</w:t>
            </w:r>
            <w:r>
              <w:rPr>
                <w:rFonts w:hint="eastAsia" w:cs="Times New Roman"/>
                <w:color w:val="auto"/>
                <w:sz w:val="24"/>
                <w:lang w:val="en-US" w:eastAsia="zh-CN"/>
              </w:rPr>
              <w:t>经核算，产生速率为2.46kg/h，产生浓度为144.7mg/m³。</w:t>
            </w:r>
            <w:r>
              <w:rPr>
                <w:rFonts w:hint="eastAsia" w:ascii="Times New Roman" w:hAnsi="Times New Roman" w:eastAsia="宋体" w:cs="Times New Roman"/>
                <w:color w:val="auto"/>
                <w:sz w:val="24"/>
                <w:lang w:val="en-US" w:eastAsia="zh-CN"/>
              </w:rPr>
              <w:t>抛丸在抛丸机设备内部进行，产生的粉尘由设备自带袋式除尘器</w:t>
            </w:r>
            <w:r>
              <w:rPr>
                <w:rFonts w:hint="eastAsia" w:cs="Times New Roman"/>
                <w:color w:val="auto"/>
                <w:sz w:val="24"/>
                <w:lang w:val="en-US" w:eastAsia="zh-CN"/>
              </w:rPr>
              <w:t>和脉冲除尘器</w:t>
            </w:r>
            <w:r>
              <w:rPr>
                <w:rFonts w:hint="eastAsia" w:ascii="Times New Roman" w:hAnsi="Times New Roman" w:eastAsia="宋体" w:cs="Times New Roman"/>
                <w:color w:val="auto"/>
                <w:sz w:val="24"/>
                <w:lang w:val="en-US" w:eastAsia="zh-CN"/>
              </w:rPr>
              <w:t>预处理后</w:t>
            </w:r>
            <w:r>
              <w:rPr>
                <w:rFonts w:hint="eastAsia" w:cs="Times New Roman"/>
                <w:color w:val="auto"/>
                <w:sz w:val="24"/>
                <w:lang w:val="en-US" w:eastAsia="zh-CN"/>
              </w:rPr>
              <w:t>由排气筒（DA001）高空排放。</w:t>
            </w:r>
            <w:r>
              <w:rPr>
                <w:rFonts w:hint="eastAsia" w:ascii="Times New Roman" w:hAnsi="Times New Roman" w:eastAsia="宋体" w:cs="Times New Roman"/>
                <w:color w:val="auto"/>
                <w:sz w:val="24"/>
                <w:lang w:val="en-US" w:eastAsia="zh-CN"/>
              </w:rPr>
              <w:t>自带除尘器处理效率为</w:t>
            </w:r>
            <w:r>
              <w:rPr>
                <w:rFonts w:hint="eastAsia" w:cs="Times New Roman"/>
                <w:color w:val="auto"/>
                <w:sz w:val="24"/>
                <w:lang w:val="en-US" w:eastAsia="zh-CN"/>
              </w:rPr>
              <w:t>99</w:t>
            </w:r>
            <w:r>
              <w:rPr>
                <w:rFonts w:hint="eastAsia" w:ascii="Times New Roman" w:hAnsi="Times New Roman" w:eastAsia="宋体" w:cs="Times New Roman"/>
                <w:color w:val="auto"/>
                <w:sz w:val="24"/>
                <w:lang w:val="en-US" w:eastAsia="zh-CN"/>
              </w:rPr>
              <w:t>%。经计算，抛丸</w:t>
            </w:r>
            <w:r>
              <w:rPr>
                <w:rFonts w:hint="eastAsia" w:cs="Times New Roman"/>
                <w:color w:val="auto"/>
                <w:sz w:val="24"/>
                <w:lang w:val="en-US" w:eastAsia="zh-CN"/>
              </w:rPr>
              <w:t>工序有组织废气排放量</w:t>
            </w:r>
            <w:r>
              <w:rPr>
                <w:rFonts w:hint="eastAsia" w:ascii="Times New Roman" w:hAnsi="Times New Roman" w:eastAsia="宋体" w:cs="Times New Roman"/>
                <w:color w:val="auto"/>
                <w:sz w:val="24"/>
                <w:lang w:val="en-US" w:eastAsia="zh-CN"/>
              </w:rPr>
              <w:t>为</w:t>
            </w:r>
            <w:r>
              <w:rPr>
                <w:rFonts w:hint="eastAsia" w:cs="Times New Roman"/>
                <w:color w:val="auto"/>
                <w:sz w:val="24"/>
                <w:lang w:val="en-US" w:eastAsia="zh-CN"/>
              </w:rPr>
              <w:t>0.044</w:t>
            </w:r>
            <w:r>
              <w:rPr>
                <w:rFonts w:hint="eastAsia" w:ascii="Times New Roman" w:hAnsi="Times New Roman" w:eastAsia="宋体" w:cs="Times New Roman"/>
                <w:color w:val="auto"/>
                <w:sz w:val="24"/>
                <w:lang w:val="en-US" w:eastAsia="zh-CN"/>
              </w:rPr>
              <w:t>t/a</w:t>
            </w:r>
            <w:r>
              <w:rPr>
                <w:rFonts w:hint="eastAsia" w:cs="Times New Roman"/>
                <w:color w:val="auto"/>
                <w:sz w:val="24"/>
                <w:lang w:val="en-US" w:eastAsia="zh-CN"/>
              </w:rPr>
              <w:t>，排放速率为0.024kg/h，排放浓度为1.4mg/m³，收尘灰为3.987t/a</w:t>
            </w:r>
            <w:r>
              <w:rPr>
                <w:rFonts w:hint="eastAsia" w:ascii="Times New Roman" w:hAnsi="Times New Roman" w:eastAsia="宋体" w:cs="Times New Roman"/>
                <w:color w:val="auto"/>
                <w:sz w:val="24"/>
                <w:lang w:val="en-US" w:eastAsia="zh-CN"/>
              </w:rPr>
              <w:t>。</w:t>
            </w:r>
          </w:p>
          <w:p w14:paraId="7F8F1D55">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③切割废气</w:t>
            </w:r>
          </w:p>
          <w:p w14:paraId="05C53DBA">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金属件在切割过程中会有微量的金属粉尘产生。零部件制作采用激光切割，参考《第二次全国污染源普查排污核算系数手册（试用版）》中等离子切割颗粒物产污系数1.10kg/吨</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原料，项目需要切割原料用量为802</w:t>
            </w:r>
            <w:r>
              <w:rPr>
                <w:rFonts w:hint="eastAsia" w:cs="Times New Roman"/>
                <w:color w:val="auto"/>
                <w:sz w:val="24"/>
                <w:lang w:val="en-US" w:eastAsia="zh-CN"/>
              </w:rPr>
              <w:t>t/a</w:t>
            </w:r>
            <w:r>
              <w:rPr>
                <w:rFonts w:hint="eastAsia" w:ascii="Times New Roman" w:hAnsi="Times New Roman" w:eastAsia="宋体" w:cs="Times New Roman"/>
                <w:color w:val="auto"/>
                <w:sz w:val="24"/>
                <w:lang w:val="en-US" w:eastAsia="zh-CN"/>
              </w:rPr>
              <w:t>，粉尘产生量为0.88t/a，</w:t>
            </w:r>
            <w:r>
              <w:rPr>
                <w:rFonts w:hint="eastAsia" w:cs="Times New Roman"/>
                <w:color w:val="auto"/>
                <w:sz w:val="24"/>
                <w:lang w:val="en-US" w:eastAsia="zh-CN"/>
              </w:rPr>
              <w:t>废气产生速率为0.49kg/h，产生浓度为49mg/m³将产生的切割粉尘</w:t>
            </w:r>
            <w:r>
              <w:rPr>
                <w:rFonts w:hint="eastAsia" w:ascii="Times New Roman" w:hAnsi="Times New Roman" w:eastAsia="宋体" w:cs="Times New Roman"/>
                <w:color w:val="auto"/>
                <w:sz w:val="24"/>
                <w:lang w:val="en-US" w:eastAsia="zh-CN"/>
              </w:rPr>
              <w:t>收集后进入</w:t>
            </w:r>
            <w:r>
              <w:rPr>
                <w:rFonts w:hint="eastAsia" w:cs="Times New Roman"/>
                <w:color w:val="auto"/>
                <w:sz w:val="24"/>
                <w:lang w:val="en-US" w:eastAsia="zh-CN"/>
              </w:rPr>
              <w:t>袋式</w:t>
            </w:r>
            <w:r>
              <w:rPr>
                <w:rFonts w:hint="eastAsia" w:ascii="Times New Roman" w:hAnsi="Times New Roman" w:eastAsia="宋体" w:cs="Times New Roman"/>
                <w:color w:val="auto"/>
                <w:sz w:val="24"/>
                <w:lang w:val="en-US" w:eastAsia="zh-CN"/>
              </w:rPr>
              <w:t>除尘器进行处理</w:t>
            </w:r>
            <w:r>
              <w:rPr>
                <w:rFonts w:hint="eastAsia" w:cs="Times New Roman"/>
                <w:color w:val="auto"/>
                <w:sz w:val="24"/>
                <w:lang w:val="en-US" w:eastAsia="zh-CN"/>
              </w:rPr>
              <w:t>（收集方式：一台切割机上方密闭设集气系统，另两台切割机分别设下吸式收尘，分别将粉尘收至集气管道）</w:t>
            </w:r>
            <w:r>
              <w:rPr>
                <w:rFonts w:hint="eastAsia" w:ascii="Times New Roman" w:hAnsi="Times New Roman" w:eastAsia="宋体" w:cs="Times New Roman"/>
                <w:color w:val="auto"/>
                <w:sz w:val="24"/>
                <w:lang w:val="en-US" w:eastAsia="zh-CN"/>
              </w:rPr>
              <w:t>，收集效率</w:t>
            </w:r>
            <w:r>
              <w:rPr>
                <w:rFonts w:hint="eastAsia" w:cs="Times New Roman"/>
                <w:color w:val="auto"/>
                <w:sz w:val="24"/>
                <w:lang w:val="en-US" w:eastAsia="zh-CN"/>
              </w:rPr>
              <w:t>约</w:t>
            </w:r>
            <w:r>
              <w:rPr>
                <w:rFonts w:hint="eastAsia" w:ascii="Times New Roman" w:hAnsi="Times New Roman" w:eastAsia="宋体" w:cs="Times New Roman"/>
                <w:color w:val="auto"/>
                <w:sz w:val="24"/>
                <w:lang w:val="en-US" w:eastAsia="zh-CN"/>
              </w:rPr>
              <w:t>为85%，则进入</w:t>
            </w:r>
            <w:r>
              <w:rPr>
                <w:rFonts w:hint="eastAsia" w:cs="Times New Roman"/>
                <w:color w:val="auto"/>
                <w:sz w:val="24"/>
                <w:lang w:val="en-US" w:eastAsia="zh-CN"/>
              </w:rPr>
              <w:t>袋式</w:t>
            </w:r>
            <w:r>
              <w:rPr>
                <w:rFonts w:hint="eastAsia" w:ascii="Times New Roman" w:hAnsi="Times New Roman" w:eastAsia="宋体" w:cs="Times New Roman"/>
                <w:color w:val="auto"/>
                <w:sz w:val="24"/>
                <w:lang w:val="en-US" w:eastAsia="zh-CN"/>
              </w:rPr>
              <w:t>除尘器的</w:t>
            </w:r>
            <w:r>
              <w:rPr>
                <w:rFonts w:hint="eastAsia" w:cs="Times New Roman"/>
                <w:color w:val="auto"/>
                <w:sz w:val="24"/>
                <w:lang w:val="en-US" w:eastAsia="zh-CN"/>
              </w:rPr>
              <w:t>粉尘</w:t>
            </w:r>
            <w:r>
              <w:rPr>
                <w:rFonts w:hint="eastAsia" w:ascii="Times New Roman" w:hAnsi="Times New Roman" w:eastAsia="宋体" w:cs="Times New Roman"/>
                <w:color w:val="auto"/>
                <w:sz w:val="24"/>
                <w:lang w:val="en-US" w:eastAsia="zh-CN"/>
              </w:rPr>
              <w:t>量为0.75t/a</w:t>
            </w:r>
            <w:r>
              <w:rPr>
                <w:rFonts w:hint="eastAsia" w:cs="Times New Roman"/>
                <w:color w:val="auto"/>
                <w:sz w:val="24"/>
                <w:lang w:val="en-US" w:eastAsia="zh-CN"/>
              </w:rPr>
              <w:t>。</w:t>
            </w:r>
          </w:p>
          <w:p w14:paraId="4D2EE21F">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b/>
                <w:bCs/>
                <w:color w:val="auto"/>
                <w:sz w:val="24"/>
                <w:lang w:val="en-US" w:eastAsia="zh-CN"/>
              </w:rPr>
              <w:t>③焊接废气</w:t>
            </w:r>
          </w:p>
          <w:p w14:paraId="10555337">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本项目需要对部分工件进行焊接，使用辅料为焊丝，消耗量为1t/a，根据</w:t>
            </w:r>
            <w:r>
              <w:rPr>
                <w:rFonts w:hint="default" w:ascii="Times New Roman" w:hAnsi="Times New Roman" w:eastAsia="宋体" w:cs="Times New Roman"/>
                <w:color w:val="auto"/>
                <w:sz w:val="24"/>
                <w:lang w:val="en-US" w:eastAsia="zh-CN"/>
              </w:rPr>
              <w:t>《排放源统计调查产排污核算方法和系数手册》（公告 2021 年第 24 号）中机械行业系数手册</w:t>
            </w:r>
            <w:r>
              <w:rPr>
                <w:rFonts w:hint="eastAsia" w:ascii="Times New Roman" w:hAnsi="Times New Roman" w:eastAsia="宋体" w:cs="Times New Roman"/>
                <w:color w:val="auto"/>
                <w:sz w:val="24"/>
                <w:lang w:val="en-US" w:eastAsia="zh-CN"/>
              </w:rPr>
              <w:t>09</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焊接环节二氧化碳保护焊、埋弧焊、氩弧焊工艺使用实心焊丝的产污系数为9.19千克/吨</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原料。经计算焊接</w:t>
            </w:r>
            <w:r>
              <w:rPr>
                <w:rFonts w:hint="eastAsia" w:cs="Times New Roman"/>
                <w:color w:val="auto"/>
                <w:sz w:val="24"/>
                <w:lang w:val="en-US" w:eastAsia="zh-CN"/>
              </w:rPr>
              <w:t>粉尘</w:t>
            </w:r>
            <w:r>
              <w:rPr>
                <w:rFonts w:hint="eastAsia" w:ascii="Times New Roman" w:hAnsi="Times New Roman" w:eastAsia="宋体" w:cs="Times New Roman"/>
                <w:color w:val="auto"/>
                <w:sz w:val="24"/>
                <w:lang w:val="en-US" w:eastAsia="zh-CN"/>
              </w:rPr>
              <w:t>产生量为0.01t/a</w:t>
            </w:r>
            <w:r>
              <w:rPr>
                <w:rFonts w:hint="eastAsia" w:cs="Times New Roman"/>
                <w:color w:val="auto"/>
                <w:sz w:val="24"/>
                <w:lang w:val="en-US" w:eastAsia="zh-CN"/>
              </w:rPr>
              <w:t>，废气产生速率为0.006kg/h，产生浓度为0.6mg/m³，</w:t>
            </w:r>
            <w:r>
              <w:rPr>
                <w:rFonts w:hint="eastAsia" w:ascii="Times New Roman" w:hAnsi="Times New Roman" w:eastAsia="宋体" w:cs="Times New Roman"/>
                <w:color w:val="auto"/>
                <w:sz w:val="24"/>
                <w:lang w:val="en-US" w:eastAsia="zh-CN"/>
              </w:rPr>
              <w:t>焊接工序设密闭焊接房，</w:t>
            </w:r>
            <w:r>
              <w:rPr>
                <w:rFonts w:hint="eastAsia" w:cs="Times New Roman"/>
                <w:color w:val="auto"/>
                <w:sz w:val="24"/>
                <w:lang w:val="en-US" w:eastAsia="zh-CN"/>
              </w:rPr>
              <w:t>密闭房上方设集气口，粉尘经</w:t>
            </w:r>
            <w:r>
              <w:rPr>
                <w:rFonts w:hint="eastAsia" w:ascii="Times New Roman" w:hAnsi="Times New Roman" w:eastAsia="宋体" w:cs="Times New Roman"/>
                <w:color w:val="auto"/>
                <w:sz w:val="24"/>
                <w:lang w:val="en-US" w:eastAsia="zh-CN"/>
              </w:rPr>
              <w:t>收集后进入</w:t>
            </w:r>
            <w:r>
              <w:rPr>
                <w:rFonts w:hint="eastAsia" w:cs="Times New Roman"/>
                <w:color w:val="auto"/>
                <w:sz w:val="24"/>
                <w:lang w:val="en-US" w:eastAsia="zh-CN"/>
              </w:rPr>
              <w:t>袋式</w:t>
            </w:r>
            <w:r>
              <w:rPr>
                <w:rFonts w:hint="eastAsia" w:ascii="Times New Roman" w:hAnsi="Times New Roman" w:eastAsia="宋体" w:cs="Times New Roman"/>
                <w:color w:val="auto"/>
                <w:sz w:val="24"/>
                <w:lang w:val="en-US" w:eastAsia="zh-CN"/>
              </w:rPr>
              <w:t>除尘器进行处理，收集效率为95%，则进入</w:t>
            </w:r>
            <w:r>
              <w:rPr>
                <w:rFonts w:hint="eastAsia" w:cs="Times New Roman"/>
                <w:color w:val="auto"/>
                <w:sz w:val="24"/>
                <w:lang w:val="en-US" w:eastAsia="zh-CN"/>
              </w:rPr>
              <w:t>袋式</w:t>
            </w:r>
            <w:r>
              <w:rPr>
                <w:rFonts w:hint="eastAsia" w:ascii="Times New Roman" w:hAnsi="Times New Roman" w:eastAsia="宋体" w:cs="Times New Roman"/>
                <w:color w:val="auto"/>
                <w:sz w:val="24"/>
                <w:lang w:val="en-US" w:eastAsia="zh-CN"/>
              </w:rPr>
              <w:t>除尘器的废气量为0.0095t/a。</w:t>
            </w:r>
          </w:p>
          <w:p w14:paraId="1F82592D">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b/>
                <w:bCs/>
                <w:color w:val="auto"/>
                <w:sz w:val="24"/>
                <w:lang w:val="en-US" w:eastAsia="zh-CN"/>
              </w:rPr>
              <w:t>经核算，</w:t>
            </w:r>
            <w:r>
              <w:rPr>
                <w:rFonts w:hint="eastAsia" w:ascii="Times New Roman" w:hAnsi="Times New Roman" w:eastAsia="宋体" w:cs="Times New Roman"/>
                <w:color w:val="auto"/>
                <w:sz w:val="24"/>
                <w:lang w:val="en-US" w:eastAsia="zh-CN"/>
              </w:rPr>
              <w:t>本项目</w:t>
            </w:r>
            <w:r>
              <w:rPr>
                <w:rFonts w:hint="eastAsia" w:cs="Times New Roman"/>
                <w:color w:val="auto"/>
                <w:sz w:val="24"/>
                <w:lang w:val="en-US" w:eastAsia="zh-CN"/>
              </w:rPr>
              <w:t>切割、焊接工序需要</w:t>
            </w:r>
            <w:r>
              <w:rPr>
                <w:rFonts w:hint="eastAsia" w:ascii="Times New Roman" w:hAnsi="Times New Roman" w:eastAsia="宋体" w:cs="Times New Roman"/>
                <w:color w:val="auto"/>
                <w:sz w:val="24"/>
                <w:lang w:val="en-US" w:eastAsia="zh-CN"/>
              </w:rPr>
              <w:t>进入</w:t>
            </w:r>
            <w:r>
              <w:rPr>
                <w:rFonts w:hint="eastAsia" w:cs="Times New Roman"/>
                <w:color w:val="auto"/>
                <w:sz w:val="24"/>
                <w:lang w:val="en-US" w:eastAsia="zh-CN"/>
              </w:rPr>
              <w:t>袋式</w:t>
            </w:r>
            <w:r>
              <w:rPr>
                <w:rFonts w:hint="eastAsia" w:ascii="Times New Roman" w:hAnsi="Times New Roman" w:eastAsia="宋体" w:cs="Times New Roman"/>
                <w:color w:val="auto"/>
                <w:sz w:val="24"/>
                <w:lang w:val="en-US" w:eastAsia="zh-CN"/>
              </w:rPr>
              <w:t>除尘器</w:t>
            </w:r>
            <w:r>
              <w:rPr>
                <w:rFonts w:hint="eastAsia" w:cs="Times New Roman"/>
                <w:color w:val="auto"/>
                <w:sz w:val="24"/>
                <w:lang w:val="en-US" w:eastAsia="zh-CN"/>
              </w:rPr>
              <w:t>处理的粉尘量共计0.7595</w:t>
            </w:r>
            <w:r>
              <w:rPr>
                <w:rFonts w:hint="eastAsia" w:ascii="Times New Roman" w:hAnsi="Times New Roman" w:eastAsia="宋体" w:cs="Times New Roman"/>
                <w:color w:val="auto"/>
                <w:sz w:val="24"/>
                <w:lang w:val="en-US" w:eastAsia="zh-CN"/>
              </w:rPr>
              <w:t>t/a，</w:t>
            </w:r>
            <w:r>
              <w:rPr>
                <w:rFonts w:hint="eastAsia" w:cs="Times New Roman"/>
                <w:color w:val="auto"/>
                <w:sz w:val="24"/>
                <w:lang w:val="en-US" w:eastAsia="zh-CN"/>
              </w:rPr>
              <w:t>有效工作时间共计1800h/a，布袋除尘器风机风量为10000m³/a，该工序配套袋式</w:t>
            </w:r>
            <w:r>
              <w:rPr>
                <w:rFonts w:hint="eastAsia" w:ascii="Times New Roman" w:hAnsi="Times New Roman" w:eastAsia="宋体" w:cs="Times New Roman"/>
                <w:color w:val="auto"/>
                <w:sz w:val="24"/>
                <w:lang w:val="en-US" w:eastAsia="zh-CN"/>
              </w:rPr>
              <w:t>除尘器处理效率为9</w:t>
            </w:r>
            <w:r>
              <w:rPr>
                <w:rFonts w:hint="eastAsia" w:cs="Times New Roman"/>
                <w:color w:val="auto"/>
                <w:sz w:val="24"/>
                <w:lang w:val="en-US" w:eastAsia="zh-CN"/>
              </w:rPr>
              <w:t>9</w:t>
            </w:r>
            <w:r>
              <w:rPr>
                <w:rFonts w:hint="eastAsia" w:ascii="Times New Roman" w:hAnsi="Times New Roman" w:eastAsia="宋体" w:cs="Times New Roman"/>
                <w:color w:val="auto"/>
                <w:sz w:val="24"/>
                <w:lang w:val="en-US" w:eastAsia="zh-CN"/>
              </w:rPr>
              <w:t>%，则</w:t>
            </w:r>
            <w:r>
              <w:rPr>
                <w:rFonts w:hint="eastAsia" w:cs="Times New Roman"/>
                <w:color w:val="auto"/>
                <w:sz w:val="24"/>
                <w:lang w:val="en-US" w:eastAsia="zh-CN"/>
              </w:rPr>
              <w:t>切割、焊接工序</w:t>
            </w:r>
            <w:r>
              <w:rPr>
                <w:rFonts w:hint="eastAsia" w:ascii="Times New Roman" w:hAnsi="Times New Roman" w:eastAsia="宋体" w:cs="Times New Roman"/>
                <w:color w:val="auto"/>
                <w:sz w:val="24"/>
                <w:lang w:val="en-US" w:eastAsia="zh-CN"/>
              </w:rPr>
              <w:t>有组织废气排放量</w:t>
            </w:r>
            <w:r>
              <w:rPr>
                <w:rFonts w:hint="eastAsia" w:cs="Times New Roman"/>
                <w:color w:val="auto"/>
                <w:sz w:val="24"/>
                <w:lang w:val="en-US" w:eastAsia="zh-CN"/>
              </w:rPr>
              <w:t>共计</w:t>
            </w:r>
            <w:r>
              <w:rPr>
                <w:rFonts w:hint="eastAsia" w:ascii="Times New Roman" w:hAnsi="Times New Roman" w:eastAsia="宋体" w:cs="Times New Roman"/>
                <w:color w:val="auto"/>
                <w:sz w:val="24"/>
                <w:lang w:val="en-US" w:eastAsia="zh-CN"/>
              </w:rPr>
              <w:t>为0.0</w:t>
            </w:r>
            <w:r>
              <w:rPr>
                <w:rFonts w:hint="eastAsia" w:cs="Times New Roman"/>
                <w:color w:val="auto"/>
                <w:sz w:val="24"/>
                <w:lang w:val="en-US" w:eastAsia="zh-CN"/>
              </w:rPr>
              <w:t>076</w:t>
            </w:r>
            <w:r>
              <w:rPr>
                <w:rFonts w:hint="eastAsia" w:ascii="Times New Roman" w:hAnsi="Times New Roman" w:eastAsia="宋体" w:cs="Times New Roman"/>
                <w:color w:val="auto"/>
                <w:sz w:val="24"/>
                <w:lang w:val="en-US" w:eastAsia="zh-CN"/>
              </w:rPr>
              <w:t>t/a，</w:t>
            </w:r>
            <w:r>
              <w:rPr>
                <w:rFonts w:hint="eastAsia" w:cs="Times New Roman"/>
                <w:color w:val="auto"/>
                <w:sz w:val="24"/>
                <w:lang w:val="en-US" w:eastAsia="zh-CN"/>
              </w:rPr>
              <w:t>有组织排放速率为0.0042kg/h，</w:t>
            </w:r>
            <w:r>
              <w:rPr>
                <w:rFonts w:hint="eastAsia" w:ascii="Times New Roman" w:hAnsi="Times New Roman" w:eastAsia="宋体" w:cs="Times New Roman"/>
                <w:color w:val="auto"/>
                <w:sz w:val="24"/>
                <w:lang w:val="en-US" w:eastAsia="zh-CN"/>
              </w:rPr>
              <w:t>无组织废气排放量共计0.1305t/a，</w:t>
            </w:r>
            <w:r>
              <w:rPr>
                <w:rFonts w:hint="eastAsia" w:cs="Times New Roman"/>
                <w:color w:val="auto"/>
                <w:sz w:val="24"/>
                <w:lang w:val="en-US" w:eastAsia="zh-CN"/>
              </w:rPr>
              <w:t>无组织排放速率为0.0725kg/h，</w:t>
            </w:r>
            <w:r>
              <w:rPr>
                <w:rFonts w:hint="eastAsia" w:ascii="Times New Roman" w:hAnsi="Times New Roman" w:eastAsia="宋体" w:cs="Times New Roman"/>
                <w:color w:val="auto"/>
                <w:sz w:val="24"/>
                <w:lang w:val="en-US" w:eastAsia="zh-CN"/>
              </w:rPr>
              <w:t>收尘灰共计</w:t>
            </w:r>
            <w:r>
              <w:rPr>
                <w:rFonts w:hint="eastAsia" w:cs="Times New Roman"/>
                <w:color w:val="auto"/>
                <w:sz w:val="24"/>
                <w:lang w:val="en-US" w:eastAsia="zh-CN"/>
              </w:rPr>
              <w:t>0.7519</w:t>
            </w:r>
            <w:r>
              <w:rPr>
                <w:rFonts w:hint="eastAsia" w:ascii="Times New Roman" w:hAnsi="Times New Roman" w:eastAsia="宋体" w:cs="Times New Roman"/>
                <w:color w:val="auto"/>
                <w:sz w:val="24"/>
                <w:lang w:val="en-US" w:eastAsia="zh-CN"/>
              </w:rPr>
              <w:t>t/a。焊接、切割产生的废气均进入</w:t>
            </w:r>
            <w:r>
              <w:rPr>
                <w:rFonts w:hint="eastAsia" w:cs="Times New Roman"/>
                <w:color w:val="auto"/>
                <w:sz w:val="24"/>
                <w:lang w:val="en-US" w:eastAsia="zh-CN"/>
              </w:rPr>
              <w:t>袋式</w:t>
            </w:r>
            <w:r>
              <w:rPr>
                <w:rFonts w:hint="eastAsia" w:ascii="Times New Roman" w:hAnsi="Times New Roman" w:eastAsia="宋体" w:cs="Times New Roman"/>
                <w:color w:val="auto"/>
                <w:sz w:val="24"/>
                <w:lang w:val="en-US" w:eastAsia="zh-CN"/>
              </w:rPr>
              <w:t>除尘器中处理后由一根15米排气筒（DA001）高空排放。</w:t>
            </w:r>
          </w:p>
          <w:p w14:paraId="0067E304">
            <w:pPr>
              <w:adjustRightInd w:val="0"/>
              <w:snapToGrid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④</w:t>
            </w:r>
            <w:r>
              <w:rPr>
                <w:rFonts w:hint="eastAsia" w:cs="Times New Roman"/>
                <w:b/>
                <w:bCs/>
                <w:color w:val="auto"/>
                <w:sz w:val="24"/>
                <w:lang w:val="en-US" w:eastAsia="zh-CN"/>
              </w:rPr>
              <w:t>喷粉</w:t>
            </w:r>
            <w:r>
              <w:rPr>
                <w:rFonts w:hint="eastAsia" w:ascii="Times New Roman" w:hAnsi="Times New Roman" w:eastAsia="宋体" w:cs="Times New Roman"/>
                <w:b/>
                <w:bCs/>
                <w:color w:val="auto"/>
                <w:sz w:val="24"/>
                <w:lang w:val="en-US" w:eastAsia="zh-CN"/>
              </w:rPr>
              <w:t>废气</w:t>
            </w:r>
          </w:p>
          <w:p w14:paraId="3A6ABD5F">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本项目采用人工静电喷涂方式进行常温</w:t>
            </w:r>
            <w:r>
              <w:rPr>
                <w:rFonts w:hint="eastAsia" w:cs="Times New Roman"/>
                <w:color w:val="auto"/>
                <w:sz w:val="24"/>
                <w:lang w:val="en-US" w:eastAsia="zh-CN"/>
              </w:rPr>
              <w:t>喷粉</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使用100%固性粉末，主要成分为环氧树脂和聚酯树脂。项目静电喷涂在密闭的</w:t>
            </w:r>
            <w:r>
              <w:rPr>
                <w:rFonts w:hint="eastAsia" w:cs="Times New Roman"/>
                <w:color w:val="auto"/>
                <w:sz w:val="24"/>
                <w:lang w:val="en-US" w:eastAsia="zh-CN"/>
              </w:rPr>
              <w:t>喷粉</w:t>
            </w:r>
            <w:r>
              <w:rPr>
                <w:rFonts w:hint="eastAsia" w:ascii="Times New Roman" w:hAnsi="Times New Roman" w:eastAsia="宋体" w:cs="Times New Roman"/>
                <w:color w:val="auto"/>
                <w:sz w:val="24"/>
                <w:lang w:val="en-US" w:eastAsia="zh-CN"/>
              </w:rPr>
              <w:t>室内进行，</w:t>
            </w:r>
            <w:r>
              <w:rPr>
                <w:rFonts w:hint="eastAsia" w:cs="Times New Roman"/>
                <w:color w:val="auto"/>
                <w:sz w:val="24"/>
                <w:lang w:val="en-US" w:eastAsia="zh-CN"/>
              </w:rPr>
              <w:t>喷粉</w:t>
            </w:r>
            <w:r>
              <w:rPr>
                <w:rFonts w:hint="default" w:ascii="Times New Roman" w:hAnsi="Times New Roman" w:eastAsia="宋体" w:cs="Times New Roman"/>
                <w:color w:val="auto"/>
                <w:sz w:val="24"/>
                <w:lang w:val="en-US" w:eastAsia="zh-CN"/>
              </w:rPr>
              <w:t>过程会产生一定的颗粒物，本项目</w:t>
            </w:r>
            <w:r>
              <w:rPr>
                <w:rFonts w:hint="eastAsia" w:ascii="Times New Roman" w:hAnsi="Times New Roman" w:eastAsia="宋体" w:cs="Times New Roman"/>
                <w:color w:val="auto"/>
                <w:sz w:val="24"/>
                <w:lang w:val="en-US" w:eastAsia="zh-CN"/>
              </w:rPr>
              <w:t>塑粉</w:t>
            </w:r>
            <w:r>
              <w:rPr>
                <w:rFonts w:hint="default" w:ascii="Times New Roman" w:hAnsi="Times New Roman" w:eastAsia="宋体" w:cs="Times New Roman"/>
                <w:color w:val="auto"/>
                <w:sz w:val="24"/>
                <w:lang w:val="en-US" w:eastAsia="zh-CN"/>
              </w:rPr>
              <w:t>年用量为</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val="en-US" w:eastAsia="zh-CN"/>
              </w:rPr>
              <w:t>t/a，</w:t>
            </w:r>
            <w:r>
              <w:rPr>
                <w:rFonts w:hint="eastAsia" w:cs="Times New Roman"/>
                <w:color w:val="auto"/>
                <w:sz w:val="24"/>
                <w:lang w:val="en-US" w:eastAsia="zh-CN"/>
              </w:rPr>
              <w:t>喷粉</w:t>
            </w:r>
            <w:r>
              <w:rPr>
                <w:rFonts w:hint="default" w:ascii="Times New Roman" w:hAnsi="Times New Roman" w:eastAsia="宋体" w:cs="Times New Roman"/>
                <w:color w:val="auto"/>
                <w:sz w:val="24"/>
                <w:lang w:val="en-US" w:eastAsia="zh-CN"/>
              </w:rPr>
              <w:t>过程无有机废气产生。</w:t>
            </w:r>
          </w:p>
          <w:p w14:paraId="47DF056E">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根据《工业源产排污核算方法和系数手册》中机械行业系数手册中产污系数，</w:t>
            </w:r>
            <w:r>
              <w:rPr>
                <w:rFonts w:hint="eastAsia" w:cs="Times New Roman"/>
                <w:color w:val="auto"/>
                <w:sz w:val="24"/>
                <w:lang w:val="en-US" w:eastAsia="zh-CN"/>
              </w:rPr>
              <w:t>喷粉</w:t>
            </w:r>
            <w:r>
              <w:rPr>
                <w:rFonts w:hint="default" w:ascii="Times New Roman" w:hAnsi="Times New Roman" w:eastAsia="宋体" w:cs="Times New Roman"/>
                <w:color w:val="auto"/>
                <w:sz w:val="24"/>
                <w:lang w:val="en-US" w:eastAsia="zh-CN"/>
              </w:rPr>
              <w:t>工艺颗粒物产生量为300千克/吨－原料，全厂塑粉使用量为</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val="en-US" w:eastAsia="zh-CN"/>
              </w:rPr>
              <w:t>t/a，则</w:t>
            </w:r>
            <w:r>
              <w:rPr>
                <w:rFonts w:hint="eastAsia" w:cs="Times New Roman"/>
                <w:color w:val="auto"/>
                <w:sz w:val="24"/>
                <w:lang w:val="en-US" w:eastAsia="zh-CN"/>
              </w:rPr>
              <w:t>喷粉</w:t>
            </w:r>
            <w:r>
              <w:rPr>
                <w:rFonts w:hint="default" w:ascii="Times New Roman" w:hAnsi="Times New Roman" w:eastAsia="宋体" w:cs="Times New Roman"/>
                <w:color w:val="auto"/>
                <w:sz w:val="24"/>
                <w:lang w:val="en-US" w:eastAsia="zh-CN"/>
              </w:rPr>
              <w:t>粉尘产生量为</w:t>
            </w:r>
            <w:r>
              <w:rPr>
                <w:rFonts w:hint="eastAsia" w:ascii="Times New Roman" w:hAnsi="Times New Roman" w:eastAsia="宋体" w:cs="Times New Roman"/>
                <w:color w:val="auto"/>
                <w:sz w:val="24"/>
                <w:lang w:val="en-US" w:eastAsia="zh-CN"/>
              </w:rPr>
              <w:t>2.4</w:t>
            </w:r>
            <w:r>
              <w:rPr>
                <w:rFonts w:hint="default" w:ascii="Times New Roman" w:hAnsi="Times New Roman" w:eastAsia="宋体" w:cs="Times New Roman"/>
                <w:color w:val="auto"/>
                <w:sz w:val="24"/>
                <w:lang w:val="en-US" w:eastAsia="zh-CN"/>
              </w:rPr>
              <w:t>t/a。</w:t>
            </w:r>
            <w:r>
              <w:rPr>
                <w:rFonts w:hint="eastAsia" w:cs="Times New Roman"/>
                <w:color w:val="auto"/>
                <w:sz w:val="24"/>
                <w:lang w:val="en-US" w:eastAsia="zh-CN"/>
              </w:rPr>
              <w:t>喷粉</w:t>
            </w:r>
            <w:r>
              <w:rPr>
                <w:rFonts w:hint="default" w:ascii="Times New Roman" w:hAnsi="Times New Roman" w:eastAsia="宋体" w:cs="Times New Roman"/>
                <w:color w:val="auto"/>
                <w:sz w:val="24"/>
                <w:lang w:val="en-US" w:eastAsia="zh-CN"/>
              </w:rPr>
              <w:t>工序</w:t>
            </w:r>
            <w:r>
              <w:rPr>
                <w:rFonts w:hint="eastAsia" w:ascii="Times New Roman" w:hAnsi="Times New Roman" w:eastAsia="宋体" w:cs="Times New Roman"/>
                <w:color w:val="auto"/>
                <w:sz w:val="24"/>
                <w:lang w:val="en-US" w:eastAsia="zh-CN"/>
              </w:rPr>
              <w:t>每天有效工作时间为5</w:t>
            </w:r>
            <w:r>
              <w:rPr>
                <w:rFonts w:hint="default" w:ascii="Times New Roman" w:hAnsi="Times New Roman" w:eastAsia="宋体" w:cs="Times New Roman"/>
                <w:color w:val="auto"/>
                <w:sz w:val="24"/>
                <w:lang w:val="en-US" w:eastAsia="zh-CN"/>
              </w:rPr>
              <w:t>h，年工作天数300天</w:t>
            </w:r>
            <w:r>
              <w:rPr>
                <w:rFonts w:hint="eastAsia" w:cs="Times New Roman"/>
                <w:color w:val="auto"/>
                <w:sz w:val="24"/>
                <w:lang w:val="en-US" w:eastAsia="zh-CN"/>
              </w:rPr>
              <w:t>，风机风量为15000m³/h，经核算喷粉废气产生速率为1.5kg/h，产生浓度为106.67mg/m³。</w:t>
            </w:r>
          </w:p>
          <w:p w14:paraId="733B2015">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静电喷涂室</w:t>
            </w:r>
            <w:r>
              <w:rPr>
                <w:rFonts w:hint="eastAsia" w:ascii="Times New Roman" w:hAnsi="Times New Roman" w:eastAsia="宋体" w:cs="Times New Roman"/>
                <w:color w:val="auto"/>
                <w:sz w:val="24"/>
                <w:lang w:val="en-US" w:eastAsia="zh-CN"/>
              </w:rPr>
              <w:t>采用下吸式收集方式，将在喷涂过程中未被工件吸附的过量粉末吸入</w:t>
            </w:r>
            <w:r>
              <w:rPr>
                <w:rFonts w:hint="eastAsia" w:cs="Times New Roman"/>
                <w:color w:val="auto"/>
                <w:sz w:val="24"/>
                <w:lang w:val="en-US" w:eastAsia="zh-CN"/>
              </w:rPr>
              <w:t>大</w:t>
            </w:r>
            <w:r>
              <w:rPr>
                <w:rFonts w:hint="eastAsia" w:ascii="Times New Roman" w:hAnsi="Times New Roman" w:eastAsia="宋体" w:cs="Times New Roman"/>
                <w:color w:val="auto"/>
                <w:sz w:val="24"/>
                <w:lang w:val="en-US" w:eastAsia="zh-CN"/>
              </w:rPr>
              <w:t>旋风除尘器</w:t>
            </w:r>
            <w:r>
              <w:rPr>
                <w:rFonts w:hint="eastAsia" w:cs="Times New Roman"/>
                <w:color w:val="auto"/>
                <w:sz w:val="24"/>
                <w:lang w:val="en-US" w:eastAsia="zh-CN"/>
              </w:rPr>
              <w:t>（回收粗粉）+二级滤筒（精滤）处理后由排气筒高（DA002）空排放。回收的粉尘</w:t>
            </w:r>
            <w:r>
              <w:rPr>
                <w:rFonts w:hint="eastAsia" w:ascii="Times New Roman" w:hAnsi="Times New Roman" w:eastAsia="宋体" w:cs="Times New Roman"/>
                <w:color w:val="auto"/>
                <w:sz w:val="24"/>
                <w:lang w:val="en-US" w:eastAsia="zh-CN"/>
              </w:rPr>
              <w:t>再送至供粉箱进行喷涂，形成塑粉循环使用系统，</w:t>
            </w:r>
            <w:r>
              <w:rPr>
                <w:rFonts w:hint="eastAsia" w:cs="Times New Roman"/>
                <w:color w:val="auto"/>
                <w:sz w:val="24"/>
                <w:lang w:val="en-US" w:eastAsia="zh-CN"/>
              </w:rPr>
              <w:t>滤筒请回、旋风定期清理等产生的废粉</w:t>
            </w:r>
            <w:r>
              <w:rPr>
                <w:rFonts w:hint="eastAsia" w:ascii="Times New Roman" w:hAnsi="Times New Roman" w:eastAsia="宋体" w:cs="Times New Roman"/>
                <w:color w:val="auto"/>
                <w:sz w:val="24"/>
                <w:lang w:val="en-US" w:eastAsia="zh-CN"/>
              </w:rPr>
              <w:t>，统一收集后外售处理。</w:t>
            </w:r>
          </w:p>
          <w:p w14:paraId="098B9B59">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该工序</w:t>
            </w:r>
            <w:r>
              <w:rPr>
                <w:rFonts w:hint="eastAsia" w:cs="Times New Roman"/>
                <w:color w:val="auto"/>
                <w:sz w:val="24"/>
                <w:lang w:val="en-US" w:eastAsia="zh-CN"/>
              </w:rPr>
              <w:t>分别设置2个喷粉房，运行时均密闭，</w:t>
            </w:r>
            <w:r>
              <w:rPr>
                <w:rFonts w:hint="default" w:ascii="Times New Roman" w:hAnsi="Times New Roman" w:eastAsia="宋体" w:cs="Times New Roman"/>
                <w:color w:val="auto"/>
                <w:sz w:val="24"/>
                <w:lang w:val="en-US" w:eastAsia="zh-CN"/>
              </w:rPr>
              <w:t>废气收集效率较高，以9</w:t>
            </w:r>
            <w:r>
              <w:rPr>
                <w:rFonts w:hint="eastAsia" w:cs="Times New Roman"/>
                <w:color w:val="auto"/>
                <w:sz w:val="24"/>
                <w:lang w:val="en-US" w:eastAsia="zh-CN"/>
              </w:rPr>
              <w:t>8</w:t>
            </w:r>
            <w:r>
              <w:rPr>
                <w:rFonts w:hint="default" w:ascii="Times New Roman" w:hAnsi="Times New Roman" w:eastAsia="宋体" w:cs="Times New Roman"/>
                <w:color w:val="auto"/>
                <w:sz w:val="24"/>
                <w:lang w:val="en-US" w:eastAsia="zh-CN"/>
              </w:rPr>
              <w:t>%计。</w:t>
            </w:r>
            <w:r>
              <w:rPr>
                <w:rFonts w:hint="eastAsia" w:ascii="Times New Roman" w:hAnsi="Times New Roman" w:eastAsia="宋体" w:cs="Times New Roman"/>
                <w:color w:val="auto"/>
                <w:sz w:val="24"/>
                <w:lang w:val="en-US" w:eastAsia="zh-CN"/>
              </w:rPr>
              <w:t>经核算，</w:t>
            </w:r>
            <w:r>
              <w:rPr>
                <w:rFonts w:hint="eastAsia" w:cs="Times New Roman"/>
                <w:color w:val="auto"/>
                <w:sz w:val="24"/>
                <w:lang w:val="en-US" w:eastAsia="zh-CN"/>
              </w:rPr>
              <w:t>喷粉</w:t>
            </w:r>
            <w:r>
              <w:rPr>
                <w:rFonts w:hint="eastAsia" w:ascii="Times New Roman" w:hAnsi="Times New Roman" w:eastAsia="宋体" w:cs="Times New Roman"/>
                <w:color w:val="auto"/>
                <w:sz w:val="24"/>
                <w:lang w:val="en-US" w:eastAsia="zh-CN"/>
              </w:rPr>
              <w:t>工序</w:t>
            </w:r>
            <w:r>
              <w:rPr>
                <w:rFonts w:hint="eastAsia" w:cs="Times New Roman"/>
                <w:color w:val="auto"/>
                <w:sz w:val="24"/>
                <w:lang w:val="en-US" w:eastAsia="zh-CN"/>
              </w:rPr>
              <w:t>有组织废气排放量为0.02t/a，有组织排放速率为0.013kg/h，</w:t>
            </w:r>
            <w:r>
              <w:rPr>
                <w:rFonts w:hint="eastAsia" w:ascii="Times New Roman" w:hAnsi="Times New Roman" w:eastAsia="宋体" w:cs="Times New Roman"/>
                <w:color w:val="auto"/>
                <w:sz w:val="24"/>
                <w:lang w:val="en-US" w:eastAsia="zh-CN"/>
              </w:rPr>
              <w:t>无</w:t>
            </w:r>
            <w:r>
              <w:rPr>
                <w:rFonts w:hint="default" w:ascii="Times New Roman" w:hAnsi="Times New Roman" w:eastAsia="宋体" w:cs="Times New Roman"/>
                <w:color w:val="auto"/>
                <w:sz w:val="24"/>
                <w:lang w:val="en-US" w:eastAsia="zh-CN"/>
              </w:rPr>
              <w:t>组织废气</w:t>
            </w:r>
            <w:r>
              <w:rPr>
                <w:rFonts w:hint="eastAsia" w:ascii="Times New Roman" w:hAnsi="Times New Roman" w:eastAsia="宋体" w:cs="Times New Roman"/>
                <w:color w:val="auto"/>
                <w:sz w:val="24"/>
                <w:lang w:val="en-US" w:eastAsia="zh-CN"/>
              </w:rPr>
              <w:t>排放</w:t>
            </w:r>
            <w:r>
              <w:rPr>
                <w:rFonts w:hint="default" w:ascii="Times New Roman" w:hAnsi="Times New Roman" w:eastAsia="宋体" w:cs="Times New Roman"/>
                <w:color w:val="auto"/>
                <w:sz w:val="24"/>
                <w:lang w:val="en-US" w:eastAsia="zh-CN"/>
              </w:rPr>
              <w:t>量为</w:t>
            </w:r>
            <w:r>
              <w:rPr>
                <w:rFonts w:hint="eastAsia" w:ascii="Times New Roman" w:hAnsi="Times New Roman" w:eastAsia="宋体" w:cs="Times New Roman"/>
                <w:color w:val="auto"/>
                <w:sz w:val="24"/>
                <w:lang w:val="en-US" w:eastAsia="zh-CN"/>
              </w:rPr>
              <w:t>0.</w:t>
            </w:r>
            <w:r>
              <w:rPr>
                <w:rFonts w:hint="eastAsia" w:cs="Times New Roman"/>
                <w:color w:val="auto"/>
                <w:sz w:val="24"/>
                <w:lang w:val="en-US" w:eastAsia="zh-CN"/>
              </w:rPr>
              <w:t>05</w:t>
            </w:r>
            <w:r>
              <w:rPr>
                <w:rFonts w:hint="default" w:ascii="Times New Roman" w:hAnsi="Times New Roman" w:eastAsia="宋体" w:cs="Times New Roman"/>
                <w:color w:val="auto"/>
                <w:sz w:val="24"/>
                <w:lang w:val="en-US" w:eastAsia="zh-CN"/>
              </w:rPr>
              <w:t>t/a</w:t>
            </w:r>
            <w:r>
              <w:rPr>
                <w:rFonts w:hint="eastAsia" w:cs="Times New Roman"/>
                <w:color w:val="auto"/>
                <w:sz w:val="24"/>
                <w:lang w:val="en-US" w:eastAsia="zh-CN"/>
              </w:rPr>
              <w:t>，排放速率为0.03kg/h</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收尘灰总量为2.33t/a，其中</w:t>
            </w:r>
            <w:r>
              <w:rPr>
                <w:rFonts w:hint="eastAsia" w:ascii="Times New Roman" w:hAnsi="Times New Roman" w:eastAsia="宋体" w:cs="Times New Roman"/>
                <w:color w:val="auto"/>
                <w:sz w:val="24"/>
                <w:lang w:val="en-US" w:eastAsia="zh-CN"/>
              </w:rPr>
              <w:t>筛分回用的塑粉约占9</w:t>
            </w:r>
            <w:r>
              <w:rPr>
                <w:rFonts w:hint="eastAsia" w:cs="Times New Roman"/>
                <w:color w:val="auto"/>
                <w:sz w:val="24"/>
                <w:lang w:val="en-US" w:eastAsia="zh-CN"/>
              </w:rPr>
              <w:t>7</w:t>
            </w:r>
            <w:r>
              <w:rPr>
                <w:rFonts w:hint="eastAsia" w:ascii="Times New Roman" w:hAnsi="Times New Roman" w:eastAsia="宋体" w:cs="Times New Roman"/>
                <w:color w:val="auto"/>
                <w:sz w:val="24"/>
                <w:lang w:val="en-US" w:eastAsia="zh-CN"/>
              </w:rPr>
              <w:t>%，废粉约占</w:t>
            </w:r>
            <w:r>
              <w:rPr>
                <w:rFonts w:hint="eastAsia" w:cs="Times New Roman"/>
                <w:color w:val="auto"/>
                <w:sz w:val="24"/>
                <w:lang w:val="en-US" w:eastAsia="zh-CN"/>
              </w:rPr>
              <w:t>3</w:t>
            </w:r>
            <w:r>
              <w:rPr>
                <w:rFonts w:hint="eastAsia" w:ascii="Times New Roman" w:hAnsi="Times New Roman" w:eastAsia="宋体" w:cs="Times New Roman"/>
                <w:color w:val="auto"/>
                <w:sz w:val="24"/>
                <w:lang w:val="en-US" w:eastAsia="zh-CN"/>
              </w:rPr>
              <w:t>%，故</w:t>
            </w:r>
            <w:r>
              <w:rPr>
                <w:rFonts w:hint="eastAsia" w:cs="Times New Roman"/>
                <w:color w:val="auto"/>
                <w:sz w:val="24"/>
                <w:lang w:val="en-US" w:eastAsia="zh-CN"/>
              </w:rPr>
              <w:t>回用塑粉量为2.26t/a，</w:t>
            </w:r>
            <w:r>
              <w:rPr>
                <w:rFonts w:hint="eastAsia" w:ascii="Times New Roman" w:hAnsi="Times New Roman" w:eastAsia="宋体" w:cs="Times New Roman"/>
                <w:color w:val="auto"/>
                <w:sz w:val="24"/>
                <w:lang w:val="en-US" w:eastAsia="zh-CN"/>
              </w:rPr>
              <w:t>废粉产生量为0.</w:t>
            </w:r>
            <w:r>
              <w:rPr>
                <w:rFonts w:hint="eastAsia" w:cs="Times New Roman"/>
                <w:color w:val="auto"/>
                <w:sz w:val="24"/>
                <w:lang w:val="en-US" w:eastAsia="zh-CN"/>
              </w:rPr>
              <w:t>07</w:t>
            </w:r>
            <w:r>
              <w:rPr>
                <w:rFonts w:hint="eastAsia" w:ascii="Times New Roman" w:hAnsi="Times New Roman" w:eastAsia="宋体" w:cs="Times New Roman"/>
                <w:color w:val="auto"/>
                <w:sz w:val="24"/>
                <w:lang w:val="en-US" w:eastAsia="zh-CN"/>
              </w:rPr>
              <w:t>t/a</w:t>
            </w:r>
            <w:r>
              <w:rPr>
                <w:rFonts w:hint="eastAsia" w:cs="Times New Roman"/>
                <w:color w:val="auto"/>
                <w:sz w:val="24"/>
                <w:lang w:val="en-US" w:eastAsia="zh-CN"/>
              </w:rPr>
              <w:t>，其余均回用</w:t>
            </w:r>
            <w:r>
              <w:rPr>
                <w:rFonts w:hint="eastAsia" w:ascii="Times New Roman" w:hAnsi="Times New Roman" w:eastAsia="宋体" w:cs="Times New Roman"/>
                <w:color w:val="auto"/>
                <w:sz w:val="24"/>
                <w:lang w:val="en-US" w:eastAsia="zh-CN"/>
              </w:rPr>
              <w:t>。</w:t>
            </w:r>
          </w:p>
          <w:p w14:paraId="2FF21628">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⑤固化废气</w:t>
            </w:r>
          </w:p>
          <w:p w14:paraId="3AA37D82">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工件经</w:t>
            </w:r>
            <w:r>
              <w:rPr>
                <w:rFonts w:hint="eastAsia" w:cs="Times New Roman"/>
                <w:color w:val="auto"/>
                <w:sz w:val="24"/>
                <w:lang w:val="en-US" w:eastAsia="zh-CN"/>
              </w:rPr>
              <w:t>喷粉</w:t>
            </w:r>
            <w:r>
              <w:rPr>
                <w:rFonts w:hint="eastAsia" w:ascii="Times New Roman" w:hAnsi="Times New Roman" w:eastAsia="宋体" w:cs="Times New Roman"/>
                <w:color w:val="auto"/>
                <w:sz w:val="24"/>
                <w:lang w:val="en-US" w:eastAsia="zh-CN"/>
              </w:rPr>
              <w:t>后进入固化廊道加热固化，固化过程会造成少量树脂粉末热分解产生有机气体，通过全自动生产线在固化廊道进出口顶部设置集气口收集有机废气。</w:t>
            </w:r>
          </w:p>
          <w:p w14:paraId="37DEF055">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考虑到后期企业可能存在更换树脂粉末情况，因此本项目不根据树脂粉末VOC含量</w:t>
            </w:r>
            <w:r>
              <w:rPr>
                <w:rFonts w:hint="eastAsia" w:cs="Times New Roman"/>
                <w:color w:val="auto"/>
                <w:sz w:val="24"/>
                <w:lang w:val="en-US" w:eastAsia="zh-CN"/>
              </w:rPr>
              <w:t>检测报告</w:t>
            </w:r>
            <w:r>
              <w:rPr>
                <w:rFonts w:hint="default" w:ascii="Times New Roman" w:hAnsi="Times New Roman" w:eastAsia="宋体" w:cs="Times New Roman"/>
                <w:color w:val="auto"/>
                <w:sz w:val="24"/>
                <w:lang w:val="en-US" w:eastAsia="zh-CN"/>
              </w:rPr>
              <w:t>进行计算，要求企业后期使用树脂粉末涂料满足《低挥发性有机化合物含量涂料产品技术要求》（GB/T38597-2020）表3中挥发性有机化合物（VOC）含量限量值应≤60g/L的要求</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因此，本项目以含量限值≤60g/L（即树脂粉末涂料VOC含量以60g/L）计。树脂粉末密度为1.3g/mL，则经换算，树脂粉末年用量即</w:t>
            </w:r>
            <w:r>
              <w:rPr>
                <w:rFonts w:hint="eastAsia" w:ascii="Times New Roman" w:hAnsi="Times New Roman" w:eastAsia="宋体" w:cs="Times New Roman"/>
                <w:color w:val="auto"/>
                <w:sz w:val="24"/>
                <w:lang w:val="en-US" w:eastAsia="zh-CN"/>
              </w:rPr>
              <w:t>6153.8</w:t>
            </w:r>
            <w:r>
              <w:rPr>
                <w:rFonts w:hint="default" w:ascii="Times New Roman" w:hAnsi="Times New Roman" w:eastAsia="宋体" w:cs="Times New Roman"/>
                <w:color w:val="auto"/>
                <w:sz w:val="24"/>
                <w:lang w:val="en-US" w:eastAsia="zh-CN"/>
              </w:rPr>
              <w:t>L。</w:t>
            </w:r>
          </w:p>
          <w:p w14:paraId="19EDD5EC">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所用树脂粉末为聚酯塑粉及环氧聚酯塑粉，原子灰（腻子）中主要成分为不饱和聚酯树脂，其分解温度均为280℃，本项目固化炉控制最高温度为180℃，未达到其分解温度，因此固化过程会产生一定的有机废气，以非甲烷总烃计。固化工序每天</w:t>
            </w:r>
            <w:r>
              <w:rPr>
                <w:rFonts w:hint="eastAsia" w:ascii="Times New Roman" w:hAnsi="Times New Roman" w:eastAsia="宋体" w:cs="Times New Roman"/>
                <w:color w:val="auto"/>
                <w:sz w:val="24"/>
                <w:lang w:val="en-US" w:eastAsia="zh-CN"/>
              </w:rPr>
              <w:t>5h</w:t>
            </w:r>
            <w:r>
              <w:rPr>
                <w:rFonts w:hint="default" w:ascii="Times New Roman" w:hAnsi="Times New Roman" w:eastAsia="宋体" w:cs="Times New Roman"/>
                <w:color w:val="auto"/>
                <w:sz w:val="24"/>
                <w:lang w:val="en-US" w:eastAsia="zh-CN"/>
              </w:rPr>
              <w:t>，因此年工作时间</w:t>
            </w:r>
            <w:r>
              <w:rPr>
                <w:rFonts w:hint="eastAsia" w:ascii="Times New Roman" w:hAnsi="Times New Roman" w:eastAsia="宋体" w:cs="Times New Roman"/>
                <w:color w:val="auto"/>
                <w:sz w:val="24"/>
                <w:lang w:val="en-US" w:eastAsia="zh-CN"/>
              </w:rPr>
              <w:t>1500</w:t>
            </w:r>
            <w:r>
              <w:rPr>
                <w:rFonts w:hint="default" w:ascii="Times New Roman" w:hAnsi="Times New Roman" w:eastAsia="宋体" w:cs="Times New Roman"/>
                <w:color w:val="auto"/>
                <w:sz w:val="24"/>
                <w:lang w:val="en-US" w:eastAsia="zh-CN"/>
              </w:rPr>
              <w:t>h。</w:t>
            </w:r>
          </w:p>
          <w:p w14:paraId="0E50BDD2">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固化过程非甲烷总烃产生总量为</w:t>
            </w:r>
            <w:r>
              <w:rPr>
                <w:rFonts w:hint="eastAsia" w:ascii="Times New Roman" w:hAnsi="Times New Roman" w:eastAsia="宋体" w:cs="Times New Roman"/>
                <w:color w:val="auto"/>
                <w:sz w:val="24"/>
                <w:lang w:val="en-US" w:eastAsia="zh-CN"/>
              </w:rPr>
              <w:t>0.37</w:t>
            </w:r>
            <w:r>
              <w:rPr>
                <w:rFonts w:hint="default" w:ascii="Times New Roman" w:hAnsi="Times New Roman" w:eastAsia="宋体" w:cs="Times New Roman"/>
                <w:color w:val="auto"/>
                <w:sz w:val="24"/>
                <w:lang w:val="en-US" w:eastAsia="zh-CN"/>
              </w:rPr>
              <w:t>t/a，</w:t>
            </w:r>
            <w:r>
              <w:rPr>
                <w:rFonts w:hint="eastAsia" w:cs="Times New Roman"/>
                <w:color w:val="auto"/>
                <w:sz w:val="24"/>
                <w:lang w:val="en-US" w:eastAsia="zh-CN"/>
              </w:rPr>
              <w:t>产生效率为0.25kg/h，排放浓度为25mg/m³。固化廊道</w:t>
            </w:r>
            <w:r>
              <w:rPr>
                <w:rFonts w:hint="eastAsia" w:ascii="Times New Roman" w:hAnsi="Times New Roman" w:eastAsia="宋体" w:cs="Times New Roman"/>
                <w:color w:val="auto"/>
                <w:sz w:val="24"/>
                <w:lang w:val="en-US" w:eastAsia="zh-CN"/>
              </w:rPr>
              <w:t>进</w:t>
            </w:r>
            <w:r>
              <w:rPr>
                <w:rFonts w:hint="default" w:ascii="Times New Roman" w:hAnsi="Times New Roman" w:eastAsia="宋体" w:cs="Times New Roman"/>
                <w:color w:val="auto"/>
                <w:sz w:val="24"/>
                <w:lang w:val="en-US" w:eastAsia="zh-CN"/>
              </w:rPr>
              <w:t>出口</w:t>
            </w:r>
            <w:r>
              <w:rPr>
                <w:rFonts w:hint="eastAsia" w:cs="Times New Roman"/>
                <w:color w:val="auto"/>
                <w:sz w:val="24"/>
                <w:lang w:val="en-US" w:eastAsia="zh-CN"/>
              </w:rPr>
              <w:t>均</w:t>
            </w:r>
            <w:r>
              <w:rPr>
                <w:rFonts w:hint="default" w:ascii="Times New Roman" w:hAnsi="Times New Roman" w:eastAsia="宋体" w:cs="Times New Roman"/>
                <w:color w:val="auto"/>
                <w:sz w:val="24"/>
                <w:lang w:val="en-US" w:eastAsia="zh-CN"/>
              </w:rPr>
              <w:t>设集气口</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要求企业对固化廊道出入口延长1～2米，并将出入口进行半封闭，只留工件大小即可，以保证废气有效收集。</w:t>
            </w:r>
            <w:r>
              <w:rPr>
                <w:rFonts w:hint="eastAsia" w:ascii="Times New Roman" w:hAnsi="Times New Roman" w:eastAsia="宋体" w:cs="Times New Roman"/>
                <w:color w:val="auto"/>
                <w:sz w:val="24"/>
                <w:lang w:val="en-US" w:eastAsia="zh-CN"/>
              </w:rPr>
              <w:t>废气</w:t>
            </w:r>
            <w:r>
              <w:rPr>
                <w:rFonts w:hint="default" w:ascii="Times New Roman" w:hAnsi="Times New Roman" w:eastAsia="宋体" w:cs="Times New Roman"/>
                <w:color w:val="auto"/>
                <w:sz w:val="24"/>
                <w:lang w:val="en-US" w:eastAsia="zh-CN"/>
              </w:rPr>
              <w:t>收集效率以8</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%计，经风机（风量1</w:t>
            </w:r>
            <w:r>
              <w:rPr>
                <w:rFonts w:hint="eastAsia"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val="en-US" w:eastAsia="zh-CN"/>
              </w:rPr>
              <w:t>000</w:t>
            </w:r>
            <w:r>
              <w:rPr>
                <w:rFonts w:hint="eastAsia" w:cs="Times New Roman"/>
                <w:color w:val="auto"/>
                <w:sz w:val="24"/>
                <w:lang w:val="en-US" w:eastAsia="zh-CN"/>
              </w:rPr>
              <w:t>m³</w:t>
            </w:r>
            <w:r>
              <w:rPr>
                <w:rFonts w:hint="default" w:ascii="Times New Roman" w:hAnsi="Times New Roman" w:eastAsia="宋体" w:cs="Times New Roman"/>
                <w:color w:val="auto"/>
                <w:sz w:val="24"/>
                <w:lang w:val="en-US" w:eastAsia="zh-CN"/>
              </w:rPr>
              <w:t>/h）引至二级活性炭吸附箱（要求企业设置</w:t>
            </w:r>
            <w:r>
              <w:rPr>
                <w:rFonts w:hint="eastAsia" w:ascii="Times New Roman" w:hAnsi="Times New Roman" w:eastAsia="宋体" w:cs="Times New Roman"/>
                <w:color w:val="auto"/>
                <w:sz w:val="24"/>
                <w:lang w:val="en-US" w:eastAsia="zh-CN"/>
              </w:rPr>
              <w:t>二</w:t>
            </w:r>
            <w:r>
              <w:rPr>
                <w:rFonts w:hint="default" w:ascii="Times New Roman" w:hAnsi="Times New Roman" w:eastAsia="宋体" w:cs="Times New Roman"/>
                <w:color w:val="auto"/>
                <w:sz w:val="24"/>
                <w:lang w:val="en-US" w:eastAsia="zh-CN"/>
              </w:rPr>
              <w:t>级活性炭吸附处理效率不低于50%）处理后经15m排气筒（DA00</w:t>
            </w: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）有组织排放，因此有组织排放量为0.</w:t>
            </w:r>
            <w:r>
              <w:rPr>
                <w:rFonts w:hint="eastAsia" w:ascii="Times New Roman" w:hAnsi="Times New Roman" w:eastAsia="宋体" w:cs="Times New Roman"/>
                <w:color w:val="auto"/>
                <w:sz w:val="24"/>
                <w:lang w:val="en-US" w:eastAsia="zh-CN"/>
              </w:rPr>
              <w:t>16</w:t>
            </w:r>
            <w:r>
              <w:rPr>
                <w:rFonts w:hint="default" w:ascii="Times New Roman" w:hAnsi="Times New Roman" w:eastAsia="宋体" w:cs="Times New Roman"/>
                <w:color w:val="auto"/>
                <w:sz w:val="24"/>
                <w:lang w:val="en-US" w:eastAsia="zh-CN"/>
              </w:rPr>
              <w:t>t/a，排放速率为0.</w:t>
            </w:r>
            <w:r>
              <w:rPr>
                <w:rFonts w:hint="eastAsia" w:ascii="Times New Roman" w:hAnsi="Times New Roman" w:eastAsia="宋体" w:cs="Times New Roman"/>
                <w:color w:val="auto"/>
                <w:sz w:val="24"/>
                <w:lang w:val="en-US" w:eastAsia="zh-CN"/>
              </w:rPr>
              <w:t>11</w:t>
            </w:r>
            <w:r>
              <w:rPr>
                <w:rFonts w:hint="default" w:ascii="Times New Roman" w:hAnsi="Times New Roman" w:eastAsia="宋体" w:cs="Times New Roman"/>
                <w:color w:val="auto"/>
                <w:sz w:val="24"/>
                <w:lang w:val="en-US" w:eastAsia="zh-CN"/>
              </w:rPr>
              <w:t>kg/h，排放浓度为</w:t>
            </w:r>
            <w:r>
              <w:rPr>
                <w:rFonts w:hint="eastAsia" w:ascii="Times New Roman" w:hAnsi="Times New Roman" w:eastAsia="宋体" w:cs="Times New Roman"/>
                <w:color w:val="auto"/>
                <w:sz w:val="24"/>
                <w:lang w:val="en-US" w:eastAsia="zh-CN"/>
              </w:rPr>
              <w:t>11</w:t>
            </w:r>
            <w:r>
              <w:rPr>
                <w:rFonts w:hint="default" w:ascii="Times New Roman" w:hAnsi="Times New Roman" w:eastAsia="宋体" w:cs="Times New Roman"/>
                <w:color w:val="auto"/>
                <w:sz w:val="24"/>
                <w:lang w:val="en-US" w:eastAsia="zh-CN"/>
              </w:rPr>
              <w:t>mg</w:t>
            </w:r>
            <w:r>
              <w:rPr>
                <w:rFonts w:hint="eastAsia" w:cs="Times New Roman"/>
                <w:color w:val="auto"/>
                <w:sz w:val="24"/>
                <w:lang w:val="en-US" w:eastAsia="zh-CN"/>
              </w:rPr>
              <w:t>/m³</w:t>
            </w:r>
            <w:r>
              <w:rPr>
                <w:rFonts w:hint="default" w:ascii="Times New Roman" w:hAnsi="Times New Roman" w:eastAsia="宋体" w:cs="Times New Roman"/>
                <w:color w:val="auto"/>
                <w:sz w:val="24"/>
                <w:lang w:val="en-US" w:eastAsia="zh-CN"/>
              </w:rPr>
              <w:t>，无组织排放量为</w:t>
            </w:r>
            <w:r>
              <w:rPr>
                <w:rFonts w:hint="eastAsia" w:ascii="Times New Roman" w:hAnsi="Times New Roman" w:eastAsia="宋体" w:cs="Times New Roman"/>
                <w:color w:val="auto"/>
                <w:sz w:val="24"/>
                <w:lang w:val="en-US" w:eastAsia="zh-CN"/>
              </w:rPr>
              <w:t>0.06</w:t>
            </w:r>
            <w:r>
              <w:rPr>
                <w:rFonts w:hint="default" w:ascii="Times New Roman" w:hAnsi="Times New Roman" w:eastAsia="宋体" w:cs="Times New Roman"/>
                <w:color w:val="auto"/>
                <w:sz w:val="24"/>
                <w:lang w:val="en-US" w:eastAsia="zh-CN"/>
              </w:rPr>
              <w:t>t/a，排放速率为0.</w:t>
            </w:r>
            <w:r>
              <w:rPr>
                <w:rFonts w:hint="eastAsia" w:ascii="Times New Roman" w:hAnsi="Times New Roman" w:eastAsia="宋体" w:cs="Times New Roman"/>
                <w:color w:val="auto"/>
                <w:sz w:val="24"/>
                <w:lang w:val="en-US" w:eastAsia="zh-CN"/>
              </w:rPr>
              <w:t>04</w:t>
            </w:r>
            <w:r>
              <w:rPr>
                <w:rFonts w:hint="default" w:ascii="Times New Roman" w:hAnsi="Times New Roman" w:eastAsia="宋体" w:cs="Times New Roman"/>
                <w:color w:val="auto"/>
                <w:sz w:val="24"/>
                <w:lang w:val="en-US" w:eastAsia="zh-CN"/>
              </w:rPr>
              <w:t>kg/h。</w:t>
            </w:r>
          </w:p>
          <w:p w14:paraId="7F7662A5">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⑥天然气燃烧废气（烟尘、SO</w:t>
            </w:r>
            <w:r>
              <w:rPr>
                <w:rFonts w:hint="eastAsia" w:ascii="Times New Roman" w:hAnsi="Times New Roman" w:eastAsia="宋体" w:cs="Times New Roman"/>
                <w:b/>
                <w:bCs/>
                <w:color w:val="auto"/>
                <w:sz w:val="24"/>
                <w:vertAlign w:val="subscript"/>
                <w:lang w:val="en-US" w:eastAsia="zh-CN"/>
              </w:rPr>
              <w:t>2</w:t>
            </w:r>
            <w:r>
              <w:rPr>
                <w:rFonts w:hint="eastAsia" w:ascii="Times New Roman" w:hAnsi="Times New Roman" w:eastAsia="宋体" w:cs="Times New Roman"/>
                <w:b/>
                <w:bCs/>
                <w:color w:val="auto"/>
                <w:sz w:val="24"/>
                <w:lang w:val="en-US" w:eastAsia="zh-CN"/>
              </w:rPr>
              <w:t>、NO</w:t>
            </w:r>
            <w:r>
              <w:rPr>
                <w:rFonts w:hint="eastAsia" w:ascii="Times New Roman" w:hAnsi="Times New Roman" w:eastAsia="宋体" w:cs="Times New Roman"/>
                <w:b/>
                <w:bCs/>
                <w:color w:val="auto"/>
                <w:sz w:val="24"/>
                <w:vertAlign w:val="subscript"/>
                <w:lang w:val="en-US" w:eastAsia="zh-CN"/>
              </w:rPr>
              <w:t>X</w:t>
            </w:r>
            <w:r>
              <w:rPr>
                <w:rFonts w:hint="eastAsia" w:ascii="Times New Roman" w:hAnsi="Times New Roman" w:eastAsia="宋体" w:cs="Times New Roman"/>
                <w:b/>
                <w:bCs/>
                <w:color w:val="auto"/>
                <w:sz w:val="24"/>
                <w:lang w:val="en-US" w:eastAsia="zh-CN"/>
              </w:rPr>
              <w:t>）</w:t>
            </w:r>
          </w:p>
          <w:p w14:paraId="06B6DCC9">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本项目烘干和固化工序采用天然气提供热源，属于清洁能源，燃烧过程会产生烟尘、SO</w:t>
            </w:r>
            <w:r>
              <w:rPr>
                <w:rFonts w:hint="eastAsia" w:ascii="Times New Roman" w:hAnsi="Times New Roman" w:eastAsia="宋体" w:cs="Times New Roman"/>
                <w:color w:val="auto"/>
                <w:sz w:val="24"/>
                <w:vertAlign w:val="subscript"/>
                <w:lang w:val="en-US" w:eastAsia="zh-CN"/>
              </w:rPr>
              <w:t>2</w:t>
            </w:r>
            <w:r>
              <w:rPr>
                <w:rFonts w:hint="eastAsia" w:ascii="Times New Roman" w:hAnsi="Times New Roman" w:eastAsia="宋体" w:cs="Times New Roman"/>
                <w:color w:val="auto"/>
                <w:sz w:val="24"/>
                <w:lang w:val="en-US" w:eastAsia="zh-CN"/>
              </w:rPr>
              <w:t>、NO</w:t>
            </w:r>
            <w:r>
              <w:rPr>
                <w:rFonts w:hint="eastAsia" w:ascii="Times New Roman" w:hAnsi="Times New Roman" w:eastAsia="宋体" w:cs="Times New Roman"/>
                <w:color w:val="auto"/>
                <w:sz w:val="24"/>
                <w:vertAlign w:val="subscript"/>
                <w:lang w:val="en-US" w:eastAsia="zh-CN"/>
              </w:rPr>
              <w:t>X</w:t>
            </w:r>
            <w:r>
              <w:rPr>
                <w:rFonts w:hint="eastAsia" w:ascii="Times New Roman" w:hAnsi="Times New Roman" w:eastAsia="宋体" w:cs="Times New Roman"/>
                <w:color w:val="auto"/>
                <w:sz w:val="24"/>
                <w:lang w:val="en-US" w:eastAsia="zh-CN"/>
              </w:rPr>
              <w:t>等污染物，参照《排放源统计调查产排污核算方法和系数手册》中33-37,431-434机械行业中14涂装的产排污系数表，本项目燃料废气的系数表详见表4-2。</w:t>
            </w:r>
          </w:p>
          <w:p w14:paraId="568A5777">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表4-2  </w:t>
            </w:r>
            <w:r>
              <w:rPr>
                <w:rFonts w:hint="eastAsia"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33-37,431-434机械行业中14涂装</w:t>
            </w:r>
            <w:r>
              <w:rPr>
                <w:rFonts w:hint="eastAsia" w:cs="Times New Roman"/>
                <w:b/>
                <w:bCs/>
                <w:color w:val="auto"/>
                <w:sz w:val="21"/>
                <w:szCs w:val="21"/>
                <w:lang w:val="en-US" w:eastAsia="zh-CN"/>
              </w:rPr>
              <w:t>）产排污系数表</w:t>
            </w:r>
          </w:p>
          <w:tbl>
            <w:tblPr>
              <w:tblStyle w:val="31"/>
              <w:tblW w:w="8137"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073"/>
              <w:gridCol w:w="1062"/>
              <w:gridCol w:w="1061"/>
              <w:gridCol w:w="1315"/>
              <w:gridCol w:w="1166"/>
              <w:gridCol w:w="1380"/>
            </w:tblGrid>
            <w:tr w14:paraId="561FE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tcBorders>
                    <w:tl2br w:val="nil"/>
                    <w:tr2bl w:val="nil"/>
                  </w:tcBorders>
                  <w:noWrap w:val="0"/>
                  <w:vAlign w:val="center"/>
                </w:tcPr>
                <w:p w14:paraId="1EBB869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产品名称</w:t>
                  </w:r>
                </w:p>
              </w:tc>
              <w:tc>
                <w:tcPr>
                  <w:tcW w:w="1073" w:type="dxa"/>
                  <w:tcBorders>
                    <w:tl2br w:val="nil"/>
                    <w:tr2bl w:val="nil"/>
                  </w:tcBorders>
                  <w:noWrap w:val="0"/>
                  <w:vAlign w:val="center"/>
                </w:tcPr>
                <w:p w14:paraId="6E18626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原料名称</w:t>
                  </w:r>
                </w:p>
              </w:tc>
              <w:tc>
                <w:tcPr>
                  <w:tcW w:w="1062" w:type="dxa"/>
                  <w:tcBorders>
                    <w:tl2br w:val="nil"/>
                    <w:tr2bl w:val="nil"/>
                  </w:tcBorders>
                  <w:noWrap w:val="0"/>
                  <w:vAlign w:val="center"/>
                </w:tcPr>
                <w:p w14:paraId="68C4443A">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工艺名称</w:t>
                  </w:r>
                </w:p>
              </w:tc>
              <w:tc>
                <w:tcPr>
                  <w:tcW w:w="1061" w:type="dxa"/>
                  <w:tcBorders>
                    <w:tl2br w:val="nil"/>
                    <w:tr2bl w:val="nil"/>
                  </w:tcBorders>
                  <w:noWrap w:val="0"/>
                  <w:vAlign w:val="center"/>
                </w:tcPr>
                <w:p w14:paraId="1813E08D">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规模等级</w:t>
                  </w:r>
                </w:p>
              </w:tc>
              <w:tc>
                <w:tcPr>
                  <w:tcW w:w="1315" w:type="dxa"/>
                  <w:tcBorders>
                    <w:tl2br w:val="nil"/>
                    <w:tr2bl w:val="nil"/>
                  </w:tcBorders>
                  <w:noWrap w:val="0"/>
                  <w:vAlign w:val="center"/>
                </w:tcPr>
                <w:p w14:paraId="4AB8B8A6">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污染物指标</w:t>
                  </w:r>
                </w:p>
              </w:tc>
              <w:tc>
                <w:tcPr>
                  <w:tcW w:w="1166" w:type="dxa"/>
                  <w:tcBorders>
                    <w:tl2br w:val="nil"/>
                    <w:tr2bl w:val="nil"/>
                  </w:tcBorders>
                  <w:noWrap w:val="0"/>
                  <w:vAlign w:val="center"/>
                </w:tcPr>
                <w:p w14:paraId="54D9C85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单位</w:t>
                  </w:r>
                </w:p>
              </w:tc>
              <w:tc>
                <w:tcPr>
                  <w:tcW w:w="1380" w:type="dxa"/>
                  <w:tcBorders>
                    <w:tl2br w:val="nil"/>
                    <w:tr2bl w:val="nil"/>
                  </w:tcBorders>
                  <w:noWrap w:val="0"/>
                  <w:vAlign w:val="center"/>
                </w:tcPr>
                <w:p w14:paraId="6E01978B">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产污系数</w:t>
                  </w:r>
                </w:p>
              </w:tc>
            </w:tr>
            <w:tr w14:paraId="3C2A2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vMerge w:val="restart"/>
                  <w:tcBorders>
                    <w:tl2br w:val="nil"/>
                    <w:tr2bl w:val="nil"/>
                  </w:tcBorders>
                  <w:noWrap w:val="0"/>
                  <w:vAlign w:val="center"/>
                </w:tcPr>
                <w:p w14:paraId="61D84C04">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蒸汽/热水/其他</w:t>
                  </w:r>
                </w:p>
              </w:tc>
              <w:tc>
                <w:tcPr>
                  <w:tcW w:w="1073" w:type="dxa"/>
                  <w:vMerge w:val="restart"/>
                  <w:tcBorders>
                    <w:tl2br w:val="nil"/>
                    <w:tr2bl w:val="nil"/>
                  </w:tcBorders>
                  <w:noWrap w:val="0"/>
                  <w:vAlign w:val="center"/>
                </w:tcPr>
                <w:p w14:paraId="2D68EFD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天然气</w:t>
                  </w:r>
                </w:p>
              </w:tc>
              <w:tc>
                <w:tcPr>
                  <w:tcW w:w="1062" w:type="dxa"/>
                  <w:vMerge w:val="restart"/>
                  <w:tcBorders>
                    <w:tl2br w:val="nil"/>
                    <w:tr2bl w:val="nil"/>
                  </w:tcBorders>
                  <w:noWrap w:val="0"/>
                  <w:vAlign w:val="center"/>
                </w:tcPr>
                <w:p w14:paraId="76C0B4A0">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室燃炉</w:t>
                  </w:r>
                </w:p>
              </w:tc>
              <w:tc>
                <w:tcPr>
                  <w:tcW w:w="1061" w:type="dxa"/>
                  <w:vMerge w:val="restart"/>
                  <w:tcBorders>
                    <w:tl2br w:val="nil"/>
                    <w:tr2bl w:val="nil"/>
                  </w:tcBorders>
                  <w:noWrap w:val="0"/>
                  <w:vAlign w:val="center"/>
                </w:tcPr>
                <w:p w14:paraId="3A10460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所有规模</w:t>
                  </w:r>
                </w:p>
              </w:tc>
              <w:tc>
                <w:tcPr>
                  <w:tcW w:w="1315" w:type="dxa"/>
                  <w:tcBorders>
                    <w:tl2br w:val="nil"/>
                    <w:tr2bl w:val="nil"/>
                  </w:tcBorders>
                  <w:noWrap w:val="0"/>
                  <w:vAlign w:val="center"/>
                </w:tcPr>
                <w:p w14:paraId="5953FC0C">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工业废气量</w:t>
                  </w:r>
                </w:p>
              </w:tc>
              <w:tc>
                <w:tcPr>
                  <w:tcW w:w="1166" w:type="dxa"/>
                  <w:tcBorders>
                    <w:tl2br w:val="nil"/>
                    <w:tr2bl w:val="nil"/>
                  </w:tcBorders>
                  <w:noWrap w:val="0"/>
                  <w:vAlign w:val="center"/>
                </w:tcPr>
                <w:p w14:paraId="40EC9DF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立方米/立方米</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原料</w:t>
                  </w:r>
                </w:p>
              </w:tc>
              <w:tc>
                <w:tcPr>
                  <w:tcW w:w="1380" w:type="dxa"/>
                  <w:tcBorders>
                    <w:tl2br w:val="nil"/>
                    <w:tr2bl w:val="nil"/>
                  </w:tcBorders>
                  <w:noWrap w:val="0"/>
                  <w:vAlign w:val="center"/>
                </w:tcPr>
                <w:p w14:paraId="20F7910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13.6</w:t>
                  </w:r>
                </w:p>
              </w:tc>
            </w:tr>
            <w:tr w14:paraId="4B056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vMerge w:val="continue"/>
                  <w:tcBorders>
                    <w:tl2br w:val="nil"/>
                    <w:tr2bl w:val="nil"/>
                  </w:tcBorders>
                  <w:noWrap w:val="0"/>
                  <w:vAlign w:val="center"/>
                </w:tcPr>
                <w:p w14:paraId="13DD897F">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73" w:type="dxa"/>
                  <w:vMerge w:val="continue"/>
                  <w:tcBorders>
                    <w:tl2br w:val="nil"/>
                    <w:tr2bl w:val="nil"/>
                  </w:tcBorders>
                  <w:noWrap w:val="0"/>
                  <w:vAlign w:val="center"/>
                </w:tcPr>
                <w:p w14:paraId="764FB4EC">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62" w:type="dxa"/>
                  <w:vMerge w:val="continue"/>
                  <w:tcBorders>
                    <w:tl2br w:val="nil"/>
                    <w:tr2bl w:val="nil"/>
                  </w:tcBorders>
                  <w:noWrap w:val="0"/>
                  <w:vAlign w:val="center"/>
                </w:tcPr>
                <w:p w14:paraId="784676A0">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61" w:type="dxa"/>
                  <w:vMerge w:val="continue"/>
                  <w:tcBorders>
                    <w:tl2br w:val="nil"/>
                    <w:tr2bl w:val="nil"/>
                  </w:tcBorders>
                  <w:noWrap w:val="0"/>
                  <w:vAlign w:val="center"/>
                </w:tcPr>
                <w:p w14:paraId="6BB6C39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15" w:type="dxa"/>
                  <w:tcBorders>
                    <w:tl2br w:val="nil"/>
                    <w:tr2bl w:val="nil"/>
                  </w:tcBorders>
                  <w:noWrap w:val="0"/>
                  <w:vAlign w:val="center"/>
                </w:tcPr>
                <w:p w14:paraId="7FB07157">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1166" w:type="dxa"/>
                  <w:tcBorders>
                    <w:tl2br w:val="nil"/>
                    <w:tr2bl w:val="nil"/>
                  </w:tcBorders>
                  <w:noWrap w:val="0"/>
                  <w:vAlign w:val="center"/>
                </w:tcPr>
                <w:p w14:paraId="2A7F775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千克/立方米</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原料</w:t>
                  </w:r>
                </w:p>
              </w:tc>
              <w:tc>
                <w:tcPr>
                  <w:tcW w:w="1380" w:type="dxa"/>
                  <w:tcBorders>
                    <w:tl2br w:val="nil"/>
                    <w:tr2bl w:val="nil"/>
                  </w:tcBorders>
                  <w:noWrap w:val="0"/>
                  <w:vAlign w:val="center"/>
                </w:tcPr>
                <w:p w14:paraId="13E70C5C">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0.000286</w:t>
                  </w:r>
                </w:p>
              </w:tc>
            </w:tr>
            <w:tr w14:paraId="02F039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vMerge w:val="continue"/>
                  <w:tcBorders>
                    <w:tl2br w:val="nil"/>
                    <w:tr2bl w:val="nil"/>
                  </w:tcBorders>
                  <w:noWrap w:val="0"/>
                  <w:vAlign w:val="center"/>
                </w:tcPr>
                <w:p w14:paraId="1479D74B">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73" w:type="dxa"/>
                  <w:vMerge w:val="continue"/>
                  <w:tcBorders>
                    <w:tl2br w:val="nil"/>
                    <w:tr2bl w:val="nil"/>
                  </w:tcBorders>
                  <w:noWrap w:val="0"/>
                  <w:vAlign w:val="center"/>
                </w:tcPr>
                <w:p w14:paraId="69693BF6">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62" w:type="dxa"/>
                  <w:vMerge w:val="continue"/>
                  <w:tcBorders>
                    <w:tl2br w:val="nil"/>
                    <w:tr2bl w:val="nil"/>
                  </w:tcBorders>
                  <w:noWrap w:val="0"/>
                  <w:vAlign w:val="center"/>
                </w:tcPr>
                <w:p w14:paraId="1CDDD9D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61" w:type="dxa"/>
                  <w:vMerge w:val="continue"/>
                  <w:tcBorders>
                    <w:tl2br w:val="nil"/>
                    <w:tr2bl w:val="nil"/>
                  </w:tcBorders>
                  <w:noWrap w:val="0"/>
                  <w:vAlign w:val="center"/>
                </w:tcPr>
                <w:p w14:paraId="16DBBB3D">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15" w:type="dxa"/>
                  <w:tcBorders>
                    <w:tl2br w:val="nil"/>
                    <w:tr2bl w:val="nil"/>
                  </w:tcBorders>
                  <w:noWrap w:val="0"/>
                  <w:vAlign w:val="center"/>
                </w:tcPr>
                <w:p w14:paraId="5018105A">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二氧化硫</w:t>
                  </w:r>
                </w:p>
              </w:tc>
              <w:tc>
                <w:tcPr>
                  <w:tcW w:w="1166" w:type="dxa"/>
                  <w:tcBorders>
                    <w:tl2br w:val="nil"/>
                    <w:tr2bl w:val="nil"/>
                  </w:tcBorders>
                  <w:noWrap w:val="0"/>
                  <w:vAlign w:val="center"/>
                </w:tcPr>
                <w:p w14:paraId="63CAB243">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千克/立方米</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原料</w:t>
                  </w:r>
                </w:p>
              </w:tc>
              <w:tc>
                <w:tcPr>
                  <w:tcW w:w="1380" w:type="dxa"/>
                  <w:tcBorders>
                    <w:tl2br w:val="nil"/>
                    <w:tr2bl w:val="nil"/>
                  </w:tcBorders>
                  <w:noWrap w:val="0"/>
                  <w:vAlign w:val="center"/>
                </w:tcPr>
                <w:p w14:paraId="78E8DD51">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0.000002S①</w:t>
                  </w:r>
                </w:p>
              </w:tc>
            </w:tr>
            <w:tr w14:paraId="0E07D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vMerge w:val="continue"/>
                  <w:tcBorders>
                    <w:tl2br w:val="nil"/>
                    <w:tr2bl w:val="nil"/>
                  </w:tcBorders>
                  <w:noWrap w:val="0"/>
                  <w:vAlign w:val="center"/>
                </w:tcPr>
                <w:p w14:paraId="06129FA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73" w:type="dxa"/>
                  <w:vMerge w:val="continue"/>
                  <w:tcBorders>
                    <w:tl2br w:val="nil"/>
                    <w:tr2bl w:val="nil"/>
                  </w:tcBorders>
                  <w:noWrap w:val="0"/>
                  <w:vAlign w:val="center"/>
                </w:tcPr>
                <w:p w14:paraId="21084A92">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62" w:type="dxa"/>
                  <w:vMerge w:val="continue"/>
                  <w:tcBorders>
                    <w:tl2br w:val="nil"/>
                    <w:tr2bl w:val="nil"/>
                  </w:tcBorders>
                  <w:noWrap w:val="0"/>
                  <w:vAlign w:val="center"/>
                </w:tcPr>
                <w:p w14:paraId="5B9EF42E">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61" w:type="dxa"/>
                  <w:vMerge w:val="continue"/>
                  <w:tcBorders>
                    <w:tl2br w:val="nil"/>
                    <w:tr2bl w:val="nil"/>
                  </w:tcBorders>
                  <w:noWrap w:val="0"/>
                  <w:vAlign w:val="center"/>
                </w:tcPr>
                <w:p w14:paraId="2AD159EC">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15" w:type="dxa"/>
                  <w:tcBorders>
                    <w:tl2br w:val="nil"/>
                    <w:tr2bl w:val="nil"/>
                  </w:tcBorders>
                  <w:noWrap w:val="0"/>
                  <w:vAlign w:val="center"/>
                </w:tcPr>
                <w:p w14:paraId="1FDA6874">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氮氧化物</w:t>
                  </w:r>
                </w:p>
              </w:tc>
              <w:tc>
                <w:tcPr>
                  <w:tcW w:w="1166" w:type="dxa"/>
                  <w:tcBorders>
                    <w:tl2br w:val="nil"/>
                    <w:tr2bl w:val="nil"/>
                  </w:tcBorders>
                  <w:noWrap w:val="0"/>
                  <w:vAlign w:val="center"/>
                </w:tcPr>
                <w:p w14:paraId="7054E851">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千克/立方米</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原料</w:t>
                  </w:r>
                </w:p>
              </w:tc>
              <w:tc>
                <w:tcPr>
                  <w:tcW w:w="1380" w:type="dxa"/>
                  <w:tcBorders>
                    <w:tl2br w:val="nil"/>
                    <w:tr2bl w:val="nil"/>
                  </w:tcBorders>
                  <w:noWrap w:val="0"/>
                  <w:vAlign w:val="center"/>
                </w:tcPr>
                <w:p w14:paraId="2EAFCA4E">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0.00187</w:t>
                  </w:r>
                </w:p>
              </w:tc>
            </w:tr>
          </w:tbl>
          <w:p w14:paraId="51644015">
            <w:pPr>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1"/>
                <w:szCs w:val="21"/>
                <w:lang w:val="en-US" w:eastAsia="zh-CN"/>
              </w:rPr>
              <w:t>注：产排污系数表中二氧化硫的产排污系数是以含硫量（S）的形式表示的，其中含硫量（S）是指燃气收到基硫分含量，单位为毫克/立方米。根据《天然气》（GB17820-2018），本项目天然气属于一类，总硫含量为20毫克/立方米，则S=20。</w:t>
            </w:r>
          </w:p>
          <w:p w14:paraId="7EB9CA21">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根据企业提供资料，天然气使用量为6万m³。则天然气燃烧废气产排情况见表4-3。</w:t>
            </w:r>
          </w:p>
          <w:p w14:paraId="1D2C67AB">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表4-3  天然气燃烧废气污染物产生和排放情况</w:t>
            </w:r>
          </w:p>
          <w:tbl>
            <w:tblPr>
              <w:tblStyle w:val="31"/>
              <w:tblW w:w="81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1356"/>
              <w:gridCol w:w="1356"/>
              <w:gridCol w:w="1356"/>
              <w:gridCol w:w="1356"/>
              <w:gridCol w:w="1357"/>
            </w:tblGrid>
            <w:tr w14:paraId="6498A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restart"/>
                  <w:tcBorders>
                    <w:tl2br w:val="nil"/>
                    <w:tr2bl w:val="nil"/>
                  </w:tcBorders>
                  <w:noWrap w:val="0"/>
                  <w:vAlign w:val="center"/>
                </w:tcPr>
                <w:p w14:paraId="7AB31765">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污染源</w:t>
                  </w:r>
                </w:p>
              </w:tc>
              <w:tc>
                <w:tcPr>
                  <w:tcW w:w="1356" w:type="dxa"/>
                  <w:vMerge w:val="restart"/>
                  <w:tcBorders>
                    <w:tl2br w:val="nil"/>
                    <w:tr2bl w:val="nil"/>
                  </w:tcBorders>
                  <w:noWrap w:val="0"/>
                  <w:vAlign w:val="center"/>
                </w:tcPr>
                <w:p w14:paraId="09D7D7D0">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污染物</w:t>
                  </w:r>
                </w:p>
              </w:tc>
              <w:tc>
                <w:tcPr>
                  <w:tcW w:w="2712" w:type="dxa"/>
                  <w:gridSpan w:val="2"/>
                  <w:tcBorders>
                    <w:tl2br w:val="nil"/>
                    <w:tr2bl w:val="nil"/>
                  </w:tcBorders>
                  <w:noWrap w:val="0"/>
                  <w:vAlign w:val="center"/>
                </w:tcPr>
                <w:p w14:paraId="3C73E8FF">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产生情况</w:t>
                  </w:r>
                </w:p>
              </w:tc>
              <w:tc>
                <w:tcPr>
                  <w:tcW w:w="2713" w:type="dxa"/>
                  <w:gridSpan w:val="2"/>
                  <w:tcBorders>
                    <w:tl2br w:val="nil"/>
                    <w:tr2bl w:val="nil"/>
                  </w:tcBorders>
                  <w:noWrap w:val="0"/>
                  <w:vAlign w:val="center"/>
                </w:tcPr>
                <w:p w14:paraId="2F2DB6E6">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排放情况</w:t>
                  </w:r>
                </w:p>
              </w:tc>
            </w:tr>
            <w:tr w14:paraId="116D4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continue"/>
                  <w:tcBorders>
                    <w:tl2br w:val="nil"/>
                    <w:tr2bl w:val="nil"/>
                  </w:tcBorders>
                  <w:noWrap w:val="0"/>
                  <w:vAlign w:val="center"/>
                </w:tcPr>
                <w:p w14:paraId="6BF37BF5">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56" w:type="dxa"/>
                  <w:vMerge w:val="continue"/>
                  <w:tcBorders>
                    <w:tl2br w:val="nil"/>
                    <w:tr2bl w:val="nil"/>
                  </w:tcBorders>
                  <w:noWrap w:val="0"/>
                  <w:vAlign w:val="center"/>
                </w:tcPr>
                <w:p w14:paraId="28FEF78F">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56" w:type="dxa"/>
                  <w:tcBorders>
                    <w:tl2br w:val="nil"/>
                    <w:tr2bl w:val="nil"/>
                  </w:tcBorders>
                  <w:noWrap w:val="0"/>
                  <w:vAlign w:val="center"/>
                </w:tcPr>
                <w:p w14:paraId="4233F21B">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产生量（t/a）</w:t>
                  </w:r>
                </w:p>
              </w:tc>
              <w:tc>
                <w:tcPr>
                  <w:tcW w:w="1356" w:type="dxa"/>
                  <w:tcBorders>
                    <w:tl2br w:val="nil"/>
                    <w:tr2bl w:val="nil"/>
                  </w:tcBorders>
                  <w:noWrap w:val="0"/>
                  <w:vAlign w:val="center"/>
                </w:tcPr>
                <w:p w14:paraId="631A6B94">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产生浓度（㎎/m³）</w:t>
                  </w:r>
                </w:p>
              </w:tc>
              <w:tc>
                <w:tcPr>
                  <w:tcW w:w="1356" w:type="dxa"/>
                  <w:tcBorders>
                    <w:tl2br w:val="nil"/>
                    <w:tr2bl w:val="nil"/>
                  </w:tcBorders>
                  <w:noWrap w:val="0"/>
                  <w:vAlign w:val="center"/>
                </w:tcPr>
                <w:p w14:paraId="479C6E8A">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排放量（t/a）</w:t>
                  </w:r>
                </w:p>
              </w:tc>
              <w:tc>
                <w:tcPr>
                  <w:tcW w:w="1357" w:type="dxa"/>
                  <w:tcBorders>
                    <w:tl2br w:val="nil"/>
                    <w:tr2bl w:val="nil"/>
                  </w:tcBorders>
                  <w:noWrap w:val="0"/>
                  <w:vAlign w:val="center"/>
                </w:tcPr>
                <w:p w14:paraId="1370BFD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排放浓度（㎎/m³）</w:t>
                  </w:r>
                </w:p>
              </w:tc>
            </w:tr>
            <w:tr w14:paraId="448D7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restart"/>
                  <w:tcBorders>
                    <w:tl2br w:val="nil"/>
                    <w:tr2bl w:val="nil"/>
                  </w:tcBorders>
                  <w:noWrap w:val="0"/>
                  <w:vAlign w:val="center"/>
                </w:tcPr>
                <w:p w14:paraId="5199AFB6">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天然气燃烧废气（DA002）</w:t>
                  </w:r>
                </w:p>
              </w:tc>
              <w:tc>
                <w:tcPr>
                  <w:tcW w:w="1356" w:type="dxa"/>
                  <w:tcBorders>
                    <w:tl2br w:val="nil"/>
                    <w:tr2bl w:val="nil"/>
                  </w:tcBorders>
                  <w:noWrap w:val="0"/>
                  <w:vAlign w:val="center"/>
                </w:tcPr>
                <w:p w14:paraId="544BEAA2">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烟气量</w:t>
                  </w:r>
                </w:p>
              </w:tc>
              <w:tc>
                <w:tcPr>
                  <w:tcW w:w="1356" w:type="dxa"/>
                  <w:tcBorders>
                    <w:tl2br w:val="nil"/>
                    <w:tr2bl w:val="nil"/>
                  </w:tcBorders>
                  <w:noWrap w:val="0"/>
                  <w:vAlign w:val="center"/>
                </w:tcPr>
                <w:p w14:paraId="7906B6BD">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82万m³</w:t>
                  </w:r>
                </w:p>
              </w:tc>
              <w:tc>
                <w:tcPr>
                  <w:tcW w:w="1356" w:type="dxa"/>
                  <w:tcBorders>
                    <w:tl2br w:val="nil"/>
                    <w:tr2bl w:val="nil"/>
                  </w:tcBorders>
                  <w:noWrap w:val="0"/>
                  <w:vAlign w:val="center"/>
                </w:tcPr>
                <w:p w14:paraId="74A3F1BD">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1356" w:type="dxa"/>
                  <w:tcBorders>
                    <w:tl2br w:val="nil"/>
                    <w:tr2bl w:val="nil"/>
                  </w:tcBorders>
                  <w:noWrap w:val="0"/>
                  <w:vAlign w:val="center"/>
                </w:tcPr>
                <w:p w14:paraId="1275DD93">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82万m³</w:t>
                  </w:r>
                </w:p>
              </w:tc>
              <w:tc>
                <w:tcPr>
                  <w:tcW w:w="1357" w:type="dxa"/>
                  <w:tcBorders>
                    <w:tl2br w:val="nil"/>
                    <w:tr2bl w:val="nil"/>
                  </w:tcBorders>
                  <w:noWrap w:val="0"/>
                  <w:vAlign w:val="center"/>
                </w:tcPr>
                <w:p w14:paraId="616E90E0">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3DEC3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continue"/>
                  <w:tcBorders>
                    <w:tl2br w:val="nil"/>
                    <w:tr2bl w:val="nil"/>
                  </w:tcBorders>
                  <w:noWrap w:val="0"/>
                  <w:vAlign w:val="center"/>
                </w:tcPr>
                <w:p w14:paraId="518B21DC">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56" w:type="dxa"/>
                  <w:tcBorders>
                    <w:tl2br w:val="nil"/>
                    <w:tr2bl w:val="nil"/>
                  </w:tcBorders>
                  <w:noWrap w:val="0"/>
                  <w:vAlign w:val="center"/>
                </w:tcPr>
                <w:p w14:paraId="6176186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1356" w:type="dxa"/>
                  <w:tcBorders>
                    <w:tl2br w:val="nil"/>
                    <w:tr2bl w:val="nil"/>
                  </w:tcBorders>
                  <w:noWrap w:val="0"/>
                  <w:vAlign w:val="center"/>
                </w:tcPr>
                <w:p w14:paraId="6C649DE6">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0.017</w:t>
                  </w:r>
                </w:p>
              </w:tc>
              <w:tc>
                <w:tcPr>
                  <w:tcW w:w="1356" w:type="dxa"/>
                  <w:tcBorders>
                    <w:tl2br w:val="nil"/>
                    <w:tr2bl w:val="nil"/>
                  </w:tcBorders>
                  <w:noWrap w:val="0"/>
                  <w:vAlign w:val="center"/>
                </w:tcPr>
                <w:p w14:paraId="6FEF4D07">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20.73</w:t>
                  </w:r>
                </w:p>
              </w:tc>
              <w:tc>
                <w:tcPr>
                  <w:tcW w:w="1356" w:type="dxa"/>
                  <w:tcBorders>
                    <w:tl2br w:val="nil"/>
                    <w:tr2bl w:val="nil"/>
                  </w:tcBorders>
                  <w:noWrap w:val="0"/>
                  <w:vAlign w:val="center"/>
                </w:tcPr>
                <w:p w14:paraId="04D28C77">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0.017</w:t>
                  </w:r>
                </w:p>
              </w:tc>
              <w:tc>
                <w:tcPr>
                  <w:tcW w:w="1357" w:type="dxa"/>
                  <w:tcBorders>
                    <w:tl2br w:val="nil"/>
                    <w:tr2bl w:val="nil"/>
                  </w:tcBorders>
                  <w:noWrap w:val="0"/>
                  <w:vAlign w:val="center"/>
                </w:tcPr>
                <w:p w14:paraId="0CD4C1B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20.73</w:t>
                  </w:r>
                </w:p>
              </w:tc>
            </w:tr>
            <w:tr w14:paraId="1BB36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continue"/>
                  <w:tcBorders>
                    <w:tl2br w:val="nil"/>
                    <w:tr2bl w:val="nil"/>
                  </w:tcBorders>
                  <w:noWrap w:val="0"/>
                  <w:vAlign w:val="center"/>
                </w:tcPr>
                <w:p w14:paraId="603BA112">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56" w:type="dxa"/>
                  <w:tcBorders>
                    <w:tl2br w:val="nil"/>
                    <w:tr2bl w:val="nil"/>
                  </w:tcBorders>
                  <w:noWrap w:val="0"/>
                  <w:vAlign w:val="center"/>
                </w:tcPr>
                <w:p w14:paraId="02438C54">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黑体" w:cs="Times New Roman"/>
                      <w:bCs/>
                      <w:color w:val="auto"/>
                      <w:sz w:val="21"/>
                      <w:szCs w:val="21"/>
                      <w:lang w:val="en-US" w:eastAsia="zh-CN"/>
                    </w:rPr>
                    <w:t>SO</w:t>
                  </w:r>
                  <w:r>
                    <w:rPr>
                      <w:rFonts w:hint="eastAsia" w:ascii="Times New Roman" w:hAnsi="Times New Roman" w:eastAsia="黑体" w:cs="Times New Roman"/>
                      <w:bCs/>
                      <w:color w:val="auto"/>
                      <w:sz w:val="21"/>
                      <w:szCs w:val="21"/>
                      <w:vertAlign w:val="subscript"/>
                      <w:lang w:val="en-US" w:eastAsia="zh-CN"/>
                    </w:rPr>
                    <w:t>2</w:t>
                  </w:r>
                </w:p>
              </w:tc>
              <w:tc>
                <w:tcPr>
                  <w:tcW w:w="1356" w:type="dxa"/>
                  <w:tcBorders>
                    <w:tl2br w:val="nil"/>
                    <w:tr2bl w:val="nil"/>
                  </w:tcBorders>
                  <w:noWrap w:val="0"/>
                  <w:vAlign w:val="center"/>
                </w:tcPr>
                <w:p w14:paraId="7EE79EDC">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0.0024</w:t>
                  </w:r>
                </w:p>
              </w:tc>
              <w:tc>
                <w:tcPr>
                  <w:tcW w:w="1356" w:type="dxa"/>
                  <w:tcBorders>
                    <w:tl2br w:val="nil"/>
                    <w:tr2bl w:val="nil"/>
                  </w:tcBorders>
                  <w:noWrap w:val="0"/>
                  <w:vAlign w:val="center"/>
                </w:tcPr>
                <w:p w14:paraId="4BF258DD">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2.93</w:t>
                  </w:r>
                </w:p>
              </w:tc>
              <w:tc>
                <w:tcPr>
                  <w:tcW w:w="1356" w:type="dxa"/>
                  <w:tcBorders>
                    <w:tl2br w:val="nil"/>
                    <w:tr2bl w:val="nil"/>
                  </w:tcBorders>
                  <w:noWrap w:val="0"/>
                  <w:vAlign w:val="center"/>
                </w:tcPr>
                <w:p w14:paraId="37ED1E81">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0.0024</w:t>
                  </w:r>
                </w:p>
              </w:tc>
              <w:tc>
                <w:tcPr>
                  <w:tcW w:w="1357" w:type="dxa"/>
                  <w:tcBorders>
                    <w:tl2br w:val="nil"/>
                    <w:tr2bl w:val="nil"/>
                  </w:tcBorders>
                  <w:noWrap w:val="0"/>
                  <w:vAlign w:val="center"/>
                </w:tcPr>
                <w:p w14:paraId="7DBBE03A">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2.93</w:t>
                  </w:r>
                </w:p>
              </w:tc>
            </w:tr>
            <w:tr w14:paraId="24763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continue"/>
                  <w:tcBorders>
                    <w:tl2br w:val="nil"/>
                    <w:tr2bl w:val="nil"/>
                  </w:tcBorders>
                  <w:noWrap w:val="0"/>
                  <w:vAlign w:val="center"/>
                </w:tcPr>
                <w:p w14:paraId="463EE35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56" w:type="dxa"/>
                  <w:tcBorders>
                    <w:tl2br w:val="nil"/>
                    <w:tr2bl w:val="nil"/>
                  </w:tcBorders>
                  <w:noWrap w:val="0"/>
                  <w:vAlign w:val="center"/>
                </w:tcPr>
                <w:p w14:paraId="2ADD791B">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黑体" w:cs="Times New Roman"/>
                      <w:bCs/>
                      <w:color w:val="auto"/>
                      <w:sz w:val="21"/>
                      <w:szCs w:val="21"/>
                      <w:lang w:val="en-US" w:eastAsia="zh-CN"/>
                    </w:rPr>
                    <w:t>NO</w:t>
                  </w:r>
                  <w:r>
                    <w:rPr>
                      <w:rFonts w:hint="eastAsia" w:ascii="Times New Roman" w:hAnsi="Times New Roman" w:eastAsia="黑体" w:cs="Times New Roman"/>
                      <w:bCs/>
                      <w:color w:val="auto"/>
                      <w:sz w:val="21"/>
                      <w:szCs w:val="21"/>
                      <w:vertAlign w:val="subscript"/>
                      <w:lang w:val="en-US" w:eastAsia="zh-CN"/>
                    </w:rPr>
                    <w:t>X</w:t>
                  </w:r>
                </w:p>
              </w:tc>
              <w:tc>
                <w:tcPr>
                  <w:tcW w:w="1356" w:type="dxa"/>
                  <w:tcBorders>
                    <w:tl2br w:val="nil"/>
                    <w:tr2bl w:val="nil"/>
                  </w:tcBorders>
                  <w:noWrap w:val="0"/>
                  <w:vAlign w:val="center"/>
                </w:tcPr>
                <w:p w14:paraId="6F1102D3">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0.0561</w:t>
                  </w:r>
                </w:p>
              </w:tc>
              <w:tc>
                <w:tcPr>
                  <w:tcW w:w="1356" w:type="dxa"/>
                  <w:tcBorders>
                    <w:tl2br w:val="nil"/>
                    <w:tr2bl w:val="nil"/>
                  </w:tcBorders>
                  <w:noWrap w:val="0"/>
                  <w:vAlign w:val="center"/>
                </w:tcPr>
                <w:p w14:paraId="459FADB2">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68.75</w:t>
                  </w:r>
                </w:p>
              </w:tc>
              <w:tc>
                <w:tcPr>
                  <w:tcW w:w="1356" w:type="dxa"/>
                  <w:tcBorders>
                    <w:tl2br w:val="nil"/>
                    <w:tr2bl w:val="nil"/>
                  </w:tcBorders>
                  <w:noWrap w:val="0"/>
                  <w:vAlign w:val="center"/>
                </w:tcPr>
                <w:p w14:paraId="52F11EAD">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0.0561</w:t>
                  </w:r>
                </w:p>
              </w:tc>
              <w:tc>
                <w:tcPr>
                  <w:tcW w:w="1357" w:type="dxa"/>
                  <w:tcBorders>
                    <w:tl2br w:val="nil"/>
                    <w:tr2bl w:val="nil"/>
                  </w:tcBorders>
                  <w:noWrap w:val="0"/>
                  <w:vAlign w:val="center"/>
                </w:tcPr>
                <w:p w14:paraId="0CCC3490">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68.75</w:t>
                  </w:r>
                </w:p>
              </w:tc>
            </w:tr>
          </w:tbl>
          <w:p w14:paraId="06FC1C8C">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污染物达标排放情况</w:t>
            </w:r>
          </w:p>
          <w:p w14:paraId="62FD4FDB">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本项目</w:t>
            </w:r>
            <w:r>
              <w:rPr>
                <w:rFonts w:hint="eastAsia" w:ascii="Times New Roman" w:hAnsi="Times New Roman" w:eastAsia="宋体" w:cs="Times New Roman"/>
                <w:b w:val="0"/>
                <w:bCs w:val="0"/>
                <w:color w:val="auto"/>
                <w:sz w:val="24"/>
                <w:lang w:val="en-US" w:eastAsia="zh-CN"/>
              </w:rPr>
              <w:t>废气主要为抛丸工序、焊接工序、切割、</w:t>
            </w:r>
            <w:r>
              <w:rPr>
                <w:rFonts w:hint="eastAsia" w:cs="Times New Roman"/>
                <w:b w:val="0"/>
                <w:bCs w:val="0"/>
                <w:color w:val="auto"/>
                <w:sz w:val="24"/>
                <w:lang w:val="en-US" w:eastAsia="zh-CN"/>
              </w:rPr>
              <w:t>喷粉</w:t>
            </w:r>
            <w:r>
              <w:rPr>
                <w:rFonts w:hint="eastAsia" w:ascii="Times New Roman" w:hAnsi="Times New Roman" w:eastAsia="宋体" w:cs="Times New Roman"/>
                <w:b w:val="0"/>
                <w:bCs w:val="0"/>
                <w:color w:val="auto"/>
                <w:sz w:val="24"/>
                <w:lang w:val="en-US" w:eastAsia="zh-CN"/>
              </w:rPr>
              <w:t>工序产生的颗粒物、固化工序产生的非甲烷总烃和天然气燃烧产生的颗粒物、二氧化硫、氮氧化物。</w:t>
            </w:r>
          </w:p>
          <w:p w14:paraId="5DD5E85F">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cs="Times New Roman"/>
                <w:color w:val="auto"/>
                <w:sz w:val="24"/>
                <w:lang w:val="en-US" w:eastAsia="zh-CN"/>
              </w:rPr>
            </w:pPr>
            <w:r>
              <w:rPr>
                <w:rFonts w:hint="eastAsia" w:ascii="Times New Roman" w:hAnsi="Times New Roman" w:eastAsia="宋体" w:cs="Times New Roman"/>
                <w:b w:val="0"/>
                <w:bCs w:val="0"/>
                <w:color w:val="auto"/>
                <w:sz w:val="24"/>
                <w:lang w:val="en-US" w:eastAsia="zh-CN"/>
              </w:rPr>
              <w:t>项目抛丸工序</w:t>
            </w:r>
            <w:r>
              <w:rPr>
                <w:rFonts w:hint="eastAsia" w:ascii="Times New Roman" w:hAnsi="Times New Roman" w:eastAsia="宋体" w:cs="Times New Roman"/>
                <w:color w:val="auto"/>
                <w:sz w:val="24"/>
                <w:lang w:val="en-US" w:eastAsia="zh-CN"/>
              </w:rPr>
              <w:t>在抛丸机设备内部进行，产生的粉尘分别由引风机直接收集至设备自带布袋除尘设施</w:t>
            </w:r>
            <w:r>
              <w:rPr>
                <w:rFonts w:hint="eastAsia" w:cs="Times New Roman"/>
                <w:color w:val="auto"/>
                <w:sz w:val="24"/>
                <w:lang w:val="en-US" w:eastAsia="zh-CN"/>
              </w:rPr>
              <w:t>和脉冲式滤筒除尘器</w:t>
            </w:r>
            <w:r>
              <w:rPr>
                <w:rFonts w:hint="eastAsia" w:ascii="Times New Roman" w:hAnsi="Times New Roman" w:eastAsia="宋体" w:cs="Times New Roman"/>
                <w:color w:val="auto"/>
                <w:sz w:val="24"/>
                <w:lang w:val="en-US" w:eastAsia="zh-CN"/>
              </w:rPr>
              <w:t>中进行处理后</w:t>
            </w:r>
            <w:r>
              <w:rPr>
                <w:rFonts w:hint="eastAsia" w:cs="Times New Roman"/>
                <w:color w:val="auto"/>
                <w:sz w:val="24"/>
                <w:lang w:val="en-US" w:eastAsia="zh-CN"/>
              </w:rPr>
              <w:t>由排气筒</w:t>
            </w:r>
            <w:r>
              <w:rPr>
                <w:rFonts w:hint="eastAsia" w:ascii="Times New Roman" w:hAnsi="Times New Roman" w:eastAsia="宋体" w:cs="Times New Roman"/>
                <w:color w:val="auto"/>
                <w:sz w:val="24"/>
                <w:lang w:val="en-US" w:eastAsia="zh-CN"/>
              </w:rPr>
              <w:t>（DA001）高空排放，焊接和激光切割工序产生的废气统一</w:t>
            </w:r>
            <w:r>
              <w:rPr>
                <w:rFonts w:hint="eastAsia" w:cs="Times New Roman"/>
                <w:color w:val="auto"/>
                <w:sz w:val="24"/>
                <w:lang w:val="en-US" w:eastAsia="zh-CN"/>
              </w:rPr>
              <w:t>由布袋除尘器</w:t>
            </w:r>
            <w:r>
              <w:rPr>
                <w:rFonts w:hint="eastAsia" w:ascii="Times New Roman" w:hAnsi="Times New Roman" w:eastAsia="宋体" w:cs="Times New Roman"/>
                <w:color w:val="auto"/>
                <w:sz w:val="24"/>
                <w:lang w:val="en-US" w:eastAsia="zh-CN"/>
              </w:rPr>
              <w:t>进行处理后通过15米排气筒（DA001）高空排放。经前文核算，</w:t>
            </w:r>
            <w:r>
              <w:rPr>
                <w:rFonts w:hint="eastAsia" w:cs="Times New Roman"/>
                <w:color w:val="auto"/>
                <w:sz w:val="24"/>
                <w:lang w:val="en-US" w:eastAsia="zh-CN"/>
              </w:rPr>
              <w:t>抛丸废气</w:t>
            </w:r>
            <w:r>
              <w:rPr>
                <w:rFonts w:hint="eastAsia" w:ascii="Times New Roman" w:hAnsi="Times New Roman" w:eastAsia="宋体" w:cs="Times New Roman"/>
                <w:color w:val="auto"/>
                <w:sz w:val="24"/>
                <w:lang w:val="en-US" w:eastAsia="zh-CN"/>
              </w:rPr>
              <w:t>有组织排放量</w:t>
            </w:r>
            <w:r>
              <w:rPr>
                <w:rFonts w:hint="eastAsia" w:cs="Times New Roman"/>
                <w:color w:val="auto"/>
                <w:sz w:val="24"/>
                <w:lang w:val="en-US" w:eastAsia="zh-CN"/>
              </w:rPr>
              <w:t>为0.044t/a，排放速率为0.024kg/h，切割、焊接有组织排放量为0.0076t/a，排放速率为0.0042kg/h。</w:t>
            </w:r>
            <w:r>
              <w:rPr>
                <w:rFonts w:hint="eastAsia" w:ascii="Times New Roman" w:hAnsi="Times New Roman" w:eastAsia="宋体" w:cs="Times New Roman"/>
                <w:color w:val="auto"/>
                <w:sz w:val="24"/>
                <w:lang w:val="en-US" w:eastAsia="zh-CN"/>
              </w:rPr>
              <w:t>排放浓度</w:t>
            </w:r>
            <w:r>
              <w:rPr>
                <w:rFonts w:hint="default" w:ascii="Times New Roman" w:hAnsi="Times New Roman" w:eastAsia="宋体" w:cs="Times New Roman"/>
                <w:color w:val="auto"/>
                <w:sz w:val="24"/>
                <w:lang w:val="en-US" w:eastAsia="zh-CN"/>
              </w:rPr>
              <w:t>可满足《大气污染物综合排放标准》（GB162</w:t>
            </w:r>
            <w:r>
              <w:rPr>
                <w:rFonts w:hint="eastAsia" w:ascii="Times New Roman" w:hAnsi="Times New Roman" w:eastAsia="宋体" w:cs="Times New Roman"/>
                <w:color w:val="auto"/>
                <w:sz w:val="24"/>
                <w:lang w:val="en-US" w:eastAsia="zh-CN"/>
              </w:rPr>
              <w:t>97</w:t>
            </w:r>
            <w:r>
              <w:rPr>
                <w:rFonts w:hint="default" w:ascii="Times New Roman" w:hAnsi="Times New Roman" w:eastAsia="宋体" w:cs="Times New Roman"/>
                <w:color w:val="auto"/>
                <w:sz w:val="24"/>
                <w:lang w:val="en-US" w:eastAsia="zh-CN"/>
              </w:rPr>
              <w:t>-1996）表2中有组织排放标准限值。</w:t>
            </w:r>
          </w:p>
          <w:p w14:paraId="5F999D25">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喷粉工序废气经大旋风+滤筒精滤处理后经1根15米排气筒（DA003）高空排放，有组织排放量为0.02t/a，</w:t>
            </w:r>
            <w:r>
              <w:rPr>
                <w:rFonts w:hint="eastAsia" w:ascii="Times New Roman" w:hAnsi="Times New Roman" w:eastAsia="宋体" w:cs="Times New Roman"/>
                <w:color w:val="auto"/>
                <w:sz w:val="24"/>
                <w:lang w:val="en-US" w:eastAsia="zh-CN"/>
              </w:rPr>
              <w:t>排放速率为0.0</w:t>
            </w:r>
            <w:r>
              <w:rPr>
                <w:rFonts w:hint="eastAsia" w:cs="Times New Roman"/>
                <w:color w:val="auto"/>
                <w:sz w:val="24"/>
                <w:lang w:val="en-US" w:eastAsia="zh-CN"/>
              </w:rPr>
              <w:t>13</w:t>
            </w:r>
            <w:r>
              <w:rPr>
                <w:rFonts w:hint="default" w:ascii="Times New Roman" w:hAnsi="Times New Roman" w:eastAsia="宋体" w:cs="Times New Roman"/>
                <w:b w:val="0"/>
                <w:bCs w:val="0"/>
                <w:color w:val="auto"/>
                <w:sz w:val="24"/>
                <w:lang w:val="en-US" w:eastAsia="zh-CN"/>
              </w:rPr>
              <w:t>kg/h</w:t>
            </w:r>
            <w:r>
              <w:rPr>
                <w:rFonts w:hint="eastAsia" w:ascii="Times New Roman" w:hAnsi="Times New Roman" w:eastAsia="宋体" w:cs="Times New Roman"/>
                <w:color w:val="auto"/>
                <w:sz w:val="24"/>
                <w:lang w:val="en-US" w:eastAsia="zh-CN"/>
              </w:rPr>
              <w:t>，排放浓度为</w:t>
            </w:r>
            <w:r>
              <w:rPr>
                <w:rFonts w:hint="eastAsia" w:cs="Times New Roman"/>
                <w:color w:val="auto"/>
                <w:sz w:val="24"/>
                <w:lang w:val="en-US" w:eastAsia="zh-CN"/>
              </w:rPr>
              <w:t>0.87</w:t>
            </w:r>
            <w:r>
              <w:rPr>
                <w:rFonts w:hint="default" w:ascii="Times New Roman" w:hAnsi="Times New Roman" w:eastAsia="宋体" w:cs="Times New Roman"/>
                <w:b w:val="0"/>
                <w:bCs w:val="0"/>
                <w:color w:val="auto"/>
                <w:sz w:val="24"/>
                <w:lang w:val="en-US" w:eastAsia="zh-CN"/>
              </w:rPr>
              <w:t>mg/m³</w:t>
            </w:r>
            <w:r>
              <w:rPr>
                <w:rFonts w:hint="eastAsia" w:ascii="Times New Roman" w:hAnsi="Times New Roman" w:eastAsia="宋体" w:cs="Times New Roman"/>
                <w:b w:val="0"/>
                <w:bCs w:val="0"/>
                <w:color w:val="auto"/>
                <w:sz w:val="24"/>
                <w:lang w:val="en-US" w:eastAsia="zh-CN"/>
              </w:rPr>
              <w:t>。</w:t>
            </w:r>
            <w:r>
              <w:rPr>
                <w:rFonts w:hint="eastAsia" w:ascii="Times New Roman" w:hAnsi="Times New Roman" w:eastAsia="宋体" w:cs="Times New Roman"/>
                <w:color w:val="auto"/>
                <w:sz w:val="24"/>
                <w:lang w:val="en-US" w:eastAsia="zh-CN"/>
              </w:rPr>
              <w:t>排放浓度</w:t>
            </w:r>
            <w:r>
              <w:rPr>
                <w:rFonts w:hint="default" w:ascii="Times New Roman" w:hAnsi="Times New Roman" w:eastAsia="宋体" w:cs="Times New Roman"/>
                <w:color w:val="auto"/>
                <w:sz w:val="24"/>
                <w:lang w:val="en-US" w:eastAsia="zh-CN"/>
              </w:rPr>
              <w:t>可满足《大气污染物综合排放标准》（GB162</w:t>
            </w:r>
            <w:r>
              <w:rPr>
                <w:rFonts w:hint="eastAsia" w:ascii="Times New Roman" w:hAnsi="Times New Roman" w:eastAsia="宋体" w:cs="Times New Roman"/>
                <w:color w:val="auto"/>
                <w:sz w:val="24"/>
                <w:lang w:val="en-US" w:eastAsia="zh-CN"/>
              </w:rPr>
              <w:t>97</w:t>
            </w:r>
            <w:r>
              <w:rPr>
                <w:rFonts w:hint="default" w:ascii="Times New Roman" w:hAnsi="Times New Roman" w:eastAsia="宋体" w:cs="Times New Roman"/>
                <w:color w:val="auto"/>
                <w:sz w:val="24"/>
                <w:lang w:val="en-US" w:eastAsia="zh-CN"/>
              </w:rPr>
              <w:t>-1996）表2中有组织排放标准限值。</w:t>
            </w:r>
          </w:p>
          <w:p w14:paraId="34DF8F54">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固化工序产生的非甲烷总烃经收集后通过二级活性炭吸附处理，由1根15米排气筒（DA002）高空排放。经前文核算，非甲烷总烃有组织排放量为0.16t/a，排放速率为0.</w:t>
            </w:r>
            <w:r>
              <w:rPr>
                <w:rFonts w:hint="eastAsia" w:cs="Times New Roman"/>
                <w:color w:val="auto"/>
                <w:sz w:val="24"/>
                <w:lang w:val="en-US" w:eastAsia="zh-CN"/>
              </w:rPr>
              <w:t>11</w:t>
            </w:r>
            <w:r>
              <w:rPr>
                <w:rFonts w:hint="eastAsia" w:ascii="Times New Roman" w:hAnsi="Times New Roman" w:eastAsia="宋体" w:cs="Times New Roman"/>
                <w:color w:val="auto"/>
                <w:sz w:val="24"/>
                <w:lang w:val="en-US" w:eastAsia="zh-CN"/>
              </w:rPr>
              <w:t>kg/h，排放浓度为</w:t>
            </w:r>
            <w:r>
              <w:rPr>
                <w:rFonts w:hint="eastAsia" w:cs="Times New Roman"/>
                <w:color w:val="auto"/>
                <w:sz w:val="24"/>
                <w:lang w:val="en-US" w:eastAsia="zh-CN"/>
              </w:rPr>
              <w:t>11</w:t>
            </w:r>
            <w:r>
              <w:rPr>
                <w:rFonts w:hint="eastAsia" w:ascii="Times New Roman" w:hAnsi="Times New Roman" w:eastAsia="宋体" w:cs="Times New Roman"/>
                <w:color w:val="auto"/>
                <w:sz w:val="24"/>
                <w:lang w:val="en-US" w:eastAsia="zh-CN"/>
              </w:rPr>
              <w:t>mg/m³。排放浓度可满足《重污染天气重点行业应急减排措施制定技术指南》（环办大气函</w:t>
            </w:r>
            <w:r>
              <w:rPr>
                <w:rFonts w:hint="eastAsia" w:cs="Times New Roman"/>
                <w:color w:val="auto"/>
                <w:sz w:val="24"/>
                <w:lang w:val="en-US" w:eastAsia="zh-CN"/>
              </w:rPr>
              <w:t>〔2020〕340号</w:t>
            </w:r>
            <w:r>
              <w:rPr>
                <w:rFonts w:hint="eastAsia" w:ascii="Times New Roman" w:hAnsi="Times New Roman" w:eastAsia="宋体" w:cs="Times New Roman"/>
                <w:color w:val="auto"/>
                <w:sz w:val="24"/>
                <w:lang w:val="en-US" w:eastAsia="zh-CN"/>
              </w:rPr>
              <w:t>）A级排放限值、《挥发性有机物排放控制标准》（DB61/T1061-2017）表1中表面涂装行业最高允许排放浓度。</w:t>
            </w:r>
          </w:p>
          <w:p w14:paraId="5AE1DE05">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天然气燃烧废气经低氮燃烧处理后由1根15米排气筒（DA002）高空排放。经前文核算，颗粒物、二氧化硫、氮氧化物排放量分别为：0.17t/a、0.0</w:t>
            </w:r>
            <w:r>
              <w:rPr>
                <w:rFonts w:hint="eastAsia" w:cs="Times New Roman"/>
                <w:color w:val="auto"/>
                <w:sz w:val="24"/>
                <w:lang w:val="en-US" w:eastAsia="zh-CN"/>
              </w:rPr>
              <w:t>0</w:t>
            </w:r>
            <w:r>
              <w:rPr>
                <w:rFonts w:hint="eastAsia" w:ascii="Times New Roman" w:hAnsi="Times New Roman" w:eastAsia="宋体" w:cs="Times New Roman"/>
                <w:color w:val="auto"/>
                <w:sz w:val="24"/>
                <w:lang w:val="en-US" w:eastAsia="zh-CN"/>
              </w:rPr>
              <w:t>24t/a、0.</w:t>
            </w:r>
            <w:r>
              <w:rPr>
                <w:rFonts w:hint="eastAsia" w:cs="Times New Roman"/>
                <w:color w:val="auto"/>
                <w:sz w:val="24"/>
                <w:lang w:val="en-US" w:eastAsia="zh-CN"/>
              </w:rPr>
              <w:t>0561</w:t>
            </w:r>
            <w:r>
              <w:rPr>
                <w:rFonts w:hint="eastAsia" w:ascii="Times New Roman" w:hAnsi="Times New Roman" w:eastAsia="宋体" w:cs="Times New Roman"/>
                <w:color w:val="auto"/>
                <w:sz w:val="24"/>
                <w:lang w:val="en-US" w:eastAsia="zh-CN"/>
              </w:rPr>
              <w:t>t/a，排放浓度分别为20.73mg/m³、2.93mg/m³、</w:t>
            </w:r>
            <w:r>
              <w:rPr>
                <w:rFonts w:hint="eastAsia" w:cs="Times New Roman"/>
                <w:color w:val="auto"/>
                <w:sz w:val="24"/>
                <w:lang w:val="en-US" w:eastAsia="zh-CN"/>
              </w:rPr>
              <w:t>68.75</w:t>
            </w:r>
            <w:r>
              <w:rPr>
                <w:rFonts w:hint="eastAsia" w:ascii="Times New Roman" w:hAnsi="Times New Roman" w:eastAsia="宋体" w:cs="Times New Roman"/>
                <w:color w:val="auto"/>
                <w:sz w:val="24"/>
                <w:lang w:val="en-US" w:eastAsia="zh-CN"/>
              </w:rPr>
              <w:t>mg/m³，满足</w:t>
            </w:r>
            <w:r>
              <w:rPr>
                <w:rFonts w:hint="default" w:ascii="Times New Roman" w:hAnsi="Times New Roman" w:eastAsia="宋体" w:cs="Times New Roman"/>
                <w:color w:val="auto"/>
                <w:sz w:val="24"/>
                <w:lang w:val="en-US" w:eastAsia="zh-CN"/>
              </w:rPr>
              <w:t>《工业炉窑大气污染综合治理方案》</w:t>
            </w:r>
            <w:r>
              <w:rPr>
                <w:rFonts w:hint="eastAsia" w:ascii="Times New Roman" w:hAnsi="Times New Roman" w:eastAsia="宋体" w:cs="Times New Roman"/>
                <w:color w:val="auto"/>
                <w:sz w:val="24"/>
                <w:lang w:val="en-US" w:eastAsia="zh-CN"/>
              </w:rPr>
              <w:t>（环大气</w:t>
            </w:r>
            <w:r>
              <w:rPr>
                <w:rFonts w:hint="eastAsia" w:cs="Times New Roman"/>
                <w:color w:val="auto"/>
                <w:sz w:val="24"/>
                <w:lang w:val="en-US" w:eastAsia="zh-CN"/>
              </w:rPr>
              <w:t>〔2019〕56号</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中</w:t>
            </w:r>
            <w:r>
              <w:rPr>
                <w:rFonts w:hint="eastAsia" w:ascii="Times New Roman" w:hAnsi="Times New Roman" w:eastAsia="宋体" w:cs="Times New Roman"/>
                <w:color w:val="auto"/>
                <w:sz w:val="24"/>
                <w:lang w:val="en-US" w:eastAsia="zh-CN"/>
              </w:rPr>
              <w:t>相应管控要求（颗粒物30mg/m³、二氧化硫20mg/m³、氮氧化物300mg/m³）</w:t>
            </w:r>
          </w:p>
          <w:p w14:paraId="7935326D">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本项目无组织废气主要为</w:t>
            </w:r>
            <w:r>
              <w:rPr>
                <w:rFonts w:hint="eastAsia" w:ascii="Times New Roman" w:hAnsi="Times New Roman" w:eastAsia="宋体" w:cs="Times New Roman"/>
                <w:color w:val="auto"/>
                <w:sz w:val="24"/>
                <w:lang w:val="en-US" w:eastAsia="zh-CN"/>
              </w:rPr>
              <w:t>切割</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焊接和</w:t>
            </w:r>
            <w:r>
              <w:rPr>
                <w:rFonts w:hint="eastAsia" w:cs="Times New Roman"/>
                <w:color w:val="auto"/>
                <w:sz w:val="24"/>
                <w:lang w:val="en-US" w:eastAsia="zh-CN"/>
              </w:rPr>
              <w:t>喷粉</w:t>
            </w:r>
            <w:r>
              <w:rPr>
                <w:rFonts w:hint="eastAsia" w:ascii="Times New Roman" w:hAnsi="Times New Roman" w:eastAsia="宋体" w:cs="Times New Roman"/>
                <w:color w:val="auto"/>
                <w:sz w:val="24"/>
                <w:lang w:val="en-US" w:eastAsia="zh-CN"/>
              </w:rPr>
              <w:t>工序</w:t>
            </w:r>
            <w:r>
              <w:rPr>
                <w:rFonts w:hint="default" w:ascii="Times New Roman" w:hAnsi="Times New Roman" w:eastAsia="宋体" w:cs="Times New Roman"/>
                <w:color w:val="auto"/>
                <w:sz w:val="24"/>
                <w:lang w:val="en-US" w:eastAsia="zh-CN"/>
              </w:rPr>
              <w:t>未收集部分，本项目废气未收集部分无组织排放。本项目设置密闭厂房，硬化厂区道路和作业场地等</w:t>
            </w:r>
            <w:r>
              <w:rPr>
                <w:rFonts w:hint="eastAsia" w:cs="Times New Roman"/>
                <w:color w:val="auto"/>
                <w:sz w:val="24"/>
                <w:lang w:val="en-US" w:eastAsia="zh-CN"/>
              </w:rPr>
              <w:t>措施</w:t>
            </w:r>
            <w:r>
              <w:rPr>
                <w:rFonts w:hint="default" w:ascii="Times New Roman" w:hAnsi="Times New Roman" w:eastAsia="宋体" w:cs="Times New Roman"/>
                <w:color w:val="auto"/>
                <w:sz w:val="24"/>
                <w:lang w:val="en-US" w:eastAsia="zh-CN"/>
              </w:rPr>
              <w:t>有效降低本项目无组织废气的排放量</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由于金属颗粒物质量较重，有车间厂房阻拦，颗粒物散落范围很小，多在5m以内，飘逸至车间外环境的金属颗粒物极少，根据对《大气污染物综合排放标准》（GB16297-1996）复核调研和国家环保总局《大气污染物排放达标技术指南》课题调查资料表明，调研的国内6个机加工企业，各种设备周围5m处，金属颗粒物浓度在0.3～0.95mg/</w:t>
            </w:r>
            <w:r>
              <w:rPr>
                <w:rFonts w:hint="eastAsia" w:ascii="Times New Roman" w:hAnsi="Times New Roman" w:eastAsia="宋体" w:cs="Times New Roman"/>
                <w:color w:val="auto"/>
                <w:sz w:val="24"/>
                <w:lang w:val="en-US" w:eastAsia="zh-CN"/>
              </w:rPr>
              <w:t>m³</w:t>
            </w:r>
            <w:r>
              <w:rPr>
                <w:rFonts w:hint="default" w:ascii="Times New Roman" w:hAnsi="Times New Roman" w:eastAsia="宋体" w:cs="Times New Roman"/>
                <w:color w:val="auto"/>
                <w:sz w:val="24"/>
                <w:lang w:val="en-US" w:eastAsia="zh-CN"/>
              </w:rPr>
              <w:t>，平均浓度为0.61mg/</w:t>
            </w:r>
            <w:r>
              <w:rPr>
                <w:rFonts w:hint="eastAsia" w:cs="Times New Roman"/>
                <w:color w:val="auto"/>
                <w:sz w:val="24"/>
                <w:lang w:val="en-US" w:eastAsia="zh-CN"/>
              </w:rPr>
              <w:t>m³</w:t>
            </w:r>
            <w:r>
              <w:rPr>
                <w:rFonts w:hint="default" w:ascii="Times New Roman" w:hAnsi="Times New Roman" w:eastAsia="宋体" w:cs="Times New Roman"/>
                <w:color w:val="auto"/>
                <w:sz w:val="24"/>
                <w:lang w:val="en-US" w:eastAsia="zh-CN"/>
              </w:rPr>
              <w:t>，颗粒物通过车间通风，并经车间厂房阻拦后，厂界颗粒物无组织排放监控点达标，排放浓度＜1.0mg/m³标准限值。对周围空气环境质量产生影响很小。满足《大气污染物综合排放标准》（GB162</w:t>
            </w:r>
            <w:r>
              <w:rPr>
                <w:rFonts w:hint="eastAsia" w:ascii="Times New Roman" w:hAnsi="Times New Roman" w:eastAsia="宋体" w:cs="Times New Roman"/>
                <w:color w:val="auto"/>
                <w:sz w:val="24"/>
                <w:lang w:val="en-US" w:eastAsia="zh-CN"/>
              </w:rPr>
              <w:t>97</w:t>
            </w:r>
            <w:r>
              <w:rPr>
                <w:rFonts w:hint="default" w:ascii="Times New Roman" w:hAnsi="Times New Roman" w:eastAsia="宋体" w:cs="Times New Roman"/>
                <w:color w:val="auto"/>
                <w:sz w:val="24"/>
                <w:lang w:val="en-US" w:eastAsia="zh-CN"/>
              </w:rPr>
              <w:t>-1996）表2中无组织排放限值要求。</w:t>
            </w:r>
          </w:p>
          <w:p w14:paraId="2C5F1D2F">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废气</w:t>
            </w:r>
            <w:r>
              <w:rPr>
                <w:rFonts w:hint="eastAsia" w:cs="Times New Roman"/>
                <w:b/>
                <w:bCs/>
                <w:color w:val="auto"/>
                <w:kern w:val="2"/>
                <w:sz w:val="24"/>
                <w:szCs w:val="24"/>
                <w:lang w:val="en-US" w:eastAsia="zh-CN" w:bidi="ar-SA"/>
              </w:rPr>
              <w:t>收集及</w:t>
            </w:r>
            <w:r>
              <w:rPr>
                <w:rFonts w:hint="default" w:ascii="Times New Roman" w:hAnsi="Times New Roman" w:eastAsia="宋体" w:cs="Times New Roman"/>
                <w:b/>
                <w:bCs/>
                <w:color w:val="auto"/>
                <w:kern w:val="2"/>
                <w:sz w:val="24"/>
                <w:szCs w:val="24"/>
                <w:lang w:val="en-US" w:eastAsia="zh-CN" w:bidi="ar-SA"/>
              </w:rPr>
              <w:t>治理设施可行性分析</w:t>
            </w:r>
          </w:p>
          <w:p w14:paraId="6ED1A0C3">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废气收集可行性：抛丸工序为密闭腔体，废气直接通过设备自带接入口接入配套治理设施处理后进入集气管道，属于密闭接管收集；激光切割机上方均设密闭房、焊接工序设密闭焊接房，并在焊接房上方设三个送风风扇与烟尘收集口配合，形成吹吸式定向气流，构建密闭气流屏障，有效束缚焊接烟尘扩散，引导烟气定向汇入收集系统。各设备废气收集管道与废气主管道处均要求设分支阀门，避免因其中工序停产导致吸入空气。</w:t>
            </w:r>
          </w:p>
          <w:p w14:paraId="20D35BFA">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喷粉工序设密闭喷粉房，采用密闭负压收集，收集效率≥95%，粉尘经大旋风+滤筒精滤处理后高空排放，废气收集路径短。</w:t>
            </w:r>
          </w:p>
          <w:p w14:paraId="346A7EB0">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color w:val="auto"/>
                <w:lang w:val="en-US" w:eastAsia="zh-CN"/>
              </w:rPr>
            </w:pPr>
            <w:r>
              <w:rPr>
                <w:rFonts w:hint="eastAsia" w:cs="Times New Roman"/>
                <w:color w:val="auto"/>
                <w:sz w:val="24"/>
                <w:lang w:val="en-US" w:eastAsia="zh-CN"/>
              </w:rPr>
              <w:t>面包房运行时属于密闭负压，可有效收集废气。固化廊道属于半密闭连续式设备，要求企业加长固化廊道，并半封闭固化廊道出入口只留工件大小，可有效提高废气收集效率，经以上建设好部分整改后本项目废气均可有效收集。具体见图4-1废气收集管网布设图。</w:t>
            </w:r>
          </w:p>
          <w:p w14:paraId="460A345E">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治理设施可行性：</w:t>
            </w:r>
            <w:r>
              <w:rPr>
                <w:rFonts w:hint="eastAsia" w:ascii="Times New Roman" w:hAnsi="Times New Roman" w:eastAsia="宋体" w:cs="Times New Roman"/>
                <w:color w:val="auto"/>
                <w:sz w:val="24"/>
                <w:lang w:val="en-US" w:eastAsia="zh-CN"/>
              </w:rPr>
              <w:t>参照</w:t>
            </w:r>
            <w:r>
              <w:rPr>
                <w:rFonts w:hint="default" w:ascii="Times New Roman" w:hAnsi="Times New Roman" w:eastAsia="宋体" w:cs="Times New Roman"/>
                <w:color w:val="auto"/>
                <w:sz w:val="24"/>
                <w:lang w:val="en-US" w:eastAsia="zh-CN"/>
              </w:rPr>
              <w:t>《排污许可证申请与核发技术规范 通用设备、专用设备、仪器仪表及其他制造业》（DB61/T 1356-2020）中</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表A.</w:t>
            </w:r>
            <w:r>
              <w:rPr>
                <w:rFonts w:hint="eastAsia" w:ascii="Times New Roman" w:hAnsi="Times New Roman" w:eastAsia="宋体" w:cs="Times New Roman"/>
                <w:color w:val="auto"/>
                <w:sz w:val="24"/>
                <w:lang w:val="en-US" w:eastAsia="zh-CN"/>
              </w:rPr>
              <w:t>3排污单位废气污染防治可行技术”以及《排放源统计调查产排污核算方法和系数手册》中33-37,431-434机械行业中14涂装的产排污系数表与本项目各废气处理技术对比，均属于可行技术，具体如下表所示：</w:t>
            </w:r>
          </w:p>
          <w:p w14:paraId="2297CB5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推荐可行技术与本项目废气治理措施对比一览表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745"/>
              <w:gridCol w:w="1319"/>
              <w:gridCol w:w="1601"/>
              <w:gridCol w:w="1778"/>
              <w:gridCol w:w="886"/>
            </w:tblGrid>
            <w:tr w14:paraId="6C50D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30" w:type="pct"/>
                  <w:gridSpan w:val="4"/>
                  <w:tcBorders>
                    <w:tl2br w:val="nil"/>
                    <w:tr2bl w:val="nil"/>
                  </w:tcBorders>
                  <w:noWrap w:val="0"/>
                  <w:vAlign w:val="center"/>
                </w:tcPr>
                <w:p w14:paraId="3EBE3E6A">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表A.</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val="en-US" w:eastAsia="zh-CN"/>
                    </w:rPr>
                    <w:t>排污单位废气污染防治</w:t>
                  </w:r>
                  <w:r>
                    <w:rPr>
                      <w:rFonts w:hint="default" w:ascii="Times New Roman" w:hAnsi="Times New Roman" w:cs="Times New Roman"/>
                      <w:color w:val="auto"/>
                      <w:sz w:val="21"/>
                      <w:szCs w:val="21"/>
                      <w:highlight w:val="none"/>
                      <w:lang w:val="en-US" w:eastAsia="zh-CN"/>
                    </w:rPr>
                    <w:t>可行技术</w:t>
                  </w:r>
                </w:p>
              </w:tc>
              <w:tc>
                <w:tcPr>
                  <w:tcW w:w="1569" w:type="pct"/>
                  <w:gridSpan w:val="2"/>
                  <w:tcBorders>
                    <w:tl2br w:val="nil"/>
                    <w:tr2bl w:val="nil"/>
                  </w:tcBorders>
                  <w:noWrap w:val="0"/>
                  <w:vAlign w:val="center"/>
                </w:tcPr>
                <w:p w14:paraId="7969FB3D">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本项目</w:t>
                  </w:r>
                </w:p>
              </w:tc>
            </w:tr>
            <w:tr w14:paraId="0FCF3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tcBorders>
                    <w:tl2br w:val="nil"/>
                    <w:tr2bl w:val="nil"/>
                  </w:tcBorders>
                  <w:noWrap w:val="0"/>
                  <w:vAlign w:val="center"/>
                </w:tcPr>
                <w:p w14:paraId="395DDE75">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生产单元</w:t>
                  </w:r>
                </w:p>
              </w:tc>
              <w:tc>
                <w:tcPr>
                  <w:tcW w:w="1028" w:type="pct"/>
                  <w:tcBorders>
                    <w:tl2br w:val="nil"/>
                    <w:tr2bl w:val="nil"/>
                  </w:tcBorders>
                  <w:noWrap w:val="0"/>
                  <w:vAlign w:val="center"/>
                </w:tcPr>
                <w:p w14:paraId="29CFB139">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主要生产设施名称</w:t>
                  </w:r>
                </w:p>
              </w:tc>
              <w:tc>
                <w:tcPr>
                  <w:tcW w:w="777" w:type="pct"/>
                  <w:tcBorders>
                    <w:tl2br w:val="nil"/>
                    <w:tr2bl w:val="nil"/>
                  </w:tcBorders>
                  <w:noWrap w:val="0"/>
                  <w:vAlign w:val="center"/>
                </w:tcPr>
                <w:p w14:paraId="7A76D42E">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大气污染物</w:t>
                  </w:r>
                </w:p>
              </w:tc>
              <w:tc>
                <w:tcPr>
                  <w:tcW w:w="943" w:type="pct"/>
                  <w:tcBorders>
                    <w:tl2br w:val="nil"/>
                    <w:tr2bl w:val="nil"/>
                  </w:tcBorders>
                  <w:noWrap w:val="0"/>
                  <w:vAlign w:val="center"/>
                </w:tcPr>
                <w:p w14:paraId="6A594567">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推荐可行技术</w:t>
                  </w:r>
                </w:p>
              </w:tc>
              <w:tc>
                <w:tcPr>
                  <w:tcW w:w="1047" w:type="pct"/>
                  <w:tcBorders>
                    <w:tl2br w:val="nil"/>
                    <w:tr2bl w:val="nil"/>
                  </w:tcBorders>
                  <w:noWrap w:val="0"/>
                  <w:vAlign w:val="center"/>
                </w:tcPr>
                <w:p w14:paraId="2DB60F5B">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本项目治理措施</w:t>
                  </w:r>
                </w:p>
              </w:tc>
              <w:tc>
                <w:tcPr>
                  <w:tcW w:w="522" w:type="pct"/>
                  <w:tcBorders>
                    <w:tl2br w:val="nil"/>
                    <w:tr2bl w:val="nil"/>
                  </w:tcBorders>
                  <w:noWrap w:val="0"/>
                  <w:vAlign w:val="center"/>
                </w:tcPr>
                <w:p w14:paraId="48EAB00B">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可行性</w:t>
                  </w:r>
                </w:p>
              </w:tc>
            </w:tr>
            <w:tr w14:paraId="51369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tcBorders>
                    <w:tl2br w:val="nil"/>
                    <w:tr2bl w:val="nil"/>
                  </w:tcBorders>
                  <w:noWrap w:val="0"/>
                  <w:vAlign w:val="center"/>
                </w:tcPr>
                <w:p w14:paraId="65BC23C7">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下料</w:t>
                  </w:r>
                </w:p>
              </w:tc>
              <w:tc>
                <w:tcPr>
                  <w:tcW w:w="1028" w:type="pct"/>
                  <w:tcBorders>
                    <w:tl2br w:val="nil"/>
                    <w:tr2bl w:val="nil"/>
                  </w:tcBorders>
                  <w:noWrap w:val="0"/>
                  <w:vAlign w:val="center"/>
                </w:tcPr>
                <w:p w14:paraId="0F6A13C2">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各种切割设备</w:t>
                  </w:r>
                </w:p>
              </w:tc>
              <w:tc>
                <w:tcPr>
                  <w:tcW w:w="777" w:type="pct"/>
                  <w:tcBorders>
                    <w:tl2br w:val="nil"/>
                    <w:tr2bl w:val="nil"/>
                  </w:tcBorders>
                  <w:noWrap w:val="0"/>
                  <w:vAlign w:val="center"/>
                </w:tcPr>
                <w:p w14:paraId="77762A61">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颗粒物</w:t>
                  </w:r>
                </w:p>
              </w:tc>
              <w:tc>
                <w:tcPr>
                  <w:tcW w:w="943" w:type="pct"/>
                  <w:tcBorders>
                    <w:tl2br w:val="nil"/>
                    <w:tr2bl w:val="nil"/>
                  </w:tcBorders>
                  <w:noWrap w:val="0"/>
                  <w:vAlign w:val="center"/>
                </w:tcPr>
                <w:p w14:paraId="6B5101EB">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袋式除尘、滤筒/滤芯过滤</w:t>
                  </w:r>
                </w:p>
              </w:tc>
              <w:tc>
                <w:tcPr>
                  <w:tcW w:w="1047" w:type="pct"/>
                  <w:tcBorders>
                    <w:tl2br w:val="nil"/>
                    <w:tr2bl w:val="nil"/>
                  </w:tcBorders>
                  <w:noWrap w:val="0"/>
                  <w:vAlign w:val="center"/>
                </w:tcPr>
                <w:p w14:paraId="16E9E6C9">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袋式</w:t>
                  </w:r>
                  <w:r>
                    <w:rPr>
                      <w:rFonts w:hint="default" w:ascii="Times New Roman" w:hAnsi="Times New Roman" w:cs="Times New Roman"/>
                      <w:b w:val="0"/>
                      <w:bCs w:val="0"/>
                      <w:color w:val="auto"/>
                      <w:sz w:val="21"/>
                      <w:szCs w:val="21"/>
                      <w:highlight w:val="none"/>
                      <w:vertAlign w:val="baseline"/>
                      <w:lang w:val="en-US" w:eastAsia="zh-CN"/>
                    </w:rPr>
                    <w:t>除尘器</w:t>
                  </w:r>
                </w:p>
              </w:tc>
              <w:tc>
                <w:tcPr>
                  <w:tcW w:w="522" w:type="pct"/>
                  <w:tcBorders>
                    <w:tl2br w:val="nil"/>
                    <w:tr2bl w:val="nil"/>
                  </w:tcBorders>
                  <w:noWrap w:val="0"/>
                  <w:vAlign w:val="center"/>
                </w:tcPr>
                <w:p w14:paraId="5B136919">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r w14:paraId="1944E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tcBorders>
                    <w:tl2br w:val="nil"/>
                    <w:tr2bl w:val="nil"/>
                  </w:tcBorders>
                  <w:noWrap w:val="0"/>
                  <w:vAlign w:val="center"/>
                </w:tcPr>
                <w:p w14:paraId="53290487">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焊接</w:t>
                  </w:r>
                </w:p>
              </w:tc>
              <w:tc>
                <w:tcPr>
                  <w:tcW w:w="1028" w:type="pct"/>
                  <w:tcBorders>
                    <w:tl2br w:val="nil"/>
                    <w:tr2bl w:val="nil"/>
                  </w:tcBorders>
                  <w:noWrap w:val="0"/>
                  <w:vAlign w:val="center"/>
                </w:tcPr>
                <w:p w14:paraId="53466F8F">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氩弧焊机、手工电弧焊机、二氧化碳保护焊机、等离子焊机、激光焊机、钎焊机等</w:t>
                  </w:r>
                </w:p>
              </w:tc>
              <w:tc>
                <w:tcPr>
                  <w:tcW w:w="777" w:type="pct"/>
                  <w:tcBorders>
                    <w:tl2br w:val="nil"/>
                    <w:tr2bl w:val="nil"/>
                  </w:tcBorders>
                  <w:noWrap w:val="0"/>
                  <w:vAlign w:val="center"/>
                </w:tcPr>
                <w:p w14:paraId="775DCB1B">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颗粒物</w:t>
                  </w:r>
                </w:p>
              </w:tc>
              <w:tc>
                <w:tcPr>
                  <w:tcW w:w="943" w:type="pct"/>
                  <w:tcBorders>
                    <w:tl2br w:val="nil"/>
                    <w:tr2bl w:val="nil"/>
                  </w:tcBorders>
                  <w:noWrap w:val="0"/>
                  <w:vAlign w:val="center"/>
                </w:tcPr>
                <w:p w14:paraId="4B8745F0">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袋式除尘、滤筒/滤芯过滤</w:t>
                  </w:r>
                </w:p>
              </w:tc>
              <w:tc>
                <w:tcPr>
                  <w:tcW w:w="1047" w:type="pct"/>
                  <w:tcBorders>
                    <w:tl2br w:val="nil"/>
                    <w:tr2bl w:val="nil"/>
                  </w:tcBorders>
                  <w:noWrap w:val="0"/>
                  <w:vAlign w:val="center"/>
                </w:tcPr>
                <w:p w14:paraId="50029C37">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袋式</w:t>
                  </w:r>
                  <w:r>
                    <w:rPr>
                      <w:rFonts w:hint="default" w:ascii="Times New Roman" w:hAnsi="Times New Roman" w:cs="Times New Roman"/>
                      <w:b w:val="0"/>
                      <w:bCs w:val="0"/>
                      <w:color w:val="auto"/>
                      <w:sz w:val="21"/>
                      <w:szCs w:val="21"/>
                      <w:highlight w:val="none"/>
                      <w:vertAlign w:val="baseline"/>
                      <w:lang w:val="en-US" w:eastAsia="zh-CN"/>
                    </w:rPr>
                    <w:t>除尘器</w:t>
                  </w:r>
                </w:p>
              </w:tc>
              <w:tc>
                <w:tcPr>
                  <w:tcW w:w="522" w:type="pct"/>
                  <w:tcBorders>
                    <w:tl2br w:val="nil"/>
                    <w:tr2bl w:val="nil"/>
                  </w:tcBorders>
                  <w:noWrap w:val="0"/>
                  <w:vAlign w:val="center"/>
                </w:tcPr>
                <w:p w14:paraId="249036C6">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r w14:paraId="264D6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tcBorders>
                    <w:tl2br w:val="nil"/>
                    <w:tr2bl w:val="nil"/>
                  </w:tcBorders>
                  <w:noWrap w:val="0"/>
                  <w:vAlign w:val="center"/>
                </w:tcPr>
                <w:p w14:paraId="3E3F1A97">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预处理</w:t>
                  </w:r>
                </w:p>
              </w:tc>
              <w:tc>
                <w:tcPr>
                  <w:tcW w:w="1028" w:type="pct"/>
                  <w:tcBorders>
                    <w:tl2br w:val="nil"/>
                    <w:tr2bl w:val="nil"/>
                  </w:tcBorders>
                  <w:noWrap w:val="0"/>
                  <w:vAlign w:val="center"/>
                </w:tcPr>
                <w:p w14:paraId="72795C54">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抛丸、打磨、喷砂</w:t>
                  </w:r>
                </w:p>
              </w:tc>
              <w:tc>
                <w:tcPr>
                  <w:tcW w:w="777" w:type="pct"/>
                  <w:tcBorders>
                    <w:tl2br w:val="nil"/>
                    <w:tr2bl w:val="nil"/>
                  </w:tcBorders>
                  <w:noWrap w:val="0"/>
                  <w:vAlign w:val="center"/>
                </w:tcPr>
                <w:p w14:paraId="7DCAA024">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颗粒物</w:t>
                  </w:r>
                </w:p>
              </w:tc>
              <w:tc>
                <w:tcPr>
                  <w:tcW w:w="943" w:type="pct"/>
                  <w:tcBorders>
                    <w:tl2br w:val="nil"/>
                    <w:tr2bl w:val="nil"/>
                  </w:tcBorders>
                  <w:noWrap w:val="0"/>
                  <w:vAlign w:val="center"/>
                </w:tcPr>
                <w:p w14:paraId="3EE75C77">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袋式除尘、湿式除尘</w:t>
                  </w:r>
                </w:p>
              </w:tc>
              <w:tc>
                <w:tcPr>
                  <w:tcW w:w="1047" w:type="pct"/>
                  <w:tcBorders>
                    <w:tl2br w:val="nil"/>
                    <w:tr2bl w:val="nil"/>
                  </w:tcBorders>
                  <w:noWrap w:val="0"/>
                  <w:vAlign w:val="center"/>
                </w:tcPr>
                <w:p w14:paraId="01A6C73A">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袋式除尘</w:t>
                  </w:r>
                  <w:r>
                    <w:rPr>
                      <w:rFonts w:hint="eastAsia" w:cs="Times New Roman"/>
                      <w:b w:val="0"/>
                      <w:bCs w:val="0"/>
                      <w:color w:val="auto"/>
                      <w:sz w:val="21"/>
                      <w:szCs w:val="21"/>
                      <w:highlight w:val="none"/>
                      <w:vertAlign w:val="baseline"/>
                      <w:lang w:val="en-US" w:eastAsia="zh-CN"/>
                    </w:rPr>
                    <w:t>、脉冲滤筒除尘器</w:t>
                  </w:r>
                </w:p>
              </w:tc>
              <w:tc>
                <w:tcPr>
                  <w:tcW w:w="522" w:type="pct"/>
                  <w:tcBorders>
                    <w:tl2br w:val="nil"/>
                    <w:tr2bl w:val="nil"/>
                  </w:tcBorders>
                  <w:noWrap w:val="0"/>
                  <w:vAlign w:val="center"/>
                </w:tcPr>
                <w:p w14:paraId="5D11F7C0">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r w14:paraId="351ACB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vMerge w:val="restart"/>
                  <w:tcBorders>
                    <w:tl2br w:val="nil"/>
                    <w:tr2bl w:val="nil"/>
                  </w:tcBorders>
                  <w:noWrap w:val="0"/>
                  <w:vAlign w:val="center"/>
                </w:tcPr>
                <w:p w14:paraId="02FD9600">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涂装</w:t>
                  </w:r>
                </w:p>
              </w:tc>
              <w:tc>
                <w:tcPr>
                  <w:tcW w:w="1028" w:type="pct"/>
                  <w:tcBorders>
                    <w:tl2br w:val="nil"/>
                    <w:tr2bl w:val="nil"/>
                  </w:tcBorders>
                  <w:noWrap w:val="0"/>
                  <w:vAlign w:val="center"/>
                </w:tcPr>
                <w:p w14:paraId="2F094AB2">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粉末喷涂室</w:t>
                  </w:r>
                </w:p>
              </w:tc>
              <w:tc>
                <w:tcPr>
                  <w:tcW w:w="777" w:type="pct"/>
                  <w:tcBorders>
                    <w:tl2br w:val="nil"/>
                    <w:tr2bl w:val="nil"/>
                  </w:tcBorders>
                  <w:noWrap w:val="0"/>
                  <w:vAlign w:val="center"/>
                </w:tcPr>
                <w:p w14:paraId="059A7088">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颗粒物</w:t>
                  </w:r>
                </w:p>
              </w:tc>
              <w:tc>
                <w:tcPr>
                  <w:tcW w:w="943" w:type="pct"/>
                  <w:tcBorders>
                    <w:tl2br w:val="nil"/>
                    <w:tr2bl w:val="nil"/>
                  </w:tcBorders>
                  <w:noWrap w:val="0"/>
                  <w:vAlign w:val="center"/>
                </w:tcPr>
                <w:p w14:paraId="20E86459">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袋式除尘</w:t>
                  </w:r>
                  <w:r>
                    <w:rPr>
                      <w:rFonts w:hint="eastAsia" w:ascii="Times New Roman" w:hAnsi="Times New Roman" w:cs="Times New Roman"/>
                      <w:b w:val="0"/>
                      <w:bCs w:val="0"/>
                      <w:color w:val="auto"/>
                      <w:sz w:val="21"/>
                      <w:szCs w:val="21"/>
                      <w:highlight w:val="none"/>
                      <w:vertAlign w:val="baseline"/>
                      <w:lang w:val="en-US" w:eastAsia="zh-CN"/>
                    </w:rPr>
                    <w:t>、滤筒/滤芯过滤/旋风/多管旋风</w:t>
                  </w:r>
                </w:p>
              </w:tc>
              <w:tc>
                <w:tcPr>
                  <w:tcW w:w="1047" w:type="pct"/>
                  <w:tcBorders>
                    <w:tl2br w:val="nil"/>
                    <w:tr2bl w:val="nil"/>
                  </w:tcBorders>
                  <w:noWrap w:val="0"/>
                  <w:vAlign w:val="center"/>
                </w:tcPr>
                <w:p w14:paraId="65BCC5DD">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大旋风除尘器</w:t>
                  </w:r>
                  <w:r>
                    <w:rPr>
                      <w:rFonts w:hint="eastAsia" w:cs="Times New Roman"/>
                      <w:b w:val="0"/>
                      <w:bCs w:val="0"/>
                      <w:color w:val="auto"/>
                      <w:sz w:val="21"/>
                      <w:szCs w:val="21"/>
                      <w:highlight w:val="none"/>
                      <w:vertAlign w:val="baseline"/>
                      <w:lang w:val="en-US" w:eastAsia="zh-CN"/>
                    </w:rPr>
                    <w:t>+滤筒精滤</w:t>
                  </w:r>
                </w:p>
              </w:tc>
              <w:tc>
                <w:tcPr>
                  <w:tcW w:w="522" w:type="pct"/>
                  <w:tcBorders>
                    <w:tl2br w:val="nil"/>
                    <w:tr2bl w:val="nil"/>
                  </w:tcBorders>
                  <w:noWrap w:val="0"/>
                  <w:vAlign w:val="center"/>
                </w:tcPr>
                <w:p w14:paraId="7CB6975D">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r w14:paraId="2C5EA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vMerge w:val="continue"/>
                  <w:tcBorders>
                    <w:tl2br w:val="nil"/>
                    <w:tr2bl w:val="nil"/>
                  </w:tcBorders>
                  <w:noWrap w:val="0"/>
                  <w:vAlign w:val="center"/>
                </w:tcPr>
                <w:p w14:paraId="44C17C98">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028" w:type="pct"/>
                  <w:tcBorders>
                    <w:tl2br w:val="nil"/>
                    <w:tr2bl w:val="nil"/>
                  </w:tcBorders>
                  <w:noWrap w:val="0"/>
                  <w:vAlign w:val="center"/>
                </w:tcPr>
                <w:p w14:paraId="2355D365">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喷粉</w:t>
                  </w:r>
                  <w:r>
                    <w:rPr>
                      <w:rFonts w:hint="eastAsia" w:ascii="Times New Roman" w:hAnsi="Times New Roman" w:cs="Times New Roman"/>
                      <w:b w:val="0"/>
                      <w:bCs w:val="0"/>
                      <w:color w:val="auto"/>
                      <w:sz w:val="21"/>
                      <w:szCs w:val="21"/>
                      <w:highlight w:val="none"/>
                      <w:vertAlign w:val="baseline"/>
                      <w:lang w:val="en-US" w:eastAsia="zh-CN"/>
                    </w:rPr>
                    <w:t>后烘干</w:t>
                  </w:r>
                </w:p>
              </w:tc>
              <w:tc>
                <w:tcPr>
                  <w:tcW w:w="777" w:type="pct"/>
                  <w:tcBorders>
                    <w:tl2br w:val="nil"/>
                    <w:tr2bl w:val="nil"/>
                  </w:tcBorders>
                  <w:noWrap w:val="0"/>
                  <w:vAlign w:val="center"/>
                </w:tcPr>
                <w:p w14:paraId="7214D93B">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挥发性有机物</w:t>
                  </w:r>
                </w:p>
              </w:tc>
              <w:tc>
                <w:tcPr>
                  <w:tcW w:w="943" w:type="pct"/>
                  <w:tcBorders>
                    <w:tl2br w:val="nil"/>
                    <w:tr2bl w:val="nil"/>
                  </w:tcBorders>
                  <w:noWrap w:val="0"/>
                  <w:vAlign w:val="center"/>
                </w:tcPr>
                <w:p w14:paraId="232606FE">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吸附/浓缩+热力燃烧/催化燃烧、热力焚烧/催化焚烧、吸附/热力燃烧法</w:t>
                  </w:r>
                </w:p>
              </w:tc>
              <w:tc>
                <w:tcPr>
                  <w:tcW w:w="1047" w:type="pct"/>
                  <w:tcBorders>
                    <w:tl2br w:val="nil"/>
                    <w:tr2bl w:val="nil"/>
                  </w:tcBorders>
                  <w:noWrap w:val="0"/>
                  <w:vAlign w:val="center"/>
                </w:tcPr>
                <w:p w14:paraId="3462869A">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二级活性炭吸附</w:t>
                  </w:r>
                </w:p>
              </w:tc>
              <w:tc>
                <w:tcPr>
                  <w:tcW w:w="522" w:type="pct"/>
                  <w:tcBorders>
                    <w:tl2br w:val="nil"/>
                    <w:tr2bl w:val="nil"/>
                  </w:tcBorders>
                  <w:noWrap w:val="0"/>
                  <w:vAlign w:val="center"/>
                </w:tcPr>
                <w:p w14:paraId="275096DA">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bl>
          <w:p w14:paraId="22982653">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活性炭吸附设备</w:t>
            </w:r>
          </w:p>
          <w:p w14:paraId="20D79F04">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ascii="宋体" w:hAnsi="宋体" w:eastAsia="宋体" w:cs="宋体"/>
                <w:b w:val="0"/>
                <w:bCs w:val="0"/>
                <w:color w:val="auto"/>
                <w:sz w:val="24"/>
                <w:szCs w:val="24"/>
              </w:rPr>
              <w:t>针对本项目有机废气的治理，选用成熟可靠且应用较为广泛地吸附法处理措施，选择活性炭作为吸附剂，根据《</w:t>
            </w:r>
            <w:r>
              <w:rPr>
                <w:rFonts w:ascii="TimesNewRomanPSMT" w:hAnsi="TimesNewRomanPSMT" w:eastAsia="TimesNewRomanPSMT" w:cs="TimesNewRomanPSMT"/>
                <w:b w:val="0"/>
                <w:bCs w:val="0"/>
                <w:color w:val="auto"/>
                <w:sz w:val="24"/>
                <w:szCs w:val="24"/>
              </w:rPr>
              <w:t>2020</w:t>
            </w:r>
            <w:r>
              <w:rPr>
                <w:rFonts w:ascii="宋体" w:hAnsi="宋体" w:eastAsia="宋体" w:cs="宋体"/>
                <w:b w:val="0"/>
                <w:bCs w:val="0"/>
                <w:color w:val="auto"/>
                <w:sz w:val="24"/>
                <w:szCs w:val="24"/>
              </w:rPr>
              <w:t>年挥发性有机物治理攻坚方案》中规定，采用活性炭吸附技术的，应选择碘值不低于</w:t>
            </w:r>
            <w:r>
              <w:rPr>
                <w:rFonts w:hint="default" w:ascii="TimesNewRomanPSMT" w:hAnsi="TimesNewRomanPSMT" w:eastAsia="TimesNewRomanPSMT" w:cs="TimesNewRomanPSMT"/>
                <w:b w:val="0"/>
                <w:bCs w:val="0"/>
                <w:color w:val="auto"/>
                <w:sz w:val="24"/>
                <w:szCs w:val="24"/>
              </w:rPr>
              <w:t>800</w:t>
            </w:r>
            <w:r>
              <w:rPr>
                <w:rFonts w:ascii="宋体" w:hAnsi="宋体" w:eastAsia="宋体" w:cs="宋体"/>
                <w:b w:val="0"/>
                <w:bCs w:val="0"/>
                <w:color w:val="auto"/>
                <w:sz w:val="24"/>
                <w:szCs w:val="24"/>
              </w:rPr>
              <w:t>毫克</w:t>
            </w:r>
            <w:r>
              <w:rPr>
                <w:rFonts w:hint="default" w:ascii="TimesNewRomanPSMT" w:hAnsi="TimesNewRomanPSMT" w:eastAsia="TimesNewRomanPSMT" w:cs="TimesNewRomanPSMT"/>
                <w:b w:val="0"/>
                <w:bCs w:val="0"/>
                <w:color w:val="auto"/>
                <w:sz w:val="24"/>
                <w:szCs w:val="24"/>
              </w:rPr>
              <w:t>/</w:t>
            </w:r>
            <w:r>
              <w:rPr>
                <w:rFonts w:ascii="宋体" w:hAnsi="宋体" w:eastAsia="宋体" w:cs="宋体"/>
                <w:b w:val="0"/>
                <w:bCs w:val="0"/>
                <w:color w:val="auto"/>
                <w:sz w:val="24"/>
                <w:szCs w:val="24"/>
              </w:rPr>
              <w:t>克的活性炭，并按设计要求足量添加、及时更换。</w:t>
            </w:r>
            <w:r>
              <w:rPr>
                <w:rFonts w:hint="eastAsia" w:ascii="宋体" w:hAnsi="宋体" w:cs="宋体"/>
                <w:b w:val="0"/>
                <w:bCs w:val="0"/>
                <w:color w:val="auto"/>
                <w:sz w:val="24"/>
                <w:szCs w:val="24"/>
                <w:lang w:val="en-US" w:eastAsia="zh-CN"/>
              </w:rPr>
              <w:t>活</w:t>
            </w:r>
            <w:r>
              <w:rPr>
                <w:rFonts w:ascii="宋体" w:hAnsi="宋体" w:eastAsia="宋体" w:cs="宋体"/>
                <w:b w:val="0"/>
                <w:bCs w:val="0"/>
                <w:color w:val="auto"/>
                <w:sz w:val="24"/>
                <w:szCs w:val="24"/>
              </w:rPr>
              <w:t>性炭是最常用的吸附剂，</w:t>
            </w:r>
            <w:r>
              <w:rPr>
                <w:rFonts w:hint="default" w:ascii="TimesNewRomanPSMT" w:hAnsi="TimesNewRomanPSMT" w:eastAsia="TimesNewRomanPSMT" w:cs="TimesNewRomanPSMT"/>
                <w:b w:val="0"/>
                <w:bCs w:val="0"/>
                <w:color w:val="auto"/>
                <w:sz w:val="24"/>
                <w:szCs w:val="24"/>
              </w:rPr>
              <w:t>1g</w:t>
            </w:r>
            <w:r>
              <w:rPr>
                <w:rFonts w:ascii="宋体" w:hAnsi="宋体" w:eastAsia="宋体" w:cs="宋体"/>
                <w:b w:val="0"/>
                <w:bCs w:val="0"/>
                <w:color w:val="auto"/>
                <w:sz w:val="24"/>
                <w:szCs w:val="24"/>
              </w:rPr>
              <w:t>活性炭材料中的微孔，展开表面积可高达</w:t>
            </w:r>
            <w:r>
              <w:rPr>
                <w:rFonts w:hint="default" w:ascii="TimesNewRomanPSMT" w:hAnsi="TimesNewRomanPSMT" w:eastAsia="TimesNewRomanPSMT" w:cs="TimesNewRomanPSMT"/>
                <w:b w:val="0"/>
                <w:bCs w:val="0"/>
                <w:color w:val="auto"/>
                <w:sz w:val="24"/>
                <w:szCs w:val="24"/>
              </w:rPr>
              <w:t>800-1500</w:t>
            </w:r>
            <w:r>
              <w:rPr>
                <w:rFonts w:hint="eastAsia" w:ascii="TimesNewRomanPSMT" w:hAnsi="TimesNewRomanPSMT" w:eastAsia="宋体" w:cs="TimesNewRomanPSMT"/>
                <w:b w:val="0"/>
                <w:bCs w:val="0"/>
                <w:color w:val="auto"/>
                <w:sz w:val="24"/>
                <w:szCs w:val="24"/>
                <w:lang w:val="en-US" w:eastAsia="zh-CN"/>
              </w:rPr>
              <w:t>㎡</w:t>
            </w:r>
            <w:r>
              <w:rPr>
                <w:rFonts w:ascii="宋体" w:hAnsi="宋体" w:eastAsia="宋体" w:cs="宋体"/>
                <w:b w:val="0"/>
                <w:bCs w:val="0"/>
                <w:color w:val="auto"/>
                <w:sz w:val="24"/>
                <w:szCs w:val="24"/>
              </w:rPr>
              <w:t>，其为非极性分子，根据</w:t>
            </w:r>
            <w:r>
              <w:rPr>
                <w:rFonts w:hint="default" w:ascii="TimesNewRomanPSMT" w:hAnsi="TimesNewRomanPSMT" w:eastAsia="TimesNewRomanPSMT" w:cs="TimesNewRomanPSMT"/>
                <w:b w:val="0"/>
                <w:bCs w:val="0"/>
                <w:color w:val="auto"/>
                <w:sz w:val="24"/>
                <w:szCs w:val="24"/>
              </w:rPr>
              <w:t>“</w:t>
            </w:r>
            <w:r>
              <w:rPr>
                <w:rFonts w:ascii="宋体" w:hAnsi="宋体" w:eastAsia="宋体" w:cs="宋体"/>
                <w:b w:val="0"/>
                <w:bCs w:val="0"/>
                <w:color w:val="auto"/>
                <w:sz w:val="24"/>
                <w:szCs w:val="24"/>
              </w:rPr>
              <w:t>相似相容原理</w:t>
            </w:r>
            <w:r>
              <w:rPr>
                <w:rFonts w:hint="default" w:ascii="TimesNewRomanPSMT" w:hAnsi="TimesNewRomanPSMT" w:eastAsia="TimesNewRomanPSMT" w:cs="TimesNewRomanPSMT"/>
                <w:b w:val="0"/>
                <w:bCs w:val="0"/>
                <w:color w:val="auto"/>
                <w:sz w:val="24"/>
                <w:szCs w:val="24"/>
              </w:rPr>
              <w:t>”</w:t>
            </w:r>
            <w:r>
              <w:rPr>
                <w:rFonts w:ascii="宋体" w:hAnsi="宋体" w:eastAsia="宋体" w:cs="宋体"/>
                <w:b w:val="0"/>
                <w:bCs w:val="0"/>
                <w:color w:val="auto"/>
                <w:sz w:val="24"/>
                <w:szCs w:val="24"/>
              </w:rPr>
              <w:t>，当非极性的气体和非极性杂质分子被活性炭内孔捕捉后，由于分子之间相互吸引，会导致更多的分子不断被吸引，直至填满活性炭内的孔隙，因此，活性炭对很多挥发性有机气体的治理都十分有效，其缺点是需要再生，由于本项目废气产生量不大，从经济方面比较适合固定床吸附。饱和的废活性炭可作为危险废物交由具有相关危险废物经营许可证的单位收运处理。根据《国家危险废物名录》，更换的饱和活性炭属于危险废物。项目落实上述治理措施，当活性炭吸附饱和后</w:t>
            </w:r>
            <w:r>
              <w:rPr>
                <w:rFonts w:hint="eastAsia" w:ascii="宋体" w:hAnsi="宋体" w:eastAsia="宋体" w:cs="宋体"/>
                <w:b w:val="0"/>
                <w:bCs w:val="0"/>
                <w:color w:val="auto"/>
                <w:sz w:val="24"/>
                <w:szCs w:val="24"/>
                <w:lang w:eastAsia="zh-CN"/>
              </w:rPr>
              <w:t>，</w:t>
            </w:r>
            <w:r>
              <w:rPr>
                <w:rFonts w:ascii="宋体" w:hAnsi="宋体" w:eastAsia="宋体" w:cs="宋体"/>
                <w:b w:val="0"/>
                <w:bCs w:val="0"/>
                <w:color w:val="auto"/>
                <w:sz w:val="24"/>
                <w:szCs w:val="24"/>
              </w:rPr>
              <w:t>应及时更换饱和的活性炭，补充新鲜的活性炭，才能保证有机气体的稳定达标排放。环评要求，本项目废气处理设施应由专业设备厂家提供，</w:t>
            </w:r>
            <w:r>
              <w:rPr>
                <w:rFonts w:hint="eastAsia" w:ascii="宋体" w:hAnsi="宋体" w:cs="宋体"/>
                <w:b w:val="0"/>
                <w:bCs w:val="0"/>
                <w:color w:val="auto"/>
                <w:sz w:val="24"/>
                <w:szCs w:val="24"/>
                <w:lang w:eastAsia="zh-CN"/>
              </w:rPr>
              <w:t>并</w:t>
            </w:r>
            <w:r>
              <w:rPr>
                <w:rFonts w:ascii="宋体" w:hAnsi="宋体" w:eastAsia="宋体" w:cs="宋体"/>
                <w:b w:val="0"/>
                <w:bCs w:val="0"/>
                <w:color w:val="auto"/>
                <w:sz w:val="24"/>
                <w:szCs w:val="24"/>
              </w:rPr>
              <w:t>根据本项目废气处理情况进行设计，明确活性炭更换周期，同时建设单位应建立废气处理设施活性炭更换记录档案，如实记录活性炭更换时间、更换量、废活性炭去向等信息，活性炭更换记录应由专人填写，妥善保管，随时备查；废活性炭应在</w:t>
            </w:r>
            <w:r>
              <w:rPr>
                <w:rFonts w:hint="eastAsia" w:ascii="宋体" w:hAnsi="宋体" w:cs="宋体"/>
                <w:b w:val="0"/>
                <w:bCs w:val="0"/>
                <w:color w:val="auto"/>
                <w:sz w:val="24"/>
                <w:szCs w:val="24"/>
                <w:lang w:eastAsia="zh-CN"/>
              </w:rPr>
              <w:t>危废贮存库</w:t>
            </w:r>
            <w:r>
              <w:rPr>
                <w:rFonts w:ascii="宋体" w:hAnsi="宋体" w:eastAsia="宋体" w:cs="宋体"/>
                <w:b w:val="0"/>
                <w:bCs w:val="0"/>
                <w:color w:val="auto"/>
                <w:sz w:val="24"/>
                <w:szCs w:val="24"/>
              </w:rPr>
              <w:t>妥善暂存，定期交有资质单位进行处理，并严格落实危险废物转移五联单制度。</w:t>
            </w:r>
          </w:p>
          <w:p w14:paraId="30E163B6">
            <w:pPr>
              <w:keepNext/>
              <w:keepLines/>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kern w:val="2"/>
                <w:sz w:val="24"/>
                <w:szCs w:val="24"/>
                <w:lang w:val="en-US" w:eastAsia="zh-CN" w:bidi="ar-SA"/>
              </w:rPr>
            </w:pPr>
            <w:r>
              <w:rPr>
                <w:color w:val="auto"/>
              </w:rPr>
              <w:drawing>
                <wp:inline distT="0" distB="0" distL="114300" distR="114300">
                  <wp:extent cx="5424170" cy="3891280"/>
                  <wp:effectExtent l="9525" t="9525" r="14605" b="234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5424170" cy="3891280"/>
                          </a:xfrm>
                          <a:prstGeom prst="rect">
                            <a:avLst/>
                          </a:prstGeom>
                          <a:noFill/>
                          <a:ln>
                            <a:solidFill>
                              <a:schemeClr val="tx1"/>
                            </a:solidFill>
                          </a:ln>
                        </pic:spPr>
                      </pic:pic>
                    </a:graphicData>
                  </a:graphic>
                </wp:inline>
              </w:drawing>
            </w:r>
          </w:p>
          <w:p w14:paraId="56AEC906">
            <w:pPr>
              <w:keepNext/>
              <w:keepLines/>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1"/>
                <w:szCs w:val="21"/>
                <w:lang w:val="en-US" w:eastAsia="zh-CN" w:bidi="ar-SA"/>
              </w:rPr>
              <w:t>图4-1  项目废气收集管网布设图</w:t>
            </w:r>
          </w:p>
          <w:p w14:paraId="5766C735">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非正常工况废气</w:t>
            </w:r>
          </w:p>
          <w:p w14:paraId="76C06258">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本项目非正常情况主要是停电或设备开停、检修时，环保装置未提前开启，造成废气超标排放，以最不利情况下废气处理系统净化效率为零考虑，源强最大的时段废气排放0.5h对周围环境的影响，具体见下表。</w:t>
            </w:r>
          </w:p>
          <w:p w14:paraId="791FA772">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非正常工况废气排放情况一览表</w:t>
            </w:r>
          </w:p>
          <w:tbl>
            <w:tblPr>
              <w:tblStyle w:val="31"/>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134"/>
              <w:gridCol w:w="1019"/>
              <w:gridCol w:w="1053"/>
              <w:gridCol w:w="1163"/>
              <w:gridCol w:w="1117"/>
              <w:gridCol w:w="973"/>
              <w:gridCol w:w="1101"/>
            </w:tblGrid>
            <w:tr w14:paraId="2F7E4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tcBorders>
                    <w:tl2br w:val="nil"/>
                    <w:tr2bl w:val="nil"/>
                  </w:tcBorders>
                  <w:noWrap w:val="0"/>
                  <w:vAlign w:val="center"/>
                </w:tcPr>
                <w:p w14:paraId="460A6CE7">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废气污</w:t>
                  </w:r>
                </w:p>
                <w:p w14:paraId="76CC2C84">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染源</w:t>
                  </w:r>
                </w:p>
              </w:tc>
              <w:tc>
                <w:tcPr>
                  <w:tcW w:w="668" w:type="pct"/>
                  <w:tcBorders>
                    <w:tl2br w:val="nil"/>
                    <w:tr2bl w:val="nil"/>
                  </w:tcBorders>
                  <w:noWrap w:val="0"/>
                  <w:vAlign w:val="center"/>
                </w:tcPr>
                <w:p w14:paraId="5632D931">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非正常排放原因</w:t>
                  </w:r>
                </w:p>
              </w:tc>
              <w:tc>
                <w:tcPr>
                  <w:tcW w:w="600" w:type="pct"/>
                  <w:tcBorders>
                    <w:tl2br w:val="nil"/>
                    <w:tr2bl w:val="nil"/>
                  </w:tcBorders>
                  <w:noWrap w:val="0"/>
                  <w:vAlign w:val="center"/>
                </w:tcPr>
                <w:p w14:paraId="5197ADF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w:t>
                  </w:r>
                </w:p>
                <w:p w14:paraId="50E3B3AA">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种类</w:t>
                  </w:r>
                </w:p>
              </w:tc>
              <w:tc>
                <w:tcPr>
                  <w:tcW w:w="620" w:type="pct"/>
                  <w:tcBorders>
                    <w:tl2br w:val="nil"/>
                    <w:tr2bl w:val="nil"/>
                  </w:tcBorders>
                  <w:noWrap w:val="0"/>
                  <w:vAlign w:val="center"/>
                </w:tcPr>
                <w:p w14:paraId="34ABF6E1">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非正常</w:t>
                  </w:r>
                </w:p>
                <w:p w14:paraId="5451B7F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频次</w:t>
                  </w:r>
                </w:p>
              </w:tc>
              <w:tc>
                <w:tcPr>
                  <w:tcW w:w="685" w:type="pct"/>
                  <w:tcBorders>
                    <w:tl2br w:val="nil"/>
                    <w:tr2bl w:val="nil"/>
                  </w:tcBorders>
                  <w:noWrap w:val="0"/>
                  <w:vAlign w:val="center"/>
                </w:tcPr>
                <w:p w14:paraId="5AD24E91">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排放浓度</w:t>
                  </w:r>
                </w:p>
                <w:p w14:paraId="0CDDBD7A">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（㎎/m³）</w:t>
                  </w:r>
                </w:p>
              </w:tc>
              <w:tc>
                <w:tcPr>
                  <w:tcW w:w="658" w:type="pct"/>
                  <w:tcBorders>
                    <w:tl2br w:val="nil"/>
                    <w:tr2bl w:val="nil"/>
                  </w:tcBorders>
                  <w:noWrap w:val="0"/>
                  <w:vAlign w:val="center"/>
                </w:tcPr>
                <w:p w14:paraId="0DD18975">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排放速率（kg/h）</w:t>
                  </w:r>
                </w:p>
              </w:tc>
              <w:tc>
                <w:tcPr>
                  <w:tcW w:w="573" w:type="pct"/>
                  <w:tcBorders>
                    <w:tl2br w:val="nil"/>
                    <w:tr2bl w:val="nil"/>
                  </w:tcBorders>
                  <w:noWrap w:val="0"/>
                  <w:vAlign w:val="center"/>
                </w:tcPr>
                <w:p w14:paraId="055B71D7">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排放量（㎏）</w:t>
                  </w:r>
                </w:p>
              </w:tc>
              <w:tc>
                <w:tcPr>
                  <w:tcW w:w="648" w:type="pct"/>
                  <w:tcBorders>
                    <w:tl2br w:val="nil"/>
                    <w:tr2bl w:val="nil"/>
                  </w:tcBorders>
                  <w:noWrap w:val="0"/>
                  <w:vAlign w:val="center"/>
                </w:tcPr>
                <w:p w14:paraId="4902C37D">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持续时间（h）</w:t>
                  </w:r>
                </w:p>
              </w:tc>
            </w:tr>
            <w:tr w14:paraId="501F9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tcBorders>
                    <w:tl2br w:val="nil"/>
                    <w:tr2bl w:val="nil"/>
                  </w:tcBorders>
                  <w:noWrap w:val="0"/>
                  <w:vAlign w:val="center"/>
                </w:tcPr>
                <w:p w14:paraId="1F99E0F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切割、焊接</w:t>
                  </w:r>
                </w:p>
              </w:tc>
              <w:tc>
                <w:tcPr>
                  <w:tcW w:w="668" w:type="pct"/>
                  <w:vMerge w:val="restart"/>
                  <w:tcBorders>
                    <w:tl2br w:val="nil"/>
                    <w:tr2bl w:val="nil"/>
                  </w:tcBorders>
                  <w:noWrap w:val="0"/>
                  <w:vAlign w:val="center"/>
                </w:tcPr>
                <w:p w14:paraId="2A9C1D9A">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集气系统、</w:t>
                  </w:r>
                  <w:r>
                    <w:rPr>
                      <w:rFonts w:hint="eastAsia" w:ascii="Times New Roman" w:hAnsi="Times New Roman" w:eastAsia="宋体" w:cs="Times New Roman"/>
                      <w:color w:val="auto"/>
                      <w:sz w:val="21"/>
                      <w:szCs w:val="21"/>
                      <w:vertAlign w:val="baseline"/>
                      <w:lang w:val="en-US" w:eastAsia="zh-CN"/>
                    </w:rPr>
                    <w:t>废气治理</w:t>
                  </w:r>
                  <w:r>
                    <w:rPr>
                      <w:rFonts w:hint="eastAsia" w:cs="Times New Roman"/>
                      <w:color w:val="auto"/>
                      <w:sz w:val="21"/>
                      <w:szCs w:val="21"/>
                      <w:vertAlign w:val="baseline"/>
                      <w:lang w:val="en-US" w:eastAsia="zh-CN"/>
                    </w:rPr>
                    <w:t>设施</w:t>
                  </w:r>
                  <w:r>
                    <w:rPr>
                      <w:rFonts w:hint="default" w:ascii="Times New Roman" w:hAnsi="Times New Roman" w:eastAsia="宋体" w:cs="Times New Roman"/>
                      <w:color w:val="auto"/>
                      <w:sz w:val="21"/>
                      <w:szCs w:val="21"/>
                      <w:vertAlign w:val="baseline"/>
                      <w:lang w:val="en-US" w:eastAsia="zh-CN"/>
                    </w:rPr>
                    <w:t>故障</w:t>
                  </w:r>
                  <w:r>
                    <w:rPr>
                      <w:rFonts w:hint="eastAsia" w:ascii="Times New Roman" w:hAnsi="Times New Roman" w:eastAsia="宋体" w:cs="Times New Roman"/>
                      <w:color w:val="auto"/>
                      <w:sz w:val="21"/>
                      <w:szCs w:val="21"/>
                      <w:vertAlign w:val="baseline"/>
                      <w:lang w:val="en-US" w:eastAsia="zh-CN"/>
                    </w:rPr>
                    <w:t>，处理能力降至0</w:t>
                  </w:r>
                </w:p>
              </w:tc>
              <w:tc>
                <w:tcPr>
                  <w:tcW w:w="600" w:type="pct"/>
                  <w:tcBorders>
                    <w:tl2br w:val="nil"/>
                    <w:tr2bl w:val="nil"/>
                  </w:tcBorders>
                  <w:noWrap w:val="0"/>
                  <w:vAlign w:val="center"/>
                </w:tcPr>
                <w:p w14:paraId="679CAC2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620" w:type="pct"/>
                  <w:tcBorders>
                    <w:tl2br w:val="nil"/>
                    <w:tr2bl w:val="nil"/>
                  </w:tcBorders>
                  <w:noWrap w:val="0"/>
                  <w:vAlign w:val="center"/>
                </w:tcPr>
                <w:p w14:paraId="4F0C2A3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685" w:type="pct"/>
                  <w:tcBorders>
                    <w:tl2br w:val="nil"/>
                    <w:tr2bl w:val="nil"/>
                  </w:tcBorders>
                  <w:noWrap w:val="0"/>
                  <w:vAlign w:val="center"/>
                </w:tcPr>
                <w:p w14:paraId="25D8BD07">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42</w:t>
                  </w:r>
                </w:p>
              </w:tc>
              <w:tc>
                <w:tcPr>
                  <w:tcW w:w="658" w:type="pct"/>
                  <w:tcBorders>
                    <w:tl2br w:val="nil"/>
                    <w:tr2bl w:val="nil"/>
                  </w:tcBorders>
                  <w:noWrap w:val="0"/>
                  <w:vAlign w:val="center"/>
                </w:tcPr>
                <w:p w14:paraId="07458A1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0.42</w:t>
                  </w:r>
                </w:p>
              </w:tc>
              <w:tc>
                <w:tcPr>
                  <w:tcW w:w="573" w:type="pct"/>
                  <w:tcBorders>
                    <w:tl2br w:val="nil"/>
                    <w:tr2bl w:val="nil"/>
                  </w:tcBorders>
                  <w:noWrap w:val="0"/>
                  <w:vAlign w:val="center"/>
                </w:tcPr>
                <w:p w14:paraId="2FB0987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0.83</w:t>
                  </w:r>
                </w:p>
              </w:tc>
              <w:tc>
                <w:tcPr>
                  <w:tcW w:w="648" w:type="pct"/>
                  <w:tcBorders>
                    <w:tl2br w:val="nil"/>
                    <w:tr2bl w:val="nil"/>
                  </w:tcBorders>
                  <w:noWrap w:val="0"/>
                  <w:vAlign w:val="center"/>
                </w:tcPr>
                <w:p w14:paraId="4F5A91B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r>
            <w:tr w14:paraId="311282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tcBorders>
                    <w:tl2br w:val="nil"/>
                    <w:tr2bl w:val="nil"/>
                  </w:tcBorders>
                  <w:noWrap w:val="0"/>
                  <w:vAlign w:val="center"/>
                </w:tcPr>
                <w:p w14:paraId="6028781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抛丸</w:t>
                  </w:r>
                </w:p>
              </w:tc>
              <w:tc>
                <w:tcPr>
                  <w:tcW w:w="668" w:type="pct"/>
                  <w:vMerge w:val="continue"/>
                  <w:tcBorders>
                    <w:tl2br w:val="nil"/>
                    <w:tr2bl w:val="nil"/>
                  </w:tcBorders>
                  <w:noWrap w:val="0"/>
                  <w:vAlign w:val="center"/>
                </w:tcPr>
                <w:p w14:paraId="5193DC39">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00" w:type="pct"/>
                  <w:tcBorders>
                    <w:tl2br w:val="nil"/>
                    <w:tr2bl w:val="nil"/>
                  </w:tcBorders>
                  <w:noWrap w:val="0"/>
                  <w:vAlign w:val="center"/>
                </w:tcPr>
                <w:p w14:paraId="371AE77D">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620" w:type="pct"/>
                  <w:tcBorders>
                    <w:tl2br w:val="nil"/>
                    <w:tr2bl w:val="nil"/>
                  </w:tcBorders>
                  <w:noWrap w:val="0"/>
                  <w:vAlign w:val="center"/>
                </w:tcPr>
                <w:p w14:paraId="02930AE4">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685" w:type="pct"/>
                  <w:tcBorders>
                    <w:tl2br w:val="nil"/>
                    <w:tr2bl w:val="nil"/>
                  </w:tcBorders>
                  <w:noWrap w:val="0"/>
                  <w:vAlign w:val="center"/>
                </w:tcPr>
                <w:p w14:paraId="2B6C0D2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144.7</w:t>
                  </w:r>
                </w:p>
              </w:tc>
              <w:tc>
                <w:tcPr>
                  <w:tcW w:w="658" w:type="pct"/>
                  <w:tcBorders>
                    <w:tl2br w:val="nil"/>
                    <w:tr2bl w:val="nil"/>
                  </w:tcBorders>
                  <w:noWrap w:val="0"/>
                  <w:vAlign w:val="center"/>
                </w:tcPr>
                <w:p w14:paraId="002B7E3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2.46</w:t>
                  </w:r>
                </w:p>
              </w:tc>
              <w:tc>
                <w:tcPr>
                  <w:tcW w:w="573" w:type="pct"/>
                  <w:tcBorders>
                    <w:tl2br w:val="nil"/>
                    <w:tr2bl w:val="nil"/>
                  </w:tcBorders>
                  <w:noWrap w:val="0"/>
                  <w:vAlign w:val="center"/>
                </w:tcPr>
                <w:p w14:paraId="2C652FD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648" w:type="pct"/>
                  <w:tcBorders>
                    <w:tl2br w:val="nil"/>
                    <w:tr2bl w:val="nil"/>
                  </w:tcBorders>
                  <w:noWrap w:val="0"/>
                  <w:vAlign w:val="center"/>
                </w:tcPr>
                <w:p w14:paraId="0F2C16FD">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14:paraId="65A6E4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tcBorders>
                    <w:tl2br w:val="nil"/>
                    <w:tr2bl w:val="nil"/>
                  </w:tcBorders>
                  <w:noWrap w:val="0"/>
                  <w:vAlign w:val="center"/>
                </w:tcPr>
                <w:p w14:paraId="26A06E9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喷粉</w:t>
                  </w:r>
                </w:p>
              </w:tc>
              <w:tc>
                <w:tcPr>
                  <w:tcW w:w="668" w:type="pct"/>
                  <w:vMerge w:val="continue"/>
                  <w:tcBorders>
                    <w:tl2br w:val="nil"/>
                    <w:tr2bl w:val="nil"/>
                  </w:tcBorders>
                  <w:noWrap w:val="0"/>
                  <w:vAlign w:val="center"/>
                </w:tcPr>
                <w:p w14:paraId="65A4EDBC">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00" w:type="pct"/>
                  <w:tcBorders>
                    <w:tl2br w:val="nil"/>
                    <w:tr2bl w:val="nil"/>
                  </w:tcBorders>
                  <w:noWrap w:val="0"/>
                  <w:vAlign w:val="center"/>
                </w:tcPr>
                <w:p w14:paraId="530F4390">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颗粒物</w:t>
                  </w:r>
                </w:p>
              </w:tc>
              <w:tc>
                <w:tcPr>
                  <w:tcW w:w="620" w:type="pct"/>
                  <w:tcBorders>
                    <w:tl2br w:val="nil"/>
                    <w:tr2bl w:val="nil"/>
                  </w:tcBorders>
                  <w:noWrap w:val="0"/>
                  <w:vAlign w:val="center"/>
                </w:tcPr>
                <w:p w14:paraId="1DE7EF9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685" w:type="pct"/>
                  <w:tcBorders>
                    <w:tl2br w:val="nil"/>
                    <w:tr2bl w:val="nil"/>
                  </w:tcBorders>
                  <w:noWrap w:val="0"/>
                  <w:vAlign w:val="center"/>
                </w:tcPr>
                <w:p w14:paraId="3BA259D6">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106.67</w:t>
                  </w:r>
                </w:p>
              </w:tc>
              <w:tc>
                <w:tcPr>
                  <w:tcW w:w="658" w:type="pct"/>
                  <w:tcBorders>
                    <w:tl2br w:val="nil"/>
                    <w:tr2bl w:val="nil"/>
                  </w:tcBorders>
                  <w:noWrap w:val="0"/>
                  <w:vAlign w:val="center"/>
                </w:tcPr>
                <w:p w14:paraId="789E3A0F">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1.5</w:t>
                  </w:r>
                </w:p>
              </w:tc>
              <w:tc>
                <w:tcPr>
                  <w:tcW w:w="573" w:type="pct"/>
                  <w:tcBorders>
                    <w:tl2br w:val="nil"/>
                    <w:tr2bl w:val="nil"/>
                  </w:tcBorders>
                  <w:noWrap w:val="0"/>
                  <w:vAlign w:val="center"/>
                </w:tcPr>
                <w:p w14:paraId="76FB3C4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1.2</w:t>
                  </w:r>
                </w:p>
              </w:tc>
              <w:tc>
                <w:tcPr>
                  <w:tcW w:w="648" w:type="pct"/>
                  <w:tcBorders>
                    <w:tl2br w:val="nil"/>
                    <w:tr2bl w:val="nil"/>
                  </w:tcBorders>
                  <w:noWrap w:val="0"/>
                  <w:vAlign w:val="center"/>
                </w:tcPr>
                <w:p w14:paraId="732AF9AC">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0.5</w:t>
                  </w:r>
                </w:p>
              </w:tc>
            </w:tr>
            <w:tr w14:paraId="34B84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tcBorders>
                    <w:tl2br w:val="nil"/>
                    <w:tr2bl w:val="nil"/>
                  </w:tcBorders>
                  <w:noWrap w:val="0"/>
                  <w:vAlign w:val="center"/>
                </w:tcPr>
                <w:p w14:paraId="397919F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固化</w:t>
                  </w:r>
                </w:p>
              </w:tc>
              <w:tc>
                <w:tcPr>
                  <w:tcW w:w="668" w:type="pct"/>
                  <w:vMerge w:val="continue"/>
                  <w:tcBorders>
                    <w:tl2br w:val="nil"/>
                    <w:tr2bl w:val="nil"/>
                  </w:tcBorders>
                  <w:noWrap w:val="0"/>
                  <w:vAlign w:val="center"/>
                </w:tcPr>
                <w:p w14:paraId="55A0485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00" w:type="pct"/>
                  <w:tcBorders>
                    <w:tl2br w:val="nil"/>
                    <w:tr2bl w:val="nil"/>
                  </w:tcBorders>
                  <w:noWrap w:val="0"/>
                  <w:vAlign w:val="center"/>
                </w:tcPr>
                <w:p w14:paraId="07AEA800">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非甲烷总烃</w:t>
                  </w:r>
                </w:p>
              </w:tc>
              <w:tc>
                <w:tcPr>
                  <w:tcW w:w="620" w:type="pct"/>
                  <w:tcBorders>
                    <w:tl2br w:val="nil"/>
                    <w:tr2bl w:val="nil"/>
                  </w:tcBorders>
                  <w:noWrap w:val="0"/>
                  <w:vAlign w:val="center"/>
                </w:tcPr>
                <w:p w14:paraId="265D357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685" w:type="pct"/>
                  <w:tcBorders>
                    <w:tl2br w:val="nil"/>
                    <w:tr2bl w:val="nil"/>
                  </w:tcBorders>
                  <w:noWrap w:val="0"/>
                  <w:vAlign w:val="center"/>
                </w:tcPr>
                <w:p w14:paraId="1892DF0D">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w:t>
                  </w:r>
                </w:p>
              </w:tc>
              <w:tc>
                <w:tcPr>
                  <w:tcW w:w="658" w:type="pct"/>
                  <w:tcBorders>
                    <w:tl2br w:val="nil"/>
                    <w:tr2bl w:val="nil"/>
                  </w:tcBorders>
                  <w:noWrap w:val="0"/>
                  <w:vAlign w:val="center"/>
                </w:tcPr>
                <w:p w14:paraId="583E9CF9">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0.25</w:t>
                  </w:r>
                </w:p>
              </w:tc>
              <w:tc>
                <w:tcPr>
                  <w:tcW w:w="573" w:type="pct"/>
                  <w:tcBorders>
                    <w:tl2br w:val="nil"/>
                    <w:tr2bl w:val="nil"/>
                  </w:tcBorders>
                  <w:noWrap w:val="0"/>
                  <w:vAlign w:val="center"/>
                </w:tcPr>
                <w:p w14:paraId="52FD4B4D">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0.12</w:t>
                  </w:r>
                </w:p>
              </w:tc>
              <w:tc>
                <w:tcPr>
                  <w:tcW w:w="648" w:type="pct"/>
                  <w:tcBorders>
                    <w:tl2br w:val="nil"/>
                    <w:tr2bl w:val="nil"/>
                  </w:tcBorders>
                  <w:noWrap w:val="0"/>
                  <w:vAlign w:val="center"/>
                </w:tcPr>
                <w:p w14:paraId="32C306F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0.5</w:t>
                  </w:r>
                </w:p>
              </w:tc>
            </w:tr>
            <w:tr w14:paraId="1F5A6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Merge w:val="restart"/>
                  <w:tcBorders>
                    <w:tl2br w:val="nil"/>
                    <w:tr2bl w:val="nil"/>
                  </w:tcBorders>
                  <w:noWrap w:val="0"/>
                  <w:vAlign w:val="center"/>
                </w:tcPr>
                <w:p w14:paraId="1E46C2E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天然气燃烧</w:t>
                  </w:r>
                </w:p>
              </w:tc>
              <w:tc>
                <w:tcPr>
                  <w:tcW w:w="668" w:type="pct"/>
                  <w:vMerge w:val="continue"/>
                  <w:tcBorders>
                    <w:tl2br w:val="nil"/>
                    <w:tr2bl w:val="nil"/>
                  </w:tcBorders>
                  <w:noWrap w:val="0"/>
                  <w:vAlign w:val="center"/>
                </w:tcPr>
                <w:p w14:paraId="786C0A10">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00" w:type="pct"/>
                  <w:tcBorders>
                    <w:tl2br w:val="nil"/>
                    <w:tr2bl w:val="nil"/>
                  </w:tcBorders>
                  <w:noWrap w:val="0"/>
                  <w:vAlign w:val="center"/>
                </w:tcPr>
                <w:p w14:paraId="02C35184">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NO</w:t>
                  </w:r>
                  <w:r>
                    <w:rPr>
                      <w:rFonts w:hint="eastAsia" w:ascii="Times New Roman" w:hAnsi="Times New Roman" w:eastAsia="宋体" w:cs="Times New Roman"/>
                      <w:color w:val="auto"/>
                      <w:sz w:val="21"/>
                      <w:szCs w:val="21"/>
                      <w:vertAlign w:val="subscript"/>
                      <w:lang w:val="en-US" w:eastAsia="zh-CN"/>
                    </w:rPr>
                    <w:t>X</w:t>
                  </w:r>
                </w:p>
              </w:tc>
              <w:tc>
                <w:tcPr>
                  <w:tcW w:w="620" w:type="pct"/>
                  <w:tcBorders>
                    <w:tl2br w:val="nil"/>
                    <w:tr2bl w:val="nil"/>
                  </w:tcBorders>
                  <w:noWrap w:val="0"/>
                  <w:vAlign w:val="center"/>
                </w:tcPr>
                <w:p w14:paraId="18B09BAC">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685" w:type="pct"/>
                  <w:tcBorders>
                    <w:tl2br w:val="nil"/>
                    <w:tr2bl w:val="nil"/>
                  </w:tcBorders>
                  <w:noWrap w:val="0"/>
                  <w:vAlign w:val="center"/>
                </w:tcPr>
                <w:p w14:paraId="0D267B3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68.75</w:t>
                  </w:r>
                </w:p>
              </w:tc>
              <w:tc>
                <w:tcPr>
                  <w:tcW w:w="658" w:type="pct"/>
                  <w:tcBorders>
                    <w:tl2br w:val="nil"/>
                    <w:tr2bl w:val="nil"/>
                  </w:tcBorders>
                  <w:noWrap w:val="0"/>
                  <w:vAlign w:val="center"/>
                </w:tcPr>
                <w:p w14:paraId="5992EB7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0.075</w:t>
                  </w:r>
                </w:p>
              </w:tc>
              <w:tc>
                <w:tcPr>
                  <w:tcW w:w="573" w:type="pct"/>
                  <w:tcBorders>
                    <w:tl2br w:val="nil"/>
                    <w:tr2bl w:val="nil"/>
                  </w:tcBorders>
                  <w:noWrap w:val="0"/>
                  <w:vAlign w:val="center"/>
                </w:tcPr>
                <w:p w14:paraId="22ED9045">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0.056</w:t>
                  </w:r>
                </w:p>
              </w:tc>
              <w:tc>
                <w:tcPr>
                  <w:tcW w:w="648" w:type="pct"/>
                  <w:tcBorders>
                    <w:tl2br w:val="nil"/>
                    <w:tr2bl w:val="nil"/>
                  </w:tcBorders>
                  <w:noWrap w:val="0"/>
                  <w:vAlign w:val="center"/>
                </w:tcPr>
                <w:p w14:paraId="7EF94E9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0.5</w:t>
                  </w:r>
                </w:p>
              </w:tc>
            </w:tr>
            <w:tr w14:paraId="5C813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Merge w:val="continue"/>
                  <w:tcBorders>
                    <w:tl2br w:val="nil"/>
                    <w:tr2bl w:val="nil"/>
                  </w:tcBorders>
                  <w:noWrap w:val="0"/>
                  <w:vAlign w:val="center"/>
                </w:tcPr>
                <w:p w14:paraId="563CB9F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668" w:type="pct"/>
                  <w:vMerge w:val="continue"/>
                  <w:tcBorders>
                    <w:tl2br w:val="nil"/>
                    <w:tr2bl w:val="nil"/>
                  </w:tcBorders>
                  <w:noWrap w:val="0"/>
                  <w:vAlign w:val="center"/>
                </w:tcPr>
                <w:p w14:paraId="21E2B1B4">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00" w:type="pct"/>
                  <w:tcBorders>
                    <w:tl2br w:val="nil"/>
                    <w:tr2bl w:val="nil"/>
                  </w:tcBorders>
                  <w:noWrap w:val="0"/>
                  <w:vAlign w:val="center"/>
                </w:tcPr>
                <w:p w14:paraId="21D243F1">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SO</w:t>
                  </w:r>
                  <w:r>
                    <w:rPr>
                      <w:rFonts w:hint="eastAsia" w:ascii="Times New Roman" w:hAnsi="Times New Roman" w:eastAsia="宋体" w:cs="Times New Roman"/>
                      <w:color w:val="auto"/>
                      <w:sz w:val="21"/>
                      <w:szCs w:val="21"/>
                      <w:vertAlign w:val="subscript"/>
                      <w:lang w:val="en-US" w:eastAsia="zh-CN"/>
                    </w:rPr>
                    <w:t>2</w:t>
                  </w:r>
                </w:p>
              </w:tc>
              <w:tc>
                <w:tcPr>
                  <w:tcW w:w="620" w:type="pct"/>
                  <w:tcBorders>
                    <w:tl2br w:val="nil"/>
                    <w:tr2bl w:val="nil"/>
                  </w:tcBorders>
                  <w:noWrap w:val="0"/>
                  <w:vAlign w:val="center"/>
                </w:tcPr>
                <w:p w14:paraId="4D4C1B0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685" w:type="pct"/>
                  <w:tcBorders>
                    <w:tl2br w:val="nil"/>
                    <w:tr2bl w:val="nil"/>
                  </w:tcBorders>
                  <w:noWrap w:val="0"/>
                  <w:vAlign w:val="center"/>
                </w:tcPr>
                <w:p w14:paraId="3FA41FC4">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2.93</w:t>
                  </w:r>
                </w:p>
              </w:tc>
              <w:tc>
                <w:tcPr>
                  <w:tcW w:w="658" w:type="pct"/>
                  <w:tcBorders>
                    <w:tl2br w:val="nil"/>
                    <w:tr2bl w:val="nil"/>
                  </w:tcBorders>
                  <w:noWrap w:val="0"/>
                  <w:vAlign w:val="center"/>
                </w:tcPr>
                <w:p w14:paraId="3C35D57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0.0016</w:t>
                  </w:r>
                </w:p>
              </w:tc>
              <w:tc>
                <w:tcPr>
                  <w:tcW w:w="573" w:type="pct"/>
                  <w:tcBorders>
                    <w:tl2br w:val="nil"/>
                    <w:tr2bl w:val="nil"/>
                  </w:tcBorders>
                  <w:noWrap w:val="0"/>
                  <w:vAlign w:val="center"/>
                </w:tcPr>
                <w:p w14:paraId="5368633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0.0012</w:t>
                  </w:r>
                </w:p>
              </w:tc>
              <w:tc>
                <w:tcPr>
                  <w:tcW w:w="648" w:type="pct"/>
                  <w:tcBorders>
                    <w:tl2br w:val="nil"/>
                    <w:tr2bl w:val="nil"/>
                  </w:tcBorders>
                  <w:noWrap w:val="0"/>
                  <w:vAlign w:val="center"/>
                </w:tcPr>
                <w:p w14:paraId="2F0971B5">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0.5</w:t>
                  </w:r>
                </w:p>
              </w:tc>
            </w:tr>
            <w:tr w14:paraId="67C3A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Merge w:val="continue"/>
                  <w:tcBorders>
                    <w:tl2br w:val="nil"/>
                    <w:tr2bl w:val="nil"/>
                  </w:tcBorders>
                  <w:noWrap w:val="0"/>
                  <w:vAlign w:val="center"/>
                </w:tcPr>
                <w:p w14:paraId="7A4ADAE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668" w:type="pct"/>
                  <w:vMerge w:val="continue"/>
                  <w:tcBorders>
                    <w:tl2br w:val="nil"/>
                    <w:tr2bl w:val="nil"/>
                  </w:tcBorders>
                  <w:noWrap w:val="0"/>
                  <w:vAlign w:val="center"/>
                </w:tcPr>
                <w:p w14:paraId="37117E3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00" w:type="pct"/>
                  <w:tcBorders>
                    <w:tl2br w:val="nil"/>
                    <w:tr2bl w:val="nil"/>
                  </w:tcBorders>
                  <w:noWrap w:val="0"/>
                  <w:vAlign w:val="center"/>
                </w:tcPr>
                <w:p w14:paraId="711A5CC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620" w:type="pct"/>
                  <w:tcBorders>
                    <w:tl2br w:val="nil"/>
                    <w:tr2bl w:val="nil"/>
                  </w:tcBorders>
                  <w:noWrap w:val="0"/>
                  <w:vAlign w:val="center"/>
                </w:tcPr>
                <w:p w14:paraId="218033E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685" w:type="pct"/>
                  <w:tcBorders>
                    <w:tl2br w:val="nil"/>
                    <w:tr2bl w:val="nil"/>
                  </w:tcBorders>
                  <w:noWrap w:val="0"/>
                  <w:vAlign w:val="center"/>
                </w:tcPr>
                <w:p w14:paraId="16D9FADD">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20.73</w:t>
                  </w:r>
                </w:p>
              </w:tc>
              <w:tc>
                <w:tcPr>
                  <w:tcW w:w="658" w:type="pct"/>
                  <w:tcBorders>
                    <w:tl2br w:val="nil"/>
                    <w:tr2bl w:val="nil"/>
                  </w:tcBorders>
                  <w:noWrap w:val="0"/>
                  <w:vAlign w:val="center"/>
                </w:tcPr>
                <w:p w14:paraId="000B7480">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0.011</w:t>
                  </w:r>
                </w:p>
              </w:tc>
              <w:tc>
                <w:tcPr>
                  <w:tcW w:w="573" w:type="pct"/>
                  <w:tcBorders>
                    <w:tl2br w:val="nil"/>
                    <w:tr2bl w:val="nil"/>
                  </w:tcBorders>
                  <w:noWrap w:val="0"/>
                  <w:vAlign w:val="center"/>
                </w:tcPr>
                <w:p w14:paraId="3CED7CE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0.0085</w:t>
                  </w:r>
                </w:p>
              </w:tc>
              <w:tc>
                <w:tcPr>
                  <w:tcW w:w="648" w:type="pct"/>
                  <w:tcBorders>
                    <w:tl2br w:val="nil"/>
                    <w:tr2bl w:val="nil"/>
                  </w:tcBorders>
                  <w:noWrap w:val="0"/>
                  <w:vAlign w:val="center"/>
                </w:tcPr>
                <w:p w14:paraId="115F3DB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0.5</w:t>
                  </w:r>
                </w:p>
              </w:tc>
            </w:tr>
          </w:tbl>
          <w:p w14:paraId="1D2E36E9">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黑体" w:cs="Times New Roman"/>
                <w:bCs/>
                <w:color w:val="auto"/>
                <w:sz w:val="24"/>
                <w:szCs w:val="28"/>
                <w:lang w:val="en-US" w:eastAsia="zh-CN"/>
              </w:rPr>
            </w:pPr>
            <w:r>
              <w:rPr>
                <w:rFonts w:hint="eastAsia" w:ascii="Times New Roman" w:hAnsi="Times New Roman" w:eastAsia="宋体" w:cs="Times New Roman"/>
                <w:color w:val="auto"/>
                <w:sz w:val="24"/>
                <w:szCs w:val="24"/>
                <w:lang w:val="en-US" w:eastAsia="zh-CN"/>
              </w:rPr>
              <w:t>由上表可知，非正常工况下排气筒的排放浓度远大于正常工况下，甚至会超过标准限值，对周边大气环境影响加大。为防止生产废气非正常工况排放，建设单位必须加强废气处理设施的管理，定期检修，确保废气处理设施正常运行，在废气处理设施出现故障或停止运行时，产生废气的各工序也必须相应停止生产，杜绝废气非正常排放。</w:t>
            </w:r>
          </w:p>
          <w:p w14:paraId="448FCBEA">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5.</w:t>
            </w:r>
            <w:r>
              <w:rPr>
                <w:rFonts w:hint="default" w:ascii="Times New Roman" w:hAnsi="Times New Roman" w:eastAsia="宋体" w:cs="Times New Roman"/>
                <w:b/>
                <w:bCs/>
                <w:color w:val="auto"/>
                <w:kern w:val="2"/>
                <w:sz w:val="24"/>
                <w:szCs w:val="24"/>
                <w:lang w:val="en-US" w:eastAsia="zh-CN" w:bidi="ar-SA"/>
              </w:rPr>
              <w:t>环境影响分析</w:t>
            </w:r>
          </w:p>
          <w:p w14:paraId="4D9C7FD6">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黑体" w:cs="Times New Roman"/>
                <w:bCs/>
                <w:color w:val="auto"/>
                <w:sz w:val="24"/>
                <w:szCs w:val="28"/>
                <w:lang w:val="en-US" w:eastAsia="zh-CN"/>
              </w:rPr>
            </w:pPr>
            <w:r>
              <w:rPr>
                <w:rFonts w:hint="default" w:ascii="Times New Roman" w:hAnsi="Times New Roman" w:eastAsia="宋体" w:cs="Times New Roman"/>
                <w:color w:val="auto"/>
                <w:sz w:val="24"/>
                <w:szCs w:val="24"/>
                <w:lang w:val="en-US" w:eastAsia="zh-CN"/>
              </w:rPr>
              <w:t>项目所在地区域环境空气为</w:t>
            </w:r>
            <w:r>
              <w:rPr>
                <w:rFonts w:hint="eastAsia" w:ascii="Times New Roman" w:hAnsi="Times New Roman" w:eastAsia="宋体" w:cs="Times New Roman"/>
                <w:color w:val="auto"/>
                <w:sz w:val="24"/>
                <w:szCs w:val="24"/>
                <w:lang w:val="en-US" w:eastAsia="zh-CN"/>
              </w:rPr>
              <w:t>不</w:t>
            </w:r>
            <w:r>
              <w:rPr>
                <w:rFonts w:hint="default" w:ascii="Times New Roman" w:hAnsi="Times New Roman" w:eastAsia="宋体" w:cs="Times New Roman"/>
                <w:color w:val="auto"/>
                <w:sz w:val="24"/>
                <w:szCs w:val="24"/>
                <w:lang w:val="en-US" w:eastAsia="zh-CN"/>
              </w:rPr>
              <w:t>达标区。项目废气经相关污染防治措施后可以达标排放，项目的实施不会对周边大气环境产生不利影响，不会影响区域环境质量目标的实现，周边环境空气质量可维持现状。本评价要求建设单位定期对废气处理设备进行维修保养，确保废气处理设施正常运行，如发生故障立即停产检修，经调试合格后方可投入生产。</w:t>
            </w:r>
          </w:p>
          <w:p w14:paraId="0EC07FEA">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Cs/>
                <w:color w:val="auto"/>
                <w:sz w:val="24"/>
                <w:szCs w:val="24"/>
              </w:rPr>
            </w:pPr>
            <w:r>
              <w:rPr>
                <w:rFonts w:hint="eastAsia" w:ascii="Times New Roman" w:hAnsi="Times New Roman" w:eastAsia="宋体" w:cs="Times New Roman"/>
                <w:b/>
                <w:bCs/>
                <w:color w:val="auto"/>
                <w:kern w:val="2"/>
                <w:sz w:val="24"/>
                <w:szCs w:val="24"/>
                <w:lang w:val="en-US" w:eastAsia="zh-CN" w:bidi="ar-SA"/>
              </w:rPr>
              <w:t>6.</w:t>
            </w:r>
            <w:r>
              <w:rPr>
                <w:rFonts w:hint="default" w:ascii="Times New Roman" w:hAnsi="Times New Roman" w:eastAsia="宋体" w:cs="Times New Roman"/>
                <w:b/>
                <w:bCs/>
                <w:color w:val="auto"/>
                <w:kern w:val="2"/>
                <w:sz w:val="24"/>
                <w:szCs w:val="24"/>
                <w:lang w:val="en-US" w:eastAsia="zh-CN" w:bidi="ar-SA"/>
              </w:rPr>
              <w:t>监测计划</w:t>
            </w:r>
          </w:p>
          <w:p w14:paraId="3E00EC76">
            <w:pPr>
              <w:keepNext/>
              <w:keepLines/>
              <w:widowControl/>
              <w:adjustRightInd w:val="0"/>
              <w:snapToGrid w:val="0"/>
              <w:spacing w:line="360" w:lineRule="auto"/>
              <w:ind w:firstLine="480" w:firstLineChars="200"/>
              <w:jc w:val="left"/>
              <w:outlineLvl w:val="1"/>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项目运营后的环境监测工作可委托有资质监测单位进行，并做好监测数据的报告和存档，</w:t>
            </w:r>
            <w:r>
              <w:rPr>
                <w:rFonts w:hint="default" w:ascii="Times New Roman" w:hAnsi="Times New Roman" w:eastAsia="宋体" w:cs="Times New Roman"/>
                <w:color w:val="auto"/>
                <w:sz w:val="24"/>
                <w:szCs w:val="24"/>
              </w:rPr>
              <w:t>根据《排污许可证申请与核发技术规范 总则》（HJ942-2018）和</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排污许可证申请与核发技术规范 通用设备、专用设备、仪器仪表及其他制造业</w:t>
            </w:r>
            <w:r>
              <w:rPr>
                <w:rFonts w:hint="default" w:ascii="Times New Roman" w:hAnsi="Times New Roman" w:eastAsia="宋体" w:cs="Times New Roman"/>
                <w:color w:val="auto"/>
                <w:sz w:val="24"/>
                <w:szCs w:val="24"/>
                <w:lang w:val="en-US" w:eastAsia="zh-CN"/>
              </w:rPr>
              <w:t>》DB61/T 1356-2020</w:t>
            </w:r>
            <w:r>
              <w:rPr>
                <w:rFonts w:hint="default" w:ascii="Times New Roman" w:hAnsi="Times New Roman" w:eastAsia="宋体" w:cs="Times New Roman"/>
                <w:color w:val="auto"/>
                <w:sz w:val="24"/>
                <w:szCs w:val="24"/>
              </w:rPr>
              <w:t>，本项目运营期废气监测情况如下：</w:t>
            </w:r>
          </w:p>
          <w:p w14:paraId="1C302227">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lang w:val="en-US" w:eastAsia="zh-CN"/>
              </w:rPr>
              <w:t>运营期污染源监测内容及计划</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898"/>
              <w:gridCol w:w="1440"/>
              <w:gridCol w:w="1394"/>
              <w:gridCol w:w="1238"/>
              <w:gridCol w:w="3074"/>
            </w:tblGrid>
            <w:tr w14:paraId="43E0B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0" w:type="pct"/>
                  <w:gridSpan w:val="2"/>
                  <w:noWrap w:val="0"/>
                  <w:vAlign w:val="center"/>
                </w:tcPr>
                <w:p w14:paraId="723624D4">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监测要素</w:t>
                  </w:r>
                </w:p>
              </w:tc>
              <w:tc>
                <w:tcPr>
                  <w:tcW w:w="848" w:type="pct"/>
                  <w:noWrap w:val="0"/>
                  <w:vAlign w:val="center"/>
                </w:tcPr>
                <w:p w14:paraId="13499C81">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监测点位</w:t>
                  </w:r>
                </w:p>
              </w:tc>
              <w:tc>
                <w:tcPr>
                  <w:tcW w:w="821" w:type="pct"/>
                  <w:noWrap w:val="0"/>
                  <w:vAlign w:val="center"/>
                </w:tcPr>
                <w:p w14:paraId="6A6DC720">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监测项目</w:t>
                  </w:r>
                </w:p>
              </w:tc>
              <w:tc>
                <w:tcPr>
                  <w:tcW w:w="729" w:type="pct"/>
                  <w:noWrap w:val="0"/>
                  <w:vAlign w:val="center"/>
                </w:tcPr>
                <w:p w14:paraId="54877E75">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监测频次</w:t>
                  </w:r>
                </w:p>
              </w:tc>
              <w:tc>
                <w:tcPr>
                  <w:tcW w:w="1810" w:type="pct"/>
                  <w:noWrap w:val="0"/>
                  <w:vAlign w:val="center"/>
                </w:tcPr>
                <w:p w14:paraId="62534A00">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执行标准</w:t>
                  </w:r>
                </w:p>
              </w:tc>
            </w:tr>
            <w:tr w14:paraId="7CFB0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restart"/>
                  <w:noWrap w:val="0"/>
                  <w:vAlign w:val="center"/>
                </w:tcPr>
                <w:p w14:paraId="3141462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污染源监测</w:t>
                  </w:r>
                </w:p>
              </w:tc>
              <w:tc>
                <w:tcPr>
                  <w:tcW w:w="529" w:type="pct"/>
                  <w:vMerge w:val="restart"/>
                  <w:noWrap w:val="0"/>
                  <w:vAlign w:val="center"/>
                </w:tcPr>
                <w:p w14:paraId="1F55CF3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有组织</w:t>
                  </w:r>
                </w:p>
              </w:tc>
              <w:tc>
                <w:tcPr>
                  <w:tcW w:w="848" w:type="pct"/>
                  <w:noWrap w:val="0"/>
                  <w:vAlign w:val="center"/>
                </w:tcPr>
                <w:p w14:paraId="41788A1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w:t>
                  </w:r>
                </w:p>
                <w:p w14:paraId="35F304B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（DA001）</w:t>
                  </w:r>
                </w:p>
              </w:tc>
              <w:tc>
                <w:tcPr>
                  <w:tcW w:w="821" w:type="pct"/>
                  <w:noWrap w:val="0"/>
                  <w:vAlign w:val="center"/>
                </w:tcPr>
                <w:p w14:paraId="14B59DA5">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颗粒物</w:t>
                  </w:r>
                </w:p>
              </w:tc>
              <w:tc>
                <w:tcPr>
                  <w:tcW w:w="729" w:type="pct"/>
                  <w:noWrap w:val="0"/>
                  <w:vAlign w:val="center"/>
                </w:tcPr>
                <w:p w14:paraId="2CB1A0E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noWrap w:val="0"/>
                  <w:vAlign w:val="center"/>
                </w:tcPr>
                <w:p w14:paraId="36DAD05A">
                  <w:pPr>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《大气污染物综合排放标准》（GB16297-1996）</w:t>
                  </w:r>
                  <w:r>
                    <w:rPr>
                      <w:rFonts w:hint="default" w:ascii="Times New Roman" w:hAnsi="Times New Roman" w:cs="Times New Roman"/>
                      <w:color w:val="auto"/>
                      <w:sz w:val="21"/>
                      <w:szCs w:val="21"/>
                      <w:lang w:val="en-US" w:eastAsia="zh-CN"/>
                    </w:rPr>
                    <w:t>表2</w:t>
                  </w:r>
                  <w:r>
                    <w:rPr>
                      <w:rFonts w:hint="default" w:ascii="Times New Roman" w:hAnsi="Times New Roman" w:eastAsia="宋体" w:cs="Times New Roman"/>
                      <w:color w:val="auto"/>
                      <w:sz w:val="21"/>
                      <w:szCs w:val="21"/>
                    </w:rPr>
                    <w:t>中排放限值要求</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排放速率为3.5kg/h，排放浓度为120mg/m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p>
              </w:tc>
            </w:tr>
            <w:tr w14:paraId="41C9D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02122714">
                  <w:pPr>
                    <w:adjustRightInd w:val="0"/>
                    <w:snapToGrid w:val="0"/>
                    <w:jc w:val="center"/>
                    <w:rPr>
                      <w:rFonts w:hint="default" w:ascii="Times New Roman" w:hAnsi="Times New Roman" w:eastAsia="宋体" w:cs="Times New Roman"/>
                      <w:color w:val="auto"/>
                      <w:szCs w:val="21"/>
                    </w:rPr>
                  </w:pPr>
                </w:p>
              </w:tc>
              <w:tc>
                <w:tcPr>
                  <w:tcW w:w="529" w:type="pct"/>
                  <w:vMerge w:val="continue"/>
                  <w:noWrap w:val="0"/>
                  <w:vAlign w:val="center"/>
                </w:tcPr>
                <w:p w14:paraId="569A3B1F">
                  <w:pPr>
                    <w:adjustRightInd w:val="0"/>
                    <w:snapToGrid w:val="0"/>
                    <w:jc w:val="center"/>
                    <w:rPr>
                      <w:rFonts w:hint="eastAsia" w:ascii="Times New Roman" w:hAnsi="Times New Roman" w:eastAsia="宋体" w:cs="Times New Roman"/>
                      <w:color w:val="auto"/>
                      <w:szCs w:val="21"/>
                      <w:lang w:val="en-US" w:eastAsia="zh-CN"/>
                    </w:rPr>
                  </w:pPr>
                </w:p>
              </w:tc>
              <w:tc>
                <w:tcPr>
                  <w:tcW w:w="848" w:type="pct"/>
                  <w:vMerge w:val="restart"/>
                  <w:noWrap w:val="0"/>
                  <w:vAlign w:val="center"/>
                </w:tcPr>
                <w:p w14:paraId="1C6F886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w:t>
                  </w:r>
                </w:p>
                <w:p w14:paraId="574349D8">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（DA00</w:t>
                  </w: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w:t>
                  </w:r>
                </w:p>
              </w:tc>
              <w:tc>
                <w:tcPr>
                  <w:tcW w:w="821" w:type="pct"/>
                  <w:noWrap w:val="0"/>
                  <w:vAlign w:val="center"/>
                </w:tcPr>
                <w:p w14:paraId="4FE8D7A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729" w:type="pct"/>
                  <w:noWrap w:val="0"/>
                  <w:vAlign w:val="center"/>
                </w:tcPr>
                <w:p w14:paraId="48F32B2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vMerge w:val="restart"/>
                  <w:noWrap w:val="0"/>
                  <w:vAlign w:val="center"/>
                </w:tcPr>
                <w:p w14:paraId="6499D5F8">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kern w:val="0"/>
                      <w:sz w:val="21"/>
                      <w:szCs w:val="21"/>
                    </w:rPr>
                    <w:t>《</w:t>
                  </w:r>
                  <w:r>
                    <w:rPr>
                      <w:rFonts w:hint="default" w:ascii="Times New Roman" w:hAnsi="Times New Roman" w:eastAsia="宋体" w:cs="Times New Roman"/>
                      <w:bCs/>
                      <w:color w:val="auto"/>
                      <w:kern w:val="0"/>
                      <w:sz w:val="21"/>
                      <w:szCs w:val="21"/>
                      <w:lang w:eastAsia="zh-CN"/>
                    </w:rPr>
                    <w:t>工业炉窑大气污染综合治理方案</w:t>
                  </w:r>
                  <w:r>
                    <w:rPr>
                      <w:rFonts w:hint="default" w:ascii="Times New Roman" w:hAnsi="Times New Roman" w:eastAsia="宋体" w:cs="Times New Roman"/>
                      <w:bCs/>
                      <w:color w:val="auto"/>
                      <w:kern w:val="0"/>
                      <w:sz w:val="21"/>
                      <w:szCs w:val="21"/>
                    </w:rPr>
                    <w:t>》</w:t>
                  </w:r>
                  <w:r>
                    <w:rPr>
                      <w:rFonts w:hint="eastAsia" w:ascii="Times New Roman" w:hAnsi="Times New Roman" w:eastAsia="宋体" w:cs="Times New Roman"/>
                      <w:bCs/>
                      <w:color w:val="auto"/>
                      <w:kern w:val="0"/>
                      <w:sz w:val="21"/>
                      <w:szCs w:val="21"/>
                      <w:lang w:eastAsia="zh-CN"/>
                    </w:rPr>
                    <w:t>（</w:t>
                  </w:r>
                  <w:r>
                    <w:rPr>
                      <w:rFonts w:hint="eastAsia" w:ascii="Times New Roman" w:hAnsi="Times New Roman" w:eastAsia="宋体" w:cs="Times New Roman"/>
                      <w:bCs/>
                      <w:color w:val="auto"/>
                      <w:kern w:val="0"/>
                      <w:sz w:val="21"/>
                      <w:szCs w:val="21"/>
                      <w:lang w:val="en-US" w:eastAsia="zh-CN"/>
                    </w:rPr>
                    <w:t>环大气</w:t>
                  </w:r>
                  <w:r>
                    <w:rPr>
                      <w:rFonts w:hint="eastAsia" w:cs="Times New Roman"/>
                      <w:bCs/>
                      <w:color w:val="auto"/>
                      <w:kern w:val="0"/>
                      <w:sz w:val="21"/>
                      <w:szCs w:val="21"/>
                      <w:lang w:val="en-US" w:eastAsia="zh-CN"/>
                    </w:rPr>
                    <w:t>〔2019〕56号</w:t>
                  </w:r>
                  <w:r>
                    <w:rPr>
                      <w:rFonts w:hint="eastAsia" w:ascii="Times New Roman" w:hAnsi="Times New Roman" w:eastAsia="宋体" w:cs="Times New Roman"/>
                      <w:bCs/>
                      <w:color w:val="auto"/>
                      <w:kern w:val="0"/>
                      <w:sz w:val="21"/>
                      <w:szCs w:val="21"/>
                      <w:lang w:eastAsia="zh-CN"/>
                    </w:rPr>
                    <w:t>）</w:t>
                  </w:r>
                  <w:r>
                    <w:rPr>
                      <w:rFonts w:hint="default" w:ascii="Times New Roman" w:hAnsi="Times New Roman" w:eastAsia="宋体" w:cs="Times New Roman"/>
                      <w:bCs/>
                      <w:color w:val="auto"/>
                      <w:kern w:val="0"/>
                      <w:sz w:val="21"/>
                      <w:szCs w:val="21"/>
                      <w:lang w:eastAsia="zh-CN"/>
                    </w:rPr>
                    <w:t>中</w:t>
                  </w:r>
                  <w:r>
                    <w:rPr>
                      <w:rFonts w:hint="eastAsia" w:ascii="Times New Roman" w:hAnsi="Times New Roman" w:eastAsia="宋体" w:cs="Times New Roman"/>
                      <w:bCs/>
                      <w:color w:val="auto"/>
                      <w:kern w:val="0"/>
                      <w:sz w:val="21"/>
                      <w:szCs w:val="21"/>
                      <w:lang w:val="en-US" w:eastAsia="zh-CN"/>
                    </w:rPr>
                    <w:t>相应管控要求（</w:t>
                  </w:r>
                  <w:r>
                    <w:rPr>
                      <w:rFonts w:hint="eastAsia" w:ascii="Times New Roman" w:hAnsi="Times New Roman" w:cs="Times New Roman"/>
                      <w:color w:val="auto"/>
                      <w:sz w:val="21"/>
                      <w:szCs w:val="21"/>
                      <w:lang w:val="en-US" w:eastAsia="zh-CN"/>
                    </w:rPr>
                    <w:t>颗粒物</w:t>
                  </w:r>
                  <w:r>
                    <w:rPr>
                      <w:rFonts w:hint="eastAsia" w:ascii="Times New Roman" w:hAnsi="Times New Roman" w:eastAsia="宋体" w:cs="Times New Roman"/>
                      <w:color w:val="auto"/>
                      <w:sz w:val="21"/>
                      <w:szCs w:val="21"/>
                      <w:lang w:val="en-US" w:eastAsia="zh-CN"/>
                    </w:rPr>
                    <w:t>排放浓度</w:t>
                  </w:r>
                  <w:r>
                    <w:rPr>
                      <w:rFonts w:hint="eastAsia" w:ascii="Times New Roman" w:hAnsi="Times New Roman" w:cs="Times New Roman"/>
                      <w:color w:val="auto"/>
                      <w:sz w:val="21"/>
                      <w:szCs w:val="21"/>
                      <w:lang w:val="en-US" w:eastAsia="zh-CN"/>
                    </w:rPr>
                    <w:t>为30mg/m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排放浓度为</w:t>
                  </w:r>
                  <w:r>
                    <w:rPr>
                      <w:rFonts w:hint="eastAsia" w:ascii="Times New Roman" w:hAnsi="Times New Roman" w:cs="Times New Roman"/>
                      <w:color w:val="auto"/>
                      <w:sz w:val="21"/>
                      <w:szCs w:val="21"/>
                      <w:lang w:val="en-US" w:eastAsia="zh-CN"/>
                    </w:rPr>
                    <w:t>200mg/m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，NOx</w:t>
                  </w:r>
                  <w:r>
                    <w:rPr>
                      <w:rFonts w:hint="eastAsia" w:ascii="Times New Roman" w:hAnsi="Times New Roman" w:eastAsia="宋体" w:cs="Times New Roman"/>
                      <w:color w:val="auto"/>
                      <w:sz w:val="21"/>
                      <w:szCs w:val="21"/>
                      <w:lang w:val="en-US" w:eastAsia="zh-CN"/>
                    </w:rPr>
                    <w:t>排放浓度为</w:t>
                  </w:r>
                  <w:r>
                    <w:rPr>
                      <w:rFonts w:hint="eastAsia" w:ascii="Times New Roman" w:hAnsi="Times New Roman" w:cs="Times New Roman"/>
                      <w:color w:val="auto"/>
                      <w:sz w:val="21"/>
                      <w:szCs w:val="21"/>
                      <w:lang w:val="en-US" w:eastAsia="zh-CN"/>
                    </w:rPr>
                    <w:t>300mg/m</w:t>
                  </w:r>
                  <w:r>
                    <w:rPr>
                      <w:rFonts w:hint="eastAsia" w:ascii="Times New Roman" w:hAnsi="Times New Roman" w:eastAsia="宋体" w:cs="Times New Roman"/>
                      <w:bCs/>
                      <w:color w:val="auto"/>
                      <w:kern w:val="0"/>
                      <w:sz w:val="21"/>
                      <w:szCs w:val="21"/>
                      <w:lang w:val="en-US" w:eastAsia="zh-CN"/>
                    </w:rPr>
                    <w:t>）</w:t>
                  </w:r>
                </w:p>
              </w:tc>
            </w:tr>
            <w:tr w14:paraId="797C4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46849809">
                  <w:pPr>
                    <w:adjustRightInd w:val="0"/>
                    <w:snapToGrid w:val="0"/>
                    <w:jc w:val="center"/>
                    <w:rPr>
                      <w:rFonts w:hint="default" w:ascii="Times New Roman" w:hAnsi="Times New Roman" w:eastAsia="宋体" w:cs="Times New Roman"/>
                      <w:color w:val="auto"/>
                      <w:szCs w:val="21"/>
                    </w:rPr>
                  </w:pPr>
                </w:p>
              </w:tc>
              <w:tc>
                <w:tcPr>
                  <w:tcW w:w="529" w:type="pct"/>
                  <w:vMerge w:val="continue"/>
                  <w:noWrap w:val="0"/>
                  <w:vAlign w:val="center"/>
                </w:tcPr>
                <w:p w14:paraId="3FADBD1A">
                  <w:pPr>
                    <w:adjustRightInd w:val="0"/>
                    <w:snapToGrid w:val="0"/>
                    <w:jc w:val="center"/>
                    <w:rPr>
                      <w:rFonts w:hint="eastAsia" w:ascii="Times New Roman" w:hAnsi="Times New Roman" w:eastAsia="宋体" w:cs="Times New Roman"/>
                      <w:color w:val="auto"/>
                      <w:szCs w:val="21"/>
                      <w:lang w:val="en-US" w:eastAsia="zh-CN"/>
                    </w:rPr>
                  </w:pPr>
                </w:p>
              </w:tc>
              <w:tc>
                <w:tcPr>
                  <w:tcW w:w="848" w:type="pct"/>
                  <w:vMerge w:val="continue"/>
                  <w:noWrap w:val="0"/>
                  <w:vAlign w:val="center"/>
                </w:tcPr>
                <w:p w14:paraId="29BF98EC">
                  <w:pPr>
                    <w:adjustRightInd w:val="0"/>
                    <w:snapToGrid w:val="0"/>
                    <w:jc w:val="center"/>
                    <w:rPr>
                      <w:rFonts w:hint="default" w:ascii="Times New Roman" w:hAnsi="Times New Roman" w:eastAsia="宋体" w:cs="Times New Roman"/>
                      <w:color w:val="auto"/>
                      <w:szCs w:val="21"/>
                    </w:rPr>
                  </w:pPr>
                </w:p>
              </w:tc>
              <w:tc>
                <w:tcPr>
                  <w:tcW w:w="821" w:type="pct"/>
                  <w:noWrap w:val="0"/>
                  <w:vAlign w:val="center"/>
                </w:tcPr>
                <w:p w14:paraId="38DB2836">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二氧化硫</w:t>
                  </w:r>
                </w:p>
              </w:tc>
              <w:tc>
                <w:tcPr>
                  <w:tcW w:w="729" w:type="pct"/>
                  <w:noWrap w:val="0"/>
                  <w:vAlign w:val="center"/>
                </w:tcPr>
                <w:p w14:paraId="0B47C89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vMerge w:val="continue"/>
                  <w:noWrap w:val="0"/>
                  <w:vAlign w:val="center"/>
                </w:tcPr>
                <w:p w14:paraId="6BCA5638">
                  <w:pPr>
                    <w:jc w:val="center"/>
                    <w:rPr>
                      <w:rFonts w:hint="default" w:ascii="Times New Roman" w:hAnsi="Times New Roman" w:eastAsia="宋体" w:cs="Times New Roman"/>
                      <w:color w:val="auto"/>
                      <w:szCs w:val="21"/>
                    </w:rPr>
                  </w:pPr>
                </w:p>
              </w:tc>
            </w:tr>
            <w:tr w14:paraId="7A30B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4CEE1833">
                  <w:pPr>
                    <w:adjustRightInd w:val="0"/>
                    <w:snapToGrid w:val="0"/>
                    <w:jc w:val="center"/>
                    <w:rPr>
                      <w:rFonts w:hint="default" w:ascii="Times New Roman" w:hAnsi="Times New Roman" w:eastAsia="宋体" w:cs="Times New Roman"/>
                      <w:color w:val="auto"/>
                      <w:szCs w:val="21"/>
                    </w:rPr>
                  </w:pPr>
                </w:p>
              </w:tc>
              <w:tc>
                <w:tcPr>
                  <w:tcW w:w="529" w:type="pct"/>
                  <w:vMerge w:val="continue"/>
                  <w:noWrap w:val="0"/>
                  <w:vAlign w:val="center"/>
                </w:tcPr>
                <w:p w14:paraId="2D1CE4F4">
                  <w:pPr>
                    <w:adjustRightInd w:val="0"/>
                    <w:snapToGrid w:val="0"/>
                    <w:jc w:val="center"/>
                    <w:rPr>
                      <w:rFonts w:hint="eastAsia" w:ascii="Times New Roman" w:hAnsi="Times New Roman" w:eastAsia="宋体" w:cs="Times New Roman"/>
                      <w:color w:val="auto"/>
                      <w:szCs w:val="21"/>
                      <w:lang w:val="en-US" w:eastAsia="zh-CN"/>
                    </w:rPr>
                  </w:pPr>
                </w:p>
              </w:tc>
              <w:tc>
                <w:tcPr>
                  <w:tcW w:w="848" w:type="pct"/>
                  <w:vMerge w:val="continue"/>
                  <w:noWrap w:val="0"/>
                  <w:vAlign w:val="center"/>
                </w:tcPr>
                <w:p w14:paraId="1E3908B0">
                  <w:pPr>
                    <w:adjustRightInd w:val="0"/>
                    <w:snapToGrid w:val="0"/>
                    <w:jc w:val="center"/>
                    <w:rPr>
                      <w:rFonts w:hint="default" w:ascii="Times New Roman" w:hAnsi="Times New Roman" w:eastAsia="宋体" w:cs="Times New Roman"/>
                      <w:color w:val="auto"/>
                      <w:szCs w:val="21"/>
                    </w:rPr>
                  </w:pPr>
                </w:p>
              </w:tc>
              <w:tc>
                <w:tcPr>
                  <w:tcW w:w="821" w:type="pct"/>
                  <w:noWrap w:val="0"/>
                  <w:vAlign w:val="center"/>
                </w:tcPr>
                <w:p w14:paraId="58C15992">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氮氧化物</w:t>
                  </w:r>
                </w:p>
              </w:tc>
              <w:tc>
                <w:tcPr>
                  <w:tcW w:w="729" w:type="pct"/>
                  <w:noWrap w:val="0"/>
                  <w:vAlign w:val="center"/>
                </w:tcPr>
                <w:p w14:paraId="0C8B64E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vMerge w:val="continue"/>
                  <w:noWrap w:val="0"/>
                  <w:vAlign w:val="center"/>
                </w:tcPr>
                <w:p w14:paraId="41E87F3F">
                  <w:pPr>
                    <w:jc w:val="center"/>
                    <w:rPr>
                      <w:rFonts w:hint="default" w:ascii="Times New Roman" w:hAnsi="Times New Roman" w:eastAsia="宋体" w:cs="Times New Roman"/>
                      <w:color w:val="auto"/>
                      <w:szCs w:val="21"/>
                    </w:rPr>
                  </w:pPr>
                </w:p>
              </w:tc>
            </w:tr>
            <w:tr w14:paraId="45A44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41BD84D9">
                  <w:pPr>
                    <w:adjustRightInd w:val="0"/>
                    <w:snapToGrid w:val="0"/>
                    <w:jc w:val="center"/>
                    <w:rPr>
                      <w:rFonts w:hint="default" w:ascii="Times New Roman" w:hAnsi="Times New Roman" w:eastAsia="宋体" w:cs="Times New Roman"/>
                      <w:color w:val="auto"/>
                      <w:szCs w:val="21"/>
                    </w:rPr>
                  </w:pPr>
                </w:p>
              </w:tc>
              <w:tc>
                <w:tcPr>
                  <w:tcW w:w="529" w:type="pct"/>
                  <w:vMerge w:val="continue"/>
                  <w:noWrap w:val="0"/>
                  <w:vAlign w:val="center"/>
                </w:tcPr>
                <w:p w14:paraId="4F3FC1C4">
                  <w:pPr>
                    <w:adjustRightInd w:val="0"/>
                    <w:snapToGrid w:val="0"/>
                    <w:jc w:val="center"/>
                    <w:rPr>
                      <w:rFonts w:hint="eastAsia" w:ascii="Times New Roman" w:hAnsi="Times New Roman" w:eastAsia="宋体" w:cs="Times New Roman"/>
                      <w:color w:val="auto"/>
                      <w:szCs w:val="21"/>
                      <w:lang w:val="en-US" w:eastAsia="zh-CN"/>
                    </w:rPr>
                  </w:pPr>
                </w:p>
              </w:tc>
              <w:tc>
                <w:tcPr>
                  <w:tcW w:w="848" w:type="pct"/>
                  <w:vMerge w:val="continue"/>
                  <w:noWrap w:val="0"/>
                  <w:vAlign w:val="center"/>
                </w:tcPr>
                <w:p w14:paraId="1775E728">
                  <w:pPr>
                    <w:adjustRightInd w:val="0"/>
                    <w:snapToGrid w:val="0"/>
                    <w:jc w:val="center"/>
                    <w:rPr>
                      <w:rFonts w:hint="default" w:ascii="Times New Roman" w:hAnsi="Times New Roman" w:eastAsia="宋体" w:cs="Times New Roman"/>
                      <w:color w:val="auto"/>
                      <w:szCs w:val="21"/>
                    </w:rPr>
                  </w:pPr>
                </w:p>
              </w:tc>
              <w:tc>
                <w:tcPr>
                  <w:tcW w:w="821" w:type="pct"/>
                  <w:noWrap w:val="0"/>
                  <w:vAlign w:val="center"/>
                </w:tcPr>
                <w:p w14:paraId="26B1433F">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林格曼黑度</w:t>
                  </w:r>
                </w:p>
              </w:tc>
              <w:tc>
                <w:tcPr>
                  <w:tcW w:w="729" w:type="pct"/>
                  <w:noWrap w:val="0"/>
                  <w:vAlign w:val="center"/>
                </w:tcPr>
                <w:p w14:paraId="5B6EE13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noWrap w:val="0"/>
                  <w:vAlign w:val="center"/>
                </w:tcPr>
                <w:p w14:paraId="0943D33B">
                  <w:pPr>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《工业窑炉大气污染物排放标准</w:t>
                  </w:r>
                  <w:r>
                    <w:rPr>
                      <w:rFonts w:hint="eastAsia" w:cs="Times New Roman"/>
                      <w:color w:val="auto"/>
                      <w:szCs w:val="21"/>
                      <w:lang w:eastAsia="zh-CN"/>
                    </w:rPr>
                    <w:t>》</w:t>
                  </w:r>
                  <w:r>
                    <w:rPr>
                      <w:rFonts w:hint="default" w:ascii="Times New Roman" w:hAnsi="Times New Roman" w:eastAsia="宋体" w:cs="Times New Roman"/>
                      <w:color w:val="auto"/>
                      <w:szCs w:val="21"/>
                    </w:rPr>
                    <w:t>（GB9078-1996）表2二级排放标准限值要求</w:t>
                  </w:r>
                  <w:r>
                    <w:rPr>
                      <w:rFonts w:hint="eastAsia" w:ascii="Times New Roman" w:hAnsi="Times New Roman" w:eastAsia="宋体" w:cs="Times New Roman"/>
                      <w:color w:val="auto"/>
                      <w:szCs w:val="21"/>
                      <w:lang w:eastAsia="zh-CN"/>
                    </w:rPr>
                    <w:t>（</w:t>
                  </w:r>
                  <w:r>
                    <w:rPr>
                      <w:rFonts w:hint="eastAsia" w:ascii="Times New Roman" w:hAnsi="Times New Roman" w:cs="Times New Roman"/>
                      <w:color w:val="auto"/>
                      <w:sz w:val="21"/>
                      <w:szCs w:val="21"/>
                      <w:lang w:val="en-US" w:eastAsia="zh-CN"/>
                    </w:rPr>
                    <w:t>林格曼黑度</w:t>
                  </w:r>
                  <w:r>
                    <w:rPr>
                      <w:rFonts w:hint="default" w:ascii="Times New Roman" w:hAnsi="Times New Roman" w:eastAsia="宋体" w:cs="Times New Roman"/>
                      <w:color w:val="auto"/>
                      <w:sz w:val="21"/>
                      <w:szCs w:val="21"/>
                      <w:lang w:eastAsia="zh-CN"/>
                    </w:rPr>
                    <w:t>≤1</w:t>
                  </w:r>
                  <w:r>
                    <w:rPr>
                      <w:rFonts w:hint="eastAsia" w:ascii="Times New Roman" w:hAnsi="Times New Roman" w:eastAsia="宋体" w:cs="Times New Roman"/>
                      <w:color w:val="auto"/>
                      <w:szCs w:val="21"/>
                      <w:lang w:eastAsia="zh-CN"/>
                    </w:rPr>
                    <w:t>）</w:t>
                  </w:r>
                </w:p>
              </w:tc>
            </w:tr>
            <w:tr w14:paraId="693C2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11D50454">
                  <w:pPr>
                    <w:adjustRightInd w:val="0"/>
                    <w:snapToGrid w:val="0"/>
                    <w:jc w:val="center"/>
                    <w:rPr>
                      <w:rFonts w:hint="default" w:ascii="Times New Roman" w:hAnsi="Times New Roman" w:eastAsia="宋体" w:cs="Times New Roman"/>
                      <w:color w:val="auto"/>
                      <w:szCs w:val="21"/>
                    </w:rPr>
                  </w:pPr>
                </w:p>
              </w:tc>
              <w:tc>
                <w:tcPr>
                  <w:tcW w:w="529" w:type="pct"/>
                  <w:vMerge w:val="continue"/>
                  <w:noWrap w:val="0"/>
                  <w:vAlign w:val="center"/>
                </w:tcPr>
                <w:p w14:paraId="7B824628">
                  <w:pPr>
                    <w:adjustRightInd w:val="0"/>
                    <w:snapToGrid w:val="0"/>
                    <w:jc w:val="center"/>
                    <w:rPr>
                      <w:rFonts w:hint="eastAsia" w:ascii="Times New Roman" w:hAnsi="Times New Roman" w:eastAsia="宋体" w:cs="Times New Roman"/>
                      <w:color w:val="auto"/>
                      <w:szCs w:val="21"/>
                      <w:lang w:val="en-US" w:eastAsia="zh-CN"/>
                    </w:rPr>
                  </w:pPr>
                </w:p>
              </w:tc>
              <w:tc>
                <w:tcPr>
                  <w:tcW w:w="848" w:type="pct"/>
                  <w:vMerge w:val="continue"/>
                  <w:noWrap w:val="0"/>
                  <w:vAlign w:val="center"/>
                </w:tcPr>
                <w:p w14:paraId="527551FC">
                  <w:pPr>
                    <w:adjustRightInd w:val="0"/>
                    <w:snapToGrid w:val="0"/>
                    <w:jc w:val="center"/>
                    <w:rPr>
                      <w:rFonts w:hint="default" w:ascii="Times New Roman" w:hAnsi="Times New Roman" w:eastAsia="宋体" w:cs="Times New Roman"/>
                      <w:color w:val="auto"/>
                      <w:szCs w:val="21"/>
                    </w:rPr>
                  </w:pPr>
                </w:p>
              </w:tc>
              <w:tc>
                <w:tcPr>
                  <w:tcW w:w="821" w:type="pct"/>
                  <w:noWrap w:val="0"/>
                  <w:vAlign w:val="center"/>
                </w:tcPr>
                <w:p w14:paraId="4BEC23CE">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p>
              </w:tc>
              <w:tc>
                <w:tcPr>
                  <w:tcW w:w="729" w:type="pct"/>
                  <w:noWrap w:val="0"/>
                  <w:vAlign w:val="center"/>
                </w:tcPr>
                <w:p w14:paraId="44132B1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noWrap w:val="0"/>
                  <w:vAlign w:val="center"/>
                </w:tcPr>
                <w:p w14:paraId="0D82AB3D">
                  <w:pPr>
                    <w:adjustRightInd w:val="0"/>
                    <w:snapToGrid w:val="0"/>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b w:val="0"/>
                      <w:bCs/>
                      <w:color w:val="auto"/>
                      <w:sz w:val="21"/>
                      <w:szCs w:val="21"/>
                      <w:lang w:val="en-US" w:eastAsia="zh-CN"/>
                    </w:rPr>
                    <w:t>《挥发性有机物排放控制标准》（DB61/T1061-2017）</w:t>
                  </w:r>
                  <w:r>
                    <w:rPr>
                      <w:rFonts w:hint="eastAsia" w:cs="Times New Roman"/>
                      <w:b w:val="0"/>
                      <w:bCs/>
                      <w:color w:val="auto"/>
                      <w:sz w:val="21"/>
                      <w:szCs w:val="21"/>
                      <w:lang w:val="en-US" w:eastAsia="zh-CN"/>
                    </w:rPr>
                    <w:t>（排放浓度为50</w:t>
                  </w: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r>
                    <w:rPr>
                      <w:rFonts w:hint="eastAsia" w:cs="Times New Roman"/>
                      <w:b w:val="0"/>
                      <w:bCs/>
                      <w:color w:val="auto"/>
                      <w:sz w:val="21"/>
                      <w:szCs w:val="21"/>
                      <w:lang w:val="en-US" w:eastAsia="zh-CN"/>
                    </w:rPr>
                    <w:t>）</w:t>
                  </w:r>
                  <w:r>
                    <w:rPr>
                      <w:rFonts w:hint="default" w:ascii="Times New Roman" w:hAnsi="Times New Roman" w:cs="Times New Roman"/>
                      <w:b w:val="0"/>
                      <w:bCs/>
                      <w:color w:val="auto"/>
                      <w:sz w:val="21"/>
                      <w:szCs w:val="21"/>
                      <w:lang w:val="en-US" w:eastAsia="zh-CN"/>
                    </w:rPr>
                    <w:t>，同时需满足《重污染天气重点行业应急减排措施制定技术指南》（环办大气函</w:t>
                  </w:r>
                  <w:r>
                    <w:rPr>
                      <w:rFonts w:hint="eastAsia" w:cs="Times New Roman"/>
                      <w:b w:val="0"/>
                      <w:bCs/>
                      <w:color w:val="auto"/>
                      <w:sz w:val="21"/>
                      <w:szCs w:val="21"/>
                      <w:lang w:val="en-US" w:eastAsia="zh-CN"/>
                    </w:rPr>
                    <w:t>〔2020〕</w:t>
                  </w:r>
                  <w:r>
                    <w:rPr>
                      <w:rFonts w:hint="default" w:ascii="Times New Roman" w:hAnsi="Times New Roman" w:cs="Times New Roman"/>
                      <w:b w:val="0"/>
                      <w:bCs/>
                      <w:color w:val="auto"/>
                      <w:sz w:val="21"/>
                      <w:szCs w:val="21"/>
                      <w:lang w:val="en-US" w:eastAsia="zh-CN"/>
                    </w:rPr>
                    <w:t>340号）中工业涂装A级企业“排放限值”要求</w:t>
                  </w:r>
                  <w:r>
                    <w:rPr>
                      <w:rFonts w:hint="eastAsia" w:cs="Times New Roman"/>
                      <w:b w:val="0"/>
                      <w:bCs/>
                      <w:color w:val="auto"/>
                      <w:sz w:val="21"/>
                      <w:szCs w:val="21"/>
                      <w:lang w:val="en-US" w:eastAsia="zh-CN"/>
                    </w:rPr>
                    <w:t>（</w:t>
                  </w:r>
                  <w:r>
                    <w:rPr>
                      <w:rFonts w:hint="default" w:ascii="Times New Roman" w:hAnsi="Times New Roman" w:cs="Times New Roman"/>
                      <w:b w:val="0"/>
                      <w:bCs/>
                      <w:color w:val="auto"/>
                      <w:sz w:val="21"/>
                      <w:szCs w:val="21"/>
                      <w:lang w:val="en-US" w:eastAsia="zh-CN"/>
                    </w:rPr>
                    <w:t>20mg/m</w:t>
                  </w:r>
                  <w:r>
                    <w:rPr>
                      <w:rFonts w:hint="default" w:ascii="Times New Roman" w:hAnsi="Times New Roman" w:cs="Times New Roman"/>
                      <w:b w:val="0"/>
                      <w:bCs/>
                      <w:color w:val="auto"/>
                      <w:sz w:val="21"/>
                      <w:szCs w:val="21"/>
                      <w:vertAlign w:val="superscript"/>
                      <w:lang w:val="en-US" w:eastAsia="zh-CN"/>
                    </w:rPr>
                    <w:t>3</w:t>
                  </w:r>
                  <w:r>
                    <w:rPr>
                      <w:rFonts w:hint="default" w:ascii="Times New Roman" w:hAnsi="Times New Roman" w:cs="Times New Roman"/>
                      <w:b w:val="0"/>
                      <w:bCs/>
                      <w:color w:val="auto"/>
                      <w:sz w:val="21"/>
                      <w:szCs w:val="21"/>
                      <w:lang w:val="en-US" w:eastAsia="zh-CN"/>
                    </w:rPr>
                    <w:t>—30mg/m</w:t>
                  </w:r>
                  <w:r>
                    <w:rPr>
                      <w:rFonts w:hint="default" w:ascii="Times New Roman" w:hAnsi="Times New Roman" w:cs="Times New Roman"/>
                      <w:b w:val="0"/>
                      <w:bCs/>
                      <w:color w:val="auto"/>
                      <w:sz w:val="21"/>
                      <w:szCs w:val="21"/>
                      <w:vertAlign w:val="superscript"/>
                      <w:lang w:val="en-US" w:eastAsia="zh-CN"/>
                    </w:rPr>
                    <w:t>3</w:t>
                  </w:r>
                  <w:r>
                    <w:rPr>
                      <w:rFonts w:hint="eastAsia" w:cs="Times New Roman"/>
                      <w:b w:val="0"/>
                      <w:bCs/>
                      <w:color w:val="auto"/>
                      <w:sz w:val="21"/>
                      <w:szCs w:val="21"/>
                      <w:lang w:val="en-US" w:eastAsia="zh-CN"/>
                    </w:rPr>
                    <w:t>）</w:t>
                  </w:r>
                </w:p>
              </w:tc>
            </w:tr>
            <w:tr w14:paraId="1569E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6DEAA77E">
                  <w:pPr>
                    <w:adjustRightInd w:val="0"/>
                    <w:snapToGrid w:val="0"/>
                    <w:jc w:val="center"/>
                    <w:rPr>
                      <w:rFonts w:hint="default" w:ascii="Times New Roman" w:hAnsi="Times New Roman" w:eastAsia="宋体" w:cs="Times New Roman"/>
                      <w:color w:val="auto"/>
                      <w:szCs w:val="21"/>
                    </w:rPr>
                  </w:pPr>
                </w:p>
              </w:tc>
              <w:tc>
                <w:tcPr>
                  <w:tcW w:w="529" w:type="pct"/>
                  <w:vMerge w:val="restart"/>
                  <w:noWrap w:val="0"/>
                  <w:vAlign w:val="center"/>
                </w:tcPr>
                <w:p w14:paraId="474E23F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无组织</w:t>
                  </w:r>
                </w:p>
              </w:tc>
              <w:tc>
                <w:tcPr>
                  <w:tcW w:w="848" w:type="pct"/>
                  <w:noWrap w:val="0"/>
                  <w:vAlign w:val="center"/>
                </w:tcPr>
                <w:p w14:paraId="39A99DF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厂区内，厂房外设置监控点</w:t>
                  </w:r>
                </w:p>
              </w:tc>
              <w:tc>
                <w:tcPr>
                  <w:tcW w:w="821" w:type="pct"/>
                  <w:noWrap w:val="0"/>
                  <w:vAlign w:val="center"/>
                </w:tcPr>
                <w:p w14:paraId="1D7D914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p>
              </w:tc>
              <w:tc>
                <w:tcPr>
                  <w:tcW w:w="729" w:type="pct"/>
                  <w:noWrap w:val="0"/>
                  <w:vAlign w:val="center"/>
                </w:tcPr>
                <w:p w14:paraId="7349200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noWrap w:val="0"/>
                  <w:vAlign w:val="center"/>
                </w:tcPr>
                <w:p w14:paraId="2D6404DA">
                  <w:pPr>
                    <w:adjustRightInd w:val="0"/>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《挥发性有机物无组织排放控制标准》（GB37822-2019），同时需满足《重污染天气重点行业应急减排措施制定技术指南》（环办大气函</w:t>
                  </w:r>
                  <w:r>
                    <w:rPr>
                      <w:rFonts w:hint="eastAsia" w:cs="Times New Roman"/>
                      <w:color w:val="auto"/>
                      <w:szCs w:val="21"/>
                      <w:lang w:val="en-US" w:eastAsia="zh-CN"/>
                    </w:rPr>
                    <w:t>〔2020〕</w:t>
                  </w:r>
                  <w:r>
                    <w:rPr>
                      <w:rFonts w:hint="default" w:ascii="Times New Roman" w:hAnsi="Times New Roman" w:eastAsia="宋体" w:cs="Times New Roman"/>
                      <w:color w:val="auto"/>
                      <w:szCs w:val="21"/>
                      <w:lang w:val="en-US" w:eastAsia="zh-CN"/>
                    </w:rPr>
                    <w:t>340号）中工业涂装A级企业“排放限值”要求（排放浓度为6mg/</w:t>
                  </w:r>
                  <w:r>
                    <w:rPr>
                      <w:rFonts w:hint="eastAsia" w:ascii="Times New Roman" w:hAnsi="Times New Roman" w:eastAsia="宋体" w:cs="Times New Roman"/>
                      <w:color w:val="auto"/>
                      <w:szCs w:val="21"/>
                      <w:lang w:val="en-US" w:eastAsia="zh-CN"/>
                    </w:rPr>
                    <w:t>m³</w:t>
                  </w:r>
                  <w:r>
                    <w:rPr>
                      <w:rFonts w:hint="default" w:ascii="Times New Roman" w:hAnsi="Times New Roman" w:eastAsia="宋体" w:cs="Times New Roman"/>
                      <w:color w:val="auto"/>
                      <w:szCs w:val="21"/>
                      <w:lang w:val="en-US" w:eastAsia="zh-CN"/>
                    </w:rPr>
                    <w:t>、任意一次浓度值不超过20mg/</w:t>
                  </w:r>
                  <w:r>
                    <w:rPr>
                      <w:rFonts w:hint="eastAsia" w:ascii="Times New Roman" w:hAnsi="Times New Roman" w:eastAsia="宋体" w:cs="Times New Roman"/>
                      <w:color w:val="auto"/>
                      <w:szCs w:val="21"/>
                      <w:lang w:val="en-US" w:eastAsia="zh-CN"/>
                    </w:rPr>
                    <w:t>m³</w:t>
                  </w:r>
                  <w:r>
                    <w:rPr>
                      <w:rFonts w:hint="default" w:ascii="Times New Roman" w:hAnsi="Times New Roman" w:eastAsia="宋体" w:cs="Times New Roman"/>
                      <w:color w:val="auto"/>
                      <w:szCs w:val="21"/>
                      <w:lang w:val="en-US" w:eastAsia="zh-CN"/>
                    </w:rPr>
                    <w:t>。）</w:t>
                  </w:r>
                </w:p>
              </w:tc>
            </w:tr>
            <w:tr w14:paraId="2A8EA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65BFFDA0">
                  <w:pPr>
                    <w:adjustRightInd w:val="0"/>
                    <w:snapToGrid w:val="0"/>
                    <w:jc w:val="center"/>
                    <w:rPr>
                      <w:rFonts w:hint="default" w:ascii="Times New Roman" w:hAnsi="Times New Roman" w:eastAsia="宋体" w:cs="Times New Roman"/>
                      <w:color w:val="auto"/>
                      <w:szCs w:val="21"/>
                    </w:rPr>
                  </w:pPr>
                </w:p>
              </w:tc>
              <w:tc>
                <w:tcPr>
                  <w:tcW w:w="529" w:type="pct"/>
                  <w:vMerge w:val="continue"/>
                  <w:noWrap w:val="0"/>
                  <w:vAlign w:val="center"/>
                </w:tcPr>
                <w:p w14:paraId="73AA306A">
                  <w:pPr>
                    <w:adjustRightInd w:val="0"/>
                    <w:snapToGrid w:val="0"/>
                    <w:jc w:val="center"/>
                    <w:rPr>
                      <w:rFonts w:hint="default" w:ascii="Times New Roman" w:hAnsi="Times New Roman" w:eastAsia="宋体" w:cs="Times New Roman"/>
                      <w:color w:val="auto"/>
                      <w:szCs w:val="21"/>
                      <w:lang w:val="en-US" w:eastAsia="zh-CN"/>
                    </w:rPr>
                  </w:pPr>
                </w:p>
              </w:tc>
              <w:tc>
                <w:tcPr>
                  <w:tcW w:w="848" w:type="pct"/>
                  <w:vMerge w:val="restart"/>
                  <w:noWrap w:val="0"/>
                  <w:vAlign w:val="center"/>
                </w:tcPr>
                <w:p w14:paraId="439AC62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厂界，上风向1个点，下风向3个点</w:t>
                  </w:r>
                </w:p>
              </w:tc>
              <w:tc>
                <w:tcPr>
                  <w:tcW w:w="821" w:type="pct"/>
                  <w:noWrap w:val="0"/>
                  <w:vAlign w:val="center"/>
                </w:tcPr>
                <w:p w14:paraId="18C753E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729" w:type="pct"/>
                  <w:noWrap w:val="0"/>
                  <w:vAlign w:val="center"/>
                </w:tcPr>
                <w:p w14:paraId="240EF72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noWrap w:val="0"/>
                  <w:vAlign w:val="center"/>
                </w:tcPr>
                <w:p w14:paraId="79DF79C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大气污染物综合排放</w:t>
                  </w:r>
                  <w:r>
                    <w:rPr>
                      <w:rFonts w:hint="default" w:ascii="Times New Roman" w:hAnsi="Times New Roman" w:eastAsia="宋体" w:cs="Times New Roman"/>
                      <w:color w:val="auto"/>
                      <w:sz w:val="21"/>
                      <w:szCs w:val="21"/>
                    </w:rPr>
                    <w:t>标准》（GB</w:t>
                  </w:r>
                  <w:r>
                    <w:rPr>
                      <w:rFonts w:hint="default" w:ascii="Times New Roman" w:hAnsi="Times New Roman" w:cs="Times New Roman"/>
                      <w:color w:val="auto"/>
                      <w:sz w:val="21"/>
                      <w:szCs w:val="21"/>
                      <w:lang w:val="en-US" w:eastAsia="zh-CN"/>
                    </w:rPr>
                    <w:t>16297-1996</w:t>
                  </w:r>
                  <w:r>
                    <w:rPr>
                      <w:rFonts w:hint="default" w:ascii="Times New Roman" w:hAnsi="Times New Roman" w:eastAsia="宋体" w:cs="Times New Roman"/>
                      <w:color w:val="auto"/>
                      <w:sz w:val="21"/>
                      <w:szCs w:val="21"/>
                    </w:rPr>
                    <w:t>）</w:t>
                  </w:r>
                  <w:r>
                    <w:rPr>
                      <w:rFonts w:hint="eastAsia" w:cs="Times New Roman"/>
                      <w:b w:val="0"/>
                      <w:bCs/>
                      <w:color w:val="auto"/>
                      <w:sz w:val="21"/>
                      <w:szCs w:val="21"/>
                      <w:lang w:val="en-US" w:eastAsia="zh-CN"/>
                    </w:rPr>
                    <w:t>（</w:t>
                  </w:r>
                  <w:r>
                    <w:rPr>
                      <w:rFonts w:hint="eastAsia" w:ascii="Times New Roman" w:hAnsi="Times New Roman" w:eastAsia="宋体" w:cs="Times New Roman"/>
                      <w:color w:val="auto"/>
                      <w:sz w:val="21"/>
                      <w:szCs w:val="21"/>
                      <w:lang w:val="en-US" w:eastAsia="zh-CN"/>
                    </w:rPr>
                    <w:t>排放浓度</w:t>
                  </w:r>
                  <w:r>
                    <w:rPr>
                      <w:rFonts w:hint="eastAsia" w:cs="Times New Roman"/>
                      <w:b w:val="0"/>
                      <w:bCs/>
                      <w:color w:val="auto"/>
                      <w:sz w:val="21"/>
                      <w:szCs w:val="21"/>
                      <w:lang w:val="en-US" w:eastAsia="zh-CN"/>
                    </w:rPr>
                    <w:t>1.0mg/m</w:t>
                  </w:r>
                  <w:r>
                    <w:rPr>
                      <w:rFonts w:hint="eastAsia" w:cs="Times New Roman"/>
                      <w:b w:val="0"/>
                      <w:bCs/>
                      <w:color w:val="auto"/>
                      <w:sz w:val="21"/>
                      <w:szCs w:val="21"/>
                      <w:vertAlign w:val="superscript"/>
                      <w:lang w:val="en-US" w:eastAsia="zh-CN"/>
                    </w:rPr>
                    <w:t>3</w:t>
                  </w:r>
                  <w:r>
                    <w:rPr>
                      <w:rFonts w:hint="eastAsia" w:cs="Times New Roman"/>
                      <w:b w:val="0"/>
                      <w:bCs/>
                      <w:color w:val="auto"/>
                      <w:sz w:val="21"/>
                      <w:szCs w:val="21"/>
                      <w:lang w:val="en-US" w:eastAsia="zh-CN"/>
                    </w:rPr>
                    <w:t>）</w:t>
                  </w:r>
                </w:p>
              </w:tc>
            </w:tr>
            <w:tr w14:paraId="68B80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3002E987">
                  <w:pPr>
                    <w:adjustRightInd w:val="0"/>
                    <w:snapToGrid w:val="0"/>
                    <w:jc w:val="center"/>
                    <w:rPr>
                      <w:rFonts w:hint="default" w:ascii="Times New Roman" w:hAnsi="Times New Roman" w:eastAsia="宋体" w:cs="Times New Roman"/>
                      <w:color w:val="auto"/>
                      <w:szCs w:val="21"/>
                    </w:rPr>
                  </w:pPr>
                </w:p>
              </w:tc>
              <w:tc>
                <w:tcPr>
                  <w:tcW w:w="529" w:type="pct"/>
                  <w:vMerge w:val="continue"/>
                  <w:noWrap w:val="0"/>
                  <w:vAlign w:val="center"/>
                </w:tcPr>
                <w:p w14:paraId="5703951F">
                  <w:pPr>
                    <w:adjustRightInd w:val="0"/>
                    <w:snapToGrid w:val="0"/>
                    <w:jc w:val="center"/>
                    <w:rPr>
                      <w:rFonts w:hint="eastAsia" w:ascii="Times New Roman" w:hAnsi="Times New Roman" w:eastAsia="宋体" w:cs="Times New Roman"/>
                      <w:color w:val="auto"/>
                      <w:szCs w:val="21"/>
                      <w:lang w:val="en-US" w:eastAsia="zh-CN"/>
                    </w:rPr>
                  </w:pPr>
                </w:p>
              </w:tc>
              <w:tc>
                <w:tcPr>
                  <w:tcW w:w="848" w:type="pct"/>
                  <w:vMerge w:val="continue"/>
                  <w:noWrap w:val="0"/>
                  <w:vAlign w:val="center"/>
                </w:tcPr>
                <w:p w14:paraId="1BAABA95">
                  <w:pPr>
                    <w:adjustRightInd w:val="0"/>
                    <w:snapToGrid w:val="0"/>
                    <w:jc w:val="center"/>
                    <w:rPr>
                      <w:rFonts w:hint="default" w:ascii="Times New Roman" w:hAnsi="Times New Roman" w:eastAsia="宋体" w:cs="Times New Roman"/>
                      <w:color w:val="auto"/>
                      <w:szCs w:val="21"/>
                      <w:lang w:val="en-US" w:eastAsia="zh-CN"/>
                    </w:rPr>
                  </w:pPr>
                </w:p>
              </w:tc>
              <w:tc>
                <w:tcPr>
                  <w:tcW w:w="821" w:type="pct"/>
                  <w:noWrap w:val="0"/>
                  <w:vAlign w:val="center"/>
                </w:tcPr>
                <w:p w14:paraId="3C06BA47">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p>
              </w:tc>
              <w:tc>
                <w:tcPr>
                  <w:tcW w:w="729" w:type="pct"/>
                  <w:noWrap w:val="0"/>
                  <w:vAlign w:val="center"/>
                </w:tcPr>
                <w:p w14:paraId="646EE7F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noWrap w:val="0"/>
                  <w:vAlign w:val="center"/>
                </w:tcPr>
                <w:p w14:paraId="1F751BC6">
                  <w:pPr>
                    <w:jc w:val="center"/>
                    <w:rPr>
                      <w:rFonts w:hint="default" w:ascii="Times New Roman" w:hAnsi="Times New Roman" w:eastAsia="宋体" w:cs="Times New Roman"/>
                      <w:color w:val="auto"/>
                      <w:szCs w:val="21"/>
                    </w:rPr>
                  </w:pPr>
                  <w:r>
                    <w:rPr>
                      <w:rFonts w:hint="default" w:ascii="Times New Roman" w:hAnsi="Times New Roman" w:cs="Times New Roman"/>
                      <w:b w:val="0"/>
                      <w:bCs/>
                      <w:color w:val="auto"/>
                      <w:sz w:val="21"/>
                      <w:szCs w:val="21"/>
                      <w:lang w:val="en-US" w:eastAsia="zh-CN"/>
                    </w:rPr>
                    <w:t>《挥发性有机物排放控制标准》（DB61/T1061-2017）</w:t>
                  </w:r>
                  <w:r>
                    <w:rPr>
                      <w:rFonts w:hint="eastAsia" w:cs="Times New Roman"/>
                      <w:b w:val="0"/>
                      <w:bCs/>
                      <w:color w:val="auto"/>
                      <w:sz w:val="21"/>
                      <w:szCs w:val="21"/>
                      <w:lang w:val="en-US" w:eastAsia="zh-CN"/>
                    </w:rPr>
                    <w:t>（</w:t>
                  </w:r>
                  <w:r>
                    <w:rPr>
                      <w:rFonts w:hint="eastAsia" w:ascii="Times New Roman" w:hAnsi="Times New Roman" w:eastAsia="宋体" w:cs="Times New Roman"/>
                      <w:color w:val="auto"/>
                      <w:sz w:val="21"/>
                      <w:szCs w:val="21"/>
                      <w:lang w:val="en-US" w:eastAsia="zh-CN"/>
                    </w:rPr>
                    <w:t>排放浓度为</w:t>
                  </w:r>
                  <w:r>
                    <w:rPr>
                      <w:rFonts w:hint="eastAsia" w:cs="Times New Roman"/>
                      <w:b w:val="0"/>
                      <w:bCs/>
                      <w:color w:val="auto"/>
                      <w:sz w:val="21"/>
                      <w:szCs w:val="21"/>
                      <w:lang w:val="en-US" w:eastAsia="zh-CN"/>
                    </w:rPr>
                    <w:t>3mg/m</w:t>
                  </w:r>
                  <w:r>
                    <w:rPr>
                      <w:rFonts w:hint="eastAsia" w:cs="Times New Roman"/>
                      <w:b w:val="0"/>
                      <w:bCs/>
                      <w:color w:val="auto"/>
                      <w:sz w:val="21"/>
                      <w:szCs w:val="21"/>
                      <w:vertAlign w:val="superscript"/>
                      <w:lang w:val="en-US" w:eastAsia="zh-CN"/>
                    </w:rPr>
                    <w:t>3</w:t>
                  </w:r>
                  <w:r>
                    <w:rPr>
                      <w:rFonts w:hint="eastAsia" w:cs="Times New Roman"/>
                      <w:b w:val="0"/>
                      <w:bCs/>
                      <w:color w:val="auto"/>
                      <w:sz w:val="21"/>
                      <w:szCs w:val="21"/>
                      <w:lang w:val="en-US" w:eastAsia="zh-CN"/>
                    </w:rPr>
                    <w:t>）</w:t>
                  </w:r>
                </w:p>
              </w:tc>
            </w:tr>
          </w:tbl>
          <w:p w14:paraId="664BCF75">
            <w:pPr>
              <w:keepNext/>
              <w:keepLines/>
              <w:pageBreakBefore w:val="0"/>
              <w:widowControl/>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Cs/>
                <w:color w:val="auto"/>
                <w:sz w:val="24"/>
                <w:szCs w:val="28"/>
              </w:rPr>
            </w:pPr>
            <w:r>
              <w:rPr>
                <w:rFonts w:hint="default" w:ascii="Times New Roman" w:hAnsi="Times New Roman" w:eastAsia="宋体" w:cs="Times New Roman"/>
                <w:b/>
                <w:bCs/>
                <w:color w:val="auto"/>
                <w:kern w:val="2"/>
                <w:sz w:val="28"/>
                <w:szCs w:val="28"/>
                <w:lang w:val="en-US" w:eastAsia="zh-CN" w:bidi="ar-SA"/>
              </w:rPr>
              <w:t>二、运营期废水环境影响和保护措施</w:t>
            </w:r>
          </w:p>
          <w:p w14:paraId="44B08991">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地表水污染工序及源强分析</w:t>
            </w:r>
          </w:p>
          <w:p w14:paraId="7D128EB8">
            <w:pPr>
              <w:pStyle w:val="16"/>
              <w:pageBreakBefore w:val="0"/>
              <w:kinsoku/>
              <w:wordWrap/>
              <w:overflowPunct/>
              <w:topLinePunct w:val="0"/>
              <w:autoSpaceDE/>
              <w:autoSpaceDN/>
              <w:bidi w:val="0"/>
              <w:adjustRightInd/>
              <w:snapToGrid/>
              <w:spacing w:before="0" w:beforeAutospacing="0" w:after="0" w:afterAutospacing="0"/>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本项目工件清洗过程脱脂废液、硅烷废液单独密闭桶装，存放于危废贮存库，委托资质单位清运处置，不进入综合污水处理系统。综合废水由工件三级清水漂洗废水及车间地面清洗废水组成，综合废水量为1.99m³/d，年生产300天，产生综合废水597m³。废水采用预处理+破乳+絮凝沉淀+AO生化+多级过滤+超滤深度处理工艺，处理后水95%回用于工件清洗工序，5%超滤浓水按危废处置（产生量为0.1m³/d，30m³/a）。</w:t>
            </w:r>
          </w:p>
          <w:p w14:paraId="664FCE67">
            <w:pPr>
              <w:pStyle w:val="16"/>
              <w:pageBreakBefore w:val="0"/>
              <w:kinsoku/>
              <w:wordWrap/>
              <w:overflowPunct/>
              <w:topLinePunct w:val="0"/>
              <w:autoSpaceDE/>
              <w:autoSpaceDN/>
              <w:bidi w:val="0"/>
              <w:adjustRightInd/>
              <w:snapToGrid/>
              <w:spacing w:before="0" w:beforeAutospacing="0" w:after="0" w:afterAutospacing="0"/>
              <w:ind w:left="0" w:leftChars="0" w:firstLine="480" w:firstLineChars="200"/>
              <w:textAlignment w:val="auto"/>
              <w:rPr>
                <w:rFonts w:hint="default"/>
                <w:color w:val="auto"/>
                <w:sz w:val="24"/>
                <w:szCs w:val="24"/>
                <w:lang w:val="en-US" w:eastAsia="zh-CN"/>
              </w:rPr>
            </w:pPr>
            <w:r>
              <w:rPr>
                <w:rFonts w:hint="eastAsia"/>
                <w:color w:val="auto"/>
                <w:sz w:val="24"/>
                <w:szCs w:val="24"/>
                <w:lang w:val="en-US" w:eastAsia="zh-CN"/>
              </w:rPr>
              <w:t>本项目工件清洗废水污染物产生浓度参照《排放源统计调查产排污核算方法和系数手册（2021）》3460金属表面处理行业漂洗废水产污浓度区间，并结合同区域同类已批复环评实测水质确定：SS：950mg/L、COD：120mg/L、石油类：6mg/L、全盐量：380mg/L。</w:t>
            </w:r>
          </w:p>
          <w:p w14:paraId="46CAC560">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表4-3  废水污染物产生情况一览表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1281"/>
              <w:gridCol w:w="979"/>
              <w:gridCol w:w="1241"/>
              <w:gridCol w:w="1344"/>
              <w:gridCol w:w="1056"/>
              <w:gridCol w:w="1056"/>
              <w:gridCol w:w="1057"/>
            </w:tblGrid>
            <w:tr w14:paraId="60EE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290" w:type="pct"/>
                  <w:vAlign w:val="center"/>
                </w:tcPr>
                <w:p w14:paraId="54055A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类别</w:t>
                  </w:r>
                </w:p>
              </w:tc>
              <w:tc>
                <w:tcPr>
                  <w:tcW w:w="752" w:type="pct"/>
                  <w:vAlign w:val="center"/>
                </w:tcPr>
                <w:p w14:paraId="1A7DA8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产污环节</w:t>
                  </w:r>
                </w:p>
              </w:tc>
              <w:tc>
                <w:tcPr>
                  <w:tcW w:w="575" w:type="pct"/>
                  <w:vAlign w:val="center"/>
                </w:tcPr>
                <w:p w14:paraId="76B09F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污染物种类</w:t>
                  </w:r>
                </w:p>
              </w:tc>
              <w:tc>
                <w:tcPr>
                  <w:tcW w:w="729" w:type="pct"/>
                  <w:vAlign w:val="center"/>
                </w:tcPr>
                <w:p w14:paraId="604348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废水产生量（t/a）</w:t>
                  </w:r>
                </w:p>
              </w:tc>
              <w:tc>
                <w:tcPr>
                  <w:tcW w:w="789" w:type="pct"/>
                  <w:vAlign w:val="center"/>
                </w:tcPr>
                <w:p w14:paraId="724176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产生浓度（mg/L）</w:t>
                  </w:r>
                </w:p>
              </w:tc>
              <w:tc>
                <w:tcPr>
                  <w:tcW w:w="620" w:type="pct"/>
                  <w:vAlign w:val="center"/>
                </w:tcPr>
                <w:p w14:paraId="636F8C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产生量（t/a）</w:t>
                  </w:r>
                </w:p>
              </w:tc>
              <w:tc>
                <w:tcPr>
                  <w:tcW w:w="620" w:type="pct"/>
                  <w:vAlign w:val="center"/>
                </w:tcPr>
                <w:p w14:paraId="6A11E0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处理效率</w:t>
                  </w:r>
                </w:p>
              </w:tc>
              <w:tc>
                <w:tcPr>
                  <w:tcW w:w="621" w:type="pct"/>
                  <w:vAlign w:val="center"/>
                </w:tcPr>
                <w:p w14:paraId="3BF7CE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处理后浓度</w:t>
                  </w:r>
                </w:p>
              </w:tc>
            </w:tr>
            <w:tr w14:paraId="37A0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90" w:type="pct"/>
                  <w:vMerge w:val="restart"/>
                  <w:vAlign w:val="center"/>
                </w:tcPr>
                <w:p w14:paraId="03230498">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0"/>
                      <w:sz w:val="21"/>
                      <w:szCs w:val="21"/>
                      <w:lang w:val="en-US" w:eastAsia="zh-CN" w:bidi="ar"/>
                    </w:rPr>
                    <w:t>生产废水</w:t>
                  </w:r>
                </w:p>
              </w:tc>
              <w:tc>
                <w:tcPr>
                  <w:tcW w:w="752" w:type="pct"/>
                  <w:vMerge w:val="restart"/>
                  <w:vAlign w:val="center"/>
                </w:tcPr>
                <w:p w14:paraId="51927553">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工件清洗废水</w:t>
                  </w:r>
                  <w:r>
                    <w:rPr>
                      <w:rFonts w:hint="eastAsia" w:cs="Times New Roman"/>
                      <w:b w:val="0"/>
                      <w:bCs w:val="0"/>
                      <w:color w:val="auto"/>
                      <w:kern w:val="0"/>
                      <w:sz w:val="21"/>
                      <w:szCs w:val="21"/>
                      <w:lang w:val="en-US" w:eastAsia="zh-CN" w:bidi="ar"/>
                    </w:rPr>
                    <w:t>/地面清洗废水</w:t>
                  </w:r>
                </w:p>
              </w:tc>
              <w:tc>
                <w:tcPr>
                  <w:tcW w:w="575" w:type="pct"/>
                  <w:vAlign w:val="center"/>
                </w:tcPr>
                <w:p w14:paraId="4E8C2BF7">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SS</w:t>
                  </w:r>
                </w:p>
              </w:tc>
              <w:tc>
                <w:tcPr>
                  <w:tcW w:w="729" w:type="pct"/>
                  <w:vMerge w:val="restart"/>
                  <w:vAlign w:val="center"/>
                </w:tcPr>
                <w:p w14:paraId="5EA48096">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597</w:t>
                  </w:r>
                </w:p>
              </w:tc>
              <w:tc>
                <w:tcPr>
                  <w:tcW w:w="789" w:type="pct"/>
                  <w:vAlign w:val="center"/>
                </w:tcPr>
                <w:p w14:paraId="5C7728DF">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950</w:t>
                  </w:r>
                </w:p>
              </w:tc>
              <w:tc>
                <w:tcPr>
                  <w:tcW w:w="620" w:type="pct"/>
                  <w:vAlign w:val="center"/>
                </w:tcPr>
                <w:p w14:paraId="5AE048E1">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567.15</w:t>
                  </w:r>
                </w:p>
              </w:tc>
              <w:tc>
                <w:tcPr>
                  <w:tcW w:w="620" w:type="pct"/>
                  <w:vAlign w:val="center"/>
                </w:tcPr>
                <w:p w14:paraId="2F7CBD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96.3</w:t>
                  </w:r>
                </w:p>
              </w:tc>
              <w:tc>
                <w:tcPr>
                  <w:tcW w:w="621" w:type="pct"/>
                  <w:vAlign w:val="center"/>
                </w:tcPr>
                <w:p w14:paraId="172A11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35</w:t>
                  </w:r>
                </w:p>
              </w:tc>
            </w:tr>
            <w:tr w14:paraId="5A60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90" w:type="pct"/>
                  <w:vMerge w:val="continue"/>
                  <w:vAlign w:val="center"/>
                </w:tcPr>
                <w:p w14:paraId="3FEBE0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752" w:type="pct"/>
                  <w:vMerge w:val="continue"/>
                  <w:vAlign w:val="center"/>
                </w:tcPr>
                <w:p w14:paraId="6179189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575" w:type="pct"/>
                  <w:shd w:val="clear" w:color="auto" w:fill="auto"/>
                  <w:vAlign w:val="center"/>
                </w:tcPr>
                <w:p w14:paraId="4FD8ED9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729" w:type="pct"/>
                  <w:vMerge w:val="continue"/>
                  <w:shd w:val="clear" w:color="auto" w:fill="auto"/>
                  <w:vAlign w:val="center"/>
                </w:tcPr>
                <w:p w14:paraId="436BD856">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789" w:type="pct"/>
                  <w:shd w:val="clear" w:color="auto" w:fill="auto"/>
                  <w:vAlign w:val="center"/>
                </w:tcPr>
                <w:p w14:paraId="5071C78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120</w:t>
                  </w:r>
                </w:p>
              </w:tc>
              <w:tc>
                <w:tcPr>
                  <w:tcW w:w="620" w:type="pct"/>
                  <w:shd w:val="clear" w:color="auto" w:fill="auto"/>
                  <w:vAlign w:val="center"/>
                </w:tcPr>
                <w:p w14:paraId="7DE5B7CD">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71.64</w:t>
                  </w:r>
                </w:p>
              </w:tc>
              <w:tc>
                <w:tcPr>
                  <w:tcW w:w="620" w:type="pct"/>
                  <w:shd w:val="clear" w:color="auto" w:fill="auto"/>
                  <w:vAlign w:val="center"/>
                </w:tcPr>
                <w:p w14:paraId="33F757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81.7</w:t>
                  </w:r>
                </w:p>
              </w:tc>
              <w:tc>
                <w:tcPr>
                  <w:tcW w:w="621" w:type="pct"/>
                  <w:shd w:val="clear" w:color="auto" w:fill="auto"/>
                  <w:vAlign w:val="center"/>
                </w:tcPr>
                <w:p w14:paraId="4A8304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22</w:t>
                  </w:r>
                </w:p>
              </w:tc>
            </w:tr>
            <w:tr w14:paraId="3F28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Merge w:val="continue"/>
                  <w:vAlign w:val="center"/>
                </w:tcPr>
                <w:p w14:paraId="3292D6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752" w:type="pct"/>
                  <w:vMerge w:val="continue"/>
                  <w:vAlign w:val="center"/>
                </w:tcPr>
                <w:p w14:paraId="4586307D">
                  <w:pPr>
                    <w:jc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575" w:type="pct"/>
                  <w:shd w:val="clear" w:color="auto" w:fill="auto"/>
                  <w:vAlign w:val="center"/>
                </w:tcPr>
                <w:p w14:paraId="2A90A42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石油类</w:t>
                  </w:r>
                </w:p>
              </w:tc>
              <w:tc>
                <w:tcPr>
                  <w:tcW w:w="729" w:type="pct"/>
                  <w:vMerge w:val="continue"/>
                  <w:shd w:val="clear" w:color="auto" w:fill="auto"/>
                  <w:vAlign w:val="center"/>
                </w:tcPr>
                <w:p w14:paraId="44FFC4E4">
                  <w:pPr>
                    <w:jc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789" w:type="pct"/>
                  <w:shd w:val="clear" w:color="auto" w:fill="auto"/>
                  <w:vAlign w:val="center"/>
                </w:tcPr>
                <w:p w14:paraId="072455CF">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w:t>
                  </w:r>
                </w:p>
              </w:tc>
              <w:tc>
                <w:tcPr>
                  <w:tcW w:w="620" w:type="pct"/>
                  <w:shd w:val="clear" w:color="auto" w:fill="auto"/>
                  <w:vAlign w:val="center"/>
                </w:tcPr>
                <w:p w14:paraId="6ABB18E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3.528</w:t>
                  </w:r>
                </w:p>
              </w:tc>
              <w:tc>
                <w:tcPr>
                  <w:tcW w:w="620" w:type="pct"/>
                  <w:shd w:val="clear" w:color="auto" w:fill="auto"/>
                  <w:vAlign w:val="center"/>
                </w:tcPr>
                <w:p w14:paraId="5B9205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91.7</w:t>
                  </w:r>
                </w:p>
              </w:tc>
              <w:tc>
                <w:tcPr>
                  <w:tcW w:w="621" w:type="pct"/>
                  <w:shd w:val="clear" w:color="auto" w:fill="auto"/>
                  <w:vAlign w:val="center"/>
                </w:tcPr>
                <w:p w14:paraId="00EE77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w:t>
                  </w:r>
                </w:p>
              </w:tc>
            </w:tr>
            <w:tr w14:paraId="1A04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Merge w:val="continue"/>
                  <w:vAlign w:val="center"/>
                </w:tcPr>
                <w:p w14:paraId="1EC6CE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752" w:type="pct"/>
                  <w:vMerge w:val="continue"/>
                  <w:vAlign w:val="center"/>
                </w:tcPr>
                <w:p w14:paraId="722C60C1">
                  <w:pPr>
                    <w:jc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575" w:type="pct"/>
                  <w:shd w:val="clear" w:color="auto" w:fill="auto"/>
                  <w:vAlign w:val="center"/>
                </w:tcPr>
                <w:p w14:paraId="6997625D">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全盐量</w:t>
                  </w:r>
                </w:p>
              </w:tc>
              <w:tc>
                <w:tcPr>
                  <w:tcW w:w="729" w:type="pct"/>
                  <w:vMerge w:val="continue"/>
                  <w:shd w:val="clear" w:color="auto" w:fill="auto"/>
                  <w:vAlign w:val="center"/>
                </w:tcPr>
                <w:p w14:paraId="43013188">
                  <w:pPr>
                    <w:jc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789" w:type="pct"/>
                  <w:shd w:val="clear" w:color="auto" w:fill="auto"/>
                  <w:vAlign w:val="center"/>
                </w:tcPr>
                <w:p w14:paraId="1BEF09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380</w:t>
                  </w:r>
                </w:p>
              </w:tc>
              <w:tc>
                <w:tcPr>
                  <w:tcW w:w="620" w:type="pct"/>
                  <w:shd w:val="clear" w:color="auto" w:fill="auto"/>
                  <w:vAlign w:val="center"/>
                </w:tcPr>
                <w:p w14:paraId="4962DE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0.23</w:t>
                  </w:r>
                </w:p>
              </w:tc>
              <w:tc>
                <w:tcPr>
                  <w:tcW w:w="1241" w:type="pct"/>
                  <w:gridSpan w:val="2"/>
                  <w:shd w:val="clear" w:color="auto" w:fill="auto"/>
                  <w:vAlign w:val="center"/>
                </w:tcPr>
                <w:p w14:paraId="46D0E5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按照危废处置</w:t>
                  </w:r>
                </w:p>
              </w:tc>
            </w:tr>
          </w:tbl>
          <w:p w14:paraId="44C6CD57">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2.废水治理设施可行性分析</w:t>
            </w:r>
          </w:p>
          <w:p w14:paraId="73B0490E">
            <w:pPr>
              <w:pStyle w:val="16"/>
              <w:pageBreakBefore w:val="0"/>
              <w:kinsoku/>
              <w:wordWrap/>
              <w:overflowPunct/>
              <w:topLinePunct w:val="0"/>
              <w:autoSpaceDE/>
              <w:autoSpaceDN/>
              <w:bidi w:val="0"/>
              <w:adjustRightInd/>
              <w:snapToGrid/>
              <w:spacing w:before="0" w:beforeAutospacing="0" w:after="0" w:afterAutospacing="0"/>
              <w:ind w:left="0" w:leftChars="0" w:firstLine="480" w:firstLineChars="200"/>
              <w:textAlignment w:val="auto"/>
              <w:rPr>
                <w:rFonts w:hint="default"/>
                <w:color w:val="auto"/>
                <w:sz w:val="24"/>
                <w:szCs w:val="24"/>
                <w:lang w:val="en-US" w:eastAsia="zh-CN"/>
              </w:rPr>
            </w:pPr>
            <w:r>
              <w:rPr>
                <w:rFonts w:hint="eastAsia"/>
                <w:color w:val="auto"/>
                <w:sz w:val="24"/>
                <w:szCs w:val="24"/>
                <w:lang w:val="en-US" w:eastAsia="zh-CN"/>
              </w:rPr>
              <w:t>根据现场勘查，本项目设一套一体化污水处理设施，处理工艺为废水—污水调节池—pH调节池（加氢氧化钠调节）—混凝池—斜管沉淀（PAC、PAM）—中间水池—石英砂过滤—活性炭过滤—超滤—清水池—清水回用，该工艺缺少生化单元、无保安精密过滤、缺少产水/浓水管控、pH调节池缺少均质搅拌，若不优化易导致活性炭失效、超滤堵膜、系统盐累积、回用水质变差等问题。环评对其提出整改要求，建议企业工件清洗废水采用预处理破乳絮凝+AO生化+多级过滤+超滤深度回用组合工艺，废水经破乳除油、生化降解、分级过滤、超滤提纯后，产水</w:t>
            </w:r>
            <w:r>
              <w:rPr>
                <w:rFonts w:hint="eastAsia" w:cs="Times New Roman"/>
                <w:color w:val="auto"/>
                <w:sz w:val="24"/>
                <w:szCs w:val="22"/>
                <w:lang w:val="en-US" w:eastAsia="zh-CN"/>
              </w:rPr>
              <w:t>经污水处理的废水95%回用于工件清洗，5%超滤浓水收集按照危废暂存处置</w:t>
            </w:r>
            <w:r>
              <w:rPr>
                <w:rFonts w:hint="eastAsia"/>
                <w:color w:val="auto"/>
                <w:sz w:val="24"/>
                <w:szCs w:val="24"/>
                <w:lang w:val="en-US" w:eastAsia="zh-CN"/>
              </w:rPr>
              <w:t>；系统污泥压滤后作为危废处置，生产废水实现闭路循环，无外排废水，满足</w:t>
            </w:r>
            <w:r>
              <w:rPr>
                <w:rFonts w:hint="eastAsia" w:ascii="Times New Roman" w:hAnsi="Times New Roman" w:eastAsia="宋体" w:cs="Times New Roman"/>
                <w:color w:val="auto"/>
                <w:sz w:val="24"/>
                <w:lang w:val="en-US" w:eastAsia="zh-CN"/>
              </w:rPr>
              <w:t>《城市污水再生利用 工业用水水质》（GB/T 19923-20</w:t>
            </w:r>
            <w:r>
              <w:rPr>
                <w:rFonts w:hint="eastAsia" w:cs="Times New Roman"/>
                <w:color w:val="auto"/>
                <w:sz w:val="24"/>
                <w:lang w:val="en-US" w:eastAsia="zh-CN"/>
              </w:rPr>
              <w:t>24</w:t>
            </w:r>
            <w:r>
              <w:rPr>
                <w:rFonts w:hint="eastAsia" w:ascii="Times New Roman" w:hAnsi="Times New Roman" w:eastAsia="宋体" w:cs="Times New Roman"/>
                <w:color w:val="auto"/>
                <w:sz w:val="24"/>
                <w:lang w:val="en-US" w:eastAsia="zh-CN"/>
              </w:rPr>
              <w:t>）表1</w:t>
            </w:r>
            <w:r>
              <w:rPr>
                <w:rFonts w:hint="eastAsia" w:cs="Times New Roman"/>
                <w:color w:val="auto"/>
                <w:sz w:val="24"/>
                <w:lang w:val="en-US" w:eastAsia="zh-CN"/>
              </w:rPr>
              <w:t>中回用管控要求。</w:t>
            </w:r>
          </w:p>
          <w:p w14:paraId="564E96CD">
            <w:pPr>
              <w:pStyle w:val="16"/>
              <w:pageBreakBefore w:val="0"/>
              <w:kinsoku/>
              <w:wordWrap/>
              <w:overflowPunct/>
              <w:topLinePunct w:val="0"/>
              <w:autoSpaceDE/>
              <w:autoSpaceDN/>
              <w:bidi w:val="0"/>
              <w:adjustRightInd/>
              <w:snapToGrid/>
              <w:spacing w:before="0" w:beforeAutospacing="0" w:after="0" w:afterAutospacing="0"/>
              <w:ind w:left="0" w:leftChars="0" w:firstLine="480" w:firstLineChars="200"/>
              <w:textAlignment w:val="auto"/>
              <w:rPr>
                <w:rFonts w:hint="default"/>
                <w:color w:val="auto"/>
                <w:sz w:val="24"/>
                <w:szCs w:val="24"/>
                <w:lang w:val="en-US" w:eastAsia="zh-CN"/>
              </w:rPr>
            </w:pPr>
            <w:r>
              <w:rPr>
                <w:rFonts w:hint="eastAsia"/>
                <w:color w:val="auto"/>
                <w:sz w:val="24"/>
                <w:szCs w:val="24"/>
                <w:lang w:val="en-US" w:eastAsia="zh-CN"/>
              </w:rPr>
              <w:t>废水处理能力为1m³/h，配套水箱均为1.5m³，每月对清洗槽清洗废水交替进行清理并排入污水处理设施内进行处理，经污水处理设施处理的废水量约为1.99m³/d，远小于配套废水设施处理能力，污水处理设施及清洗生产线所处地面均已硬化并做重点防渗，无土壤及地下水污染途径。</w:t>
            </w:r>
          </w:p>
          <w:p w14:paraId="409E09F4">
            <w:pPr>
              <w:pStyle w:val="16"/>
              <w:pageBreakBefore w:val="0"/>
              <w:kinsoku/>
              <w:wordWrap/>
              <w:overflowPunct/>
              <w:topLinePunct w:val="0"/>
              <w:autoSpaceDE/>
              <w:autoSpaceDN/>
              <w:bidi w:val="0"/>
              <w:adjustRightInd/>
              <w:snapToGrid/>
              <w:spacing w:before="0" w:beforeAutospacing="0" w:after="0" w:afterAutospacing="0"/>
              <w:ind w:left="0" w:leftChars="0" w:firstLine="482" w:firstLineChars="200"/>
              <w:textAlignment w:val="auto"/>
              <w:rPr>
                <w:rFonts w:hint="default"/>
                <w:b/>
                <w:bCs/>
                <w:color w:val="auto"/>
                <w:sz w:val="24"/>
                <w:szCs w:val="24"/>
                <w:lang w:val="en-US" w:eastAsia="zh-CN"/>
              </w:rPr>
            </w:pPr>
            <w:r>
              <w:rPr>
                <w:rFonts w:hint="eastAsia"/>
                <w:b/>
                <w:bCs/>
                <w:color w:val="auto"/>
                <w:sz w:val="24"/>
                <w:szCs w:val="24"/>
                <w:lang w:val="en-US" w:eastAsia="zh-CN"/>
              </w:rPr>
              <w:t>3.废水达标回用可行性分析</w:t>
            </w:r>
          </w:p>
          <w:p w14:paraId="444EAE74">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eastAsia" w:cs="Times New Roman"/>
                <w:color w:val="auto"/>
                <w:sz w:val="24"/>
                <w:lang w:val="en-US" w:eastAsia="zh-CN"/>
              </w:rPr>
            </w:pPr>
            <w:r>
              <w:rPr>
                <w:rFonts w:hint="eastAsia" w:ascii="Times New Roman" w:hAnsi="Times New Roman" w:eastAsia="宋体" w:cs="Times New Roman"/>
                <w:b/>
                <w:bCs/>
                <w:color w:val="auto"/>
                <w:sz w:val="24"/>
                <w:lang w:val="en-US" w:eastAsia="zh-CN"/>
              </w:rPr>
              <w:t>水质：</w:t>
            </w:r>
            <w:r>
              <w:rPr>
                <w:rFonts w:hint="eastAsia" w:ascii="Times New Roman" w:hAnsi="Times New Roman" w:eastAsia="宋体" w:cs="Times New Roman"/>
                <w:color w:val="auto"/>
                <w:sz w:val="24"/>
                <w:lang w:val="en-US" w:eastAsia="zh-CN"/>
              </w:rPr>
              <w:t>本项目脱脂槽液、硅烷槽液及超滤浓水均按照危废收集并委托资质单位清运处置，进入污水处理系统的废水主要为三级清水漂洗废水及地面清洗废水，经处理后浓度均满足《城市污水再生利用 工业用水水质》（GB/T 19923-20</w:t>
            </w:r>
            <w:r>
              <w:rPr>
                <w:rFonts w:hint="eastAsia" w:cs="Times New Roman"/>
                <w:color w:val="auto"/>
                <w:sz w:val="24"/>
                <w:lang w:val="en-US" w:eastAsia="zh-CN"/>
              </w:rPr>
              <w:t>24</w:t>
            </w:r>
            <w:r>
              <w:rPr>
                <w:rFonts w:hint="eastAsia" w:ascii="Times New Roman" w:hAnsi="Times New Roman" w:eastAsia="宋体" w:cs="Times New Roman"/>
                <w:color w:val="auto"/>
                <w:sz w:val="24"/>
                <w:lang w:val="en-US" w:eastAsia="zh-CN"/>
              </w:rPr>
              <w:t>）表1中回用管控要求，故处理后的水质可回用</w:t>
            </w:r>
            <w:r>
              <w:rPr>
                <w:rFonts w:hint="eastAsia" w:cs="Times New Roman"/>
                <w:color w:val="auto"/>
                <w:sz w:val="24"/>
                <w:lang w:val="en-US" w:eastAsia="zh-CN"/>
              </w:rPr>
              <w:t>于工件清洗。</w:t>
            </w:r>
          </w:p>
          <w:p w14:paraId="5AA4A4D3">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sz w:val="24"/>
                <w:lang w:val="en-US" w:eastAsia="zh-CN"/>
              </w:rPr>
              <w:t>水量：</w:t>
            </w:r>
            <w:r>
              <w:rPr>
                <w:rFonts w:hint="eastAsia" w:cs="Times New Roman"/>
                <w:color w:val="auto"/>
                <w:sz w:val="24"/>
                <w:lang w:val="en-US" w:eastAsia="zh-CN"/>
              </w:rPr>
              <w:t>回用水量为1.66m³/d，项目工件清洗用水量为2.75m³/d，经处理后的废水回用可适当减少新鲜水量的注入，水量满足回用需求。</w:t>
            </w:r>
          </w:p>
          <w:p w14:paraId="6BB5C547">
            <w:pPr>
              <w:pStyle w:val="16"/>
              <w:pageBreakBefore w:val="0"/>
              <w:kinsoku/>
              <w:wordWrap/>
              <w:overflowPunct/>
              <w:topLinePunct w:val="0"/>
              <w:autoSpaceDE/>
              <w:autoSpaceDN/>
              <w:bidi w:val="0"/>
              <w:adjustRightInd/>
              <w:snapToGrid/>
              <w:spacing w:before="0" w:beforeAutospacing="0" w:after="0" w:afterAutospacing="0"/>
              <w:ind w:left="0" w:leftChars="0" w:firstLine="480" w:firstLineChars="200"/>
              <w:textAlignment w:val="auto"/>
              <w:rPr>
                <w:rFonts w:hint="default"/>
                <w:color w:val="auto"/>
                <w:sz w:val="24"/>
                <w:szCs w:val="24"/>
                <w:lang w:val="en-US" w:eastAsia="zh-CN"/>
              </w:rPr>
            </w:pPr>
            <w:r>
              <w:rPr>
                <w:rFonts w:hint="eastAsia"/>
                <w:color w:val="auto"/>
                <w:sz w:val="24"/>
                <w:szCs w:val="24"/>
                <w:lang w:val="en-US" w:eastAsia="zh-CN"/>
              </w:rPr>
              <w:t>位置：项目污水处理设施位于喷塑车间清洗生产线西侧位置，为独立区域，距离清洗生产线位置较近（＜10米），方便清洗水回用。</w:t>
            </w:r>
          </w:p>
          <w:p w14:paraId="05EE89AE">
            <w:pPr>
              <w:pStyle w:val="16"/>
              <w:pageBreakBefore w:val="0"/>
              <w:kinsoku/>
              <w:wordWrap/>
              <w:overflowPunct/>
              <w:topLinePunct w:val="0"/>
              <w:autoSpaceDE/>
              <w:autoSpaceDN/>
              <w:bidi w:val="0"/>
              <w:adjustRightInd/>
              <w:snapToGrid/>
              <w:spacing w:before="0" w:beforeAutospacing="0" w:after="0" w:afterAutospacing="0"/>
              <w:ind w:left="0" w:leftChars="0" w:firstLine="480" w:firstLineChars="200"/>
              <w:textAlignment w:val="auto"/>
              <w:rPr>
                <w:rFonts w:hint="eastAsia" w:ascii="Times New Roman" w:hAnsi="Times New Roman" w:eastAsia="宋体" w:cs="Times New Roman"/>
                <w:color w:val="auto"/>
                <w:sz w:val="24"/>
                <w:szCs w:val="24"/>
                <w:lang w:val="en-US" w:eastAsia="zh-CN"/>
              </w:rPr>
            </w:pPr>
            <w:r>
              <w:rPr>
                <w:rFonts w:hint="eastAsia"/>
                <w:color w:val="auto"/>
                <w:sz w:val="24"/>
                <w:szCs w:val="24"/>
                <w:lang w:val="en-US" w:eastAsia="zh-CN"/>
              </w:rPr>
              <w:t>根据</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排污许可证申请与核发技术规范 通用设备、专用设备、仪器仪表及其他制造业</w:t>
            </w:r>
            <w:r>
              <w:rPr>
                <w:rFonts w:hint="default" w:ascii="Times New Roman" w:hAnsi="Times New Roman" w:eastAsia="宋体" w:cs="Times New Roman"/>
                <w:color w:val="auto"/>
                <w:sz w:val="24"/>
                <w:szCs w:val="24"/>
                <w:lang w:val="en-US" w:eastAsia="zh-CN"/>
              </w:rPr>
              <w:t>》DB61/T 1356-2020</w:t>
            </w:r>
            <w:r>
              <w:rPr>
                <w:rFonts w:hint="eastAsia" w:ascii="Times New Roman" w:hAnsi="Times New Roman" w:eastAsia="宋体" w:cs="Times New Roman"/>
                <w:color w:val="auto"/>
                <w:sz w:val="24"/>
                <w:szCs w:val="24"/>
                <w:lang w:val="en-US" w:eastAsia="zh-CN"/>
              </w:rPr>
              <w:t>中“表A.4排污单位废水类型、污染物类型及污染治理可行技术”涂装车间生产废水对应的污染治理工艺为混凝、沉淀/气浮、砂滤、吸附</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则本项目使用的污水处理工艺符合相关要求，属于可行技术。同时参考《污水再生利用工程设计标准》（GB50335-2016）中规定可知，工业水回用的工艺选择原则，明确“预处理+过滤+膜处理”是常规回用工艺。</w:t>
            </w:r>
          </w:p>
          <w:p w14:paraId="307FFDB5">
            <w:pPr>
              <w:keepNext/>
              <w:keepLines/>
              <w:pageBreakBefore w:val="0"/>
              <w:widowControl/>
              <w:kinsoku/>
              <w:wordWrap/>
              <w:overflowPunct/>
              <w:topLinePunct w:val="0"/>
              <w:autoSpaceDE/>
              <w:autoSpaceDN/>
              <w:bidi w:val="0"/>
              <w:adjustRightInd w:val="0"/>
              <w:snapToGrid w:val="0"/>
              <w:spacing w:line="360" w:lineRule="auto"/>
              <w:jc w:val="left"/>
              <w:textAlignment w:val="auto"/>
              <w:outlineLvl w:val="1"/>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三、运营期噪声环境影响和保护措施</w:t>
            </w:r>
          </w:p>
          <w:p w14:paraId="5F0B8F16">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噪声源强分析</w:t>
            </w:r>
          </w:p>
          <w:p w14:paraId="64407B55">
            <w:pPr>
              <w:adjustRightInd w:val="0"/>
              <w:snapToGrid w:val="0"/>
              <w:spacing w:line="360" w:lineRule="auto"/>
              <w:ind w:firstLine="480" w:firstLineChars="200"/>
              <w:rPr>
                <w:rFonts w:hint="default" w:ascii="Times New Roman" w:hAnsi="Times New Roman" w:cs="Times New Roman"/>
                <w:color w:val="auto"/>
                <w:sz w:val="24"/>
                <w:szCs w:val="24"/>
              </w:rPr>
            </w:pPr>
            <w:r>
              <w:rPr>
                <w:rFonts w:hint="eastAsia"/>
                <w:color w:val="auto"/>
                <w:sz w:val="24"/>
              </w:rPr>
              <w:t>本</w:t>
            </w:r>
            <w:r>
              <w:rPr>
                <w:color w:val="auto"/>
                <w:sz w:val="24"/>
              </w:rPr>
              <w:t>项目</w:t>
            </w:r>
            <w:r>
              <w:rPr>
                <w:rFonts w:hint="eastAsia"/>
                <w:color w:val="auto"/>
                <w:sz w:val="24"/>
              </w:rPr>
              <w:t>运营期</w:t>
            </w:r>
            <w:r>
              <w:rPr>
                <w:color w:val="auto"/>
                <w:sz w:val="24"/>
              </w:rPr>
              <w:t>主要噪声源</w:t>
            </w:r>
            <w:r>
              <w:rPr>
                <w:rFonts w:hint="eastAsia"/>
                <w:color w:val="auto"/>
                <w:sz w:val="24"/>
              </w:rPr>
              <w:t>为</w:t>
            </w:r>
            <w:r>
              <w:rPr>
                <w:rFonts w:hint="eastAsia"/>
                <w:color w:val="auto"/>
                <w:sz w:val="24"/>
                <w:lang w:val="en-US" w:eastAsia="zh-CN"/>
              </w:rPr>
              <w:t>生产</w:t>
            </w:r>
            <w:r>
              <w:rPr>
                <w:color w:val="auto"/>
                <w:sz w:val="24"/>
              </w:rPr>
              <w:t>设备运行</w:t>
            </w:r>
            <w:r>
              <w:rPr>
                <w:rFonts w:hint="eastAsia"/>
                <w:color w:val="auto"/>
                <w:sz w:val="24"/>
              </w:rPr>
              <w:t>过程中产生的</w:t>
            </w:r>
            <w:r>
              <w:rPr>
                <w:rFonts w:hint="eastAsia"/>
                <w:snapToGrid w:val="0"/>
                <w:color w:val="auto"/>
                <w:kern w:val="0"/>
                <w:sz w:val="24"/>
              </w:rPr>
              <w:t>机械</w:t>
            </w:r>
            <w:r>
              <w:rPr>
                <w:snapToGrid w:val="0"/>
                <w:color w:val="auto"/>
                <w:kern w:val="0"/>
                <w:sz w:val="24"/>
              </w:rPr>
              <w:t>噪声</w:t>
            </w:r>
            <w:r>
              <w:rPr>
                <w:rFonts w:hint="eastAsia"/>
                <w:snapToGrid w:val="0"/>
                <w:color w:val="auto"/>
                <w:kern w:val="0"/>
                <w:sz w:val="24"/>
              </w:rPr>
              <w:t>。</w:t>
            </w:r>
            <w:r>
              <w:rPr>
                <w:color w:val="auto"/>
                <w:sz w:val="24"/>
              </w:rPr>
              <w:t>项目</w:t>
            </w:r>
            <w:r>
              <w:rPr>
                <w:rFonts w:hint="eastAsia"/>
                <w:color w:val="auto"/>
                <w:sz w:val="24"/>
              </w:rPr>
              <w:t>单台</w:t>
            </w:r>
            <w:r>
              <w:rPr>
                <w:color w:val="auto"/>
                <w:sz w:val="24"/>
              </w:rPr>
              <w:t>设备噪声源</w:t>
            </w:r>
            <w:r>
              <w:rPr>
                <w:rFonts w:hint="eastAsia"/>
                <w:color w:val="auto"/>
                <w:sz w:val="24"/>
                <w:lang w:val="en-US" w:eastAsia="zh-CN"/>
              </w:rPr>
              <w:t>的</w:t>
            </w:r>
            <w:r>
              <w:rPr>
                <w:color w:val="auto"/>
                <w:sz w:val="24"/>
              </w:rPr>
              <w:t>声功率级为</w:t>
            </w:r>
            <w:r>
              <w:rPr>
                <w:rFonts w:hint="eastAsia"/>
                <w:color w:val="auto"/>
                <w:sz w:val="24"/>
              </w:rPr>
              <w:t>7</w:t>
            </w:r>
            <w:r>
              <w:rPr>
                <w:color w:val="auto"/>
                <w:sz w:val="24"/>
              </w:rPr>
              <w:t>5dB（A）</w:t>
            </w:r>
            <w:r>
              <w:rPr>
                <w:rFonts w:hint="eastAsia"/>
                <w:color w:val="auto"/>
                <w:sz w:val="24"/>
                <w:lang w:eastAsia="zh-CN"/>
              </w:rPr>
              <w:t>～</w:t>
            </w:r>
            <w:r>
              <w:rPr>
                <w:rFonts w:hint="eastAsia"/>
                <w:color w:val="auto"/>
                <w:sz w:val="24"/>
                <w:lang w:val="en-US" w:eastAsia="zh-CN"/>
              </w:rPr>
              <w:t>90</w:t>
            </w:r>
            <w:r>
              <w:rPr>
                <w:color w:val="auto"/>
                <w:sz w:val="24"/>
              </w:rPr>
              <w:t>dB（A）。</w:t>
            </w:r>
            <w:r>
              <w:rPr>
                <w:rFonts w:hint="eastAsia"/>
                <w:color w:val="auto"/>
                <w:sz w:val="24"/>
                <w:lang w:val="en-US" w:eastAsia="zh-CN"/>
              </w:rPr>
              <w:t>以生产车间西南角为坐标原点，本项目</w:t>
            </w:r>
            <w:r>
              <w:rPr>
                <w:color w:val="auto"/>
                <w:sz w:val="24"/>
              </w:rPr>
              <w:t>各声源声级值详见</w:t>
            </w:r>
            <w:r>
              <w:rPr>
                <w:rFonts w:hint="default" w:ascii="Times New Roman" w:hAnsi="Times New Roman" w:cs="Times New Roman"/>
                <w:color w:val="auto"/>
                <w:sz w:val="24"/>
                <w:szCs w:val="24"/>
                <w:lang w:val="en-US" w:eastAsia="zh-CN"/>
              </w:rPr>
              <w:t>下表</w:t>
            </w:r>
            <w:r>
              <w:rPr>
                <w:rFonts w:hint="default" w:ascii="Times New Roman" w:hAnsi="Times New Roman" w:cs="Times New Roman"/>
                <w:color w:val="auto"/>
                <w:sz w:val="24"/>
                <w:szCs w:val="24"/>
              </w:rPr>
              <w:t>：</w:t>
            </w:r>
          </w:p>
          <w:p w14:paraId="0D54610E">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 xml:space="preserve">7 </w:t>
            </w:r>
            <w:r>
              <w:rPr>
                <w:rFonts w:hint="default" w:ascii="Times New Roman" w:hAnsi="Times New Roman" w:eastAsia="宋体" w:cs="Times New Roman"/>
                <w:b/>
                <w:bCs/>
                <w:color w:val="auto"/>
                <w:sz w:val="21"/>
                <w:szCs w:val="21"/>
                <w:lang w:val="en-US" w:eastAsia="zh-CN"/>
              </w:rPr>
              <w:t xml:space="preserve"> 工业企业噪声源强调查清单（室内声源）</w:t>
            </w:r>
          </w:p>
          <w:tbl>
            <w:tblPr>
              <w:tblStyle w:val="31"/>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942"/>
              <w:gridCol w:w="905"/>
              <w:gridCol w:w="851"/>
              <w:gridCol w:w="523"/>
              <w:gridCol w:w="533"/>
              <w:gridCol w:w="557"/>
              <w:gridCol w:w="501"/>
              <w:gridCol w:w="501"/>
              <w:gridCol w:w="905"/>
              <w:gridCol w:w="930"/>
              <w:gridCol w:w="852"/>
            </w:tblGrid>
            <w:tr w14:paraId="67C87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vMerge w:val="restart"/>
                  <w:tcBorders>
                    <w:tl2br w:val="nil"/>
                    <w:tr2bl w:val="nil"/>
                  </w:tcBorders>
                  <w:noWrap w:val="0"/>
                  <w:vAlign w:val="center"/>
                </w:tcPr>
                <w:p w14:paraId="164F176B">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555" w:type="pct"/>
                  <w:vMerge w:val="restart"/>
                  <w:tcBorders>
                    <w:tl2br w:val="nil"/>
                    <w:tr2bl w:val="nil"/>
                  </w:tcBorders>
                  <w:noWrap w:val="0"/>
                  <w:vAlign w:val="center"/>
                </w:tcPr>
                <w:p w14:paraId="2018736A">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声源名称</w:t>
                  </w:r>
                </w:p>
              </w:tc>
              <w:tc>
                <w:tcPr>
                  <w:tcW w:w="533" w:type="pct"/>
                  <w:vMerge w:val="restart"/>
                  <w:tcBorders>
                    <w:tl2br w:val="nil"/>
                    <w:tr2bl w:val="nil"/>
                  </w:tcBorders>
                  <w:noWrap w:val="0"/>
                  <w:vAlign w:val="center"/>
                </w:tcPr>
                <w:p w14:paraId="71B67FDD">
                  <w:pPr>
                    <w:adjustRightInd w:val="0"/>
                    <w:snapToGrid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声压级/距声压级距离（dB（A）/m）</w:t>
                  </w:r>
                </w:p>
              </w:tc>
              <w:tc>
                <w:tcPr>
                  <w:tcW w:w="501" w:type="pct"/>
                  <w:vMerge w:val="restart"/>
                  <w:tcBorders>
                    <w:tl2br w:val="nil"/>
                    <w:tr2bl w:val="nil"/>
                  </w:tcBorders>
                  <w:noWrap w:val="0"/>
                  <w:vAlign w:val="center"/>
                </w:tcPr>
                <w:p w14:paraId="539CA4A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声源控制措施</w:t>
                  </w:r>
                </w:p>
                <w:p w14:paraId="7B478D56">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950" w:type="pct"/>
                  <w:gridSpan w:val="3"/>
                  <w:tcBorders>
                    <w:tl2br w:val="nil"/>
                    <w:tr2bl w:val="nil"/>
                  </w:tcBorders>
                  <w:noWrap w:val="0"/>
                  <w:vAlign w:val="center"/>
                </w:tcPr>
                <w:p w14:paraId="61EEC224">
                  <w:pPr>
                    <w:adjustRightInd w:val="0"/>
                    <w:snapToGrid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空间相对位置/m</w:t>
                  </w:r>
                </w:p>
              </w:tc>
              <w:tc>
                <w:tcPr>
                  <w:tcW w:w="295" w:type="pct"/>
                  <w:vMerge w:val="restart"/>
                  <w:tcBorders>
                    <w:tl2br w:val="nil"/>
                    <w:tr2bl w:val="nil"/>
                  </w:tcBorders>
                  <w:noWrap w:val="0"/>
                  <w:vAlign w:val="center"/>
                </w:tcPr>
                <w:p w14:paraId="40FBBE1A">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距室内边界距离/m</w:t>
                  </w:r>
                </w:p>
              </w:tc>
              <w:tc>
                <w:tcPr>
                  <w:tcW w:w="295" w:type="pct"/>
                  <w:vMerge w:val="restart"/>
                  <w:tcBorders>
                    <w:tl2br w:val="nil"/>
                    <w:tr2bl w:val="nil"/>
                  </w:tcBorders>
                  <w:noWrap w:val="0"/>
                  <w:vAlign w:val="center"/>
                </w:tcPr>
                <w:p w14:paraId="47D6C43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运行时段</w:t>
                  </w:r>
                </w:p>
                <w:p w14:paraId="1EBCA900">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vMerge w:val="restart"/>
                  <w:tcBorders>
                    <w:tl2br w:val="nil"/>
                    <w:tr2bl w:val="nil"/>
                  </w:tcBorders>
                  <w:noWrap w:val="0"/>
                  <w:vAlign w:val="center"/>
                </w:tcPr>
                <w:p w14:paraId="1464EA24">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建筑物插入损失/dB（A）</w:t>
                  </w:r>
                </w:p>
              </w:tc>
              <w:tc>
                <w:tcPr>
                  <w:tcW w:w="1050" w:type="pct"/>
                  <w:gridSpan w:val="2"/>
                  <w:tcBorders>
                    <w:tl2br w:val="nil"/>
                    <w:tr2bl w:val="nil"/>
                  </w:tcBorders>
                  <w:noWrap w:val="0"/>
                  <w:vAlign w:val="center"/>
                </w:tcPr>
                <w:p w14:paraId="340840BD">
                  <w:pPr>
                    <w:adjustRightInd w:val="0"/>
                    <w:snapToGrid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建筑物外噪声</w:t>
                  </w:r>
                </w:p>
              </w:tc>
            </w:tr>
            <w:tr w14:paraId="0C390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vMerge w:val="continue"/>
                  <w:tcBorders>
                    <w:tl2br w:val="nil"/>
                    <w:tr2bl w:val="nil"/>
                  </w:tcBorders>
                  <w:noWrap w:val="0"/>
                  <w:vAlign w:val="center"/>
                </w:tcPr>
                <w:p w14:paraId="45803247">
                  <w:pPr>
                    <w:adjustRightInd w:val="0"/>
                    <w:snapToGrid w:val="0"/>
                    <w:spacing w:line="240" w:lineRule="auto"/>
                    <w:jc w:val="center"/>
                    <w:rPr>
                      <w:rFonts w:hint="default" w:ascii="Times New Roman" w:hAnsi="Times New Roman" w:eastAsia="宋体" w:cs="Times New Roman"/>
                      <w:color w:val="auto"/>
                      <w:sz w:val="21"/>
                      <w:szCs w:val="21"/>
                      <w:vertAlign w:val="baseline"/>
                    </w:rPr>
                  </w:pPr>
                </w:p>
              </w:tc>
              <w:tc>
                <w:tcPr>
                  <w:tcW w:w="555" w:type="pct"/>
                  <w:vMerge w:val="continue"/>
                  <w:tcBorders>
                    <w:tl2br w:val="nil"/>
                    <w:tr2bl w:val="nil"/>
                  </w:tcBorders>
                  <w:noWrap w:val="0"/>
                  <w:vAlign w:val="center"/>
                </w:tcPr>
                <w:p w14:paraId="39284282">
                  <w:pPr>
                    <w:adjustRightInd w:val="0"/>
                    <w:snapToGrid w:val="0"/>
                    <w:spacing w:line="240" w:lineRule="auto"/>
                    <w:jc w:val="center"/>
                    <w:rPr>
                      <w:rFonts w:hint="default" w:ascii="Times New Roman" w:hAnsi="Times New Roman" w:eastAsia="宋体" w:cs="Times New Roman"/>
                      <w:color w:val="auto"/>
                      <w:sz w:val="21"/>
                      <w:szCs w:val="21"/>
                      <w:vertAlign w:val="baseline"/>
                    </w:rPr>
                  </w:pPr>
                </w:p>
              </w:tc>
              <w:tc>
                <w:tcPr>
                  <w:tcW w:w="533" w:type="pct"/>
                  <w:vMerge w:val="continue"/>
                  <w:tcBorders>
                    <w:tl2br w:val="nil"/>
                    <w:tr2bl w:val="nil"/>
                  </w:tcBorders>
                  <w:noWrap w:val="0"/>
                  <w:vAlign w:val="center"/>
                </w:tcPr>
                <w:p w14:paraId="4188D1F4">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01" w:type="pct"/>
                  <w:vMerge w:val="continue"/>
                  <w:tcBorders>
                    <w:tl2br w:val="nil"/>
                    <w:tr2bl w:val="nil"/>
                  </w:tcBorders>
                  <w:noWrap w:val="0"/>
                  <w:vAlign w:val="center"/>
                </w:tcPr>
                <w:p w14:paraId="5CB61655">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308" w:type="pct"/>
                  <w:tcBorders>
                    <w:tl2br w:val="nil"/>
                    <w:tr2bl w:val="nil"/>
                  </w:tcBorders>
                  <w:noWrap w:val="0"/>
                  <w:vAlign w:val="center"/>
                </w:tcPr>
                <w:p w14:paraId="68BDE8AC">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X</w:t>
                  </w:r>
                </w:p>
              </w:tc>
              <w:tc>
                <w:tcPr>
                  <w:tcW w:w="314" w:type="pct"/>
                  <w:tcBorders>
                    <w:tl2br w:val="nil"/>
                    <w:tr2bl w:val="nil"/>
                  </w:tcBorders>
                  <w:noWrap w:val="0"/>
                  <w:vAlign w:val="center"/>
                </w:tcPr>
                <w:p w14:paraId="39C2316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Y</w:t>
                  </w:r>
                </w:p>
              </w:tc>
              <w:tc>
                <w:tcPr>
                  <w:tcW w:w="328" w:type="pct"/>
                  <w:tcBorders>
                    <w:tl2br w:val="nil"/>
                    <w:tr2bl w:val="nil"/>
                  </w:tcBorders>
                  <w:noWrap w:val="0"/>
                  <w:vAlign w:val="center"/>
                </w:tcPr>
                <w:p w14:paraId="75D2B233">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Z</w:t>
                  </w:r>
                </w:p>
              </w:tc>
              <w:tc>
                <w:tcPr>
                  <w:tcW w:w="295" w:type="pct"/>
                  <w:vMerge w:val="continue"/>
                  <w:tcBorders>
                    <w:tl2br w:val="nil"/>
                    <w:tr2bl w:val="nil"/>
                  </w:tcBorders>
                  <w:noWrap w:val="0"/>
                  <w:vAlign w:val="center"/>
                </w:tcPr>
                <w:p w14:paraId="094540D3">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p>
              </w:tc>
              <w:tc>
                <w:tcPr>
                  <w:tcW w:w="295" w:type="pct"/>
                  <w:vMerge w:val="continue"/>
                  <w:tcBorders>
                    <w:tl2br w:val="nil"/>
                    <w:tr2bl w:val="nil"/>
                  </w:tcBorders>
                  <w:noWrap w:val="0"/>
                  <w:vAlign w:val="center"/>
                </w:tcPr>
                <w:p w14:paraId="40978BB7">
                  <w:pPr>
                    <w:adjustRightInd w:val="0"/>
                    <w:snapToGrid w:val="0"/>
                    <w:spacing w:line="240" w:lineRule="auto"/>
                    <w:jc w:val="center"/>
                    <w:rPr>
                      <w:rFonts w:hint="default" w:ascii="Times New Roman" w:hAnsi="Times New Roman" w:eastAsia="宋体" w:cs="Times New Roman"/>
                      <w:color w:val="auto"/>
                      <w:sz w:val="21"/>
                      <w:szCs w:val="21"/>
                      <w:vertAlign w:val="baseline"/>
                    </w:rPr>
                  </w:pPr>
                </w:p>
              </w:tc>
              <w:tc>
                <w:tcPr>
                  <w:tcW w:w="533" w:type="pct"/>
                  <w:vMerge w:val="continue"/>
                  <w:tcBorders>
                    <w:tl2br w:val="nil"/>
                    <w:tr2bl w:val="nil"/>
                  </w:tcBorders>
                  <w:noWrap w:val="0"/>
                  <w:vAlign w:val="center"/>
                </w:tcPr>
                <w:p w14:paraId="4D0A5863">
                  <w:pPr>
                    <w:adjustRightInd w:val="0"/>
                    <w:snapToGrid w:val="0"/>
                    <w:spacing w:line="240" w:lineRule="auto"/>
                    <w:jc w:val="center"/>
                    <w:rPr>
                      <w:rFonts w:hint="default" w:ascii="Times New Roman" w:hAnsi="Times New Roman" w:eastAsia="宋体" w:cs="Times New Roman"/>
                      <w:color w:val="auto"/>
                      <w:sz w:val="21"/>
                      <w:szCs w:val="21"/>
                      <w:vertAlign w:val="baseline"/>
                    </w:rPr>
                  </w:pPr>
                </w:p>
              </w:tc>
              <w:tc>
                <w:tcPr>
                  <w:tcW w:w="548" w:type="pct"/>
                  <w:tcBorders>
                    <w:tl2br w:val="nil"/>
                    <w:tr2bl w:val="nil"/>
                  </w:tcBorders>
                  <w:shd w:val="clear" w:color="auto" w:fill="auto"/>
                  <w:noWrap w:val="0"/>
                  <w:vAlign w:val="center"/>
                </w:tcPr>
                <w:p w14:paraId="7B36D4C4">
                  <w:pPr>
                    <w:jc w:val="center"/>
                    <w:rPr>
                      <w:rFonts w:hint="default" w:ascii="Times New Roman" w:hAnsi="Times New Roman" w:eastAsia="宋体" w:cs="Times New Roman"/>
                      <w:b w:val="0"/>
                      <w:bCs w:val="0"/>
                      <w:color w:val="auto"/>
                      <w:kern w:val="2"/>
                      <w:sz w:val="21"/>
                      <w:szCs w:val="21"/>
                      <w:lang w:val="en-US" w:eastAsia="zh-CN" w:bidi="ar-SA"/>
                    </w:rPr>
                  </w:pPr>
                  <w:r>
                    <w:rPr>
                      <w:rFonts w:ascii="Times New Roman" w:hAnsi="Times New Roman" w:eastAsia="宋体"/>
                      <w:b w:val="0"/>
                      <w:bCs w:val="0"/>
                      <w:color w:val="auto"/>
                      <w:szCs w:val="21"/>
                    </w:rPr>
                    <w:t>声压级/dB(A)</w:t>
                  </w:r>
                </w:p>
              </w:tc>
              <w:tc>
                <w:tcPr>
                  <w:tcW w:w="502" w:type="pct"/>
                  <w:tcBorders>
                    <w:tl2br w:val="nil"/>
                    <w:tr2bl w:val="nil"/>
                  </w:tcBorders>
                  <w:shd w:val="clear" w:color="auto" w:fill="auto"/>
                  <w:noWrap w:val="0"/>
                  <w:vAlign w:val="center"/>
                </w:tcPr>
                <w:p w14:paraId="423091FB">
                  <w:pPr>
                    <w:jc w:val="center"/>
                    <w:rPr>
                      <w:rFonts w:hint="default" w:ascii="Times New Roman" w:hAnsi="Times New Roman" w:eastAsia="宋体" w:cs="Times New Roman"/>
                      <w:b w:val="0"/>
                      <w:bCs w:val="0"/>
                      <w:color w:val="auto"/>
                      <w:kern w:val="2"/>
                      <w:sz w:val="21"/>
                      <w:szCs w:val="21"/>
                      <w:lang w:val="en-US" w:eastAsia="zh-CN" w:bidi="ar-SA"/>
                    </w:rPr>
                  </w:pPr>
                  <w:r>
                    <w:rPr>
                      <w:rFonts w:ascii="Times New Roman" w:hAnsi="Times New Roman" w:eastAsia="宋体"/>
                      <w:b w:val="0"/>
                      <w:bCs w:val="0"/>
                      <w:color w:val="auto"/>
                      <w:szCs w:val="21"/>
                    </w:rPr>
                    <w:t>建筑物外距离</w:t>
                  </w:r>
                </w:p>
              </w:tc>
            </w:tr>
            <w:tr w14:paraId="70704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84" w:type="pct"/>
                  <w:tcBorders>
                    <w:tl2br w:val="nil"/>
                    <w:tr2bl w:val="nil"/>
                  </w:tcBorders>
                  <w:noWrap w:val="0"/>
                  <w:vAlign w:val="center"/>
                </w:tcPr>
                <w:p w14:paraId="6B54C1FE">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555" w:type="pct"/>
                  <w:tcBorders>
                    <w:tl2br w:val="nil"/>
                    <w:tr2bl w:val="nil"/>
                  </w:tcBorders>
                  <w:noWrap w:val="0"/>
                  <w:vAlign w:val="center"/>
                </w:tcPr>
                <w:p w14:paraId="10B8474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抛丸机</w:t>
                  </w:r>
                  <w:r>
                    <w:rPr>
                      <w:rFonts w:hint="eastAsia" w:ascii="Times New Roman" w:hAnsi="Times New Roman" w:cs="Times New Roman"/>
                      <w:color w:val="auto"/>
                      <w:sz w:val="21"/>
                      <w:szCs w:val="21"/>
                      <w:lang w:val="en-US" w:eastAsia="zh-CN"/>
                    </w:rPr>
                    <w:t>1</w:t>
                  </w:r>
                </w:p>
              </w:tc>
              <w:tc>
                <w:tcPr>
                  <w:tcW w:w="533" w:type="pct"/>
                  <w:tcBorders>
                    <w:tl2br w:val="nil"/>
                    <w:tr2bl w:val="nil"/>
                  </w:tcBorders>
                  <w:noWrap w:val="0"/>
                  <w:vAlign w:val="center"/>
                </w:tcPr>
                <w:p w14:paraId="65EBEB60">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85/1</w:t>
                  </w:r>
                </w:p>
              </w:tc>
              <w:tc>
                <w:tcPr>
                  <w:tcW w:w="501" w:type="pct"/>
                  <w:vMerge w:val="restart"/>
                  <w:tcBorders>
                    <w:tl2br w:val="nil"/>
                    <w:tr2bl w:val="nil"/>
                  </w:tcBorders>
                  <w:noWrap w:val="0"/>
                  <w:vAlign w:val="center"/>
                </w:tcPr>
                <w:p w14:paraId="14CC7271">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基础减振、厂房隔声</w:t>
                  </w:r>
                </w:p>
              </w:tc>
              <w:tc>
                <w:tcPr>
                  <w:tcW w:w="308" w:type="pct"/>
                  <w:tcBorders>
                    <w:tl2br w:val="nil"/>
                    <w:tr2bl w:val="nil"/>
                  </w:tcBorders>
                  <w:noWrap w:val="0"/>
                  <w:vAlign w:val="center"/>
                </w:tcPr>
                <w:p w14:paraId="74EB8B94">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13</w:t>
                  </w:r>
                </w:p>
              </w:tc>
              <w:tc>
                <w:tcPr>
                  <w:tcW w:w="314" w:type="pct"/>
                  <w:tcBorders>
                    <w:tl2br w:val="nil"/>
                    <w:tr2bl w:val="nil"/>
                  </w:tcBorders>
                  <w:noWrap w:val="0"/>
                  <w:vAlign w:val="center"/>
                </w:tcPr>
                <w:p w14:paraId="5C224FD6">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36</w:t>
                  </w:r>
                </w:p>
              </w:tc>
              <w:tc>
                <w:tcPr>
                  <w:tcW w:w="328" w:type="pct"/>
                  <w:tcBorders>
                    <w:tl2br w:val="nil"/>
                    <w:tr2bl w:val="nil"/>
                  </w:tcBorders>
                  <w:noWrap w:val="0"/>
                  <w:vAlign w:val="center"/>
                </w:tcPr>
                <w:p w14:paraId="72C5CEDA">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95" w:type="pct"/>
                  <w:tcBorders>
                    <w:tl2br w:val="nil"/>
                    <w:tr2bl w:val="nil"/>
                  </w:tcBorders>
                  <w:noWrap w:val="0"/>
                  <w:vAlign w:val="center"/>
                </w:tcPr>
                <w:p w14:paraId="6B4AC688">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4</w:t>
                  </w:r>
                </w:p>
              </w:tc>
              <w:tc>
                <w:tcPr>
                  <w:tcW w:w="295" w:type="pct"/>
                  <w:vMerge w:val="restart"/>
                  <w:tcBorders>
                    <w:tl2br w:val="nil"/>
                    <w:tr2bl w:val="nil"/>
                  </w:tcBorders>
                  <w:noWrap w:val="0"/>
                  <w:vAlign w:val="center"/>
                </w:tcPr>
                <w:p w14:paraId="33B3E59B">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昼</w:t>
                  </w:r>
                </w:p>
              </w:tc>
              <w:tc>
                <w:tcPr>
                  <w:tcW w:w="533" w:type="pct"/>
                  <w:tcBorders>
                    <w:tl2br w:val="nil"/>
                    <w:tr2bl w:val="nil"/>
                  </w:tcBorders>
                  <w:noWrap w:val="0"/>
                  <w:vAlign w:val="center"/>
                </w:tcPr>
                <w:p w14:paraId="05961904">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548" w:type="pct"/>
                  <w:tcBorders>
                    <w:tl2br w:val="nil"/>
                    <w:tr2bl w:val="nil"/>
                  </w:tcBorders>
                  <w:shd w:val="clear" w:color="auto" w:fill="auto"/>
                  <w:noWrap w:val="0"/>
                  <w:vAlign w:val="center"/>
                </w:tcPr>
                <w:p w14:paraId="1139D91C">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53</w:t>
                  </w:r>
                </w:p>
              </w:tc>
              <w:tc>
                <w:tcPr>
                  <w:tcW w:w="502" w:type="pct"/>
                  <w:tcBorders>
                    <w:tl2br w:val="nil"/>
                    <w:tr2bl w:val="nil"/>
                  </w:tcBorders>
                  <w:noWrap w:val="0"/>
                  <w:vAlign w:val="center"/>
                </w:tcPr>
                <w:p w14:paraId="4CF63C7F">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r>
            <w:tr w14:paraId="1AF47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84" w:type="pct"/>
                  <w:tcBorders>
                    <w:tl2br w:val="nil"/>
                    <w:tr2bl w:val="nil"/>
                  </w:tcBorders>
                  <w:noWrap w:val="0"/>
                  <w:vAlign w:val="center"/>
                </w:tcPr>
                <w:p w14:paraId="60EEBC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555" w:type="pct"/>
                  <w:tcBorders>
                    <w:tl2br w:val="nil"/>
                    <w:tr2bl w:val="nil"/>
                  </w:tcBorders>
                  <w:noWrap w:val="0"/>
                  <w:vAlign w:val="center"/>
                </w:tcPr>
                <w:p w14:paraId="6F9711C4">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抛丸机</w:t>
                  </w:r>
                  <w:r>
                    <w:rPr>
                      <w:rFonts w:hint="eastAsia" w:cs="Times New Roman"/>
                      <w:color w:val="auto"/>
                      <w:sz w:val="21"/>
                      <w:szCs w:val="21"/>
                      <w:lang w:val="en-US" w:eastAsia="zh-CN"/>
                    </w:rPr>
                    <w:t>2</w:t>
                  </w:r>
                </w:p>
              </w:tc>
              <w:tc>
                <w:tcPr>
                  <w:tcW w:w="533" w:type="pct"/>
                  <w:tcBorders>
                    <w:tl2br w:val="nil"/>
                    <w:tr2bl w:val="nil"/>
                  </w:tcBorders>
                  <w:noWrap w:val="0"/>
                  <w:vAlign w:val="center"/>
                </w:tcPr>
                <w:p w14:paraId="24277199">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85/1</w:t>
                  </w:r>
                </w:p>
              </w:tc>
              <w:tc>
                <w:tcPr>
                  <w:tcW w:w="501" w:type="pct"/>
                  <w:vMerge w:val="continue"/>
                  <w:tcBorders>
                    <w:tl2br w:val="nil"/>
                    <w:tr2bl w:val="nil"/>
                  </w:tcBorders>
                  <w:noWrap w:val="0"/>
                  <w:vAlign w:val="center"/>
                </w:tcPr>
                <w:p w14:paraId="47240C23">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tcBorders>
                    <w:tl2br w:val="nil"/>
                    <w:tr2bl w:val="nil"/>
                  </w:tcBorders>
                  <w:noWrap w:val="0"/>
                  <w:vAlign w:val="center"/>
                </w:tcPr>
                <w:p w14:paraId="35DC0DB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w:t>
                  </w:r>
                </w:p>
              </w:tc>
              <w:tc>
                <w:tcPr>
                  <w:tcW w:w="314" w:type="pct"/>
                  <w:tcBorders>
                    <w:tl2br w:val="nil"/>
                    <w:tr2bl w:val="nil"/>
                  </w:tcBorders>
                  <w:noWrap w:val="0"/>
                  <w:vAlign w:val="center"/>
                </w:tcPr>
                <w:p w14:paraId="51677557">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26</w:t>
                  </w:r>
                </w:p>
              </w:tc>
              <w:tc>
                <w:tcPr>
                  <w:tcW w:w="328" w:type="pct"/>
                  <w:tcBorders>
                    <w:tl2br w:val="nil"/>
                    <w:tr2bl w:val="nil"/>
                  </w:tcBorders>
                  <w:noWrap w:val="0"/>
                  <w:vAlign w:val="center"/>
                </w:tcPr>
                <w:p w14:paraId="71793D8D">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95" w:type="pct"/>
                  <w:tcBorders>
                    <w:tl2br w:val="nil"/>
                    <w:tr2bl w:val="nil"/>
                  </w:tcBorders>
                  <w:noWrap w:val="0"/>
                  <w:vAlign w:val="center"/>
                </w:tcPr>
                <w:p w14:paraId="08E1F51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295" w:type="pct"/>
                  <w:vMerge w:val="continue"/>
                  <w:tcBorders>
                    <w:tl2br w:val="nil"/>
                    <w:tr2bl w:val="nil"/>
                  </w:tcBorders>
                  <w:noWrap w:val="0"/>
                  <w:vAlign w:val="center"/>
                </w:tcPr>
                <w:p w14:paraId="3A86A5B9">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tcBorders>
                    <w:tl2br w:val="nil"/>
                    <w:tr2bl w:val="nil"/>
                  </w:tcBorders>
                  <w:noWrap w:val="0"/>
                  <w:vAlign w:val="center"/>
                </w:tcPr>
                <w:p w14:paraId="1DAF551E">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548" w:type="pct"/>
                  <w:tcBorders>
                    <w:tl2br w:val="nil"/>
                    <w:tr2bl w:val="nil"/>
                  </w:tcBorders>
                  <w:shd w:val="clear" w:color="auto" w:fill="auto"/>
                  <w:noWrap w:val="0"/>
                  <w:vAlign w:val="center"/>
                </w:tcPr>
                <w:p w14:paraId="538300F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53</w:t>
                  </w:r>
                </w:p>
              </w:tc>
              <w:tc>
                <w:tcPr>
                  <w:tcW w:w="502" w:type="pct"/>
                  <w:tcBorders>
                    <w:tl2br w:val="nil"/>
                    <w:tr2bl w:val="nil"/>
                  </w:tcBorders>
                  <w:noWrap w:val="0"/>
                  <w:vAlign w:val="center"/>
                </w:tcPr>
                <w:p w14:paraId="6109C7BE">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r>
            <w:tr w14:paraId="772CB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84" w:type="pct"/>
                  <w:tcBorders>
                    <w:tl2br w:val="nil"/>
                    <w:tr2bl w:val="nil"/>
                  </w:tcBorders>
                  <w:noWrap w:val="0"/>
                  <w:vAlign w:val="center"/>
                </w:tcPr>
                <w:p w14:paraId="6DFD18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p>
              </w:tc>
              <w:tc>
                <w:tcPr>
                  <w:tcW w:w="555" w:type="pct"/>
                  <w:tcBorders>
                    <w:tl2br w:val="nil"/>
                    <w:tr2bl w:val="nil"/>
                  </w:tcBorders>
                  <w:noWrap w:val="0"/>
                  <w:vAlign w:val="center"/>
                </w:tcPr>
                <w:p w14:paraId="6EAB7F54">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抛丸机</w:t>
                  </w:r>
                  <w:r>
                    <w:rPr>
                      <w:rFonts w:hint="eastAsia" w:cs="Times New Roman"/>
                      <w:color w:val="auto"/>
                      <w:sz w:val="21"/>
                      <w:szCs w:val="21"/>
                      <w:lang w:val="en-US" w:eastAsia="zh-CN"/>
                    </w:rPr>
                    <w:t>3</w:t>
                  </w:r>
                </w:p>
              </w:tc>
              <w:tc>
                <w:tcPr>
                  <w:tcW w:w="533" w:type="pct"/>
                  <w:tcBorders>
                    <w:tl2br w:val="nil"/>
                    <w:tr2bl w:val="nil"/>
                  </w:tcBorders>
                  <w:noWrap w:val="0"/>
                  <w:vAlign w:val="center"/>
                </w:tcPr>
                <w:p w14:paraId="021CE405">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85/1</w:t>
                  </w:r>
                </w:p>
              </w:tc>
              <w:tc>
                <w:tcPr>
                  <w:tcW w:w="501" w:type="pct"/>
                  <w:vMerge w:val="continue"/>
                  <w:tcBorders>
                    <w:tl2br w:val="nil"/>
                    <w:tr2bl w:val="nil"/>
                  </w:tcBorders>
                  <w:noWrap w:val="0"/>
                  <w:vAlign w:val="center"/>
                </w:tcPr>
                <w:p w14:paraId="6927BB89">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tcBorders>
                    <w:tl2br w:val="nil"/>
                    <w:tr2bl w:val="nil"/>
                  </w:tcBorders>
                  <w:noWrap w:val="0"/>
                  <w:vAlign w:val="center"/>
                </w:tcPr>
                <w:p w14:paraId="08390150">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w:t>
                  </w:r>
                </w:p>
              </w:tc>
              <w:tc>
                <w:tcPr>
                  <w:tcW w:w="314" w:type="pct"/>
                  <w:tcBorders>
                    <w:tl2br w:val="nil"/>
                    <w:tr2bl w:val="nil"/>
                  </w:tcBorders>
                  <w:noWrap w:val="0"/>
                  <w:vAlign w:val="center"/>
                </w:tcPr>
                <w:p w14:paraId="08DEF87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23</w:t>
                  </w:r>
                </w:p>
              </w:tc>
              <w:tc>
                <w:tcPr>
                  <w:tcW w:w="328" w:type="pct"/>
                  <w:tcBorders>
                    <w:tl2br w:val="nil"/>
                    <w:tr2bl w:val="nil"/>
                  </w:tcBorders>
                  <w:noWrap w:val="0"/>
                  <w:vAlign w:val="center"/>
                </w:tcPr>
                <w:p w14:paraId="043F723A">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95" w:type="pct"/>
                  <w:tcBorders>
                    <w:tl2br w:val="nil"/>
                    <w:tr2bl w:val="nil"/>
                  </w:tcBorders>
                  <w:noWrap w:val="0"/>
                  <w:vAlign w:val="center"/>
                </w:tcPr>
                <w:p w14:paraId="16454A8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295" w:type="pct"/>
                  <w:vMerge w:val="continue"/>
                  <w:tcBorders>
                    <w:tl2br w:val="nil"/>
                    <w:tr2bl w:val="nil"/>
                  </w:tcBorders>
                  <w:noWrap w:val="0"/>
                  <w:vAlign w:val="center"/>
                </w:tcPr>
                <w:p w14:paraId="718D54A5">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tcBorders>
                    <w:tl2br w:val="nil"/>
                    <w:tr2bl w:val="nil"/>
                  </w:tcBorders>
                  <w:noWrap w:val="0"/>
                  <w:vAlign w:val="center"/>
                </w:tcPr>
                <w:p w14:paraId="166B503F">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548" w:type="pct"/>
                  <w:tcBorders>
                    <w:tl2br w:val="nil"/>
                    <w:tr2bl w:val="nil"/>
                  </w:tcBorders>
                  <w:shd w:val="clear" w:color="auto" w:fill="auto"/>
                  <w:noWrap w:val="0"/>
                  <w:vAlign w:val="center"/>
                </w:tcPr>
                <w:p w14:paraId="34E19118">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53</w:t>
                  </w:r>
                </w:p>
              </w:tc>
              <w:tc>
                <w:tcPr>
                  <w:tcW w:w="502" w:type="pct"/>
                  <w:tcBorders>
                    <w:tl2br w:val="nil"/>
                    <w:tr2bl w:val="nil"/>
                  </w:tcBorders>
                  <w:noWrap w:val="0"/>
                  <w:vAlign w:val="center"/>
                </w:tcPr>
                <w:p w14:paraId="2EBFE29E">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r>
            <w:tr w14:paraId="2FFD12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tcBorders>
                    <w:tl2br w:val="nil"/>
                    <w:tr2bl w:val="nil"/>
                  </w:tcBorders>
                  <w:noWrap w:val="0"/>
                  <w:vAlign w:val="center"/>
                </w:tcPr>
                <w:p w14:paraId="712416F0">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555" w:type="pct"/>
                  <w:tcBorders>
                    <w:tl2br w:val="nil"/>
                    <w:tr2bl w:val="nil"/>
                  </w:tcBorders>
                  <w:noWrap w:val="0"/>
                  <w:vAlign w:val="center"/>
                </w:tcPr>
                <w:p w14:paraId="7FE8E898">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lang w:val="en-US" w:eastAsia="zh-CN"/>
                    </w:rPr>
                    <w:t>静电喷塑机1</w:t>
                  </w:r>
                </w:p>
              </w:tc>
              <w:tc>
                <w:tcPr>
                  <w:tcW w:w="533" w:type="pct"/>
                  <w:tcBorders>
                    <w:tl2br w:val="nil"/>
                    <w:tr2bl w:val="nil"/>
                  </w:tcBorders>
                  <w:noWrap w:val="0"/>
                  <w:vAlign w:val="center"/>
                </w:tcPr>
                <w:p w14:paraId="039EC6B4">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75/1</w:t>
                  </w:r>
                </w:p>
              </w:tc>
              <w:tc>
                <w:tcPr>
                  <w:tcW w:w="501" w:type="pct"/>
                  <w:vMerge w:val="restart"/>
                  <w:tcBorders>
                    <w:tl2br w:val="nil"/>
                    <w:tr2bl w:val="nil"/>
                  </w:tcBorders>
                  <w:noWrap w:val="0"/>
                  <w:vAlign w:val="center"/>
                </w:tcPr>
                <w:p w14:paraId="6F1EAB67">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静电喷涂室隔声、厂房隔声</w:t>
                  </w:r>
                </w:p>
              </w:tc>
              <w:tc>
                <w:tcPr>
                  <w:tcW w:w="308" w:type="pct"/>
                  <w:tcBorders>
                    <w:tl2br w:val="nil"/>
                    <w:tr2bl w:val="nil"/>
                  </w:tcBorders>
                  <w:noWrap w:val="0"/>
                  <w:vAlign w:val="center"/>
                </w:tcPr>
                <w:p w14:paraId="32A37F31">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8</w:t>
                  </w:r>
                  <w:r>
                    <w:rPr>
                      <w:rFonts w:hint="default" w:ascii="Times New Roman" w:hAnsi="Times New Roman" w:cs="Times New Roman"/>
                      <w:color w:val="auto"/>
                      <w:kern w:val="2"/>
                      <w:sz w:val="21"/>
                      <w:szCs w:val="21"/>
                      <w:vertAlign w:val="baseline"/>
                      <w:lang w:val="en-US" w:eastAsia="zh-CN" w:bidi="ar-SA"/>
                    </w:rPr>
                    <w:t>9</w:t>
                  </w:r>
                </w:p>
              </w:tc>
              <w:tc>
                <w:tcPr>
                  <w:tcW w:w="314" w:type="pct"/>
                  <w:tcBorders>
                    <w:tl2br w:val="nil"/>
                    <w:tr2bl w:val="nil"/>
                  </w:tcBorders>
                  <w:noWrap w:val="0"/>
                  <w:vAlign w:val="center"/>
                </w:tcPr>
                <w:p w14:paraId="1E02BBB2">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45</w:t>
                  </w:r>
                </w:p>
              </w:tc>
              <w:tc>
                <w:tcPr>
                  <w:tcW w:w="328" w:type="pct"/>
                  <w:tcBorders>
                    <w:tl2br w:val="nil"/>
                    <w:tr2bl w:val="nil"/>
                  </w:tcBorders>
                  <w:noWrap w:val="0"/>
                  <w:vAlign w:val="center"/>
                </w:tcPr>
                <w:p w14:paraId="057E1F19">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w:t>
                  </w:r>
                </w:p>
              </w:tc>
              <w:tc>
                <w:tcPr>
                  <w:tcW w:w="295" w:type="pct"/>
                  <w:tcBorders>
                    <w:tl2br w:val="nil"/>
                    <w:tr2bl w:val="nil"/>
                  </w:tcBorders>
                  <w:noWrap w:val="0"/>
                  <w:vAlign w:val="center"/>
                </w:tcPr>
                <w:p w14:paraId="6E517D7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11</w:t>
                  </w:r>
                </w:p>
              </w:tc>
              <w:tc>
                <w:tcPr>
                  <w:tcW w:w="295" w:type="pct"/>
                  <w:vMerge w:val="continue"/>
                  <w:tcBorders>
                    <w:tl2br w:val="nil"/>
                    <w:tr2bl w:val="nil"/>
                  </w:tcBorders>
                  <w:noWrap w:val="0"/>
                  <w:vAlign w:val="center"/>
                </w:tcPr>
                <w:p w14:paraId="18F904F7">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tcBorders>
                    <w:tl2br w:val="nil"/>
                    <w:tr2bl w:val="nil"/>
                  </w:tcBorders>
                  <w:noWrap w:val="0"/>
                  <w:vAlign w:val="center"/>
                </w:tcPr>
                <w:p w14:paraId="26427B06">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20</w:t>
                  </w:r>
                </w:p>
              </w:tc>
              <w:tc>
                <w:tcPr>
                  <w:tcW w:w="548" w:type="pct"/>
                  <w:tcBorders>
                    <w:tl2br w:val="nil"/>
                    <w:tr2bl w:val="nil"/>
                  </w:tcBorders>
                  <w:shd w:val="clear" w:color="auto" w:fill="auto"/>
                  <w:noWrap w:val="0"/>
                  <w:vAlign w:val="center"/>
                </w:tcPr>
                <w:p w14:paraId="77160205">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34</w:t>
                  </w:r>
                </w:p>
              </w:tc>
              <w:tc>
                <w:tcPr>
                  <w:tcW w:w="502" w:type="pct"/>
                  <w:tcBorders>
                    <w:tl2br w:val="nil"/>
                    <w:tr2bl w:val="nil"/>
                  </w:tcBorders>
                  <w:noWrap w:val="0"/>
                  <w:vAlign w:val="center"/>
                </w:tcPr>
                <w:p w14:paraId="78DDCF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1</w:t>
                  </w:r>
                </w:p>
              </w:tc>
            </w:tr>
            <w:tr w14:paraId="49F90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tcBorders>
                    <w:tl2br w:val="nil"/>
                    <w:tr2bl w:val="nil"/>
                  </w:tcBorders>
                  <w:shd w:val="clear" w:color="auto" w:fill="auto"/>
                  <w:noWrap w:val="0"/>
                  <w:vAlign w:val="center"/>
                </w:tcPr>
                <w:p w14:paraId="3C268B7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5</w:t>
                  </w:r>
                </w:p>
              </w:tc>
              <w:tc>
                <w:tcPr>
                  <w:tcW w:w="555" w:type="pct"/>
                  <w:tcBorders>
                    <w:tl2br w:val="nil"/>
                    <w:tr2bl w:val="nil"/>
                  </w:tcBorders>
                  <w:noWrap w:val="0"/>
                  <w:vAlign w:val="center"/>
                </w:tcPr>
                <w:p w14:paraId="7D361C68">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静电喷塑机2</w:t>
                  </w:r>
                </w:p>
              </w:tc>
              <w:tc>
                <w:tcPr>
                  <w:tcW w:w="533" w:type="pct"/>
                  <w:tcBorders>
                    <w:tl2br w:val="nil"/>
                    <w:tr2bl w:val="nil"/>
                  </w:tcBorders>
                  <w:noWrap w:val="0"/>
                  <w:vAlign w:val="center"/>
                </w:tcPr>
                <w:p w14:paraId="233A8040">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75/1</w:t>
                  </w:r>
                </w:p>
              </w:tc>
              <w:tc>
                <w:tcPr>
                  <w:tcW w:w="501" w:type="pct"/>
                  <w:vMerge w:val="continue"/>
                  <w:tcBorders>
                    <w:tl2br w:val="nil"/>
                    <w:tr2bl w:val="nil"/>
                  </w:tcBorders>
                  <w:noWrap w:val="0"/>
                  <w:vAlign w:val="center"/>
                </w:tcPr>
                <w:p w14:paraId="6BD77E1D">
                  <w:pPr>
                    <w:adjustRightInd w:val="0"/>
                    <w:snapToGrid w:val="0"/>
                    <w:spacing w:line="240" w:lineRule="auto"/>
                    <w:jc w:val="center"/>
                    <w:rPr>
                      <w:rFonts w:hint="default" w:ascii="Times New Roman" w:hAnsi="Times New Roman" w:cs="Times New Roman"/>
                      <w:color w:val="auto"/>
                      <w:kern w:val="2"/>
                      <w:sz w:val="21"/>
                      <w:szCs w:val="21"/>
                      <w:vertAlign w:val="baseline"/>
                      <w:lang w:val="en-US" w:eastAsia="zh-CN" w:bidi="ar-SA"/>
                    </w:rPr>
                  </w:pPr>
                </w:p>
              </w:tc>
              <w:tc>
                <w:tcPr>
                  <w:tcW w:w="308" w:type="pct"/>
                  <w:tcBorders>
                    <w:tl2br w:val="nil"/>
                    <w:tr2bl w:val="nil"/>
                  </w:tcBorders>
                  <w:noWrap w:val="0"/>
                  <w:vAlign w:val="center"/>
                </w:tcPr>
                <w:p w14:paraId="6EE6164C">
                  <w:pPr>
                    <w:adjustRightInd w:val="0"/>
                    <w:snapToGrid w:val="0"/>
                    <w:spacing w:line="240" w:lineRule="auto"/>
                    <w:jc w:val="center"/>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89</w:t>
                  </w:r>
                </w:p>
              </w:tc>
              <w:tc>
                <w:tcPr>
                  <w:tcW w:w="314" w:type="pct"/>
                  <w:tcBorders>
                    <w:tl2br w:val="nil"/>
                    <w:tr2bl w:val="nil"/>
                  </w:tcBorders>
                  <w:noWrap w:val="0"/>
                  <w:vAlign w:val="center"/>
                </w:tcPr>
                <w:p w14:paraId="38E61367">
                  <w:pPr>
                    <w:adjustRightInd w:val="0"/>
                    <w:snapToGrid w:val="0"/>
                    <w:spacing w:line="240" w:lineRule="auto"/>
                    <w:jc w:val="center"/>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40</w:t>
                  </w:r>
                </w:p>
              </w:tc>
              <w:tc>
                <w:tcPr>
                  <w:tcW w:w="328" w:type="pct"/>
                  <w:tcBorders>
                    <w:tl2br w:val="nil"/>
                    <w:tr2bl w:val="nil"/>
                  </w:tcBorders>
                  <w:noWrap w:val="0"/>
                  <w:vAlign w:val="center"/>
                </w:tcPr>
                <w:p w14:paraId="0C9760DC">
                  <w:pPr>
                    <w:adjustRightInd w:val="0"/>
                    <w:snapToGrid w:val="0"/>
                    <w:spacing w:line="240" w:lineRule="auto"/>
                    <w:jc w:val="center"/>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c>
                <w:tcPr>
                  <w:tcW w:w="295" w:type="pct"/>
                  <w:tcBorders>
                    <w:tl2br w:val="nil"/>
                    <w:tr2bl w:val="nil"/>
                  </w:tcBorders>
                  <w:noWrap w:val="0"/>
                  <w:vAlign w:val="center"/>
                </w:tcPr>
                <w:p w14:paraId="1FF605D3">
                  <w:pPr>
                    <w:adjustRightInd w:val="0"/>
                    <w:snapToGrid w:val="0"/>
                    <w:spacing w:line="240" w:lineRule="auto"/>
                    <w:jc w:val="center"/>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11</w:t>
                  </w:r>
                </w:p>
              </w:tc>
              <w:tc>
                <w:tcPr>
                  <w:tcW w:w="295" w:type="pct"/>
                  <w:vMerge w:val="continue"/>
                  <w:tcBorders>
                    <w:tl2br w:val="nil"/>
                    <w:tr2bl w:val="nil"/>
                  </w:tcBorders>
                  <w:noWrap w:val="0"/>
                  <w:vAlign w:val="center"/>
                </w:tcPr>
                <w:p w14:paraId="7829960E">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tcBorders>
                    <w:tl2br w:val="nil"/>
                    <w:tr2bl w:val="nil"/>
                  </w:tcBorders>
                  <w:noWrap w:val="0"/>
                  <w:vAlign w:val="center"/>
                </w:tcPr>
                <w:p w14:paraId="21EEB9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20</w:t>
                  </w:r>
                </w:p>
              </w:tc>
              <w:tc>
                <w:tcPr>
                  <w:tcW w:w="548" w:type="pct"/>
                  <w:tcBorders>
                    <w:tl2br w:val="nil"/>
                    <w:tr2bl w:val="nil"/>
                  </w:tcBorders>
                  <w:shd w:val="clear" w:color="auto" w:fill="auto"/>
                  <w:noWrap w:val="0"/>
                  <w:vAlign w:val="center"/>
                </w:tcPr>
                <w:p w14:paraId="58AAB13E">
                  <w:pPr>
                    <w:adjustRightInd w:val="0"/>
                    <w:snapToGrid w:val="0"/>
                    <w:spacing w:line="240" w:lineRule="auto"/>
                    <w:jc w:val="center"/>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34</w:t>
                  </w:r>
                </w:p>
              </w:tc>
              <w:tc>
                <w:tcPr>
                  <w:tcW w:w="502" w:type="pct"/>
                  <w:tcBorders>
                    <w:tl2br w:val="nil"/>
                    <w:tr2bl w:val="nil"/>
                  </w:tcBorders>
                  <w:noWrap w:val="0"/>
                  <w:vAlign w:val="center"/>
                </w:tcPr>
                <w:p w14:paraId="24DF2703">
                  <w:pPr>
                    <w:keepNext w:val="0"/>
                    <w:keepLines w:val="0"/>
                    <w:widowControl/>
                    <w:suppressLineNumbers w:val="0"/>
                    <w:jc w:val="center"/>
                    <w:textAlignment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r>
            <w:tr w14:paraId="77914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tcBorders>
                    <w:tl2br w:val="nil"/>
                    <w:tr2bl w:val="nil"/>
                  </w:tcBorders>
                  <w:shd w:val="clear" w:color="auto" w:fill="auto"/>
                  <w:noWrap w:val="0"/>
                  <w:vAlign w:val="center"/>
                </w:tcPr>
                <w:p w14:paraId="38CF4F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w:t>
                  </w:r>
                </w:p>
              </w:tc>
              <w:tc>
                <w:tcPr>
                  <w:tcW w:w="555" w:type="pct"/>
                  <w:tcBorders>
                    <w:tl2br w:val="nil"/>
                    <w:tr2bl w:val="nil"/>
                  </w:tcBorders>
                  <w:noWrap w:val="0"/>
                  <w:vAlign w:val="center"/>
                </w:tcPr>
                <w:p w14:paraId="0267A947">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空气压缩机</w:t>
                  </w:r>
                  <w:r>
                    <w:rPr>
                      <w:rFonts w:hint="eastAsia" w:ascii="Times New Roman" w:hAnsi="Times New Roman" w:cs="Times New Roman"/>
                      <w:color w:val="auto"/>
                      <w:sz w:val="21"/>
                      <w:szCs w:val="21"/>
                      <w:lang w:val="en-US" w:eastAsia="zh-CN"/>
                    </w:rPr>
                    <w:t>1</w:t>
                  </w:r>
                </w:p>
              </w:tc>
              <w:tc>
                <w:tcPr>
                  <w:tcW w:w="533" w:type="pct"/>
                  <w:tcBorders>
                    <w:tl2br w:val="nil"/>
                    <w:tr2bl w:val="nil"/>
                  </w:tcBorders>
                  <w:noWrap w:val="0"/>
                  <w:vAlign w:val="center"/>
                </w:tcPr>
                <w:p w14:paraId="3F887380">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restart"/>
                  <w:tcBorders>
                    <w:tl2br w:val="nil"/>
                    <w:tr2bl w:val="nil"/>
                  </w:tcBorders>
                  <w:noWrap w:val="0"/>
                  <w:vAlign w:val="center"/>
                </w:tcPr>
                <w:p w14:paraId="4B00BC9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基础减振、厂房隔声</w:t>
                  </w:r>
                </w:p>
              </w:tc>
              <w:tc>
                <w:tcPr>
                  <w:tcW w:w="308" w:type="pct"/>
                  <w:tcBorders>
                    <w:tl2br w:val="nil"/>
                    <w:tr2bl w:val="nil"/>
                  </w:tcBorders>
                  <w:noWrap w:val="0"/>
                  <w:vAlign w:val="center"/>
                </w:tcPr>
                <w:p w14:paraId="4DD82855">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82</w:t>
                  </w:r>
                </w:p>
              </w:tc>
              <w:tc>
                <w:tcPr>
                  <w:tcW w:w="314" w:type="pct"/>
                  <w:tcBorders>
                    <w:tl2br w:val="nil"/>
                    <w:tr2bl w:val="nil"/>
                  </w:tcBorders>
                  <w:noWrap w:val="0"/>
                  <w:vAlign w:val="center"/>
                </w:tcPr>
                <w:p w14:paraId="269AF25F">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52</w:t>
                  </w:r>
                </w:p>
              </w:tc>
              <w:tc>
                <w:tcPr>
                  <w:tcW w:w="328" w:type="pct"/>
                  <w:tcBorders>
                    <w:tl2br w:val="nil"/>
                    <w:tr2bl w:val="nil"/>
                  </w:tcBorders>
                  <w:noWrap w:val="0"/>
                  <w:vAlign w:val="center"/>
                </w:tcPr>
                <w:p w14:paraId="08D7309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95" w:type="pct"/>
                  <w:tcBorders>
                    <w:tl2br w:val="nil"/>
                    <w:tr2bl w:val="nil"/>
                  </w:tcBorders>
                  <w:noWrap w:val="0"/>
                  <w:vAlign w:val="center"/>
                </w:tcPr>
                <w:p w14:paraId="54FAC11F">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5</w:t>
                  </w:r>
                </w:p>
              </w:tc>
              <w:tc>
                <w:tcPr>
                  <w:tcW w:w="295" w:type="pct"/>
                  <w:vMerge w:val="continue"/>
                  <w:tcBorders>
                    <w:tl2br w:val="nil"/>
                    <w:tr2bl w:val="nil"/>
                  </w:tcBorders>
                  <w:noWrap w:val="0"/>
                  <w:vAlign w:val="center"/>
                </w:tcPr>
                <w:p w14:paraId="35DD4942">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tcBorders>
                    <w:tl2br w:val="nil"/>
                    <w:tr2bl w:val="nil"/>
                  </w:tcBorders>
                  <w:noWrap w:val="0"/>
                  <w:vAlign w:val="center"/>
                </w:tcPr>
                <w:p w14:paraId="4A91593E">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i w:val="0"/>
                      <w:iCs w:val="0"/>
                      <w:color w:val="auto"/>
                      <w:kern w:val="0"/>
                      <w:sz w:val="22"/>
                      <w:szCs w:val="22"/>
                      <w:u w:val="none"/>
                      <w:lang w:val="en-US" w:eastAsia="zh-CN" w:bidi="ar"/>
                    </w:rPr>
                    <w:t>20</w:t>
                  </w:r>
                </w:p>
              </w:tc>
              <w:tc>
                <w:tcPr>
                  <w:tcW w:w="548" w:type="pct"/>
                  <w:tcBorders>
                    <w:tl2br w:val="nil"/>
                    <w:tr2bl w:val="nil"/>
                  </w:tcBorders>
                  <w:shd w:val="clear" w:color="auto" w:fill="auto"/>
                  <w:noWrap w:val="0"/>
                  <w:vAlign w:val="center"/>
                </w:tcPr>
                <w:p w14:paraId="5C91E436">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56</w:t>
                  </w:r>
                </w:p>
              </w:tc>
              <w:tc>
                <w:tcPr>
                  <w:tcW w:w="502" w:type="pct"/>
                  <w:tcBorders>
                    <w:tl2br w:val="nil"/>
                    <w:tr2bl w:val="nil"/>
                  </w:tcBorders>
                  <w:noWrap w:val="0"/>
                  <w:vAlign w:val="center"/>
                </w:tcPr>
                <w:p w14:paraId="5B27B37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1</w:t>
                  </w:r>
                </w:p>
              </w:tc>
            </w:tr>
            <w:tr w14:paraId="70606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tcBorders>
                    <w:tl2br w:val="nil"/>
                    <w:tr2bl w:val="nil"/>
                  </w:tcBorders>
                  <w:shd w:val="clear" w:color="auto" w:fill="auto"/>
                  <w:noWrap w:val="0"/>
                  <w:vAlign w:val="center"/>
                </w:tcPr>
                <w:p w14:paraId="59CA3E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w:t>
                  </w:r>
                </w:p>
              </w:tc>
              <w:tc>
                <w:tcPr>
                  <w:tcW w:w="555" w:type="pct"/>
                  <w:tcBorders>
                    <w:tl2br w:val="nil"/>
                    <w:tr2bl w:val="nil"/>
                  </w:tcBorders>
                  <w:noWrap w:val="0"/>
                  <w:vAlign w:val="center"/>
                </w:tcPr>
                <w:p w14:paraId="26F93DFB">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空气压缩机</w:t>
                  </w:r>
                  <w:r>
                    <w:rPr>
                      <w:rFonts w:hint="eastAsia" w:ascii="Times New Roman" w:hAnsi="Times New Roman" w:cs="Times New Roman"/>
                      <w:color w:val="auto"/>
                      <w:sz w:val="21"/>
                      <w:szCs w:val="21"/>
                      <w:lang w:val="en-US" w:eastAsia="zh-CN"/>
                    </w:rPr>
                    <w:t>2</w:t>
                  </w:r>
                </w:p>
              </w:tc>
              <w:tc>
                <w:tcPr>
                  <w:tcW w:w="533" w:type="pct"/>
                  <w:tcBorders>
                    <w:tl2br w:val="nil"/>
                    <w:tr2bl w:val="nil"/>
                  </w:tcBorders>
                  <w:noWrap w:val="0"/>
                  <w:vAlign w:val="center"/>
                </w:tcPr>
                <w:p w14:paraId="658FE2EE">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continue"/>
                  <w:tcBorders>
                    <w:tl2br w:val="nil"/>
                    <w:tr2bl w:val="nil"/>
                  </w:tcBorders>
                  <w:noWrap w:val="0"/>
                  <w:vAlign w:val="center"/>
                </w:tcPr>
                <w:p w14:paraId="7D8CF29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tcBorders>
                    <w:tl2br w:val="nil"/>
                    <w:tr2bl w:val="nil"/>
                  </w:tcBorders>
                  <w:noWrap w:val="0"/>
                  <w:vAlign w:val="center"/>
                </w:tcPr>
                <w:p w14:paraId="3AAAC605">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57</w:t>
                  </w:r>
                </w:p>
              </w:tc>
              <w:tc>
                <w:tcPr>
                  <w:tcW w:w="314" w:type="pct"/>
                  <w:tcBorders>
                    <w:tl2br w:val="nil"/>
                    <w:tr2bl w:val="nil"/>
                  </w:tcBorders>
                  <w:noWrap w:val="0"/>
                  <w:vAlign w:val="center"/>
                </w:tcPr>
                <w:p w14:paraId="7B00892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18</w:t>
                  </w:r>
                </w:p>
              </w:tc>
              <w:tc>
                <w:tcPr>
                  <w:tcW w:w="328" w:type="pct"/>
                  <w:tcBorders>
                    <w:tl2br w:val="nil"/>
                    <w:tr2bl w:val="nil"/>
                  </w:tcBorders>
                  <w:noWrap w:val="0"/>
                  <w:vAlign w:val="center"/>
                </w:tcPr>
                <w:p w14:paraId="23CCCD8C">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95" w:type="pct"/>
                  <w:tcBorders>
                    <w:tl2br w:val="nil"/>
                    <w:tr2bl w:val="nil"/>
                  </w:tcBorders>
                  <w:noWrap w:val="0"/>
                  <w:vAlign w:val="center"/>
                </w:tcPr>
                <w:p w14:paraId="3D78ED56">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34</w:t>
                  </w:r>
                </w:p>
              </w:tc>
              <w:tc>
                <w:tcPr>
                  <w:tcW w:w="295" w:type="pct"/>
                  <w:vMerge w:val="continue"/>
                  <w:tcBorders>
                    <w:tl2br w:val="nil"/>
                    <w:tr2bl w:val="nil"/>
                  </w:tcBorders>
                  <w:noWrap w:val="0"/>
                  <w:vAlign w:val="center"/>
                </w:tcPr>
                <w:p w14:paraId="00FFE4DE">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tcBorders>
                    <w:tl2br w:val="nil"/>
                    <w:tr2bl w:val="nil"/>
                  </w:tcBorders>
                  <w:noWrap w:val="0"/>
                  <w:vAlign w:val="center"/>
                </w:tcPr>
                <w:p w14:paraId="708BCB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20</w:t>
                  </w:r>
                </w:p>
              </w:tc>
              <w:tc>
                <w:tcPr>
                  <w:tcW w:w="548" w:type="pct"/>
                  <w:tcBorders>
                    <w:tl2br w:val="nil"/>
                    <w:tr2bl w:val="nil"/>
                  </w:tcBorders>
                  <w:shd w:val="clear" w:color="auto" w:fill="auto"/>
                  <w:noWrap w:val="0"/>
                  <w:vAlign w:val="center"/>
                </w:tcPr>
                <w:p w14:paraId="492E8AF3">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40</w:t>
                  </w:r>
                </w:p>
              </w:tc>
              <w:tc>
                <w:tcPr>
                  <w:tcW w:w="502" w:type="pct"/>
                  <w:tcBorders>
                    <w:tl2br w:val="nil"/>
                    <w:tr2bl w:val="nil"/>
                  </w:tcBorders>
                  <w:noWrap w:val="0"/>
                  <w:vAlign w:val="center"/>
                </w:tcPr>
                <w:p w14:paraId="0F25D7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w:t>
                  </w:r>
                </w:p>
              </w:tc>
            </w:tr>
            <w:tr w14:paraId="7569D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tcBorders>
                    <w:tl2br w:val="nil"/>
                    <w:tr2bl w:val="nil"/>
                  </w:tcBorders>
                  <w:shd w:val="clear" w:color="auto" w:fill="auto"/>
                  <w:noWrap w:val="0"/>
                  <w:vAlign w:val="center"/>
                </w:tcPr>
                <w:p w14:paraId="104C158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8</w:t>
                  </w:r>
                </w:p>
              </w:tc>
              <w:tc>
                <w:tcPr>
                  <w:tcW w:w="555" w:type="pct"/>
                  <w:tcBorders>
                    <w:tl2br w:val="nil"/>
                    <w:tr2bl w:val="nil"/>
                  </w:tcBorders>
                  <w:noWrap w:val="0"/>
                  <w:vAlign w:val="center"/>
                </w:tcPr>
                <w:p w14:paraId="1B4923D7">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空气压缩机</w:t>
                  </w:r>
                  <w:r>
                    <w:rPr>
                      <w:rFonts w:hint="eastAsia" w:ascii="Times New Roman" w:hAnsi="Times New Roman" w:cs="Times New Roman"/>
                      <w:color w:val="auto"/>
                      <w:sz w:val="21"/>
                      <w:szCs w:val="21"/>
                      <w:lang w:val="en-US" w:eastAsia="zh-CN"/>
                    </w:rPr>
                    <w:t>3</w:t>
                  </w:r>
                </w:p>
              </w:tc>
              <w:tc>
                <w:tcPr>
                  <w:tcW w:w="533" w:type="pct"/>
                  <w:tcBorders>
                    <w:tl2br w:val="nil"/>
                    <w:tr2bl w:val="nil"/>
                  </w:tcBorders>
                  <w:noWrap w:val="0"/>
                  <w:vAlign w:val="center"/>
                </w:tcPr>
                <w:p w14:paraId="3CB28B57">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continue"/>
                  <w:tcBorders>
                    <w:tl2br w:val="nil"/>
                    <w:tr2bl w:val="nil"/>
                  </w:tcBorders>
                  <w:noWrap w:val="0"/>
                  <w:vAlign w:val="center"/>
                </w:tcPr>
                <w:p w14:paraId="67D26381">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tcBorders>
                    <w:tl2br w:val="nil"/>
                    <w:tr2bl w:val="nil"/>
                  </w:tcBorders>
                  <w:noWrap w:val="0"/>
                  <w:vAlign w:val="center"/>
                </w:tcPr>
                <w:p w14:paraId="08D7D590">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28</w:t>
                  </w:r>
                </w:p>
              </w:tc>
              <w:tc>
                <w:tcPr>
                  <w:tcW w:w="314" w:type="pct"/>
                  <w:tcBorders>
                    <w:tl2br w:val="nil"/>
                    <w:tr2bl w:val="nil"/>
                  </w:tcBorders>
                  <w:noWrap w:val="0"/>
                  <w:vAlign w:val="center"/>
                </w:tcPr>
                <w:p w14:paraId="11D96EA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21</w:t>
                  </w:r>
                </w:p>
              </w:tc>
              <w:tc>
                <w:tcPr>
                  <w:tcW w:w="328" w:type="pct"/>
                  <w:tcBorders>
                    <w:tl2br w:val="nil"/>
                    <w:tr2bl w:val="nil"/>
                  </w:tcBorders>
                  <w:noWrap w:val="0"/>
                  <w:vAlign w:val="center"/>
                </w:tcPr>
                <w:p w14:paraId="4F97A489">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95" w:type="pct"/>
                  <w:tcBorders>
                    <w:tl2br w:val="nil"/>
                    <w:tr2bl w:val="nil"/>
                  </w:tcBorders>
                  <w:noWrap w:val="0"/>
                  <w:vAlign w:val="center"/>
                </w:tcPr>
                <w:p w14:paraId="50DD7880">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295" w:type="pct"/>
                  <w:vMerge w:val="continue"/>
                  <w:tcBorders>
                    <w:tl2br w:val="nil"/>
                    <w:tr2bl w:val="nil"/>
                  </w:tcBorders>
                  <w:noWrap w:val="0"/>
                  <w:vAlign w:val="center"/>
                </w:tcPr>
                <w:p w14:paraId="733F240E">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tcBorders>
                    <w:tl2br w:val="nil"/>
                    <w:tr2bl w:val="nil"/>
                  </w:tcBorders>
                  <w:noWrap w:val="0"/>
                  <w:vAlign w:val="center"/>
                </w:tcPr>
                <w:p w14:paraId="345C9E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20</w:t>
                  </w:r>
                </w:p>
              </w:tc>
              <w:tc>
                <w:tcPr>
                  <w:tcW w:w="548" w:type="pct"/>
                  <w:tcBorders>
                    <w:tl2br w:val="nil"/>
                    <w:tr2bl w:val="nil"/>
                  </w:tcBorders>
                  <w:shd w:val="clear" w:color="auto" w:fill="auto"/>
                  <w:noWrap w:val="0"/>
                  <w:vAlign w:val="center"/>
                </w:tcPr>
                <w:p w14:paraId="309C4395">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44</w:t>
                  </w:r>
                </w:p>
              </w:tc>
              <w:tc>
                <w:tcPr>
                  <w:tcW w:w="502" w:type="pct"/>
                  <w:tcBorders>
                    <w:tl2br w:val="nil"/>
                    <w:tr2bl w:val="nil"/>
                  </w:tcBorders>
                  <w:noWrap w:val="0"/>
                  <w:vAlign w:val="center"/>
                </w:tcPr>
                <w:p w14:paraId="6A1C922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1</w:t>
                  </w:r>
                </w:p>
              </w:tc>
            </w:tr>
            <w:tr w14:paraId="5AE01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tcBorders>
                    <w:tl2br w:val="nil"/>
                    <w:tr2bl w:val="nil"/>
                  </w:tcBorders>
                  <w:shd w:val="clear" w:color="auto" w:fill="auto"/>
                  <w:noWrap w:val="0"/>
                  <w:vAlign w:val="center"/>
                </w:tcPr>
                <w:p w14:paraId="5265071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9</w:t>
                  </w:r>
                </w:p>
              </w:tc>
              <w:tc>
                <w:tcPr>
                  <w:tcW w:w="555" w:type="pct"/>
                  <w:tcBorders>
                    <w:tl2br w:val="nil"/>
                    <w:tr2bl w:val="nil"/>
                  </w:tcBorders>
                  <w:noWrap w:val="0"/>
                  <w:vAlign w:val="center"/>
                </w:tcPr>
                <w:p w14:paraId="091C9F6F">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环保设备风机1</w:t>
                  </w:r>
                </w:p>
              </w:tc>
              <w:tc>
                <w:tcPr>
                  <w:tcW w:w="533" w:type="pct"/>
                  <w:tcBorders>
                    <w:tl2br w:val="nil"/>
                    <w:tr2bl w:val="nil"/>
                  </w:tcBorders>
                  <w:noWrap w:val="0"/>
                  <w:vAlign w:val="center"/>
                </w:tcPr>
                <w:p w14:paraId="54A94C59">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restart"/>
                  <w:tcBorders>
                    <w:tl2br w:val="nil"/>
                    <w:tr2bl w:val="nil"/>
                  </w:tcBorders>
                  <w:noWrap w:val="0"/>
                  <w:vAlign w:val="center"/>
                </w:tcPr>
                <w:p w14:paraId="761CF42F">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隔声罩、橡胶减振垫、厂房隔声等</w:t>
                  </w:r>
                </w:p>
              </w:tc>
              <w:tc>
                <w:tcPr>
                  <w:tcW w:w="308" w:type="pct"/>
                  <w:tcBorders>
                    <w:tl2br w:val="nil"/>
                    <w:tr2bl w:val="nil"/>
                  </w:tcBorders>
                  <w:noWrap w:val="0"/>
                  <w:vAlign w:val="center"/>
                </w:tcPr>
                <w:p w14:paraId="18C58BDA">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w:t>
                  </w:r>
                </w:p>
              </w:tc>
              <w:tc>
                <w:tcPr>
                  <w:tcW w:w="314" w:type="pct"/>
                  <w:tcBorders>
                    <w:tl2br w:val="nil"/>
                    <w:tr2bl w:val="nil"/>
                  </w:tcBorders>
                  <w:noWrap w:val="0"/>
                  <w:vAlign w:val="center"/>
                </w:tcPr>
                <w:p w14:paraId="6CC63F6B">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23</w:t>
                  </w:r>
                </w:p>
              </w:tc>
              <w:tc>
                <w:tcPr>
                  <w:tcW w:w="328" w:type="pct"/>
                  <w:tcBorders>
                    <w:tl2br w:val="nil"/>
                    <w:tr2bl w:val="nil"/>
                  </w:tcBorders>
                  <w:noWrap w:val="0"/>
                  <w:vAlign w:val="center"/>
                </w:tcPr>
                <w:p w14:paraId="7C159C0B">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w:t>
                  </w:r>
                </w:p>
              </w:tc>
              <w:tc>
                <w:tcPr>
                  <w:tcW w:w="295" w:type="pct"/>
                  <w:tcBorders>
                    <w:tl2br w:val="nil"/>
                    <w:tr2bl w:val="nil"/>
                  </w:tcBorders>
                  <w:noWrap w:val="0"/>
                  <w:vAlign w:val="center"/>
                </w:tcPr>
                <w:p w14:paraId="43CDBFE5">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3</w:t>
                  </w:r>
                </w:p>
              </w:tc>
              <w:tc>
                <w:tcPr>
                  <w:tcW w:w="295" w:type="pct"/>
                  <w:vMerge w:val="continue"/>
                  <w:tcBorders>
                    <w:tl2br w:val="nil"/>
                    <w:tr2bl w:val="nil"/>
                  </w:tcBorders>
                  <w:noWrap w:val="0"/>
                  <w:vAlign w:val="center"/>
                </w:tcPr>
                <w:p w14:paraId="5AE2C93D">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tcBorders>
                    <w:tl2br w:val="nil"/>
                    <w:tr2bl w:val="nil"/>
                  </w:tcBorders>
                  <w:noWrap w:val="0"/>
                  <w:vAlign w:val="center"/>
                </w:tcPr>
                <w:p w14:paraId="29AF9DF3">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i w:val="0"/>
                      <w:iCs w:val="0"/>
                      <w:color w:val="auto"/>
                      <w:kern w:val="0"/>
                      <w:sz w:val="22"/>
                      <w:szCs w:val="22"/>
                      <w:u w:val="none"/>
                      <w:lang w:val="en-US" w:eastAsia="zh-CN" w:bidi="ar"/>
                    </w:rPr>
                    <w:t>30</w:t>
                  </w:r>
                </w:p>
              </w:tc>
              <w:tc>
                <w:tcPr>
                  <w:tcW w:w="548" w:type="pct"/>
                  <w:tcBorders>
                    <w:tl2br w:val="nil"/>
                    <w:tr2bl w:val="nil"/>
                  </w:tcBorders>
                  <w:shd w:val="clear" w:color="auto" w:fill="auto"/>
                  <w:noWrap w:val="0"/>
                  <w:vAlign w:val="center"/>
                </w:tcPr>
                <w:p w14:paraId="3B814584">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50</w:t>
                  </w:r>
                </w:p>
              </w:tc>
              <w:tc>
                <w:tcPr>
                  <w:tcW w:w="502" w:type="pct"/>
                  <w:tcBorders>
                    <w:tl2br w:val="nil"/>
                    <w:tr2bl w:val="nil"/>
                  </w:tcBorders>
                  <w:noWrap w:val="0"/>
                  <w:vAlign w:val="center"/>
                </w:tcPr>
                <w:p w14:paraId="458998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1</w:t>
                  </w:r>
                </w:p>
              </w:tc>
            </w:tr>
            <w:tr w14:paraId="21E56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tcBorders>
                    <w:tl2br w:val="nil"/>
                    <w:tr2bl w:val="nil"/>
                  </w:tcBorders>
                  <w:shd w:val="clear" w:color="auto" w:fill="auto"/>
                  <w:noWrap w:val="0"/>
                  <w:vAlign w:val="center"/>
                </w:tcPr>
                <w:p w14:paraId="3CCC00A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10</w:t>
                  </w:r>
                </w:p>
              </w:tc>
              <w:tc>
                <w:tcPr>
                  <w:tcW w:w="555" w:type="pct"/>
                  <w:tcBorders>
                    <w:tl2br w:val="nil"/>
                    <w:tr2bl w:val="nil"/>
                  </w:tcBorders>
                  <w:noWrap w:val="0"/>
                  <w:vAlign w:val="center"/>
                </w:tcPr>
                <w:p w14:paraId="1EBEFF71">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环保设备风机2</w:t>
                  </w:r>
                </w:p>
              </w:tc>
              <w:tc>
                <w:tcPr>
                  <w:tcW w:w="533" w:type="pct"/>
                  <w:tcBorders>
                    <w:tl2br w:val="nil"/>
                    <w:tr2bl w:val="nil"/>
                  </w:tcBorders>
                  <w:noWrap w:val="0"/>
                  <w:vAlign w:val="center"/>
                </w:tcPr>
                <w:p w14:paraId="7F56508B">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continue"/>
                  <w:tcBorders>
                    <w:tl2br w:val="nil"/>
                    <w:tr2bl w:val="nil"/>
                  </w:tcBorders>
                  <w:noWrap w:val="0"/>
                  <w:vAlign w:val="center"/>
                </w:tcPr>
                <w:p w14:paraId="0BDF40FF">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tcBorders>
                    <w:tl2br w:val="nil"/>
                    <w:tr2bl w:val="nil"/>
                  </w:tcBorders>
                  <w:noWrap w:val="0"/>
                  <w:vAlign w:val="center"/>
                </w:tcPr>
                <w:p w14:paraId="680940C6">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75</w:t>
                  </w:r>
                </w:p>
              </w:tc>
              <w:tc>
                <w:tcPr>
                  <w:tcW w:w="314" w:type="pct"/>
                  <w:tcBorders>
                    <w:tl2br w:val="nil"/>
                    <w:tr2bl w:val="nil"/>
                  </w:tcBorders>
                  <w:noWrap w:val="0"/>
                  <w:vAlign w:val="center"/>
                </w:tcPr>
                <w:p w14:paraId="5B547E63">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45</w:t>
                  </w:r>
                </w:p>
              </w:tc>
              <w:tc>
                <w:tcPr>
                  <w:tcW w:w="328" w:type="pct"/>
                  <w:tcBorders>
                    <w:tl2br w:val="nil"/>
                    <w:tr2bl w:val="nil"/>
                  </w:tcBorders>
                  <w:noWrap w:val="0"/>
                  <w:vAlign w:val="center"/>
                </w:tcPr>
                <w:p w14:paraId="22476945">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w:t>
                  </w:r>
                </w:p>
              </w:tc>
              <w:tc>
                <w:tcPr>
                  <w:tcW w:w="295" w:type="pct"/>
                  <w:tcBorders>
                    <w:tl2br w:val="nil"/>
                    <w:tr2bl w:val="nil"/>
                  </w:tcBorders>
                  <w:noWrap w:val="0"/>
                  <w:vAlign w:val="center"/>
                </w:tcPr>
                <w:p w14:paraId="0ACD90BC">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6</w:t>
                  </w:r>
                </w:p>
              </w:tc>
              <w:tc>
                <w:tcPr>
                  <w:tcW w:w="295" w:type="pct"/>
                  <w:vMerge w:val="continue"/>
                  <w:tcBorders>
                    <w:tl2br w:val="nil"/>
                    <w:tr2bl w:val="nil"/>
                  </w:tcBorders>
                  <w:noWrap w:val="0"/>
                  <w:vAlign w:val="center"/>
                </w:tcPr>
                <w:p w14:paraId="605FDF51">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tcBorders>
                    <w:tl2br w:val="nil"/>
                    <w:tr2bl w:val="nil"/>
                  </w:tcBorders>
                  <w:noWrap w:val="0"/>
                  <w:vAlign w:val="center"/>
                </w:tcPr>
                <w:p w14:paraId="71CA88B8">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i w:val="0"/>
                      <w:iCs w:val="0"/>
                      <w:color w:val="auto"/>
                      <w:kern w:val="0"/>
                      <w:sz w:val="22"/>
                      <w:szCs w:val="22"/>
                      <w:u w:val="none"/>
                      <w:lang w:val="en-US" w:eastAsia="zh-CN" w:bidi="ar"/>
                    </w:rPr>
                    <w:t>30</w:t>
                  </w:r>
                </w:p>
              </w:tc>
              <w:tc>
                <w:tcPr>
                  <w:tcW w:w="548" w:type="pct"/>
                  <w:tcBorders>
                    <w:tl2br w:val="nil"/>
                    <w:tr2bl w:val="nil"/>
                  </w:tcBorders>
                  <w:shd w:val="clear" w:color="auto" w:fill="auto"/>
                  <w:noWrap w:val="0"/>
                  <w:vAlign w:val="center"/>
                </w:tcPr>
                <w:p w14:paraId="14B77312">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44</w:t>
                  </w:r>
                </w:p>
              </w:tc>
              <w:tc>
                <w:tcPr>
                  <w:tcW w:w="502" w:type="pct"/>
                  <w:tcBorders>
                    <w:tl2br w:val="nil"/>
                    <w:tr2bl w:val="nil"/>
                  </w:tcBorders>
                  <w:noWrap w:val="0"/>
                  <w:vAlign w:val="center"/>
                </w:tcPr>
                <w:p w14:paraId="2D6EA0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1</w:t>
                  </w:r>
                </w:p>
              </w:tc>
            </w:tr>
            <w:tr w14:paraId="3AB32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tcBorders>
                    <w:tl2br w:val="nil"/>
                    <w:tr2bl w:val="nil"/>
                  </w:tcBorders>
                  <w:shd w:val="clear" w:color="auto" w:fill="auto"/>
                  <w:noWrap w:val="0"/>
                  <w:vAlign w:val="center"/>
                </w:tcPr>
                <w:p w14:paraId="5F9F287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11</w:t>
                  </w:r>
                </w:p>
              </w:tc>
              <w:tc>
                <w:tcPr>
                  <w:tcW w:w="555" w:type="pct"/>
                  <w:tcBorders>
                    <w:tl2br w:val="nil"/>
                    <w:tr2bl w:val="nil"/>
                  </w:tcBorders>
                  <w:noWrap w:val="0"/>
                  <w:vAlign w:val="center"/>
                </w:tcPr>
                <w:p w14:paraId="7037BC87">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环保设备风机3</w:t>
                  </w:r>
                </w:p>
              </w:tc>
              <w:tc>
                <w:tcPr>
                  <w:tcW w:w="533" w:type="pct"/>
                  <w:tcBorders>
                    <w:tl2br w:val="nil"/>
                    <w:tr2bl w:val="nil"/>
                  </w:tcBorders>
                  <w:noWrap w:val="0"/>
                  <w:vAlign w:val="center"/>
                </w:tcPr>
                <w:p w14:paraId="17A47ACE">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continue"/>
                  <w:tcBorders>
                    <w:tl2br w:val="nil"/>
                    <w:tr2bl w:val="nil"/>
                  </w:tcBorders>
                  <w:noWrap w:val="0"/>
                  <w:vAlign w:val="center"/>
                </w:tcPr>
                <w:p w14:paraId="07686EF6">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tcBorders>
                    <w:tl2br w:val="nil"/>
                    <w:tr2bl w:val="nil"/>
                  </w:tcBorders>
                  <w:noWrap w:val="0"/>
                  <w:vAlign w:val="center"/>
                </w:tcPr>
                <w:p w14:paraId="60086F76">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w:t>
                  </w:r>
                  <w:r>
                    <w:rPr>
                      <w:rFonts w:hint="eastAsia" w:ascii="Times New Roman" w:hAnsi="Times New Roman" w:cs="Times New Roman"/>
                      <w:color w:val="auto"/>
                      <w:sz w:val="21"/>
                      <w:szCs w:val="21"/>
                      <w:vertAlign w:val="baseline"/>
                      <w:lang w:val="en-US" w:eastAsia="zh-CN"/>
                    </w:rPr>
                    <w:t>1</w:t>
                  </w:r>
                </w:p>
              </w:tc>
              <w:tc>
                <w:tcPr>
                  <w:tcW w:w="314" w:type="pct"/>
                  <w:tcBorders>
                    <w:tl2br w:val="nil"/>
                    <w:tr2bl w:val="nil"/>
                  </w:tcBorders>
                  <w:noWrap w:val="0"/>
                  <w:vAlign w:val="center"/>
                </w:tcPr>
                <w:p w14:paraId="5DCDDD41">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38</w:t>
                  </w:r>
                </w:p>
              </w:tc>
              <w:tc>
                <w:tcPr>
                  <w:tcW w:w="328" w:type="pct"/>
                  <w:tcBorders>
                    <w:tl2br w:val="nil"/>
                    <w:tr2bl w:val="nil"/>
                  </w:tcBorders>
                  <w:noWrap w:val="0"/>
                  <w:vAlign w:val="center"/>
                </w:tcPr>
                <w:p w14:paraId="311AAB3E">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w:t>
                  </w:r>
                </w:p>
              </w:tc>
              <w:tc>
                <w:tcPr>
                  <w:tcW w:w="295" w:type="pct"/>
                  <w:tcBorders>
                    <w:tl2br w:val="nil"/>
                    <w:tr2bl w:val="nil"/>
                  </w:tcBorders>
                  <w:noWrap w:val="0"/>
                  <w:vAlign w:val="center"/>
                </w:tcPr>
                <w:p w14:paraId="19BC61B7">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0</w:t>
                  </w:r>
                </w:p>
              </w:tc>
              <w:tc>
                <w:tcPr>
                  <w:tcW w:w="295" w:type="pct"/>
                  <w:vMerge w:val="continue"/>
                  <w:tcBorders>
                    <w:tl2br w:val="nil"/>
                    <w:tr2bl w:val="nil"/>
                  </w:tcBorders>
                  <w:noWrap w:val="0"/>
                  <w:vAlign w:val="center"/>
                </w:tcPr>
                <w:p w14:paraId="40F0DD41">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tcBorders>
                    <w:tl2br w:val="nil"/>
                    <w:tr2bl w:val="nil"/>
                  </w:tcBorders>
                  <w:noWrap w:val="0"/>
                  <w:vAlign w:val="center"/>
                </w:tcPr>
                <w:p w14:paraId="1FBAB94C">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i w:val="0"/>
                      <w:iCs w:val="0"/>
                      <w:color w:val="auto"/>
                      <w:kern w:val="0"/>
                      <w:sz w:val="22"/>
                      <w:szCs w:val="22"/>
                      <w:u w:val="none"/>
                      <w:lang w:val="en-US" w:eastAsia="zh-CN" w:bidi="ar"/>
                    </w:rPr>
                    <w:t>30</w:t>
                  </w:r>
                </w:p>
              </w:tc>
              <w:tc>
                <w:tcPr>
                  <w:tcW w:w="548" w:type="pct"/>
                  <w:tcBorders>
                    <w:tl2br w:val="nil"/>
                    <w:tr2bl w:val="nil"/>
                  </w:tcBorders>
                  <w:shd w:val="clear" w:color="auto" w:fill="auto"/>
                  <w:noWrap w:val="0"/>
                  <w:vAlign w:val="center"/>
                </w:tcPr>
                <w:p w14:paraId="0FD8B283">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60</w:t>
                  </w:r>
                </w:p>
              </w:tc>
              <w:tc>
                <w:tcPr>
                  <w:tcW w:w="502" w:type="pct"/>
                  <w:tcBorders>
                    <w:tl2br w:val="nil"/>
                    <w:tr2bl w:val="nil"/>
                  </w:tcBorders>
                  <w:noWrap w:val="0"/>
                  <w:vAlign w:val="center"/>
                </w:tcPr>
                <w:p w14:paraId="51DA44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1</w:t>
                  </w:r>
                </w:p>
              </w:tc>
            </w:tr>
            <w:tr w14:paraId="5F8C25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tcBorders>
                    <w:tl2br w:val="nil"/>
                    <w:tr2bl w:val="nil"/>
                  </w:tcBorders>
                  <w:noWrap w:val="0"/>
                  <w:vAlign w:val="center"/>
                </w:tcPr>
                <w:p w14:paraId="24AC4370">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12</w:t>
                  </w:r>
                </w:p>
              </w:tc>
              <w:tc>
                <w:tcPr>
                  <w:tcW w:w="555" w:type="pct"/>
                  <w:tcBorders>
                    <w:tl2br w:val="nil"/>
                    <w:tr2bl w:val="nil"/>
                  </w:tcBorders>
                  <w:noWrap w:val="0"/>
                  <w:vAlign w:val="center"/>
                </w:tcPr>
                <w:p w14:paraId="28D8B6AA">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热风炉风机</w:t>
                  </w:r>
                </w:p>
              </w:tc>
              <w:tc>
                <w:tcPr>
                  <w:tcW w:w="533" w:type="pct"/>
                  <w:tcBorders>
                    <w:tl2br w:val="nil"/>
                    <w:tr2bl w:val="nil"/>
                  </w:tcBorders>
                  <w:noWrap w:val="0"/>
                  <w:vAlign w:val="center"/>
                </w:tcPr>
                <w:p w14:paraId="609448BA">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continue"/>
                  <w:tcBorders>
                    <w:tl2br w:val="nil"/>
                    <w:tr2bl w:val="nil"/>
                  </w:tcBorders>
                  <w:noWrap w:val="0"/>
                  <w:vAlign w:val="center"/>
                </w:tcPr>
                <w:p w14:paraId="0EA277F9">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tcBorders>
                    <w:tl2br w:val="nil"/>
                    <w:tr2bl w:val="nil"/>
                  </w:tcBorders>
                  <w:noWrap w:val="0"/>
                  <w:vAlign w:val="center"/>
                </w:tcPr>
                <w:p w14:paraId="722D9AE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78</w:t>
                  </w:r>
                </w:p>
              </w:tc>
              <w:tc>
                <w:tcPr>
                  <w:tcW w:w="314" w:type="pct"/>
                  <w:tcBorders>
                    <w:tl2br w:val="nil"/>
                    <w:tr2bl w:val="nil"/>
                  </w:tcBorders>
                  <w:noWrap w:val="0"/>
                  <w:vAlign w:val="center"/>
                </w:tcPr>
                <w:p w14:paraId="093011B6">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36</w:t>
                  </w:r>
                </w:p>
              </w:tc>
              <w:tc>
                <w:tcPr>
                  <w:tcW w:w="328" w:type="pct"/>
                  <w:tcBorders>
                    <w:tl2br w:val="nil"/>
                    <w:tr2bl w:val="nil"/>
                  </w:tcBorders>
                  <w:noWrap w:val="0"/>
                  <w:vAlign w:val="center"/>
                </w:tcPr>
                <w:p w14:paraId="216985BB">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w:t>
                  </w:r>
                </w:p>
              </w:tc>
              <w:tc>
                <w:tcPr>
                  <w:tcW w:w="295" w:type="pct"/>
                  <w:tcBorders>
                    <w:tl2br w:val="nil"/>
                    <w:tr2bl w:val="nil"/>
                  </w:tcBorders>
                  <w:noWrap w:val="0"/>
                  <w:vAlign w:val="center"/>
                </w:tcPr>
                <w:p w14:paraId="14046872">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8</w:t>
                  </w:r>
                </w:p>
              </w:tc>
              <w:tc>
                <w:tcPr>
                  <w:tcW w:w="295" w:type="pct"/>
                  <w:vMerge w:val="continue"/>
                  <w:tcBorders>
                    <w:tl2br w:val="nil"/>
                    <w:tr2bl w:val="nil"/>
                  </w:tcBorders>
                  <w:noWrap w:val="0"/>
                  <w:vAlign w:val="center"/>
                </w:tcPr>
                <w:p w14:paraId="37939EA6">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tcBorders>
                    <w:tl2br w:val="nil"/>
                    <w:tr2bl w:val="nil"/>
                  </w:tcBorders>
                  <w:noWrap w:val="0"/>
                  <w:vAlign w:val="center"/>
                </w:tcPr>
                <w:p w14:paraId="1B20D9EF">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i w:val="0"/>
                      <w:iCs w:val="0"/>
                      <w:color w:val="auto"/>
                      <w:kern w:val="0"/>
                      <w:sz w:val="22"/>
                      <w:szCs w:val="22"/>
                      <w:u w:val="none"/>
                      <w:lang w:val="en-US" w:eastAsia="zh-CN" w:bidi="ar"/>
                    </w:rPr>
                    <w:t>30</w:t>
                  </w:r>
                </w:p>
              </w:tc>
              <w:tc>
                <w:tcPr>
                  <w:tcW w:w="548" w:type="pct"/>
                  <w:tcBorders>
                    <w:tl2br w:val="nil"/>
                    <w:tr2bl w:val="nil"/>
                  </w:tcBorders>
                  <w:shd w:val="clear" w:color="auto" w:fill="auto"/>
                  <w:noWrap w:val="0"/>
                  <w:vAlign w:val="center"/>
                </w:tcPr>
                <w:p w14:paraId="6A4008FF">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42</w:t>
                  </w:r>
                </w:p>
              </w:tc>
              <w:tc>
                <w:tcPr>
                  <w:tcW w:w="502" w:type="pct"/>
                  <w:tcBorders>
                    <w:tl2br w:val="nil"/>
                    <w:tr2bl w:val="nil"/>
                  </w:tcBorders>
                  <w:noWrap w:val="0"/>
                  <w:vAlign w:val="center"/>
                </w:tcPr>
                <w:p w14:paraId="5A5098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1</w:t>
                  </w:r>
                </w:p>
              </w:tc>
            </w:tr>
            <w:tr w14:paraId="340AE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tcBorders>
                    <w:tl2br w:val="nil"/>
                    <w:tr2bl w:val="nil"/>
                  </w:tcBorders>
                  <w:noWrap w:val="0"/>
                  <w:vAlign w:val="center"/>
                </w:tcPr>
                <w:p w14:paraId="139A503D">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13</w:t>
                  </w:r>
                </w:p>
              </w:tc>
              <w:tc>
                <w:tcPr>
                  <w:tcW w:w="555" w:type="pct"/>
                  <w:tcBorders>
                    <w:tl2br w:val="nil"/>
                    <w:tr2bl w:val="nil"/>
                  </w:tcBorders>
                  <w:shd w:val="clear" w:color="auto" w:fill="auto"/>
                  <w:noWrap w:val="0"/>
                  <w:vAlign w:val="center"/>
                </w:tcPr>
                <w:p w14:paraId="5EA529CA">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热风炉风机</w:t>
                  </w:r>
                </w:p>
              </w:tc>
              <w:tc>
                <w:tcPr>
                  <w:tcW w:w="533" w:type="pct"/>
                  <w:tcBorders>
                    <w:tl2br w:val="nil"/>
                    <w:tr2bl w:val="nil"/>
                  </w:tcBorders>
                  <w:shd w:val="clear" w:color="auto" w:fill="auto"/>
                  <w:noWrap w:val="0"/>
                  <w:vAlign w:val="center"/>
                </w:tcPr>
                <w:p w14:paraId="29A4652B">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90/1</w:t>
                  </w:r>
                </w:p>
              </w:tc>
              <w:tc>
                <w:tcPr>
                  <w:tcW w:w="501" w:type="pct"/>
                  <w:vMerge w:val="continue"/>
                  <w:tcBorders>
                    <w:tl2br w:val="nil"/>
                    <w:tr2bl w:val="nil"/>
                  </w:tcBorders>
                  <w:noWrap w:val="0"/>
                  <w:vAlign w:val="center"/>
                </w:tcPr>
                <w:p w14:paraId="0F1186CE">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tcBorders>
                    <w:tl2br w:val="nil"/>
                    <w:tr2bl w:val="nil"/>
                  </w:tcBorders>
                  <w:noWrap w:val="0"/>
                  <w:vAlign w:val="center"/>
                </w:tcPr>
                <w:p w14:paraId="2274613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85</w:t>
                  </w:r>
                </w:p>
              </w:tc>
              <w:tc>
                <w:tcPr>
                  <w:tcW w:w="314" w:type="pct"/>
                  <w:tcBorders>
                    <w:tl2br w:val="nil"/>
                    <w:tr2bl w:val="nil"/>
                  </w:tcBorders>
                  <w:noWrap w:val="0"/>
                  <w:vAlign w:val="center"/>
                </w:tcPr>
                <w:p w14:paraId="2E2F825C">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30</w:t>
                  </w:r>
                </w:p>
              </w:tc>
              <w:tc>
                <w:tcPr>
                  <w:tcW w:w="328" w:type="pct"/>
                  <w:tcBorders>
                    <w:tl2br w:val="nil"/>
                    <w:tr2bl w:val="nil"/>
                  </w:tcBorders>
                  <w:noWrap w:val="0"/>
                  <w:vAlign w:val="center"/>
                </w:tcPr>
                <w:p w14:paraId="1C63BAFF">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0.3</w:t>
                  </w:r>
                </w:p>
              </w:tc>
              <w:tc>
                <w:tcPr>
                  <w:tcW w:w="295" w:type="pct"/>
                  <w:tcBorders>
                    <w:tl2br w:val="nil"/>
                    <w:tr2bl w:val="nil"/>
                  </w:tcBorders>
                  <w:noWrap w:val="0"/>
                  <w:vAlign w:val="center"/>
                </w:tcPr>
                <w:p w14:paraId="021FBC4F">
                  <w:pPr>
                    <w:adjustRightInd w:val="0"/>
                    <w:snapToGrid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11</w:t>
                  </w:r>
                </w:p>
              </w:tc>
              <w:tc>
                <w:tcPr>
                  <w:tcW w:w="295" w:type="pct"/>
                  <w:vMerge w:val="continue"/>
                  <w:tcBorders>
                    <w:tl2br w:val="nil"/>
                    <w:tr2bl w:val="nil"/>
                  </w:tcBorders>
                  <w:noWrap w:val="0"/>
                  <w:vAlign w:val="center"/>
                </w:tcPr>
                <w:p w14:paraId="2C20254A">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tcBorders>
                    <w:tl2br w:val="nil"/>
                    <w:tr2bl w:val="nil"/>
                  </w:tcBorders>
                  <w:noWrap w:val="0"/>
                  <w:vAlign w:val="center"/>
                </w:tcPr>
                <w:p w14:paraId="09F612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30</w:t>
                  </w:r>
                </w:p>
              </w:tc>
              <w:tc>
                <w:tcPr>
                  <w:tcW w:w="548" w:type="pct"/>
                  <w:tcBorders>
                    <w:tl2br w:val="nil"/>
                    <w:tr2bl w:val="nil"/>
                  </w:tcBorders>
                  <w:shd w:val="clear" w:color="auto" w:fill="auto"/>
                  <w:noWrap w:val="0"/>
                  <w:vAlign w:val="center"/>
                </w:tcPr>
                <w:p w14:paraId="2E748C67">
                  <w:pPr>
                    <w:adjustRightInd w:val="0"/>
                    <w:snapToGrid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41</w:t>
                  </w:r>
                </w:p>
              </w:tc>
              <w:tc>
                <w:tcPr>
                  <w:tcW w:w="502" w:type="pct"/>
                  <w:tcBorders>
                    <w:tl2br w:val="nil"/>
                    <w:tr2bl w:val="nil"/>
                  </w:tcBorders>
                  <w:noWrap w:val="0"/>
                  <w:vAlign w:val="center"/>
                </w:tcPr>
                <w:p w14:paraId="1099DCB1">
                  <w:pPr>
                    <w:keepNext w:val="0"/>
                    <w:keepLines w:val="0"/>
                    <w:widowControl/>
                    <w:suppressLineNumbers w:val="0"/>
                    <w:jc w:val="center"/>
                    <w:textAlignment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r>
            <w:tr w14:paraId="247F7A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tcBorders>
                    <w:tl2br w:val="nil"/>
                    <w:tr2bl w:val="nil"/>
                  </w:tcBorders>
                  <w:noWrap w:val="0"/>
                  <w:vAlign w:val="center"/>
                </w:tcPr>
                <w:p w14:paraId="47B618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w:t>
                  </w:r>
                </w:p>
              </w:tc>
              <w:tc>
                <w:tcPr>
                  <w:tcW w:w="555" w:type="pct"/>
                  <w:tcBorders>
                    <w:tl2br w:val="nil"/>
                    <w:tr2bl w:val="nil"/>
                  </w:tcBorders>
                  <w:noWrap w:val="0"/>
                  <w:vAlign w:val="center"/>
                </w:tcPr>
                <w:p w14:paraId="31D7F569">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污水处理</w:t>
                  </w:r>
                  <w:r>
                    <w:rPr>
                      <w:rFonts w:hint="eastAsia" w:ascii="Times New Roman" w:hAnsi="Times New Roman" w:cs="Times New Roman"/>
                      <w:color w:val="auto"/>
                      <w:sz w:val="21"/>
                      <w:szCs w:val="21"/>
                      <w:lang w:val="en-US" w:eastAsia="zh-CN"/>
                    </w:rPr>
                    <w:t>设施</w:t>
                  </w:r>
                </w:p>
              </w:tc>
              <w:tc>
                <w:tcPr>
                  <w:tcW w:w="533" w:type="pct"/>
                  <w:tcBorders>
                    <w:tl2br w:val="nil"/>
                    <w:tr2bl w:val="nil"/>
                  </w:tcBorders>
                  <w:noWrap w:val="0"/>
                  <w:vAlign w:val="center"/>
                </w:tcPr>
                <w:p w14:paraId="5B46FEC1">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80/1</w:t>
                  </w:r>
                </w:p>
              </w:tc>
              <w:tc>
                <w:tcPr>
                  <w:tcW w:w="501" w:type="pct"/>
                  <w:vMerge w:val="continue"/>
                  <w:tcBorders>
                    <w:tl2br w:val="nil"/>
                    <w:tr2bl w:val="nil"/>
                  </w:tcBorders>
                  <w:noWrap w:val="0"/>
                  <w:vAlign w:val="center"/>
                </w:tcPr>
                <w:p w14:paraId="159DEB9A">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tcBorders>
                    <w:tl2br w:val="nil"/>
                    <w:tr2bl w:val="nil"/>
                  </w:tcBorders>
                  <w:noWrap w:val="0"/>
                  <w:vAlign w:val="center"/>
                </w:tcPr>
                <w:p w14:paraId="540B4588">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30</w:t>
                  </w:r>
                </w:p>
              </w:tc>
              <w:tc>
                <w:tcPr>
                  <w:tcW w:w="314" w:type="pct"/>
                  <w:tcBorders>
                    <w:tl2br w:val="nil"/>
                    <w:tr2bl w:val="nil"/>
                  </w:tcBorders>
                  <w:noWrap w:val="0"/>
                  <w:vAlign w:val="center"/>
                </w:tcPr>
                <w:p w14:paraId="161CF64E">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46</w:t>
                  </w:r>
                </w:p>
              </w:tc>
              <w:tc>
                <w:tcPr>
                  <w:tcW w:w="328" w:type="pct"/>
                  <w:tcBorders>
                    <w:tl2br w:val="nil"/>
                    <w:tr2bl w:val="nil"/>
                  </w:tcBorders>
                  <w:noWrap w:val="0"/>
                  <w:vAlign w:val="center"/>
                </w:tcPr>
                <w:p w14:paraId="1483C2B9">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0.3</w:t>
                  </w:r>
                </w:p>
              </w:tc>
              <w:tc>
                <w:tcPr>
                  <w:tcW w:w="295" w:type="pct"/>
                  <w:tcBorders>
                    <w:tl2br w:val="nil"/>
                    <w:tr2bl w:val="nil"/>
                  </w:tcBorders>
                  <w:noWrap w:val="0"/>
                  <w:vAlign w:val="center"/>
                </w:tcPr>
                <w:p w14:paraId="5F2007F6">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w:t>
                  </w:r>
                </w:p>
              </w:tc>
              <w:tc>
                <w:tcPr>
                  <w:tcW w:w="295" w:type="pct"/>
                  <w:vMerge w:val="continue"/>
                  <w:tcBorders>
                    <w:tl2br w:val="nil"/>
                    <w:tr2bl w:val="nil"/>
                  </w:tcBorders>
                  <w:noWrap w:val="0"/>
                  <w:vAlign w:val="center"/>
                </w:tcPr>
                <w:p w14:paraId="32253E8D">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tcBorders>
                    <w:tl2br w:val="nil"/>
                    <w:tr2bl w:val="nil"/>
                  </w:tcBorders>
                  <w:noWrap w:val="0"/>
                  <w:vAlign w:val="center"/>
                </w:tcPr>
                <w:p w14:paraId="316D640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20</w:t>
                  </w:r>
                </w:p>
              </w:tc>
              <w:tc>
                <w:tcPr>
                  <w:tcW w:w="548" w:type="pct"/>
                  <w:tcBorders>
                    <w:tl2br w:val="nil"/>
                    <w:tr2bl w:val="nil"/>
                  </w:tcBorders>
                  <w:shd w:val="clear" w:color="auto" w:fill="auto"/>
                  <w:noWrap w:val="0"/>
                  <w:vAlign w:val="center"/>
                </w:tcPr>
                <w:p w14:paraId="4F921012">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46</w:t>
                  </w:r>
                </w:p>
              </w:tc>
              <w:tc>
                <w:tcPr>
                  <w:tcW w:w="502" w:type="pct"/>
                  <w:tcBorders>
                    <w:tl2br w:val="nil"/>
                    <w:tr2bl w:val="nil"/>
                  </w:tcBorders>
                  <w:noWrap w:val="0"/>
                  <w:vAlign w:val="center"/>
                </w:tcPr>
                <w:p w14:paraId="45BAE02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vertAlign w:val="baseline"/>
                      <w:lang w:val="en-US" w:eastAsia="zh-CN"/>
                    </w:rPr>
                    <w:t>1</w:t>
                  </w:r>
                </w:p>
              </w:tc>
            </w:tr>
          </w:tbl>
          <w:p w14:paraId="55EB9671">
            <w:pPr>
              <w:adjustRightInd w:val="0"/>
              <w:snapToGrid w:val="0"/>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eastAsia="zh-CN"/>
              </w:rPr>
              <w:t>2</w:t>
            </w:r>
            <w:r>
              <w:rPr>
                <w:rFonts w:hint="eastAsia" w:cs="Times New Roman"/>
                <w:b/>
                <w:bCs/>
                <w:color w:val="auto"/>
                <w:sz w:val="24"/>
                <w:szCs w:val="24"/>
                <w:lang w:val="en-US" w:eastAsia="zh-CN"/>
              </w:rPr>
              <w:t>.</w:t>
            </w:r>
            <w:r>
              <w:rPr>
                <w:rFonts w:hint="default" w:ascii="Times New Roman" w:hAnsi="Times New Roman" w:cs="Times New Roman"/>
                <w:b/>
                <w:bCs/>
                <w:color w:val="auto"/>
                <w:sz w:val="24"/>
                <w:szCs w:val="24"/>
              </w:rPr>
              <w:t>降噪治理措施</w:t>
            </w:r>
          </w:p>
          <w:p w14:paraId="50820FC6">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①生产设施均设置在厂房内，采用建筑物隔声，防止噪声的扩散和传播，并避免高噪声设备集中放置；生产作业时尽量避免开窗，以增强隔声效果</w:t>
            </w:r>
            <w:r>
              <w:rPr>
                <w:rFonts w:hint="default" w:ascii="Times New Roman" w:hAnsi="Times New Roman" w:cs="Times New Roman"/>
                <w:color w:val="auto"/>
                <w:sz w:val="24"/>
                <w:szCs w:val="24"/>
              </w:rPr>
              <w:t>；</w:t>
            </w:r>
          </w:p>
          <w:p w14:paraId="302E7123">
            <w:pPr>
              <w:adjustRightInd w:val="0"/>
              <w:snapToGrid w:val="0"/>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②</w:t>
            </w:r>
            <w:r>
              <w:rPr>
                <w:rFonts w:hint="default" w:ascii="Times New Roman" w:hAnsi="Times New Roman" w:cs="Times New Roman"/>
                <w:color w:val="auto"/>
                <w:sz w:val="24"/>
                <w:szCs w:val="24"/>
              </w:rPr>
              <w:t>对原辅料、成品的装卸做到轻拿轻放，从而降低噪声的传播</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厂区</w:t>
            </w:r>
            <w:r>
              <w:rPr>
                <w:rFonts w:hint="eastAsia" w:cs="Times New Roman"/>
                <w:color w:val="auto"/>
                <w:sz w:val="24"/>
                <w:szCs w:val="24"/>
                <w:lang w:val="en-US" w:eastAsia="zh-CN"/>
              </w:rPr>
              <w:t>内</w:t>
            </w:r>
            <w:r>
              <w:rPr>
                <w:rFonts w:hint="default" w:ascii="Times New Roman" w:hAnsi="Times New Roman" w:cs="Times New Roman"/>
                <w:color w:val="auto"/>
                <w:sz w:val="24"/>
                <w:szCs w:val="24"/>
                <w:lang w:val="en-US" w:eastAsia="zh-CN"/>
              </w:rPr>
              <w:t>建筑隔声</w:t>
            </w:r>
            <w:r>
              <w:rPr>
                <w:rFonts w:hint="default" w:ascii="Times New Roman" w:hAnsi="Times New Roman" w:cs="Times New Roman"/>
                <w:color w:val="auto"/>
                <w:kern w:val="0"/>
                <w:sz w:val="24"/>
                <w:szCs w:val="24"/>
              </w:rPr>
              <w:t>；</w:t>
            </w:r>
          </w:p>
          <w:p w14:paraId="0D449B77">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③</w:t>
            </w:r>
            <w:r>
              <w:rPr>
                <w:rFonts w:hint="default" w:ascii="Times New Roman" w:hAnsi="Times New Roman" w:cs="Times New Roman"/>
                <w:color w:val="auto"/>
                <w:sz w:val="24"/>
                <w:szCs w:val="24"/>
                <w:lang w:val="en-US" w:eastAsia="zh-CN"/>
              </w:rPr>
              <w:t>静电喷涂机在静电喷涂室内进行，通过喷涂室、厂房隔声，减少噪声传播。</w:t>
            </w:r>
          </w:p>
          <w:p w14:paraId="225A1805">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④对厂内环保设备风机采取隔声罩、橡胶减振垫等措施，并安装于厂房内；</w:t>
            </w:r>
          </w:p>
          <w:p w14:paraId="0C75FA5F">
            <w:pPr>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⑤对空压机下方设置基础减振，并安装于厂房内；</w:t>
            </w:r>
          </w:p>
          <w:p w14:paraId="31C18463">
            <w:pPr>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kern w:val="0"/>
                <w:sz w:val="24"/>
                <w:szCs w:val="24"/>
                <w:lang w:val="en-US" w:eastAsia="zh-CN"/>
              </w:rPr>
              <w:t>⑥</w:t>
            </w:r>
            <w:r>
              <w:rPr>
                <w:rFonts w:hint="default" w:ascii="Times New Roman" w:hAnsi="Times New Roman" w:cs="Times New Roman"/>
                <w:color w:val="auto"/>
                <w:kern w:val="0"/>
                <w:sz w:val="24"/>
                <w:szCs w:val="24"/>
              </w:rPr>
              <w:t>加强设备的维护和保养，确保设备处于良好的运转状态</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预防维修不良的机械设备因部件</w:t>
            </w:r>
            <w:r>
              <w:rPr>
                <w:rFonts w:hint="default" w:ascii="Times New Roman" w:hAnsi="Times New Roman" w:cs="Times New Roman"/>
                <w:color w:val="auto"/>
                <w:kern w:val="0"/>
                <w:sz w:val="24"/>
                <w:szCs w:val="24"/>
                <w:lang w:eastAsia="zh-CN"/>
              </w:rPr>
              <w:t>振动</w:t>
            </w:r>
            <w:r>
              <w:rPr>
                <w:rFonts w:hint="default" w:ascii="Times New Roman" w:hAnsi="Times New Roman" w:cs="Times New Roman"/>
                <w:color w:val="auto"/>
                <w:kern w:val="0"/>
                <w:sz w:val="24"/>
                <w:szCs w:val="24"/>
              </w:rPr>
              <w:t>而增加其工作噪声，从而在声源处达到降噪措施</w:t>
            </w:r>
            <w:r>
              <w:rPr>
                <w:rFonts w:hint="default" w:ascii="Times New Roman" w:hAnsi="Times New Roman" w:cs="Times New Roman"/>
                <w:color w:val="auto"/>
                <w:kern w:val="0"/>
                <w:sz w:val="24"/>
                <w:szCs w:val="24"/>
                <w:lang w:eastAsia="zh-CN"/>
              </w:rPr>
              <w:t>。</w:t>
            </w:r>
          </w:p>
          <w:p w14:paraId="10728992">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3</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预测模式</w:t>
            </w:r>
          </w:p>
          <w:p w14:paraId="0F657E14">
            <w:pPr>
              <w:widowControl/>
              <w:adjustRightInd w:val="0"/>
              <w:snapToGrid w:val="0"/>
              <w:spacing w:line="360" w:lineRule="auto"/>
              <w:ind w:firstLine="480" w:firstLineChars="200"/>
              <w:rPr>
                <w:color w:val="auto"/>
                <w:sz w:val="24"/>
              </w:rPr>
            </w:pPr>
            <w:r>
              <w:rPr>
                <w:color w:val="auto"/>
                <w:sz w:val="24"/>
              </w:rPr>
              <w:t>（1）预测方法</w:t>
            </w:r>
          </w:p>
          <w:p w14:paraId="5F705434">
            <w:pPr>
              <w:widowControl/>
              <w:spacing w:line="360" w:lineRule="auto"/>
              <w:ind w:firstLine="480" w:firstLineChars="200"/>
              <w:rPr>
                <w:bCs/>
                <w:color w:val="auto"/>
                <w:sz w:val="24"/>
              </w:rPr>
            </w:pPr>
            <w:r>
              <w:rPr>
                <w:rFonts w:hint="eastAsia"/>
                <w:bCs/>
                <w:color w:val="auto"/>
                <w:sz w:val="24"/>
                <w:lang w:val="en-US" w:eastAsia="zh-CN"/>
              </w:rPr>
              <w:t>①</w:t>
            </w:r>
            <w:r>
              <w:rPr>
                <w:bCs/>
                <w:color w:val="auto"/>
                <w:sz w:val="24"/>
              </w:rPr>
              <w:t>预测方案</w:t>
            </w:r>
          </w:p>
          <w:p w14:paraId="3C3966A5">
            <w:pPr>
              <w:widowControl/>
              <w:spacing w:line="360" w:lineRule="auto"/>
              <w:ind w:firstLine="480" w:firstLineChars="200"/>
              <w:rPr>
                <w:bCs/>
                <w:color w:val="auto"/>
                <w:sz w:val="24"/>
              </w:rPr>
            </w:pPr>
            <w:r>
              <w:rPr>
                <w:rFonts w:hint="eastAsia" w:ascii="宋体" w:hAnsi="宋体" w:cs="宋体"/>
                <w:bCs/>
                <w:color w:val="auto"/>
                <w:sz w:val="24"/>
                <w:lang w:val="en-US" w:eastAsia="zh-CN"/>
              </w:rPr>
              <w:t>A.</w:t>
            </w:r>
            <w:r>
              <w:rPr>
                <w:bCs/>
                <w:color w:val="auto"/>
                <w:sz w:val="24"/>
              </w:rPr>
              <w:t>本次评价对厂界昼间</w:t>
            </w:r>
            <w:r>
              <w:rPr>
                <w:rFonts w:hint="eastAsia"/>
                <w:bCs/>
                <w:color w:val="auto"/>
                <w:sz w:val="24"/>
              </w:rPr>
              <w:t>噪声</w:t>
            </w:r>
            <w:r>
              <w:rPr>
                <w:bCs/>
                <w:color w:val="auto"/>
                <w:sz w:val="24"/>
              </w:rPr>
              <w:t>达标性进行预测分析。</w:t>
            </w:r>
          </w:p>
          <w:p w14:paraId="2477DCD9">
            <w:pPr>
              <w:widowControl/>
              <w:spacing w:line="360" w:lineRule="auto"/>
              <w:ind w:firstLine="480" w:firstLineChars="200"/>
              <w:rPr>
                <w:bCs/>
                <w:color w:val="auto"/>
                <w:sz w:val="24"/>
              </w:rPr>
            </w:pPr>
            <w:r>
              <w:rPr>
                <w:rFonts w:hint="eastAsia" w:ascii="宋体" w:hAnsi="宋体" w:cs="宋体"/>
                <w:bCs/>
                <w:color w:val="auto"/>
                <w:sz w:val="24"/>
                <w:lang w:val="en-US" w:eastAsia="zh-CN"/>
              </w:rPr>
              <w:t>B.</w:t>
            </w:r>
            <w:r>
              <w:rPr>
                <w:bCs/>
                <w:color w:val="auto"/>
                <w:sz w:val="24"/>
              </w:rPr>
              <w:t>厂界以工程噪声贡献值作为评价量。</w:t>
            </w:r>
          </w:p>
          <w:p w14:paraId="544D53AD">
            <w:pPr>
              <w:widowControl/>
              <w:spacing w:line="360" w:lineRule="auto"/>
              <w:ind w:firstLine="480" w:firstLineChars="200"/>
              <w:rPr>
                <w:bCs/>
                <w:color w:val="auto"/>
                <w:sz w:val="24"/>
              </w:rPr>
            </w:pPr>
            <w:r>
              <w:rPr>
                <w:rFonts w:hint="eastAsia"/>
                <w:bCs/>
                <w:color w:val="auto"/>
                <w:sz w:val="24"/>
                <w:lang w:val="en-US" w:eastAsia="zh-CN"/>
              </w:rPr>
              <w:t>②</w:t>
            </w:r>
            <w:r>
              <w:rPr>
                <w:bCs/>
                <w:color w:val="auto"/>
                <w:sz w:val="24"/>
              </w:rPr>
              <w:t>预测模式</w:t>
            </w:r>
          </w:p>
          <w:p w14:paraId="07FE014D">
            <w:pPr>
              <w:widowControl/>
              <w:spacing w:line="360" w:lineRule="auto"/>
              <w:ind w:firstLine="480" w:firstLineChars="200"/>
              <w:rPr>
                <w:color w:val="auto"/>
                <w:sz w:val="24"/>
              </w:rPr>
            </w:pPr>
            <w:r>
              <w:rPr>
                <w:bCs/>
                <w:color w:val="auto"/>
                <w:sz w:val="24"/>
              </w:rPr>
              <w:t>按照《环境影响评价技术导则 声环境》（HJ2.4—20</w:t>
            </w:r>
            <w:r>
              <w:rPr>
                <w:rFonts w:hint="eastAsia"/>
                <w:bCs/>
                <w:color w:val="auto"/>
                <w:sz w:val="24"/>
              </w:rPr>
              <w:t>21</w:t>
            </w:r>
            <w:r>
              <w:rPr>
                <w:bCs/>
                <w:color w:val="auto"/>
                <w:sz w:val="24"/>
              </w:rPr>
              <w:t>）中推荐的模式进行预测计算。</w:t>
            </w:r>
          </w:p>
          <w:p w14:paraId="01C01C76">
            <w:pPr>
              <w:widowControl/>
              <w:spacing w:line="360" w:lineRule="auto"/>
              <w:rPr>
                <w:color w:val="auto"/>
                <w:sz w:val="24"/>
              </w:rPr>
            </w:pPr>
            <w:r>
              <w:rPr>
                <w:color w:val="auto"/>
                <w:sz w:val="24"/>
              </w:rPr>
              <w:t>A</w:t>
            </w:r>
            <w:r>
              <w:rPr>
                <w:rFonts w:hint="eastAsia"/>
                <w:color w:val="auto"/>
                <w:sz w:val="24"/>
                <w:lang w:eastAsia="zh-CN"/>
              </w:rPr>
              <w:t>.</w:t>
            </w:r>
            <w:r>
              <w:rPr>
                <w:rFonts w:hint="eastAsia"/>
                <w:color w:val="auto"/>
                <w:kern w:val="0"/>
                <w:sz w:val="24"/>
              </w:rPr>
              <w:t>靠近室外围护结构处的</w:t>
            </w:r>
            <w:r>
              <w:rPr>
                <w:color w:val="auto"/>
                <w:kern w:val="0"/>
                <w:sz w:val="24"/>
              </w:rPr>
              <w:t>噪声级的计算</w:t>
            </w:r>
          </w:p>
          <w:p w14:paraId="5D39818B">
            <w:pPr>
              <w:widowControl/>
              <w:spacing w:line="360" w:lineRule="auto"/>
              <w:jc w:val="center"/>
              <w:rPr>
                <w:rFonts w:hint="eastAsia"/>
                <w:i/>
                <w:iCs/>
                <w:color w:val="auto"/>
                <w:kern w:val="0"/>
                <w:sz w:val="24"/>
              </w:rPr>
            </w:pPr>
            <w:r>
              <w:rPr>
                <w:i/>
                <w:iCs/>
                <w:color w:val="auto"/>
                <w:kern w:val="0"/>
                <w:sz w:val="24"/>
              </w:rPr>
              <w:t>L</w:t>
            </w:r>
            <w:r>
              <w:rPr>
                <w:rFonts w:hint="eastAsia"/>
                <w:i/>
                <w:iCs/>
                <w:color w:val="auto"/>
                <w:kern w:val="0"/>
                <w:sz w:val="24"/>
                <w:vertAlign w:val="subscript"/>
              </w:rPr>
              <w:t>p2i</w:t>
            </w:r>
            <w:r>
              <w:rPr>
                <w:i/>
                <w:iCs/>
                <w:color w:val="auto"/>
                <w:kern w:val="0"/>
                <w:sz w:val="24"/>
              </w:rPr>
              <w:t>（T）=L</w:t>
            </w:r>
            <w:r>
              <w:rPr>
                <w:rFonts w:hint="eastAsia"/>
                <w:i/>
                <w:iCs/>
                <w:color w:val="auto"/>
                <w:kern w:val="0"/>
                <w:sz w:val="24"/>
                <w:vertAlign w:val="subscript"/>
              </w:rPr>
              <w:t>p1i</w:t>
            </w:r>
            <w:r>
              <w:rPr>
                <w:i/>
                <w:iCs/>
                <w:color w:val="auto"/>
                <w:kern w:val="0"/>
                <w:sz w:val="24"/>
              </w:rPr>
              <w:t>（T）—（TL</w:t>
            </w:r>
            <w:r>
              <w:rPr>
                <w:rFonts w:hint="eastAsia"/>
                <w:i/>
                <w:iCs/>
                <w:color w:val="auto"/>
                <w:kern w:val="0"/>
                <w:sz w:val="24"/>
                <w:vertAlign w:val="subscript"/>
              </w:rPr>
              <w:t>i</w:t>
            </w:r>
            <w:r>
              <w:rPr>
                <w:i/>
                <w:iCs/>
                <w:color w:val="auto"/>
                <w:kern w:val="0"/>
                <w:sz w:val="24"/>
              </w:rPr>
              <w:t>+6）</w:t>
            </w:r>
            <w:r>
              <w:rPr>
                <w:rFonts w:hint="eastAsia"/>
                <w:i/>
                <w:iCs/>
                <w:color w:val="auto"/>
                <w:kern w:val="0"/>
                <w:sz w:val="24"/>
              </w:rPr>
              <w:t xml:space="preserve">        </w:t>
            </w:r>
          </w:p>
          <w:p w14:paraId="435C671E">
            <w:pPr>
              <w:widowControl/>
              <w:spacing w:line="360" w:lineRule="auto"/>
              <w:ind w:firstLine="960" w:firstLineChars="400"/>
              <w:rPr>
                <w:color w:val="auto"/>
                <w:kern w:val="0"/>
                <w:sz w:val="24"/>
              </w:rPr>
            </w:pPr>
            <w:r>
              <w:rPr>
                <w:color w:val="auto"/>
                <w:kern w:val="0"/>
                <w:sz w:val="24"/>
              </w:rPr>
              <w:t>式中：</w:t>
            </w:r>
          </w:p>
          <w:p w14:paraId="715DAB3C">
            <w:pPr>
              <w:widowControl/>
              <w:spacing w:line="360" w:lineRule="auto"/>
              <w:ind w:left="2158" w:leftChars="456" w:hanging="1200" w:hangingChars="500"/>
              <w:rPr>
                <w:color w:val="auto"/>
                <w:kern w:val="0"/>
                <w:sz w:val="24"/>
              </w:rPr>
            </w:pPr>
            <w:r>
              <w:rPr>
                <w:i/>
                <w:iCs/>
                <w:color w:val="auto"/>
                <w:kern w:val="0"/>
                <w:sz w:val="24"/>
              </w:rPr>
              <w:t>L</w:t>
            </w:r>
            <w:r>
              <w:rPr>
                <w:rFonts w:hint="eastAsia"/>
                <w:i/>
                <w:iCs/>
                <w:color w:val="auto"/>
                <w:kern w:val="0"/>
                <w:sz w:val="24"/>
                <w:vertAlign w:val="subscript"/>
              </w:rPr>
              <w:t>p2i</w:t>
            </w:r>
            <w:r>
              <w:rPr>
                <w:i/>
                <w:iCs/>
                <w:color w:val="auto"/>
                <w:kern w:val="0"/>
                <w:sz w:val="24"/>
              </w:rPr>
              <w:t>（T）</w:t>
            </w:r>
            <w:r>
              <w:rPr>
                <w:bCs/>
                <w:color w:val="auto"/>
                <w:sz w:val="24"/>
              </w:rPr>
              <w:t>—</w:t>
            </w:r>
            <w:r>
              <w:rPr>
                <w:rFonts w:hint="eastAsia"/>
                <w:color w:val="auto"/>
                <w:kern w:val="0"/>
                <w:sz w:val="24"/>
              </w:rPr>
              <w:t>靠近围护结构处室外N个声源i倍频带的叠加声压级，dB</w:t>
            </w:r>
            <w:r>
              <w:rPr>
                <w:color w:val="auto"/>
                <w:kern w:val="0"/>
                <w:sz w:val="24"/>
              </w:rPr>
              <w:t>；</w:t>
            </w:r>
          </w:p>
          <w:p w14:paraId="325B98BD">
            <w:pPr>
              <w:widowControl/>
              <w:spacing w:line="360" w:lineRule="auto"/>
              <w:ind w:left="2398" w:leftChars="456" w:hanging="1440" w:hangingChars="600"/>
              <w:rPr>
                <w:i/>
                <w:iCs/>
                <w:color w:val="auto"/>
                <w:kern w:val="0"/>
                <w:sz w:val="24"/>
              </w:rPr>
            </w:pPr>
            <w:r>
              <w:rPr>
                <w:i/>
                <w:iCs/>
                <w:color w:val="auto"/>
                <w:kern w:val="0"/>
                <w:sz w:val="24"/>
              </w:rPr>
              <w:t>L</w:t>
            </w:r>
            <w:r>
              <w:rPr>
                <w:rFonts w:hint="eastAsia"/>
                <w:i/>
                <w:iCs/>
                <w:color w:val="auto"/>
                <w:kern w:val="0"/>
                <w:sz w:val="24"/>
                <w:vertAlign w:val="subscript"/>
              </w:rPr>
              <w:t>p1i</w:t>
            </w:r>
            <w:r>
              <w:rPr>
                <w:i/>
                <w:iCs/>
                <w:color w:val="auto"/>
                <w:kern w:val="0"/>
                <w:sz w:val="24"/>
              </w:rPr>
              <w:t>（T）</w:t>
            </w:r>
            <w:r>
              <w:rPr>
                <w:bCs/>
                <w:color w:val="auto"/>
                <w:sz w:val="24"/>
              </w:rPr>
              <w:t>—</w:t>
            </w:r>
            <w:r>
              <w:rPr>
                <w:rFonts w:hint="eastAsia"/>
                <w:color w:val="auto"/>
                <w:kern w:val="0"/>
                <w:sz w:val="24"/>
              </w:rPr>
              <w:t>靠近围护结构处室内N个声源i倍频带的叠加声压级，dB</w:t>
            </w:r>
            <w:r>
              <w:rPr>
                <w:color w:val="auto"/>
                <w:kern w:val="0"/>
                <w:sz w:val="24"/>
              </w:rPr>
              <w:t>；</w:t>
            </w:r>
          </w:p>
          <w:p w14:paraId="2FA5821D">
            <w:pPr>
              <w:widowControl/>
              <w:spacing w:line="360" w:lineRule="auto"/>
              <w:ind w:firstLine="960" w:firstLineChars="400"/>
              <w:rPr>
                <w:rFonts w:hint="eastAsia" w:eastAsia="宋体"/>
                <w:color w:val="auto"/>
                <w:kern w:val="0"/>
                <w:sz w:val="24"/>
                <w:lang w:val="en-US" w:eastAsia="zh-CN"/>
              </w:rPr>
            </w:pPr>
            <w:r>
              <w:rPr>
                <w:color w:val="auto"/>
                <w:kern w:val="0"/>
                <w:sz w:val="24"/>
              </w:rPr>
              <w:t>TL</w:t>
            </w:r>
            <w:r>
              <w:rPr>
                <w:rFonts w:hint="eastAsia"/>
                <w:color w:val="auto"/>
                <w:kern w:val="0"/>
                <w:sz w:val="24"/>
                <w:vertAlign w:val="subscript"/>
              </w:rPr>
              <w:t>i</w:t>
            </w:r>
            <w:r>
              <w:rPr>
                <w:bCs/>
                <w:color w:val="auto"/>
                <w:sz w:val="24"/>
              </w:rPr>
              <w:t>—</w:t>
            </w:r>
            <w:r>
              <w:rPr>
                <w:rFonts w:hint="eastAsia"/>
                <w:color w:val="auto"/>
                <w:kern w:val="0"/>
                <w:sz w:val="24"/>
              </w:rPr>
              <w:t>围护结构i倍频带的隔音量，dB</w:t>
            </w:r>
            <w:r>
              <w:rPr>
                <w:rFonts w:hint="eastAsia"/>
                <w:color w:val="auto"/>
                <w:kern w:val="0"/>
                <w:sz w:val="24"/>
                <w:lang w:val="en-US" w:eastAsia="zh-CN"/>
              </w:rPr>
              <w:t>。</w:t>
            </w:r>
          </w:p>
          <w:p w14:paraId="37F2A92D">
            <w:pPr>
              <w:widowControl/>
              <w:spacing w:line="360" w:lineRule="auto"/>
              <w:rPr>
                <w:color w:val="auto"/>
                <w:sz w:val="24"/>
              </w:rPr>
            </w:pPr>
            <w:r>
              <w:rPr>
                <w:color w:val="auto"/>
                <w:kern w:val="0"/>
                <w:sz w:val="24"/>
              </w:rPr>
              <w:t>B</w:t>
            </w:r>
            <w:r>
              <w:rPr>
                <w:rFonts w:hint="eastAsia"/>
                <w:color w:val="auto"/>
                <w:kern w:val="0"/>
                <w:sz w:val="24"/>
                <w:lang w:eastAsia="zh-CN"/>
              </w:rPr>
              <w:t>.</w:t>
            </w:r>
            <w:r>
              <w:rPr>
                <w:color w:val="auto"/>
                <w:kern w:val="0"/>
                <w:sz w:val="24"/>
              </w:rPr>
              <w:t>室内声源等效室外声源噪声级的计算</w:t>
            </w:r>
          </w:p>
          <w:p w14:paraId="4659ECFA">
            <w:pPr>
              <w:widowControl/>
              <w:spacing w:line="360" w:lineRule="auto"/>
              <w:jc w:val="center"/>
              <w:rPr>
                <w:rFonts w:hint="eastAsia"/>
                <w:i/>
                <w:iCs/>
                <w:color w:val="auto"/>
                <w:kern w:val="0"/>
                <w:sz w:val="24"/>
              </w:rPr>
            </w:pPr>
            <w:r>
              <w:rPr>
                <w:i/>
                <w:iCs/>
                <w:color w:val="auto"/>
                <w:kern w:val="0"/>
                <w:sz w:val="24"/>
              </w:rPr>
              <w:t>L</w:t>
            </w:r>
            <w:r>
              <w:rPr>
                <w:rFonts w:hint="eastAsia"/>
                <w:i/>
                <w:iCs/>
                <w:color w:val="auto"/>
                <w:kern w:val="0"/>
                <w:sz w:val="24"/>
                <w:vertAlign w:val="subscript"/>
              </w:rPr>
              <w:t>w</w:t>
            </w:r>
            <w:r>
              <w:rPr>
                <w:i/>
                <w:iCs/>
                <w:color w:val="auto"/>
                <w:kern w:val="0"/>
                <w:sz w:val="24"/>
              </w:rPr>
              <w:t>=L</w:t>
            </w:r>
            <w:r>
              <w:rPr>
                <w:rFonts w:hint="eastAsia"/>
                <w:i/>
                <w:iCs/>
                <w:color w:val="auto"/>
                <w:kern w:val="0"/>
                <w:sz w:val="24"/>
                <w:vertAlign w:val="subscript"/>
              </w:rPr>
              <w:t>p2</w:t>
            </w:r>
            <w:r>
              <w:rPr>
                <w:i/>
                <w:iCs/>
                <w:color w:val="auto"/>
                <w:kern w:val="0"/>
                <w:sz w:val="24"/>
              </w:rPr>
              <w:t>（T）</w:t>
            </w:r>
            <w:r>
              <w:rPr>
                <w:rFonts w:hint="eastAsia"/>
                <w:i/>
                <w:iCs/>
                <w:color w:val="auto"/>
                <w:kern w:val="0"/>
                <w:sz w:val="24"/>
              </w:rPr>
              <w:t xml:space="preserve">+10lgS         </w:t>
            </w:r>
          </w:p>
          <w:p w14:paraId="54AD3029">
            <w:pPr>
              <w:pStyle w:val="16"/>
              <w:keepNext w:val="0"/>
              <w:keepLines w:val="0"/>
              <w:pageBreakBefore w:val="0"/>
              <w:kinsoku/>
              <w:wordWrap/>
              <w:overflowPunct/>
              <w:topLinePunct w:val="0"/>
              <w:autoSpaceDE/>
              <w:autoSpaceDN/>
              <w:bidi w:val="0"/>
              <w:adjustRightInd/>
              <w:snapToGrid/>
              <w:spacing w:line="360" w:lineRule="auto"/>
              <w:ind w:left="0" w:leftChars="0" w:firstLine="0" w:firstLineChars="0"/>
              <w:jc w:val="both"/>
              <w:textAlignment w:val="auto"/>
              <w:rPr>
                <w:rFonts w:hint="eastAsia"/>
                <w:i/>
                <w:iCs/>
                <w:color w:val="auto"/>
                <w:kern w:val="0"/>
                <w:sz w:val="24"/>
                <w:szCs w:val="24"/>
              </w:rPr>
            </w:pPr>
            <w:r>
              <w:rPr>
                <w:rFonts w:hint="eastAsia"/>
                <w:i/>
                <w:iCs/>
                <w:color w:val="auto"/>
                <w:kern w:val="0"/>
                <w:sz w:val="24"/>
                <w:szCs w:val="24"/>
              </w:rPr>
              <w:t>式中：</w:t>
            </w:r>
          </w:p>
          <w:p w14:paraId="3E5CF460">
            <w:pPr>
              <w:pStyle w:val="16"/>
              <w:keepNext w:val="0"/>
              <w:keepLines w:val="0"/>
              <w:pageBreakBefore w:val="0"/>
              <w:kinsoku/>
              <w:wordWrap/>
              <w:overflowPunct/>
              <w:topLinePunct w:val="0"/>
              <w:autoSpaceDE/>
              <w:autoSpaceDN/>
              <w:bidi w:val="0"/>
              <w:adjustRightInd/>
              <w:snapToGrid/>
              <w:spacing w:line="360" w:lineRule="auto"/>
              <w:ind w:left="0" w:leftChars="0" w:firstLine="720" w:firstLineChars="300"/>
              <w:jc w:val="both"/>
              <w:textAlignment w:val="auto"/>
              <w:rPr>
                <w:rFonts w:hint="eastAsia"/>
                <w:bCs/>
                <w:color w:val="auto"/>
                <w:sz w:val="24"/>
                <w:szCs w:val="24"/>
              </w:rPr>
            </w:pPr>
            <w:r>
              <w:rPr>
                <w:i/>
                <w:iCs/>
                <w:color w:val="auto"/>
                <w:kern w:val="0"/>
                <w:sz w:val="24"/>
                <w:szCs w:val="24"/>
              </w:rPr>
              <w:t>L</w:t>
            </w:r>
            <w:r>
              <w:rPr>
                <w:rFonts w:hint="eastAsia"/>
                <w:i/>
                <w:iCs/>
                <w:color w:val="auto"/>
                <w:kern w:val="0"/>
                <w:sz w:val="24"/>
                <w:szCs w:val="24"/>
                <w:vertAlign w:val="subscript"/>
              </w:rPr>
              <w:t>w</w:t>
            </w:r>
            <w:r>
              <w:rPr>
                <w:bCs/>
                <w:color w:val="auto"/>
                <w:sz w:val="24"/>
                <w:szCs w:val="24"/>
              </w:rPr>
              <w:t>—</w:t>
            </w:r>
            <w:r>
              <w:rPr>
                <w:rFonts w:hint="eastAsia"/>
                <w:bCs/>
                <w:color w:val="auto"/>
                <w:sz w:val="24"/>
                <w:szCs w:val="24"/>
              </w:rPr>
              <w:t>中心位置位于透声面积（S）处的等效声源的倍频带声功率级，dB；</w:t>
            </w:r>
          </w:p>
          <w:p w14:paraId="07AB349A">
            <w:pPr>
              <w:pStyle w:val="16"/>
              <w:keepNext w:val="0"/>
              <w:keepLines w:val="0"/>
              <w:pageBreakBefore w:val="0"/>
              <w:kinsoku/>
              <w:wordWrap/>
              <w:overflowPunct/>
              <w:topLinePunct w:val="0"/>
              <w:autoSpaceDE/>
              <w:autoSpaceDN/>
              <w:bidi w:val="0"/>
              <w:adjustRightInd/>
              <w:snapToGrid/>
              <w:spacing w:line="360" w:lineRule="auto"/>
              <w:ind w:left="899" w:leftChars="314" w:hanging="240" w:hangingChars="100"/>
              <w:jc w:val="both"/>
              <w:textAlignment w:val="auto"/>
              <w:rPr>
                <w:color w:val="auto"/>
                <w:kern w:val="0"/>
                <w:sz w:val="24"/>
                <w:szCs w:val="24"/>
              </w:rPr>
            </w:pPr>
            <w:r>
              <w:rPr>
                <w:i/>
                <w:iCs/>
                <w:color w:val="auto"/>
                <w:kern w:val="0"/>
                <w:sz w:val="24"/>
                <w:szCs w:val="24"/>
              </w:rPr>
              <w:t>L</w:t>
            </w:r>
            <w:r>
              <w:rPr>
                <w:rFonts w:hint="eastAsia"/>
                <w:i/>
                <w:iCs/>
                <w:color w:val="auto"/>
                <w:kern w:val="0"/>
                <w:sz w:val="24"/>
                <w:szCs w:val="24"/>
                <w:vertAlign w:val="subscript"/>
              </w:rPr>
              <w:t>p2</w:t>
            </w:r>
            <w:r>
              <w:rPr>
                <w:i/>
                <w:iCs/>
                <w:color w:val="auto"/>
                <w:kern w:val="0"/>
                <w:sz w:val="24"/>
                <w:szCs w:val="24"/>
              </w:rPr>
              <w:t>（T）</w:t>
            </w:r>
            <w:r>
              <w:rPr>
                <w:bCs/>
                <w:color w:val="auto"/>
                <w:sz w:val="24"/>
                <w:szCs w:val="24"/>
              </w:rPr>
              <w:t>—</w:t>
            </w:r>
            <w:r>
              <w:rPr>
                <w:rFonts w:hint="eastAsia"/>
                <w:color w:val="auto"/>
                <w:kern w:val="0"/>
                <w:sz w:val="24"/>
                <w:szCs w:val="24"/>
              </w:rPr>
              <w:t>靠近围护结构处室外声源的声压级，dB</w:t>
            </w:r>
            <w:r>
              <w:rPr>
                <w:color w:val="auto"/>
                <w:kern w:val="0"/>
                <w:sz w:val="24"/>
                <w:szCs w:val="24"/>
              </w:rPr>
              <w:t>；</w:t>
            </w:r>
          </w:p>
          <w:p w14:paraId="665000BC">
            <w:pPr>
              <w:keepNext w:val="0"/>
              <w:keepLines w:val="0"/>
              <w:pageBreakBefore w:val="0"/>
              <w:widowControl/>
              <w:kinsoku/>
              <w:wordWrap/>
              <w:overflowPunct/>
              <w:topLinePunct w:val="0"/>
              <w:autoSpaceDE/>
              <w:autoSpaceDN/>
              <w:bidi w:val="0"/>
              <w:adjustRightInd/>
              <w:snapToGrid/>
              <w:spacing w:line="360" w:lineRule="auto"/>
              <w:ind w:firstLine="720" w:firstLineChars="300"/>
              <w:jc w:val="both"/>
              <w:textAlignment w:val="auto"/>
              <w:rPr>
                <w:color w:val="auto"/>
                <w:sz w:val="24"/>
                <w:szCs w:val="24"/>
              </w:rPr>
            </w:pPr>
            <w:r>
              <w:rPr>
                <w:rFonts w:hint="eastAsia"/>
                <w:color w:val="auto"/>
                <w:kern w:val="0"/>
                <w:sz w:val="24"/>
                <w:szCs w:val="24"/>
              </w:rPr>
              <w:t>S-透声面积，m</w:t>
            </w:r>
            <w:r>
              <w:rPr>
                <w:rFonts w:hint="eastAsia"/>
                <w:color w:val="auto"/>
                <w:kern w:val="0"/>
                <w:sz w:val="24"/>
                <w:szCs w:val="24"/>
                <w:vertAlign w:val="superscript"/>
              </w:rPr>
              <w:t>2</w:t>
            </w:r>
            <w:r>
              <w:rPr>
                <w:rFonts w:hint="eastAsia"/>
                <w:color w:val="auto"/>
                <w:kern w:val="0"/>
                <w:sz w:val="24"/>
                <w:szCs w:val="24"/>
              </w:rPr>
              <w:t>。</w:t>
            </w:r>
          </w:p>
          <w:p w14:paraId="3B6BB5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color w:val="auto"/>
                <w:sz w:val="24"/>
                <w:szCs w:val="24"/>
              </w:rPr>
            </w:pPr>
            <w:r>
              <w:rPr>
                <w:color w:val="auto"/>
                <w:sz w:val="24"/>
                <w:szCs w:val="24"/>
              </w:rPr>
              <w:t>C</w:t>
            </w:r>
            <w:r>
              <w:rPr>
                <w:rFonts w:hint="eastAsia"/>
                <w:color w:val="auto"/>
                <w:sz w:val="24"/>
                <w:szCs w:val="24"/>
                <w:lang w:eastAsia="zh-CN"/>
              </w:rPr>
              <w:t>.</w:t>
            </w:r>
            <w:r>
              <w:rPr>
                <w:color w:val="auto"/>
                <w:sz w:val="24"/>
                <w:szCs w:val="24"/>
              </w:rPr>
              <w:t>室外点声源在预测点产生的噪声级</w:t>
            </w:r>
          </w:p>
          <w:p w14:paraId="4B76B780">
            <w:pPr>
              <w:widowControl/>
              <w:spacing w:line="360" w:lineRule="auto"/>
              <w:ind w:firstLine="960" w:firstLineChars="400"/>
              <w:rPr>
                <w:rFonts w:hint="eastAsia"/>
                <w:color w:val="auto"/>
                <w:kern w:val="0"/>
                <w:sz w:val="24"/>
              </w:rPr>
            </w:pPr>
            <w:r>
              <w:rPr>
                <w:rFonts w:hint="eastAsia"/>
                <w:color w:val="auto"/>
                <w:kern w:val="0"/>
                <w:sz w:val="24"/>
              </w:rPr>
              <w:drawing>
                <wp:inline distT="0" distB="0" distL="114300" distR="114300">
                  <wp:extent cx="4028440" cy="270510"/>
                  <wp:effectExtent l="0" t="0" r="10160" b="15240"/>
                  <wp:docPr id="23" name="图片 67" descr="微信图片_202208091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7" descr="微信图片_20220809162056"/>
                          <pic:cNvPicPr>
                            <a:picLocks noChangeAspect="1"/>
                          </pic:cNvPicPr>
                        </pic:nvPicPr>
                        <pic:blipFill>
                          <a:blip r:embed="rId19"/>
                          <a:stretch>
                            <a:fillRect/>
                          </a:stretch>
                        </pic:blipFill>
                        <pic:spPr>
                          <a:xfrm>
                            <a:off x="0" y="0"/>
                            <a:ext cx="4028440" cy="270510"/>
                          </a:xfrm>
                          <a:prstGeom prst="rect">
                            <a:avLst/>
                          </a:prstGeom>
                          <a:noFill/>
                          <a:ln>
                            <a:noFill/>
                          </a:ln>
                        </pic:spPr>
                      </pic:pic>
                    </a:graphicData>
                  </a:graphic>
                </wp:inline>
              </w:drawing>
            </w:r>
          </w:p>
          <w:p w14:paraId="41397393">
            <w:pPr>
              <w:widowControl/>
              <w:spacing w:line="360" w:lineRule="auto"/>
              <w:ind w:firstLine="960" w:firstLineChars="400"/>
              <w:rPr>
                <w:color w:val="auto"/>
                <w:kern w:val="0"/>
                <w:sz w:val="24"/>
              </w:rPr>
            </w:pPr>
            <w:r>
              <w:rPr>
                <w:color w:val="auto"/>
                <w:kern w:val="0"/>
                <w:sz w:val="24"/>
              </w:rPr>
              <w:t>式中：</w:t>
            </w:r>
          </w:p>
          <w:p w14:paraId="08D23363">
            <w:pPr>
              <w:widowControl/>
              <w:spacing w:line="360" w:lineRule="auto"/>
              <w:ind w:firstLine="960" w:firstLineChars="400"/>
              <w:rPr>
                <w:color w:val="auto"/>
                <w:kern w:val="0"/>
                <w:sz w:val="24"/>
              </w:rPr>
            </w:pPr>
            <w:r>
              <w:rPr>
                <w:color w:val="auto"/>
                <w:kern w:val="0"/>
                <w:sz w:val="24"/>
              </w:rPr>
              <w:t>L</w:t>
            </w:r>
            <w:r>
              <w:rPr>
                <w:rFonts w:hint="eastAsia"/>
                <w:color w:val="auto"/>
                <w:kern w:val="0"/>
                <w:sz w:val="24"/>
                <w:vertAlign w:val="subscript"/>
              </w:rPr>
              <w:t>p</w:t>
            </w:r>
            <w:r>
              <w:rPr>
                <w:color w:val="auto"/>
                <w:kern w:val="0"/>
                <w:sz w:val="24"/>
              </w:rPr>
              <w:t>（r）—</w:t>
            </w:r>
            <w:r>
              <w:rPr>
                <w:rFonts w:hint="eastAsia"/>
                <w:color w:val="auto"/>
                <w:kern w:val="0"/>
                <w:sz w:val="24"/>
              </w:rPr>
              <w:t>预测点处声压级</w:t>
            </w:r>
            <w:r>
              <w:rPr>
                <w:rFonts w:hint="eastAsia"/>
                <w:color w:val="auto"/>
                <w:kern w:val="0"/>
                <w:sz w:val="24"/>
                <w:lang w:eastAsia="zh-CN"/>
              </w:rPr>
              <w:t>；</w:t>
            </w:r>
            <w:r>
              <w:rPr>
                <w:color w:val="auto"/>
                <w:kern w:val="0"/>
                <w:sz w:val="24"/>
              </w:rPr>
              <w:t>dB；</w:t>
            </w:r>
          </w:p>
          <w:p w14:paraId="2C8BA58A">
            <w:pPr>
              <w:widowControl/>
              <w:spacing w:line="360" w:lineRule="auto"/>
              <w:ind w:firstLine="960" w:firstLineChars="400"/>
              <w:rPr>
                <w:color w:val="auto"/>
                <w:kern w:val="0"/>
                <w:sz w:val="24"/>
              </w:rPr>
            </w:pPr>
            <w:r>
              <w:rPr>
                <w:color w:val="auto"/>
                <w:kern w:val="0"/>
                <w:sz w:val="24"/>
              </w:rPr>
              <w:t>L</w:t>
            </w:r>
            <w:r>
              <w:rPr>
                <w:rFonts w:hint="eastAsia"/>
                <w:color w:val="auto"/>
                <w:kern w:val="0"/>
                <w:sz w:val="24"/>
                <w:vertAlign w:val="subscript"/>
              </w:rPr>
              <w:t>w</w:t>
            </w:r>
            <w:r>
              <w:rPr>
                <w:color w:val="auto"/>
                <w:kern w:val="0"/>
                <w:sz w:val="24"/>
              </w:rPr>
              <w:t>—</w:t>
            </w:r>
            <w:r>
              <w:rPr>
                <w:rFonts w:hint="eastAsia"/>
                <w:color w:val="auto"/>
                <w:kern w:val="0"/>
                <w:sz w:val="24"/>
              </w:rPr>
              <w:t>由点声源产生的声功率级（A计权或倍频带）</w:t>
            </w:r>
            <w:r>
              <w:rPr>
                <w:rFonts w:hint="eastAsia"/>
                <w:color w:val="auto"/>
                <w:kern w:val="0"/>
                <w:sz w:val="24"/>
                <w:lang w:eastAsia="zh-CN"/>
              </w:rPr>
              <w:t>；</w:t>
            </w:r>
            <w:r>
              <w:rPr>
                <w:color w:val="auto"/>
                <w:kern w:val="0"/>
                <w:sz w:val="24"/>
              </w:rPr>
              <w:t>dB；</w:t>
            </w:r>
          </w:p>
          <w:p w14:paraId="111F044D">
            <w:pPr>
              <w:pStyle w:val="16"/>
              <w:spacing w:before="0" w:beforeAutospacing="0" w:after="0" w:afterAutospacing="0"/>
              <w:ind w:left="1678" w:leftChars="456" w:hanging="720" w:hangingChars="300"/>
              <w:rPr>
                <w:color w:val="auto"/>
                <w:kern w:val="0"/>
              </w:rPr>
            </w:pPr>
            <w:r>
              <w:rPr>
                <w:rFonts w:hint="eastAsia"/>
                <w:color w:val="auto"/>
                <w:kern w:val="0"/>
              </w:rPr>
              <w:t>Dc</w:t>
            </w:r>
            <w:r>
              <w:rPr>
                <w:color w:val="auto"/>
                <w:kern w:val="0"/>
              </w:rPr>
              <w:t>—</w:t>
            </w:r>
            <w:r>
              <w:rPr>
                <w:rFonts w:hint="eastAsia"/>
                <w:color w:val="auto"/>
                <w:kern w:val="0"/>
              </w:rPr>
              <w:t>指向性校正，它描述点声源的等效连续声压级与产生声功率级</w:t>
            </w:r>
            <w:r>
              <w:rPr>
                <w:color w:val="auto"/>
                <w:kern w:val="0"/>
              </w:rPr>
              <w:t>L</w:t>
            </w:r>
            <w:r>
              <w:rPr>
                <w:rFonts w:hint="eastAsia"/>
                <w:color w:val="auto"/>
                <w:kern w:val="0"/>
                <w:vertAlign w:val="subscript"/>
              </w:rPr>
              <w:t>w</w:t>
            </w:r>
            <w:r>
              <w:rPr>
                <w:rFonts w:hint="eastAsia"/>
                <w:color w:val="auto"/>
                <w:kern w:val="0"/>
              </w:rPr>
              <w:t>的全向点声源在规定方向的声级的偏差程度</w:t>
            </w:r>
            <w:r>
              <w:rPr>
                <w:rFonts w:hint="eastAsia"/>
                <w:color w:val="auto"/>
                <w:kern w:val="0"/>
                <w:lang w:eastAsia="zh-CN"/>
              </w:rPr>
              <w:t>；</w:t>
            </w:r>
            <w:r>
              <w:rPr>
                <w:color w:val="auto"/>
                <w:kern w:val="0"/>
              </w:rPr>
              <w:t>dB；</w:t>
            </w:r>
          </w:p>
          <w:p w14:paraId="0DCE4C3D">
            <w:pPr>
              <w:widowControl/>
              <w:spacing w:line="360" w:lineRule="auto"/>
              <w:ind w:firstLine="960" w:firstLineChars="400"/>
              <w:rPr>
                <w:color w:val="auto"/>
                <w:kern w:val="0"/>
                <w:sz w:val="24"/>
              </w:rPr>
            </w:pPr>
            <w:r>
              <w:rPr>
                <w:color w:val="auto"/>
                <w:kern w:val="0"/>
                <w:sz w:val="24"/>
              </w:rPr>
              <w:t>A</w:t>
            </w:r>
            <w:r>
              <w:rPr>
                <w:color w:val="auto"/>
                <w:kern w:val="0"/>
                <w:sz w:val="24"/>
                <w:vertAlign w:val="subscript"/>
              </w:rPr>
              <w:t>div</w:t>
            </w:r>
            <w:r>
              <w:rPr>
                <w:color w:val="auto"/>
                <w:kern w:val="0"/>
                <w:sz w:val="24"/>
              </w:rPr>
              <w:t>—几何发散引起的衰减</w:t>
            </w:r>
            <w:r>
              <w:rPr>
                <w:rFonts w:hint="eastAsia"/>
                <w:color w:val="auto"/>
                <w:kern w:val="0"/>
                <w:sz w:val="24"/>
                <w:lang w:eastAsia="zh-CN"/>
              </w:rPr>
              <w:t>；</w:t>
            </w:r>
            <w:r>
              <w:rPr>
                <w:color w:val="auto"/>
                <w:kern w:val="0"/>
                <w:sz w:val="24"/>
              </w:rPr>
              <w:t>dB；</w:t>
            </w:r>
          </w:p>
          <w:p w14:paraId="762B6EFB">
            <w:pPr>
              <w:widowControl/>
              <w:spacing w:line="360" w:lineRule="auto"/>
              <w:ind w:firstLine="960" w:firstLineChars="400"/>
              <w:rPr>
                <w:color w:val="auto"/>
                <w:kern w:val="0"/>
                <w:sz w:val="24"/>
              </w:rPr>
            </w:pPr>
            <w:r>
              <w:rPr>
                <w:color w:val="auto"/>
                <w:kern w:val="0"/>
                <w:sz w:val="24"/>
              </w:rPr>
              <w:t>A</w:t>
            </w:r>
            <w:r>
              <w:rPr>
                <w:color w:val="auto"/>
                <w:kern w:val="0"/>
                <w:sz w:val="24"/>
                <w:vertAlign w:val="subscript"/>
              </w:rPr>
              <w:t>atm</w:t>
            </w:r>
            <w:r>
              <w:rPr>
                <w:color w:val="auto"/>
                <w:kern w:val="0"/>
                <w:sz w:val="24"/>
              </w:rPr>
              <w:t>—</w:t>
            </w:r>
            <w:r>
              <w:rPr>
                <w:rFonts w:hint="eastAsia"/>
                <w:color w:val="auto"/>
                <w:kern w:val="0"/>
                <w:sz w:val="24"/>
              </w:rPr>
              <w:t>大气</w:t>
            </w:r>
            <w:r>
              <w:rPr>
                <w:color w:val="auto"/>
                <w:kern w:val="0"/>
                <w:sz w:val="24"/>
              </w:rPr>
              <w:t>吸收引起的衰减</w:t>
            </w:r>
            <w:r>
              <w:rPr>
                <w:rFonts w:hint="eastAsia"/>
                <w:color w:val="auto"/>
                <w:kern w:val="0"/>
                <w:sz w:val="24"/>
                <w:lang w:eastAsia="zh-CN"/>
              </w:rPr>
              <w:t>；</w:t>
            </w:r>
            <w:r>
              <w:rPr>
                <w:color w:val="auto"/>
                <w:kern w:val="0"/>
                <w:sz w:val="24"/>
              </w:rPr>
              <w:t>dB；</w:t>
            </w:r>
          </w:p>
          <w:p w14:paraId="265CB200">
            <w:pPr>
              <w:widowControl/>
              <w:spacing w:line="360" w:lineRule="auto"/>
              <w:ind w:firstLine="960" w:firstLineChars="400"/>
              <w:rPr>
                <w:color w:val="auto"/>
                <w:kern w:val="0"/>
                <w:sz w:val="24"/>
              </w:rPr>
            </w:pPr>
            <w:r>
              <w:rPr>
                <w:color w:val="auto"/>
                <w:kern w:val="0"/>
                <w:sz w:val="24"/>
              </w:rPr>
              <w:t>A</w:t>
            </w:r>
            <w:r>
              <w:rPr>
                <w:rFonts w:hint="eastAsia"/>
                <w:color w:val="auto"/>
                <w:kern w:val="0"/>
                <w:sz w:val="24"/>
                <w:vertAlign w:val="subscript"/>
              </w:rPr>
              <w:t>gr</w:t>
            </w:r>
            <w:r>
              <w:rPr>
                <w:color w:val="auto"/>
                <w:kern w:val="0"/>
                <w:sz w:val="24"/>
              </w:rPr>
              <w:t>—</w:t>
            </w:r>
            <w:r>
              <w:rPr>
                <w:rFonts w:hint="eastAsia"/>
                <w:color w:val="auto"/>
                <w:kern w:val="0"/>
                <w:sz w:val="24"/>
              </w:rPr>
              <w:t>地面效应引起的衰减</w:t>
            </w:r>
            <w:r>
              <w:rPr>
                <w:rFonts w:hint="eastAsia"/>
                <w:color w:val="auto"/>
                <w:kern w:val="0"/>
                <w:sz w:val="24"/>
                <w:lang w:eastAsia="zh-CN"/>
              </w:rPr>
              <w:t>；</w:t>
            </w:r>
            <w:r>
              <w:rPr>
                <w:color w:val="auto"/>
                <w:kern w:val="0"/>
                <w:sz w:val="24"/>
              </w:rPr>
              <w:t>dB；</w:t>
            </w:r>
          </w:p>
          <w:p w14:paraId="2B6CA9BF">
            <w:pPr>
              <w:widowControl/>
              <w:spacing w:line="360" w:lineRule="auto"/>
              <w:ind w:firstLine="960" w:firstLineChars="400"/>
              <w:rPr>
                <w:color w:val="auto"/>
                <w:kern w:val="0"/>
                <w:sz w:val="24"/>
              </w:rPr>
            </w:pPr>
            <w:r>
              <w:rPr>
                <w:color w:val="auto"/>
                <w:kern w:val="0"/>
                <w:sz w:val="24"/>
              </w:rPr>
              <w:t>A</w:t>
            </w:r>
            <w:r>
              <w:rPr>
                <w:color w:val="auto"/>
                <w:kern w:val="0"/>
                <w:sz w:val="24"/>
                <w:vertAlign w:val="subscript"/>
              </w:rPr>
              <w:t>bar</w:t>
            </w:r>
            <w:r>
              <w:rPr>
                <w:color w:val="auto"/>
                <w:kern w:val="0"/>
                <w:sz w:val="24"/>
              </w:rPr>
              <w:t>—</w:t>
            </w:r>
            <w:r>
              <w:rPr>
                <w:rFonts w:hint="eastAsia"/>
                <w:color w:val="auto"/>
                <w:kern w:val="0"/>
                <w:sz w:val="24"/>
              </w:rPr>
              <w:t>障碍物屏蔽引起的衰减</w:t>
            </w:r>
            <w:r>
              <w:rPr>
                <w:rFonts w:hint="eastAsia"/>
                <w:color w:val="auto"/>
                <w:kern w:val="0"/>
                <w:sz w:val="24"/>
                <w:lang w:eastAsia="zh-CN"/>
              </w:rPr>
              <w:t>；</w:t>
            </w:r>
            <w:r>
              <w:rPr>
                <w:color w:val="auto"/>
                <w:kern w:val="0"/>
                <w:sz w:val="24"/>
              </w:rPr>
              <w:t>dB；</w:t>
            </w:r>
          </w:p>
          <w:p w14:paraId="103BBDC4">
            <w:pPr>
              <w:widowControl/>
              <w:spacing w:line="360" w:lineRule="auto"/>
              <w:ind w:firstLine="960" w:firstLineChars="400"/>
              <w:rPr>
                <w:color w:val="auto"/>
                <w:kern w:val="0"/>
                <w:sz w:val="24"/>
              </w:rPr>
            </w:pPr>
            <w:r>
              <w:rPr>
                <w:color w:val="auto"/>
                <w:kern w:val="0"/>
                <w:sz w:val="24"/>
              </w:rPr>
              <w:t>A</w:t>
            </w:r>
            <w:r>
              <w:rPr>
                <w:rFonts w:hint="eastAsia"/>
                <w:color w:val="auto"/>
                <w:kern w:val="0"/>
                <w:sz w:val="24"/>
                <w:vertAlign w:val="subscript"/>
              </w:rPr>
              <w:t>misc</w:t>
            </w:r>
            <w:r>
              <w:rPr>
                <w:color w:val="auto"/>
                <w:kern w:val="0"/>
                <w:sz w:val="24"/>
              </w:rPr>
              <w:t>—</w:t>
            </w:r>
            <w:r>
              <w:rPr>
                <w:rFonts w:hint="eastAsia"/>
                <w:color w:val="auto"/>
                <w:kern w:val="0"/>
                <w:sz w:val="24"/>
              </w:rPr>
              <w:t>其他多方面效应引起的衰减</w:t>
            </w:r>
            <w:r>
              <w:rPr>
                <w:rFonts w:hint="eastAsia"/>
                <w:color w:val="auto"/>
                <w:kern w:val="0"/>
                <w:sz w:val="24"/>
                <w:lang w:eastAsia="zh-CN"/>
              </w:rPr>
              <w:t>；</w:t>
            </w:r>
            <w:r>
              <w:rPr>
                <w:color w:val="auto"/>
                <w:kern w:val="0"/>
                <w:sz w:val="24"/>
              </w:rPr>
              <w:t>dB；</w:t>
            </w:r>
          </w:p>
          <w:p w14:paraId="0A60D3E9">
            <w:pPr>
              <w:widowControl/>
              <w:spacing w:line="440" w:lineRule="exact"/>
              <w:ind w:firstLine="480" w:firstLineChars="200"/>
              <w:rPr>
                <w:color w:val="auto"/>
                <w:sz w:val="24"/>
              </w:rPr>
            </w:pPr>
            <w:r>
              <w:rPr>
                <w:color w:val="auto"/>
                <w:sz w:val="24"/>
              </w:rPr>
              <w:t>为避免计算中增大衰减量而造成预测值偏小，计算</w:t>
            </w:r>
            <w:r>
              <w:rPr>
                <w:rFonts w:hint="eastAsia"/>
                <w:color w:val="auto"/>
                <w:sz w:val="24"/>
                <w:lang w:eastAsia="zh-CN"/>
              </w:rPr>
              <w:t>时</w:t>
            </w:r>
            <w:r>
              <w:rPr>
                <w:color w:val="auto"/>
                <w:sz w:val="24"/>
              </w:rPr>
              <w:t>忽略</w:t>
            </w:r>
            <w:r>
              <w:rPr>
                <w:color w:val="auto"/>
                <w:kern w:val="0"/>
                <w:sz w:val="24"/>
              </w:rPr>
              <w:t>A</w:t>
            </w:r>
            <w:r>
              <w:rPr>
                <w:color w:val="auto"/>
                <w:kern w:val="0"/>
                <w:sz w:val="24"/>
                <w:vertAlign w:val="subscript"/>
              </w:rPr>
              <w:t>atm</w:t>
            </w:r>
            <w:r>
              <w:rPr>
                <w:color w:val="auto"/>
                <w:sz w:val="24"/>
              </w:rPr>
              <w:t>和</w:t>
            </w:r>
            <w:r>
              <w:rPr>
                <w:color w:val="auto"/>
                <w:kern w:val="0"/>
                <w:sz w:val="24"/>
              </w:rPr>
              <w:t>A</w:t>
            </w:r>
            <w:r>
              <w:rPr>
                <w:rFonts w:hint="eastAsia"/>
                <w:color w:val="auto"/>
                <w:kern w:val="0"/>
                <w:sz w:val="24"/>
                <w:vertAlign w:val="subscript"/>
              </w:rPr>
              <w:t>misc</w:t>
            </w:r>
            <w:r>
              <w:rPr>
                <w:color w:val="auto"/>
                <w:kern w:val="0"/>
                <w:sz w:val="24"/>
              </w:rPr>
              <w:t>。</w:t>
            </w:r>
          </w:p>
          <w:p w14:paraId="2303EE74">
            <w:pPr>
              <w:keepNext w:val="0"/>
              <w:keepLines w:val="0"/>
              <w:suppressLineNumbers w:val="0"/>
              <w:spacing w:before="0" w:beforeAutospacing="0" w:after="0" w:afterAutospacing="0"/>
              <w:ind w:left="0" w:right="0" w:firstLine="422" w:firstLineChars="200"/>
              <w:jc w:val="center"/>
              <w:rPr>
                <w:rFonts w:hint="default" w:ascii="Times New Roman" w:hAnsi="Times New Roman" w:eastAsia="宋体" w:cs="Times New Roman"/>
                <w:b/>
                <w:bCs/>
                <w:color w:val="auto"/>
                <w:sz w:val="21"/>
                <w:szCs w:val="21"/>
                <w:lang w:val="en-GB" w:eastAsia="zh-CN"/>
              </w:rPr>
            </w:pPr>
            <w:r>
              <w:rPr>
                <w:rFonts w:hint="default" w:ascii="Times New Roman" w:hAnsi="Times New Roman" w:eastAsia="宋体" w:cs="Times New Roman"/>
                <w:b/>
                <w:bCs/>
                <w:color w:val="auto"/>
                <w:sz w:val="21"/>
                <w:szCs w:val="21"/>
                <w:lang w:val="en-GB" w:eastAsia="zh-CN"/>
              </w:rPr>
              <w:t>表4-</w:t>
            </w: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lang w:val="en-GB" w:eastAsia="zh-CN"/>
              </w:rPr>
              <w:t xml:space="preserve">   隔墙等遮挡物引起的A声级衰减一览表</w:t>
            </w:r>
          </w:p>
          <w:tbl>
            <w:tblPr>
              <w:tblStyle w:val="30"/>
              <w:tblW w:w="798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993"/>
              <w:gridCol w:w="3996"/>
            </w:tblGrid>
            <w:tr w14:paraId="457BF6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36DD85D8">
                  <w:pPr>
                    <w:adjustRightInd w:val="0"/>
                    <w:snapToGrid w:val="0"/>
                    <w:jc w:val="center"/>
                    <w:rPr>
                      <w:b/>
                      <w:bCs/>
                      <w:color w:val="auto"/>
                      <w:szCs w:val="21"/>
                    </w:rPr>
                  </w:pPr>
                  <w:r>
                    <w:rPr>
                      <w:b/>
                      <w:bCs/>
                      <w:color w:val="auto"/>
                      <w:szCs w:val="21"/>
                    </w:rPr>
                    <w:t>条件</w:t>
                  </w:r>
                </w:p>
              </w:tc>
              <w:tc>
                <w:tcPr>
                  <w:tcW w:w="2501" w:type="pct"/>
                  <w:noWrap w:val="0"/>
                  <w:vAlign w:val="center"/>
                </w:tcPr>
                <w:p w14:paraId="7D63DB90">
                  <w:pPr>
                    <w:adjustRightInd w:val="0"/>
                    <w:snapToGrid w:val="0"/>
                    <w:jc w:val="center"/>
                    <w:rPr>
                      <w:b/>
                      <w:bCs/>
                      <w:color w:val="auto"/>
                      <w:szCs w:val="21"/>
                    </w:rPr>
                  </w:pPr>
                  <w:r>
                    <w:rPr>
                      <w:b/>
                      <w:bCs/>
                      <w:color w:val="auto"/>
                      <w:kern w:val="0"/>
                      <w:szCs w:val="21"/>
                    </w:rPr>
                    <w:t>A</w:t>
                  </w:r>
                  <w:r>
                    <w:rPr>
                      <w:b/>
                      <w:bCs/>
                      <w:color w:val="auto"/>
                      <w:kern w:val="0"/>
                      <w:szCs w:val="21"/>
                      <w:vertAlign w:val="subscript"/>
                    </w:rPr>
                    <w:t>bar</w:t>
                  </w:r>
                  <w:r>
                    <w:rPr>
                      <w:b/>
                      <w:bCs/>
                      <w:color w:val="auto"/>
                      <w:kern w:val="0"/>
                      <w:szCs w:val="21"/>
                    </w:rPr>
                    <w:t xml:space="preserve"> dB（A）</w:t>
                  </w:r>
                </w:p>
              </w:tc>
            </w:tr>
            <w:tr w14:paraId="63DC27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257C8719">
                  <w:pPr>
                    <w:adjustRightInd w:val="0"/>
                    <w:snapToGrid w:val="0"/>
                    <w:jc w:val="center"/>
                    <w:rPr>
                      <w:color w:val="auto"/>
                      <w:szCs w:val="21"/>
                    </w:rPr>
                  </w:pPr>
                  <w:r>
                    <w:rPr>
                      <w:color w:val="auto"/>
                      <w:szCs w:val="21"/>
                    </w:rPr>
                    <w:t>开小窗，密闭，门经隔声处理</w:t>
                  </w:r>
                </w:p>
              </w:tc>
              <w:tc>
                <w:tcPr>
                  <w:tcW w:w="2501" w:type="pct"/>
                  <w:noWrap w:val="0"/>
                  <w:vAlign w:val="center"/>
                </w:tcPr>
                <w:p w14:paraId="6D01E78F">
                  <w:pPr>
                    <w:adjustRightInd w:val="0"/>
                    <w:snapToGrid w:val="0"/>
                    <w:jc w:val="center"/>
                    <w:rPr>
                      <w:color w:val="auto"/>
                      <w:szCs w:val="21"/>
                    </w:rPr>
                  </w:pPr>
                  <w:r>
                    <w:rPr>
                      <w:color w:val="auto"/>
                      <w:szCs w:val="21"/>
                    </w:rPr>
                    <w:t>25</w:t>
                  </w:r>
                </w:p>
              </w:tc>
            </w:tr>
            <w:tr w14:paraId="2AFD86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37" w:hRule="atLeast"/>
                <w:jc w:val="center"/>
              </w:trPr>
              <w:tc>
                <w:tcPr>
                  <w:tcW w:w="2499" w:type="pct"/>
                  <w:noWrap w:val="0"/>
                  <w:vAlign w:val="center"/>
                </w:tcPr>
                <w:p w14:paraId="291B91A1">
                  <w:pPr>
                    <w:adjustRightInd w:val="0"/>
                    <w:snapToGrid w:val="0"/>
                    <w:jc w:val="center"/>
                    <w:rPr>
                      <w:color w:val="auto"/>
                      <w:szCs w:val="21"/>
                    </w:rPr>
                  </w:pPr>
                  <w:r>
                    <w:rPr>
                      <w:color w:val="auto"/>
                      <w:szCs w:val="21"/>
                    </w:rPr>
                    <w:t>开大窗且不密闭，门较密闭</w:t>
                  </w:r>
                </w:p>
              </w:tc>
              <w:tc>
                <w:tcPr>
                  <w:tcW w:w="2501" w:type="pct"/>
                  <w:noWrap w:val="0"/>
                  <w:vAlign w:val="center"/>
                </w:tcPr>
                <w:p w14:paraId="2DD151B0">
                  <w:pPr>
                    <w:adjustRightInd w:val="0"/>
                    <w:snapToGrid w:val="0"/>
                    <w:jc w:val="center"/>
                    <w:rPr>
                      <w:color w:val="auto"/>
                      <w:szCs w:val="21"/>
                    </w:rPr>
                  </w:pPr>
                  <w:r>
                    <w:rPr>
                      <w:color w:val="auto"/>
                      <w:szCs w:val="21"/>
                    </w:rPr>
                    <w:t>20</w:t>
                  </w:r>
                </w:p>
              </w:tc>
            </w:tr>
            <w:tr w14:paraId="6526F0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06A65C6F">
                  <w:pPr>
                    <w:adjustRightInd w:val="0"/>
                    <w:snapToGrid w:val="0"/>
                    <w:jc w:val="center"/>
                    <w:rPr>
                      <w:color w:val="auto"/>
                      <w:szCs w:val="21"/>
                    </w:rPr>
                  </w:pPr>
                  <w:r>
                    <w:rPr>
                      <w:color w:val="auto"/>
                      <w:szCs w:val="21"/>
                    </w:rPr>
                    <w:t>开大窗且不密闭，门不密闭</w:t>
                  </w:r>
                </w:p>
              </w:tc>
              <w:tc>
                <w:tcPr>
                  <w:tcW w:w="2501" w:type="pct"/>
                  <w:noWrap w:val="0"/>
                  <w:vAlign w:val="center"/>
                </w:tcPr>
                <w:p w14:paraId="4712728E">
                  <w:pPr>
                    <w:adjustRightInd w:val="0"/>
                    <w:snapToGrid w:val="0"/>
                    <w:jc w:val="center"/>
                    <w:rPr>
                      <w:color w:val="auto"/>
                      <w:szCs w:val="21"/>
                    </w:rPr>
                  </w:pPr>
                  <w:r>
                    <w:rPr>
                      <w:color w:val="auto"/>
                      <w:szCs w:val="21"/>
                    </w:rPr>
                    <w:t>13</w:t>
                  </w:r>
                </w:p>
              </w:tc>
            </w:tr>
            <w:tr w14:paraId="54113D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3B6D25D6">
                  <w:pPr>
                    <w:adjustRightInd w:val="0"/>
                    <w:snapToGrid w:val="0"/>
                    <w:jc w:val="center"/>
                    <w:rPr>
                      <w:color w:val="auto"/>
                      <w:szCs w:val="21"/>
                    </w:rPr>
                  </w:pPr>
                  <w:r>
                    <w:rPr>
                      <w:color w:val="auto"/>
                      <w:szCs w:val="21"/>
                    </w:rPr>
                    <w:t>门与窗全部敞开</w:t>
                  </w:r>
                </w:p>
              </w:tc>
              <w:tc>
                <w:tcPr>
                  <w:tcW w:w="2501" w:type="pct"/>
                  <w:noWrap w:val="0"/>
                  <w:vAlign w:val="center"/>
                </w:tcPr>
                <w:p w14:paraId="3EC620DB">
                  <w:pPr>
                    <w:adjustRightInd w:val="0"/>
                    <w:snapToGrid w:val="0"/>
                    <w:jc w:val="center"/>
                    <w:rPr>
                      <w:color w:val="auto"/>
                      <w:szCs w:val="21"/>
                    </w:rPr>
                  </w:pPr>
                  <w:r>
                    <w:rPr>
                      <w:color w:val="auto"/>
                      <w:szCs w:val="21"/>
                    </w:rPr>
                    <w:t>8</w:t>
                  </w:r>
                </w:p>
              </w:tc>
            </w:tr>
          </w:tbl>
          <w:p w14:paraId="66452FE2">
            <w:pPr>
              <w:widowControl/>
              <w:spacing w:line="360" w:lineRule="auto"/>
              <w:ind w:firstLine="480" w:firstLineChars="200"/>
              <w:rPr>
                <w:color w:val="auto"/>
                <w:sz w:val="24"/>
              </w:rPr>
            </w:pPr>
            <w:r>
              <w:rPr>
                <w:color w:val="auto"/>
                <w:sz w:val="24"/>
              </w:rPr>
              <w:t>（2）预测结果：</w:t>
            </w:r>
          </w:p>
          <w:p w14:paraId="2F9B5F00">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color w:val="auto"/>
                <w:sz w:val="24"/>
              </w:rPr>
              <w:t>由于项目夜间不生产，</w:t>
            </w:r>
            <w:r>
              <w:rPr>
                <w:rFonts w:hint="eastAsia"/>
                <w:color w:val="auto"/>
                <w:sz w:val="24"/>
              </w:rPr>
              <w:t>且生产设备及工艺集中在生产车间，</w:t>
            </w:r>
            <w:r>
              <w:rPr>
                <w:color w:val="auto"/>
                <w:sz w:val="24"/>
              </w:rPr>
              <w:t>故只对项目</w:t>
            </w:r>
            <w:r>
              <w:rPr>
                <w:rFonts w:hint="eastAsia"/>
                <w:color w:val="auto"/>
                <w:sz w:val="24"/>
              </w:rPr>
              <w:t>生产车间的</w:t>
            </w:r>
            <w:r>
              <w:rPr>
                <w:color w:val="auto"/>
                <w:sz w:val="24"/>
              </w:rPr>
              <w:t>昼间噪声进行预测</w:t>
            </w:r>
            <w:r>
              <w:rPr>
                <w:rFonts w:hint="eastAsia"/>
                <w:color w:val="auto"/>
                <w:sz w:val="24"/>
              </w:rPr>
              <w:t>，</w:t>
            </w:r>
            <w:r>
              <w:rPr>
                <w:color w:val="auto"/>
                <w:kern w:val="0"/>
                <w:sz w:val="24"/>
                <w:lang w:bidi="ar"/>
              </w:rPr>
              <w:t>按照最不利情况预测厂界受到的影响，预测结果</w:t>
            </w:r>
            <w:r>
              <w:rPr>
                <w:rFonts w:hint="eastAsia"/>
                <w:color w:val="auto"/>
                <w:kern w:val="0"/>
                <w:sz w:val="24"/>
                <w:lang w:bidi="ar"/>
              </w:rPr>
              <w:t>见</w:t>
            </w:r>
            <w:r>
              <w:rPr>
                <w:color w:val="auto"/>
                <w:sz w:val="24"/>
              </w:rPr>
              <w:t>表</w:t>
            </w:r>
            <w:r>
              <w:rPr>
                <w:rFonts w:hint="eastAsia"/>
                <w:color w:val="auto"/>
                <w:sz w:val="24"/>
                <w:lang w:val="en-US" w:eastAsia="zh-CN"/>
              </w:rPr>
              <w:t>4-9：</w:t>
            </w:r>
          </w:p>
          <w:p w14:paraId="6F58227F">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cs="Times New Roman"/>
                <w:b/>
                <w:bCs/>
                <w:color w:val="auto"/>
                <w:sz w:val="21"/>
                <w:szCs w:val="21"/>
              </w:rPr>
              <w:t>项目主要噪声源产生及治理情况</w:t>
            </w:r>
          </w:p>
          <w:tbl>
            <w:tblPr>
              <w:tblStyle w:val="30"/>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12"/>
              <w:gridCol w:w="1016"/>
              <w:gridCol w:w="647"/>
              <w:gridCol w:w="927"/>
              <w:gridCol w:w="912"/>
              <w:gridCol w:w="985"/>
              <w:gridCol w:w="902"/>
              <w:gridCol w:w="1085"/>
              <w:gridCol w:w="1601"/>
            </w:tblGrid>
            <w:tr w14:paraId="225190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restart"/>
                  <w:tcBorders>
                    <w:tl2br w:val="nil"/>
                    <w:tr2bl w:val="nil"/>
                  </w:tcBorders>
                  <w:noWrap w:val="0"/>
                  <w:vAlign w:val="center"/>
                </w:tcPr>
                <w:p w14:paraId="16E9286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599" w:type="pct"/>
                  <w:vMerge w:val="restart"/>
                  <w:tcBorders>
                    <w:tl2br w:val="nil"/>
                    <w:tr2bl w:val="nil"/>
                  </w:tcBorders>
                  <w:noWrap w:val="0"/>
                  <w:vAlign w:val="center"/>
                </w:tcPr>
                <w:p w14:paraId="578AEB43">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w:t>
                  </w:r>
                </w:p>
              </w:tc>
              <w:tc>
                <w:tcPr>
                  <w:tcW w:w="381" w:type="pct"/>
                  <w:vMerge w:val="restart"/>
                  <w:tcBorders>
                    <w:tl2br w:val="nil"/>
                    <w:tr2bl w:val="nil"/>
                  </w:tcBorders>
                  <w:noWrap w:val="0"/>
                  <w:vAlign w:val="center"/>
                </w:tcPr>
                <w:p w14:paraId="0AA86FA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降噪后</w:t>
                  </w:r>
                </w:p>
                <w:p w14:paraId="481AFF2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源强</w:t>
                  </w:r>
                </w:p>
              </w:tc>
              <w:tc>
                <w:tcPr>
                  <w:tcW w:w="2833" w:type="pct"/>
                  <w:gridSpan w:val="5"/>
                  <w:tcBorders>
                    <w:tl2br w:val="nil"/>
                    <w:tr2bl w:val="nil"/>
                  </w:tcBorders>
                  <w:noWrap w:val="0"/>
                  <w:vAlign w:val="center"/>
                </w:tcPr>
                <w:p w14:paraId="7F0567C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厂界</w:t>
                  </w:r>
                </w:p>
              </w:tc>
              <w:tc>
                <w:tcPr>
                  <w:tcW w:w="943" w:type="pct"/>
                  <w:tcBorders>
                    <w:tl2br w:val="nil"/>
                    <w:tr2bl w:val="nil"/>
                  </w:tcBorders>
                  <w:noWrap w:val="0"/>
                  <w:vAlign w:val="center"/>
                </w:tcPr>
                <w:p w14:paraId="052BF488">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敏感点</w:t>
                  </w:r>
                </w:p>
              </w:tc>
            </w:tr>
            <w:tr w14:paraId="4933CD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continue"/>
                  <w:tcBorders>
                    <w:tl2br w:val="nil"/>
                    <w:tr2bl w:val="nil"/>
                  </w:tcBorders>
                  <w:noWrap w:val="0"/>
                  <w:vAlign w:val="center"/>
                </w:tcPr>
                <w:p w14:paraId="6EFDED9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599" w:type="pct"/>
                  <w:vMerge w:val="continue"/>
                  <w:tcBorders>
                    <w:tl2br w:val="nil"/>
                    <w:tr2bl w:val="nil"/>
                  </w:tcBorders>
                  <w:noWrap w:val="0"/>
                  <w:vAlign w:val="center"/>
                </w:tcPr>
                <w:p w14:paraId="5F91663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81" w:type="pct"/>
                  <w:vMerge w:val="continue"/>
                  <w:tcBorders>
                    <w:tl2br w:val="nil"/>
                    <w:tr2bl w:val="nil"/>
                  </w:tcBorders>
                  <w:noWrap w:val="0"/>
                  <w:vAlign w:val="center"/>
                </w:tcPr>
                <w:p w14:paraId="5C0BEDF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546" w:type="pct"/>
                  <w:tcBorders>
                    <w:tl2br w:val="nil"/>
                    <w:tr2bl w:val="nil"/>
                  </w:tcBorders>
                  <w:noWrap w:val="0"/>
                  <w:vAlign w:val="center"/>
                </w:tcPr>
                <w:p w14:paraId="005794F2">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方位</w:t>
                  </w:r>
                </w:p>
              </w:tc>
              <w:tc>
                <w:tcPr>
                  <w:tcW w:w="537" w:type="pct"/>
                  <w:tcBorders>
                    <w:tl2br w:val="nil"/>
                    <w:tr2bl w:val="nil"/>
                  </w:tcBorders>
                  <w:noWrap w:val="0"/>
                  <w:vAlign w:val="center"/>
                </w:tcPr>
                <w:p w14:paraId="13645480">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东</w:t>
                  </w:r>
                </w:p>
              </w:tc>
              <w:tc>
                <w:tcPr>
                  <w:tcW w:w="580" w:type="pct"/>
                  <w:tcBorders>
                    <w:tl2br w:val="nil"/>
                    <w:tr2bl w:val="nil"/>
                  </w:tcBorders>
                  <w:noWrap w:val="0"/>
                  <w:vAlign w:val="center"/>
                </w:tcPr>
                <w:p w14:paraId="4D3584B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w w:val="100"/>
                      <w:sz w:val="21"/>
                      <w:szCs w:val="21"/>
                      <w:highlight w:val="none"/>
                    </w:rPr>
                    <w:t>南</w:t>
                  </w:r>
                </w:p>
              </w:tc>
              <w:tc>
                <w:tcPr>
                  <w:tcW w:w="531" w:type="pct"/>
                  <w:tcBorders>
                    <w:tl2br w:val="nil"/>
                    <w:tr2bl w:val="nil"/>
                  </w:tcBorders>
                  <w:noWrap w:val="0"/>
                  <w:vAlign w:val="center"/>
                </w:tcPr>
                <w:p w14:paraId="1A08523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西</w:t>
                  </w:r>
                </w:p>
              </w:tc>
              <w:tc>
                <w:tcPr>
                  <w:tcW w:w="638" w:type="pct"/>
                  <w:tcBorders>
                    <w:tl2br w:val="nil"/>
                    <w:tr2bl w:val="nil"/>
                  </w:tcBorders>
                  <w:noWrap w:val="0"/>
                  <w:vAlign w:val="center"/>
                </w:tcPr>
                <w:p w14:paraId="6237B91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北</w:t>
                  </w:r>
                </w:p>
              </w:tc>
              <w:tc>
                <w:tcPr>
                  <w:tcW w:w="943" w:type="pct"/>
                  <w:tcBorders>
                    <w:tl2br w:val="nil"/>
                    <w:tr2bl w:val="nil"/>
                  </w:tcBorders>
                  <w:noWrap w:val="0"/>
                  <w:vAlign w:val="center"/>
                </w:tcPr>
                <w:p w14:paraId="65D697A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五一村</w:t>
                  </w:r>
                </w:p>
              </w:tc>
            </w:tr>
            <w:tr w14:paraId="0323C9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restart"/>
                  <w:tcBorders>
                    <w:tl2br w:val="nil"/>
                    <w:tr2bl w:val="nil"/>
                  </w:tcBorders>
                  <w:noWrap w:val="0"/>
                  <w:vAlign w:val="center"/>
                </w:tcPr>
                <w:p w14:paraId="27D12C4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599" w:type="pct"/>
                  <w:vMerge w:val="restart"/>
                  <w:tcBorders>
                    <w:tl2br w:val="nil"/>
                    <w:tr2bl w:val="nil"/>
                  </w:tcBorders>
                  <w:noWrap w:val="0"/>
                  <w:vAlign w:val="center"/>
                </w:tcPr>
                <w:p w14:paraId="7F968EAC">
                  <w:pPr>
                    <w:pageBreakBefore w:val="0"/>
                    <w:kinsoku/>
                    <w:wordWrap/>
                    <w:overflowPunct w:val="0"/>
                    <w:topLinePunct w:val="0"/>
                    <w:bidi w:val="0"/>
                    <w:adjustRightInd w:val="0"/>
                    <w:snapToGrid w:val="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color w:val="auto"/>
                      <w:szCs w:val="21"/>
                      <w:lang w:val="en-US" w:eastAsia="zh-CN"/>
                    </w:rPr>
                    <w:t>抛丸机1</w:t>
                  </w:r>
                </w:p>
              </w:tc>
              <w:tc>
                <w:tcPr>
                  <w:tcW w:w="381" w:type="pct"/>
                  <w:vMerge w:val="restart"/>
                  <w:tcBorders>
                    <w:tl2br w:val="nil"/>
                    <w:tr2bl w:val="nil"/>
                  </w:tcBorders>
                  <w:noWrap w:val="0"/>
                  <w:vAlign w:val="center"/>
                </w:tcPr>
                <w:p w14:paraId="78432CAC">
                  <w:pPr>
                    <w:pageBreakBefore w:val="0"/>
                    <w:kinsoku/>
                    <w:wordWrap/>
                    <w:overflowPunct w:val="0"/>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lang w:val="en-US" w:eastAsia="zh-CN"/>
                    </w:rPr>
                    <w:t>53</w:t>
                  </w:r>
                </w:p>
              </w:tc>
              <w:tc>
                <w:tcPr>
                  <w:tcW w:w="546" w:type="pct"/>
                  <w:tcBorders>
                    <w:tl2br w:val="nil"/>
                    <w:tr2bl w:val="nil"/>
                  </w:tcBorders>
                  <w:noWrap w:val="0"/>
                  <w:vAlign w:val="center"/>
                </w:tcPr>
                <w:p w14:paraId="1B784AE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color w:val="auto"/>
                      <w:sz w:val="21"/>
                      <w:szCs w:val="21"/>
                      <w:highlight w:val="none"/>
                    </w:rPr>
                    <w:t>距离</w:t>
                  </w:r>
                </w:p>
              </w:tc>
              <w:tc>
                <w:tcPr>
                  <w:tcW w:w="537" w:type="pct"/>
                  <w:tcBorders>
                    <w:tl2br w:val="nil"/>
                    <w:tr2bl w:val="nil"/>
                  </w:tcBorders>
                  <w:noWrap w:val="0"/>
                  <w:vAlign w:val="center"/>
                </w:tcPr>
                <w:p w14:paraId="1A6EAFCE">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115</w:t>
                  </w:r>
                </w:p>
              </w:tc>
              <w:tc>
                <w:tcPr>
                  <w:tcW w:w="580" w:type="pct"/>
                  <w:tcBorders>
                    <w:tl2br w:val="nil"/>
                    <w:tr2bl w:val="nil"/>
                  </w:tcBorders>
                  <w:noWrap w:val="0"/>
                  <w:vAlign w:val="center"/>
                </w:tcPr>
                <w:p w14:paraId="0E8A2846">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116</w:t>
                  </w:r>
                </w:p>
              </w:tc>
              <w:tc>
                <w:tcPr>
                  <w:tcW w:w="531" w:type="pct"/>
                  <w:tcBorders>
                    <w:tl2br w:val="nil"/>
                    <w:tr2bl w:val="nil"/>
                  </w:tcBorders>
                  <w:noWrap w:val="0"/>
                  <w:vAlign w:val="center"/>
                </w:tcPr>
                <w:p w14:paraId="531B9205">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w:t>
                  </w:r>
                </w:p>
              </w:tc>
              <w:tc>
                <w:tcPr>
                  <w:tcW w:w="638" w:type="pct"/>
                  <w:tcBorders>
                    <w:tl2br w:val="nil"/>
                    <w:tr2bl w:val="nil"/>
                  </w:tcBorders>
                  <w:noWrap w:val="0"/>
                  <w:vAlign w:val="center"/>
                </w:tcPr>
                <w:p w14:paraId="7432C4E0">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43</w:t>
                  </w:r>
                </w:p>
              </w:tc>
              <w:tc>
                <w:tcPr>
                  <w:tcW w:w="943" w:type="pct"/>
                  <w:tcBorders>
                    <w:tl2br w:val="nil"/>
                    <w:tr2bl w:val="nil"/>
                  </w:tcBorders>
                  <w:noWrap w:val="0"/>
                  <w:vAlign w:val="center"/>
                </w:tcPr>
                <w:p w14:paraId="6BFDB510">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83</w:t>
                  </w:r>
                </w:p>
              </w:tc>
            </w:tr>
            <w:tr w14:paraId="0DC157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continue"/>
                  <w:tcBorders>
                    <w:tl2br w:val="nil"/>
                    <w:tr2bl w:val="nil"/>
                  </w:tcBorders>
                  <w:noWrap w:val="0"/>
                  <w:vAlign w:val="center"/>
                </w:tcPr>
                <w:p w14:paraId="3FFFA01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4918435E">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381" w:type="pct"/>
                  <w:vMerge w:val="continue"/>
                  <w:tcBorders>
                    <w:tl2br w:val="nil"/>
                    <w:tr2bl w:val="nil"/>
                  </w:tcBorders>
                  <w:noWrap w:val="0"/>
                  <w:vAlign w:val="center"/>
                </w:tcPr>
                <w:p w14:paraId="40C24668">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6" w:type="pct"/>
                  <w:tcBorders>
                    <w:tl2br w:val="nil"/>
                    <w:tr2bl w:val="nil"/>
                  </w:tcBorders>
                  <w:noWrap w:val="0"/>
                  <w:vAlign w:val="center"/>
                </w:tcPr>
                <w:p w14:paraId="736CF4B4">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color w:val="auto"/>
                      <w:sz w:val="21"/>
                      <w:szCs w:val="21"/>
                      <w:highlight w:val="none"/>
                    </w:rPr>
                    <w:t>贡献值</w:t>
                  </w:r>
                </w:p>
              </w:tc>
              <w:tc>
                <w:tcPr>
                  <w:tcW w:w="537" w:type="pct"/>
                  <w:tcBorders>
                    <w:tl2br w:val="nil"/>
                    <w:tr2bl w:val="nil"/>
                  </w:tcBorders>
                  <w:noWrap w:val="0"/>
                  <w:vAlign w:val="center"/>
                </w:tcPr>
                <w:p w14:paraId="0D85DC9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580" w:type="pct"/>
                  <w:tcBorders>
                    <w:tl2br w:val="nil"/>
                    <w:tr2bl w:val="nil"/>
                  </w:tcBorders>
                  <w:noWrap w:val="0"/>
                  <w:vAlign w:val="center"/>
                </w:tcPr>
                <w:p w14:paraId="0180B9D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c>
                <w:tcPr>
                  <w:tcW w:w="531" w:type="pct"/>
                  <w:tcBorders>
                    <w:tl2br w:val="nil"/>
                    <w:tr2bl w:val="nil"/>
                  </w:tcBorders>
                  <w:noWrap w:val="0"/>
                  <w:vAlign w:val="center"/>
                </w:tcPr>
                <w:p w14:paraId="642DFC30">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w:t>
                  </w:r>
                </w:p>
              </w:tc>
              <w:tc>
                <w:tcPr>
                  <w:tcW w:w="638" w:type="pct"/>
                  <w:tcBorders>
                    <w:tl2br w:val="nil"/>
                    <w:tr2bl w:val="nil"/>
                  </w:tcBorders>
                  <w:noWrap w:val="0"/>
                  <w:vAlign w:val="center"/>
                </w:tcPr>
                <w:p w14:paraId="3CD5B6C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c>
                <w:tcPr>
                  <w:tcW w:w="943" w:type="pct"/>
                  <w:tcBorders>
                    <w:tl2br w:val="nil"/>
                    <w:tr2bl w:val="nil"/>
                  </w:tcBorders>
                  <w:noWrap w:val="0"/>
                  <w:vAlign w:val="center"/>
                </w:tcPr>
                <w:p w14:paraId="4465AFF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r>
            <w:tr w14:paraId="3FE8DC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restart"/>
                  <w:tcBorders>
                    <w:tl2br w:val="nil"/>
                    <w:tr2bl w:val="nil"/>
                  </w:tcBorders>
                  <w:noWrap w:val="0"/>
                  <w:vAlign w:val="center"/>
                </w:tcPr>
                <w:p w14:paraId="5B81603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599" w:type="pct"/>
                  <w:vMerge w:val="restart"/>
                  <w:tcBorders>
                    <w:tl2br w:val="nil"/>
                    <w:tr2bl w:val="nil"/>
                  </w:tcBorders>
                  <w:noWrap w:val="0"/>
                  <w:vAlign w:val="center"/>
                </w:tcPr>
                <w:p w14:paraId="382DD833">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抛丸机</w:t>
                  </w:r>
                  <w:r>
                    <w:rPr>
                      <w:rFonts w:hint="eastAsia" w:ascii="Times New Roman" w:hAnsi="Times New Roman" w:eastAsia="宋体" w:cs="Times New Roman"/>
                      <w:color w:val="auto"/>
                      <w:kern w:val="2"/>
                      <w:sz w:val="21"/>
                      <w:szCs w:val="21"/>
                      <w:lang w:val="en-US" w:eastAsia="zh-CN" w:bidi="ar-SA"/>
                    </w:rPr>
                    <w:t>2</w:t>
                  </w:r>
                </w:p>
              </w:tc>
              <w:tc>
                <w:tcPr>
                  <w:tcW w:w="381" w:type="pct"/>
                  <w:vMerge w:val="restart"/>
                  <w:tcBorders>
                    <w:tl2br w:val="nil"/>
                    <w:tr2bl w:val="nil"/>
                  </w:tcBorders>
                  <w:noWrap w:val="0"/>
                  <w:vAlign w:val="center"/>
                </w:tcPr>
                <w:p w14:paraId="42380931">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color w:val="auto"/>
                      <w:lang w:val="en-US" w:eastAsia="zh-CN"/>
                    </w:rPr>
                  </w:pPr>
                  <w:r>
                    <w:rPr>
                      <w:rFonts w:hint="eastAsia" w:cs="Times New Roman"/>
                      <w:color w:val="auto"/>
                      <w:lang w:val="en-US" w:eastAsia="zh-CN"/>
                    </w:rPr>
                    <w:t>53</w:t>
                  </w:r>
                </w:p>
              </w:tc>
              <w:tc>
                <w:tcPr>
                  <w:tcW w:w="546" w:type="pct"/>
                  <w:tcBorders>
                    <w:tl2br w:val="nil"/>
                    <w:tr2bl w:val="nil"/>
                  </w:tcBorders>
                  <w:noWrap w:val="0"/>
                  <w:vAlign w:val="center"/>
                </w:tcPr>
                <w:p w14:paraId="481C374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7" w:type="pct"/>
                  <w:tcBorders>
                    <w:tl2br w:val="nil"/>
                    <w:tr2bl w:val="nil"/>
                  </w:tcBorders>
                  <w:shd w:val="clear" w:color="auto" w:fill="auto"/>
                  <w:noWrap w:val="0"/>
                  <w:vAlign w:val="center"/>
                </w:tcPr>
                <w:p w14:paraId="2F6CD36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116</w:t>
                  </w:r>
                </w:p>
              </w:tc>
              <w:tc>
                <w:tcPr>
                  <w:tcW w:w="580" w:type="pct"/>
                  <w:tcBorders>
                    <w:tl2br w:val="nil"/>
                    <w:tr2bl w:val="nil"/>
                  </w:tcBorders>
                  <w:shd w:val="clear" w:color="auto" w:fill="auto"/>
                  <w:noWrap w:val="0"/>
                  <w:vAlign w:val="center"/>
                </w:tcPr>
                <w:p w14:paraId="573DF0E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126</w:t>
                  </w:r>
                </w:p>
              </w:tc>
              <w:tc>
                <w:tcPr>
                  <w:tcW w:w="531" w:type="pct"/>
                  <w:tcBorders>
                    <w:tl2br w:val="nil"/>
                    <w:tr2bl w:val="nil"/>
                  </w:tcBorders>
                  <w:shd w:val="clear" w:color="auto" w:fill="auto"/>
                  <w:noWrap w:val="0"/>
                  <w:vAlign w:val="center"/>
                </w:tcPr>
                <w:p w14:paraId="634F933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w:t>
                  </w:r>
                </w:p>
              </w:tc>
              <w:tc>
                <w:tcPr>
                  <w:tcW w:w="638" w:type="pct"/>
                  <w:tcBorders>
                    <w:tl2br w:val="nil"/>
                    <w:tr2bl w:val="nil"/>
                  </w:tcBorders>
                  <w:shd w:val="clear" w:color="auto" w:fill="auto"/>
                  <w:noWrap w:val="0"/>
                  <w:vAlign w:val="center"/>
                </w:tcPr>
                <w:p w14:paraId="10C5EC2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34</w:t>
                  </w:r>
                </w:p>
              </w:tc>
              <w:tc>
                <w:tcPr>
                  <w:tcW w:w="943" w:type="pct"/>
                  <w:tcBorders>
                    <w:tl2br w:val="nil"/>
                    <w:tr2bl w:val="nil"/>
                  </w:tcBorders>
                  <w:shd w:val="clear" w:color="auto" w:fill="auto"/>
                  <w:noWrap w:val="0"/>
                  <w:vAlign w:val="center"/>
                </w:tcPr>
                <w:p w14:paraId="6C1833B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73</w:t>
                  </w:r>
                </w:p>
              </w:tc>
            </w:tr>
            <w:tr w14:paraId="4AE284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continue"/>
                  <w:tcBorders>
                    <w:tl2br w:val="nil"/>
                    <w:tr2bl w:val="nil"/>
                  </w:tcBorders>
                  <w:noWrap w:val="0"/>
                  <w:vAlign w:val="center"/>
                </w:tcPr>
                <w:p w14:paraId="10C4284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16AB46E0">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5031FEA9">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6" w:type="pct"/>
                  <w:tcBorders>
                    <w:tl2br w:val="nil"/>
                    <w:tr2bl w:val="nil"/>
                  </w:tcBorders>
                  <w:noWrap w:val="0"/>
                  <w:vAlign w:val="center"/>
                </w:tcPr>
                <w:p w14:paraId="13B624A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7" w:type="pct"/>
                  <w:tcBorders>
                    <w:tl2br w:val="nil"/>
                    <w:tr2bl w:val="nil"/>
                  </w:tcBorders>
                  <w:noWrap w:val="0"/>
                  <w:vAlign w:val="center"/>
                </w:tcPr>
                <w:p w14:paraId="0DB0788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580" w:type="pct"/>
                  <w:tcBorders>
                    <w:tl2br w:val="nil"/>
                    <w:tr2bl w:val="nil"/>
                  </w:tcBorders>
                  <w:noWrap w:val="0"/>
                  <w:vAlign w:val="center"/>
                </w:tcPr>
                <w:p w14:paraId="5A4FC5B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w:t>
                  </w:r>
                </w:p>
              </w:tc>
              <w:tc>
                <w:tcPr>
                  <w:tcW w:w="531" w:type="pct"/>
                  <w:tcBorders>
                    <w:tl2br w:val="nil"/>
                    <w:tr2bl w:val="nil"/>
                  </w:tcBorders>
                  <w:noWrap w:val="0"/>
                  <w:vAlign w:val="center"/>
                </w:tcPr>
                <w:p w14:paraId="639711B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w:t>
                  </w:r>
                </w:p>
              </w:tc>
              <w:tc>
                <w:tcPr>
                  <w:tcW w:w="638" w:type="pct"/>
                  <w:tcBorders>
                    <w:tl2br w:val="nil"/>
                    <w:tr2bl w:val="nil"/>
                  </w:tcBorders>
                  <w:noWrap w:val="0"/>
                  <w:vAlign w:val="center"/>
                </w:tcPr>
                <w:p w14:paraId="4C9F049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p>
              </w:tc>
              <w:tc>
                <w:tcPr>
                  <w:tcW w:w="943" w:type="pct"/>
                  <w:tcBorders>
                    <w:tl2br w:val="nil"/>
                    <w:tr2bl w:val="nil"/>
                  </w:tcBorders>
                  <w:noWrap w:val="0"/>
                  <w:vAlign w:val="center"/>
                </w:tcPr>
                <w:p w14:paraId="62AC6D1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w:t>
                  </w:r>
                </w:p>
              </w:tc>
            </w:tr>
            <w:tr w14:paraId="7FF70A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restart"/>
                  <w:tcBorders>
                    <w:tl2br w:val="nil"/>
                    <w:tr2bl w:val="nil"/>
                  </w:tcBorders>
                  <w:noWrap w:val="0"/>
                  <w:vAlign w:val="center"/>
                </w:tcPr>
                <w:p w14:paraId="74C9C91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599" w:type="pct"/>
                  <w:vMerge w:val="restart"/>
                  <w:tcBorders>
                    <w:tl2br w:val="nil"/>
                    <w:tr2bl w:val="nil"/>
                  </w:tcBorders>
                  <w:noWrap w:val="0"/>
                  <w:vAlign w:val="center"/>
                </w:tcPr>
                <w:p w14:paraId="207E6EAC">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抛丸机</w:t>
                  </w:r>
                  <w:r>
                    <w:rPr>
                      <w:rFonts w:hint="default" w:ascii="Times New Roman" w:hAnsi="Times New Roman" w:cs="Times New Roman"/>
                      <w:color w:val="auto"/>
                      <w:szCs w:val="21"/>
                      <w:lang w:val="en-US" w:eastAsia="zh-CN"/>
                    </w:rPr>
                    <w:t>3</w:t>
                  </w:r>
                </w:p>
              </w:tc>
              <w:tc>
                <w:tcPr>
                  <w:tcW w:w="381" w:type="pct"/>
                  <w:vMerge w:val="restart"/>
                  <w:tcBorders>
                    <w:tl2br w:val="nil"/>
                    <w:tr2bl w:val="nil"/>
                  </w:tcBorders>
                  <w:noWrap w:val="0"/>
                  <w:vAlign w:val="center"/>
                </w:tcPr>
                <w:p w14:paraId="6B063BD7">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color w:val="auto"/>
                      <w:lang w:val="en-US" w:eastAsia="zh-CN"/>
                    </w:rPr>
                  </w:pPr>
                  <w:r>
                    <w:rPr>
                      <w:rFonts w:hint="eastAsia" w:cs="Times New Roman"/>
                      <w:color w:val="auto"/>
                      <w:lang w:val="en-US" w:eastAsia="zh-CN"/>
                    </w:rPr>
                    <w:t>53</w:t>
                  </w:r>
                </w:p>
              </w:tc>
              <w:tc>
                <w:tcPr>
                  <w:tcW w:w="546" w:type="pct"/>
                  <w:tcBorders>
                    <w:tl2br w:val="nil"/>
                    <w:tr2bl w:val="nil"/>
                  </w:tcBorders>
                  <w:noWrap w:val="0"/>
                  <w:vAlign w:val="center"/>
                </w:tcPr>
                <w:p w14:paraId="4421357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7" w:type="pct"/>
                  <w:tcBorders>
                    <w:tl2br w:val="nil"/>
                    <w:tr2bl w:val="nil"/>
                  </w:tcBorders>
                  <w:noWrap w:val="0"/>
                  <w:vAlign w:val="center"/>
                </w:tcPr>
                <w:p w14:paraId="39D5B84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115</w:t>
                  </w:r>
                </w:p>
              </w:tc>
              <w:tc>
                <w:tcPr>
                  <w:tcW w:w="580" w:type="pct"/>
                  <w:tcBorders>
                    <w:tl2br w:val="nil"/>
                    <w:tr2bl w:val="nil"/>
                  </w:tcBorders>
                  <w:noWrap w:val="0"/>
                  <w:vAlign w:val="center"/>
                </w:tcPr>
                <w:p w14:paraId="33B32F0E">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124</w:t>
                  </w:r>
                </w:p>
              </w:tc>
              <w:tc>
                <w:tcPr>
                  <w:tcW w:w="531" w:type="pct"/>
                  <w:tcBorders>
                    <w:tl2br w:val="nil"/>
                    <w:tr2bl w:val="nil"/>
                  </w:tcBorders>
                  <w:noWrap w:val="0"/>
                  <w:vAlign w:val="center"/>
                </w:tcPr>
                <w:p w14:paraId="374DDC2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6</w:t>
                  </w:r>
                </w:p>
              </w:tc>
              <w:tc>
                <w:tcPr>
                  <w:tcW w:w="638" w:type="pct"/>
                  <w:tcBorders>
                    <w:tl2br w:val="nil"/>
                    <w:tr2bl w:val="nil"/>
                  </w:tcBorders>
                  <w:noWrap w:val="0"/>
                  <w:vAlign w:val="center"/>
                </w:tcPr>
                <w:p w14:paraId="4ECD38A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36</w:t>
                  </w:r>
                </w:p>
              </w:tc>
              <w:tc>
                <w:tcPr>
                  <w:tcW w:w="943" w:type="pct"/>
                  <w:tcBorders>
                    <w:tl2br w:val="nil"/>
                    <w:tr2bl w:val="nil"/>
                  </w:tcBorders>
                  <w:noWrap w:val="0"/>
                  <w:vAlign w:val="center"/>
                </w:tcPr>
                <w:p w14:paraId="768256B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74</w:t>
                  </w:r>
                </w:p>
              </w:tc>
            </w:tr>
            <w:tr w14:paraId="01C000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continue"/>
                  <w:tcBorders>
                    <w:tl2br w:val="nil"/>
                    <w:tr2bl w:val="nil"/>
                  </w:tcBorders>
                  <w:noWrap w:val="0"/>
                  <w:vAlign w:val="center"/>
                </w:tcPr>
                <w:p w14:paraId="52A9BC2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51B57652">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024F6D4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6" w:type="pct"/>
                  <w:tcBorders>
                    <w:tl2br w:val="nil"/>
                    <w:tr2bl w:val="nil"/>
                  </w:tcBorders>
                  <w:noWrap w:val="0"/>
                  <w:vAlign w:val="center"/>
                </w:tcPr>
                <w:p w14:paraId="5BA7C34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7" w:type="pct"/>
                  <w:tcBorders>
                    <w:tl2br w:val="nil"/>
                    <w:tr2bl w:val="nil"/>
                  </w:tcBorders>
                  <w:noWrap w:val="0"/>
                  <w:vAlign w:val="center"/>
                </w:tcPr>
                <w:p w14:paraId="6496A98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580" w:type="pct"/>
                  <w:tcBorders>
                    <w:tl2br w:val="nil"/>
                    <w:tr2bl w:val="nil"/>
                  </w:tcBorders>
                  <w:noWrap w:val="0"/>
                  <w:vAlign w:val="center"/>
                </w:tcPr>
                <w:p w14:paraId="00F2739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w:t>
                  </w:r>
                </w:p>
              </w:tc>
              <w:tc>
                <w:tcPr>
                  <w:tcW w:w="531" w:type="pct"/>
                  <w:tcBorders>
                    <w:tl2br w:val="nil"/>
                    <w:tr2bl w:val="nil"/>
                  </w:tcBorders>
                  <w:noWrap w:val="0"/>
                  <w:vAlign w:val="center"/>
                </w:tcPr>
                <w:p w14:paraId="5AC067E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w:t>
                  </w:r>
                </w:p>
              </w:tc>
              <w:tc>
                <w:tcPr>
                  <w:tcW w:w="638" w:type="pct"/>
                  <w:tcBorders>
                    <w:tl2br w:val="nil"/>
                    <w:tr2bl w:val="nil"/>
                  </w:tcBorders>
                  <w:noWrap w:val="0"/>
                  <w:vAlign w:val="center"/>
                </w:tcPr>
                <w:p w14:paraId="4BE97058">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p>
              </w:tc>
              <w:tc>
                <w:tcPr>
                  <w:tcW w:w="943" w:type="pct"/>
                  <w:tcBorders>
                    <w:tl2br w:val="nil"/>
                    <w:tr2bl w:val="nil"/>
                  </w:tcBorders>
                  <w:noWrap w:val="0"/>
                  <w:vAlign w:val="center"/>
                </w:tcPr>
                <w:p w14:paraId="60F6775E">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w:t>
                  </w:r>
                </w:p>
              </w:tc>
            </w:tr>
            <w:tr w14:paraId="182768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restart"/>
                  <w:tcBorders>
                    <w:tl2br w:val="nil"/>
                    <w:tr2bl w:val="nil"/>
                  </w:tcBorders>
                  <w:noWrap w:val="0"/>
                  <w:vAlign w:val="center"/>
                </w:tcPr>
                <w:p w14:paraId="675853F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599" w:type="pct"/>
                  <w:vMerge w:val="restart"/>
                  <w:tcBorders>
                    <w:tl2br w:val="nil"/>
                    <w:tr2bl w:val="nil"/>
                  </w:tcBorders>
                  <w:noWrap w:val="0"/>
                  <w:vAlign w:val="center"/>
                </w:tcPr>
                <w:p w14:paraId="40043BD0">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静电喷塑机1</w:t>
                  </w:r>
                </w:p>
              </w:tc>
              <w:tc>
                <w:tcPr>
                  <w:tcW w:w="381" w:type="pct"/>
                  <w:vMerge w:val="restart"/>
                  <w:tcBorders>
                    <w:tl2br w:val="nil"/>
                    <w:tr2bl w:val="nil"/>
                  </w:tcBorders>
                  <w:noWrap w:val="0"/>
                  <w:vAlign w:val="center"/>
                </w:tcPr>
                <w:p w14:paraId="131BEEF3">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34</w:t>
                  </w:r>
                </w:p>
              </w:tc>
              <w:tc>
                <w:tcPr>
                  <w:tcW w:w="546" w:type="pct"/>
                  <w:tcBorders>
                    <w:tl2br w:val="nil"/>
                    <w:tr2bl w:val="nil"/>
                  </w:tcBorders>
                  <w:noWrap w:val="0"/>
                  <w:vAlign w:val="center"/>
                </w:tcPr>
                <w:p w14:paraId="7CFBD15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7" w:type="pct"/>
                  <w:tcBorders>
                    <w:tl2br w:val="nil"/>
                    <w:tr2bl w:val="nil"/>
                  </w:tcBorders>
                  <w:noWrap w:val="0"/>
                  <w:vAlign w:val="center"/>
                </w:tcPr>
                <w:p w14:paraId="177456E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580" w:type="pct"/>
                  <w:tcBorders>
                    <w:tl2br w:val="nil"/>
                    <w:tr2bl w:val="nil"/>
                  </w:tcBorders>
                  <w:noWrap w:val="0"/>
                  <w:vAlign w:val="center"/>
                </w:tcPr>
                <w:p w14:paraId="5902E0AE">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142</w:t>
                  </w:r>
                </w:p>
              </w:tc>
              <w:tc>
                <w:tcPr>
                  <w:tcW w:w="531" w:type="pct"/>
                  <w:tcBorders>
                    <w:tl2br w:val="nil"/>
                    <w:tr2bl w:val="nil"/>
                  </w:tcBorders>
                  <w:noWrap w:val="0"/>
                  <w:vAlign w:val="center"/>
                </w:tcPr>
                <w:p w14:paraId="7BC8754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108</w:t>
                  </w:r>
                </w:p>
              </w:tc>
              <w:tc>
                <w:tcPr>
                  <w:tcW w:w="638" w:type="pct"/>
                  <w:tcBorders>
                    <w:tl2br w:val="nil"/>
                    <w:tr2bl w:val="nil"/>
                  </w:tcBorders>
                  <w:noWrap w:val="0"/>
                  <w:vAlign w:val="center"/>
                </w:tcPr>
                <w:p w14:paraId="0B2AF2AA">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23</w:t>
                  </w:r>
                </w:p>
              </w:tc>
              <w:tc>
                <w:tcPr>
                  <w:tcW w:w="943" w:type="pct"/>
                  <w:tcBorders>
                    <w:tl2br w:val="nil"/>
                    <w:tr2bl w:val="nil"/>
                  </w:tcBorders>
                  <w:noWrap w:val="0"/>
                  <w:vAlign w:val="center"/>
                </w:tcPr>
                <w:p w14:paraId="5325A14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w:t>
                  </w:r>
                </w:p>
              </w:tc>
            </w:tr>
            <w:tr w14:paraId="69777C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continue"/>
                  <w:tcBorders>
                    <w:tl2br w:val="nil"/>
                    <w:tr2bl w:val="nil"/>
                  </w:tcBorders>
                  <w:noWrap w:val="0"/>
                  <w:vAlign w:val="center"/>
                </w:tcPr>
                <w:p w14:paraId="261A411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2CEC291C">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0D1C26E4">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6" w:type="pct"/>
                  <w:tcBorders>
                    <w:tl2br w:val="nil"/>
                    <w:tr2bl w:val="nil"/>
                  </w:tcBorders>
                  <w:noWrap w:val="0"/>
                  <w:vAlign w:val="center"/>
                </w:tcPr>
                <w:p w14:paraId="01BFCE6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7" w:type="pct"/>
                  <w:tcBorders>
                    <w:tl2br w:val="nil"/>
                    <w:tr2bl w:val="nil"/>
                  </w:tcBorders>
                  <w:noWrap w:val="0"/>
                  <w:vAlign w:val="center"/>
                </w:tcPr>
                <w:p w14:paraId="6EF5B63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580" w:type="pct"/>
                  <w:tcBorders>
                    <w:tl2br w:val="nil"/>
                    <w:tr2bl w:val="nil"/>
                  </w:tcBorders>
                  <w:noWrap w:val="0"/>
                  <w:vAlign w:val="center"/>
                </w:tcPr>
                <w:p w14:paraId="7A2A7DD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31" w:type="pct"/>
                  <w:tcBorders>
                    <w:tl2br w:val="nil"/>
                    <w:tr2bl w:val="nil"/>
                  </w:tcBorders>
                  <w:noWrap w:val="0"/>
                  <w:vAlign w:val="center"/>
                </w:tcPr>
                <w:p w14:paraId="11B017D3">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638" w:type="pct"/>
                  <w:tcBorders>
                    <w:tl2br w:val="nil"/>
                    <w:tr2bl w:val="nil"/>
                  </w:tcBorders>
                  <w:noWrap w:val="0"/>
                  <w:vAlign w:val="center"/>
                </w:tcPr>
                <w:p w14:paraId="53E943A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943" w:type="pct"/>
                  <w:tcBorders>
                    <w:tl2br w:val="nil"/>
                    <w:tr2bl w:val="nil"/>
                  </w:tcBorders>
                  <w:noWrap w:val="0"/>
                  <w:vAlign w:val="center"/>
                </w:tcPr>
                <w:p w14:paraId="103C09A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r>
            <w:tr w14:paraId="01916D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restart"/>
                  <w:tcBorders>
                    <w:tl2br w:val="nil"/>
                    <w:tr2bl w:val="nil"/>
                  </w:tcBorders>
                  <w:shd w:val="clear" w:color="auto" w:fill="auto"/>
                  <w:noWrap w:val="0"/>
                  <w:vAlign w:val="center"/>
                </w:tcPr>
                <w:p w14:paraId="7AA755A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w:t>
                  </w:r>
                </w:p>
                <w:p w14:paraId="4517118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restart"/>
                  <w:tcBorders>
                    <w:tl2br w:val="nil"/>
                    <w:tr2bl w:val="nil"/>
                  </w:tcBorders>
                  <w:noWrap w:val="0"/>
                  <w:vAlign w:val="center"/>
                </w:tcPr>
                <w:p w14:paraId="3EFA1186">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静电喷塑机</w:t>
                  </w:r>
                  <w:r>
                    <w:rPr>
                      <w:rFonts w:hint="eastAsia" w:cs="Times New Roman"/>
                      <w:color w:val="auto"/>
                      <w:szCs w:val="21"/>
                      <w:lang w:val="en-US" w:eastAsia="zh-CN"/>
                    </w:rPr>
                    <w:t>2</w:t>
                  </w:r>
                </w:p>
              </w:tc>
              <w:tc>
                <w:tcPr>
                  <w:tcW w:w="381" w:type="pct"/>
                  <w:vMerge w:val="restart"/>
                  <w:tcBorders>
                    <w:tl2br w:val="nil"/>
                    <w:tr2bl w:val="nil"/>
                  </w:tcBorders>
                  <w:noWrap w:val="0"/>
                  <w:vAlign w:val="center"/>
                </w:tcPr>
                <w:p w14:paraId="426C4128">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34</w:t>
                  </w:r>
                </w:p>
              </w:tc>
              <w:tc>
                <w:tcPr>
                  <w:tcW w:w="546" w:type="pct"/>
                  <w:tcBorders>
                    <w:tl2br w:val="nil"/>
                    <w:tr2bl w:val="nil"/>
                  </w:tcBorders>
                  <w:shd w:val="clear" w:color="auto" w:fill="auto"/>
                  <w:noWrap w:val="0"/>
                  <w:vAlign w:val="center"/>
                </w:tcPr>
                <w:p w14:paraId="46DAA6C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z w:val="21"/>
                      <w:szCs w:val="21"/>
                      <w:highlight w:val="none"/>
                    </w:rPr>
                    <w:t>距离</w:t>
                  </w:r>
                </w:p>
              </w:tc>
              <w:tc>
                <w:tcPr>
                  <w:tcW w:w="537" w:type="pct"/>
                  <w:tcBorders>
                    <w:tl2br w:val="nil"/>
                    <w:tr2bl w:val="nil"/>
                  </w:tcBorders>
                  <w:noWrap w:val="0"/>
                  <w:vAlign w:val="center"/>
                </w:tcPr>
                <w:p w14:paraId="2367182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580" w:type="pct"/>
                  <w:tcBorders>
                    <w:tl2br w:val="nil"/>
                    <w:tr2bl w:val="nil"/>
                  </w:tcBorders>
                  <w:noWrap w:val="0"/>
                  <w:vAlign w:val="center"/>
                </w:tcPr>
                <w:p w14:paraId="19190DF3">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132</w:t>
                  </w:r>
                </w:p>
              </w:tc>
              <w:tc>
                <w:tcPr>
                  <w:tcW w:w="531" w:type="pct"/>
                  <w:tcBorders>
                    <w:tl2br w:val="nil"/>
                    <w:tr2bl w:val="nil"/>
                  </w:tcBorders>
                  <w:noWrap w:val="0"/>
                  <w:vAlign w:val="center"/>
                </w:tcPr>
                <w:p w14:paraId="2597F2E2">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108</w:t>
                  </w:r>
                </w:p>
              </w:tc>
              <w:tc>
                <w:tcPr>
                  <w:tcW w:w="638" w:type="pct"/>
                  <w:tcBorders>
                    <w:tl2br w:val="nil"/>
                    <w:tr2bl w:val="nil"/>
                  </w:tcBorders>
                  <w:noWrap w:val="0"/>
                  <w:vAlign w:val="center"/>
                </w:tcPr>
                <w:p w14:paraId="4B833AB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32</w:t>
                  </w:r>
                </w:p>
              </w:tc>
              <w:tc>
                <w:tcPr>
                  <w:tcW w:w="943" w:type="pct"/>
                  <w:tcBorders>
                    <w:tl2br w:val="nil"/>
                    <w:tr2bl w:val="nil"/>
                  </w:tcBorders>
                  <w:noWrap w:val="0"/>
                  <w:vAlign w:val="center"/>
                </w:tcPr>
                <w:p w14:paraId="19FE2C2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64</w:t>
                  </w:r>
                </w:p>
              </w:tc>
            </w:tr>
            <w:tr w14:paraId="115F7E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continue"/>
                  <w:tcBorders>
                    <w:tl2br w:val="nil"/>
                    <w:tr2bl w:val="nil"/>
                  </w:tcBorders>
                  <w:noWrap w:val="0"/>
                  <w:vAlign w:val="center"/>
                </w:tcPr>
                <w:p w14:paraId="3D33F48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782ED6A8">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070512F5">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6" w:type="pct"/>
                  <w:tcBorders>
                    <w:tl2br w:val="nil"/>
                    <w:tr2bl w:val="nil"/>
                  </w:tcBorders>
                  <w:shd w:val="clear" w:color="auto" w:fill="auto"/>
                  <w:noWrap w:val="0"/>
                  <w:vAlign w:val="center"/>
                </w:tcPr>
                <w:p w14:paraId="7ACECE8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z w:val="21"/>
                      <w:szCs w:val="21"/>
                      <w:highlight w:val="none"/>
                    </w:rPr>
                    <w:t>贡献值</w:t>
                  </w:r>
                </w:p>
              </w:tc>
              <w:tc>
                <w:tcPr>
                  <w:tcW w:w="537" w:type="pct"/>
                  <w:tcBorders>
                    <w:tl2br w:val="nil"/>
                    <w:tr2bl w:val="nil"/>
                  </w:tcBorders>
                  <w:noWrap w:val="0"/>
                  <w:vAlign w:val="center"/>
                </w:tcPr>
                <w:p w14:paraId="075C114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580" w:type="pct"/>
                  <w:tcBorders>
                    <w:tl2br w:val="nil"/>
                    <w:tr2bl w:val="nil"/>
                  </w:tcBorders>
                  <w:noWrap w:val="0"/>
                  <w:vAlign w:val="center"/>
                </w:tcPr>
                <w:p w14:paraId="04442F7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c>
                <w:tcPr>
                  <w:tcW w:w="531" w:type="pct"/>
                  <w:tcBorders>
                    <w:tl2br w:val="nil"/>
                    <w:tr2bl w:val="nil"/>
                  </w:tcBorders>
                  <w:noWrap w:val="0"/>
                  <w:vAlign w:val="center"/>
                </w:tcPr>
                <w:p w14:paraId="5F5BDF28">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638" w:type="pct"/>
                  <w:tcBorders>
                    <w:tl2br w:val="nil"/>
                    <w:tr2bl w:val="nil"/>
                  </w:tcBorders>
                  <w:noWrap w:val="0"/>
                  <w:vAlign w:val="center"/>
                </w:tcPr>
                <w:p w14:paraId="1D001A43">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943" w:type="pct"/>
                  <w:tcBorders>
                    <w:tl2br w:val="nil"/>
                    <w:tr2bl w:val="nil"/>
                  </w:tcBorders>
                  <w:noWrap w:val="0"/>
                  <w:vAlign w:val="center"/>
                </w:tcPr>
                <w:p w14:paraId="75A4DBF4">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p>
              </w:tc>
            </w:tr>
            <w:tr w14:paraId="290DF7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restart"/>
                  <w:tcBorders>
                    <w:tl2br w:val="nil"/>
                    <w:tr2bl w:val="nil"/>
                  </w:tcBorders>
                  <w:shd w:val="clear" w:color="auto" w:fill="auto"/>
                  <w:noWrap w:val="0"/>
                  <w:vAlign w:val="center"/>
                </w:tcPr>
                <w:p w14:paraId="4203E2C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w:t>
                  </w:r>
                </w:p>
                <w:p w14:paraId="47B9A47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99" w:type="pct"/>
                  <w:vMerge w:val="restart"/>
                  <w:tcBorders>
                    <w:tl2br w:val="nil"/>
                    <w:tr2bl w:val="nil"/>
                  </w:tcBorders>
                  <w:noWrap w:val="0"/>
                  <w:vAlign w:val="center"/>
                </w:tcPr>
                <w:p w14:paraId="7434D03F">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空压机1</w:t>
                  </w:r>
                </w:p>
              </w:tc>
              <w:tc>
                <w:tcPr>
                  <w:tcW w:w="381" w:type="pct"/>
                  <w:vMerge w:val="restart"/>
                  <w:tcBorders>
                    <w:tl2br w:val="nil"/>
                    <w:tr2bl w:val="nil"/>
                  </w:tcBorders>
                  <w:noWrap w:val="0"/>
                  <w:vAlign w:val="center"/>
                </w:tcPr>
                <w:p w14:paraId="57ADC4B7">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56</w:t>
                  </w:r>
                </w:p>
              </w:tc>
              <w:tc>
                <w:tcPr>
                  <w:tcW w:w="546" w:type="pct"/>
                  <w:tcBorders>
                    <w:tl2br w:val="nil"/>
                    <w:tr2bl w:val="nil"/>
                  </w:tcBorders>
                  <w:noWrap w:val="0"/>
                  <w:vAlign w:val="center"/>
                </w:tcPr>
                <w:p w14:paraId="515FDDE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7" w:type="pct"/>
                  <w:tcBorders>
                    <w:tl2br w:val="nil"/>
                    <w:tr2bl w:val="nil"/>
                  </w:tcBorders>
                  <w:noWrap w:val="0"/>
                  <w:vAlign w:val="center"/>
                </w:tcPr>
                <w:p w14:paraId="4C65C16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114</w:t>
                  </w:r>
                </w:p>
              </w:tc>
              <w:tc>
                <w:tcPr>
                  <w:tcW w:w="580" w:type="pct"/>
                  <w:tcBorders>
                    <w:tl2br w:val="nil"/>
                    <w:tr2bl w:val="nil"/>
                  </w:tcBorders>
                  <w:noWrap w:val="0"/>
                  <w:vAlign w:val="center"/>
                </w:tcPr>
                <w:p w14:paraId="4D4D81E8">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107</w:t>
                  </w:r>
                </w:p>
              </w:tc>
              <w:tc>
                <w:tcPr>
                  <w:tcW w:w="531" w:type="pct"/>
                  <w:tcBorders>
                    <w:tl2br w:val="nil"/>
                    <w:tr2bl w:val="nil"/>
                  </w:tcBorders>
                  <w:noWrap w:val="0"/>
                  <w:vAlign w:val="center"/>
                </w:tcPr>
                <w:p w14:paraId="47B387E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638" w:type="pct"/>
                  <w:tcBorders>
                    <w:tl2br w:val="nil"/>
                    <w:tr2bl w:val="nil"/>
                  </w:tcBorders>
                  <w:noWrap w:val="0"/>
                  <w:vAlign w:val="center"/>
                </w:tcPr>
                <w:p w14:paraId="62A6BAD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51</w:t>
                  </w:r>
                </w:p>
              </w:tc>
              <w:tc>
                <w:tcPr>
                  <w:tcW w:w="943" w:type="pct"/>
                  <w:tcBorders>
                    <w:tl2br w:val="nil"/>
                    <w:tr2bl w:val="nil"/>
                  </w:tcBorders>
                  <w:noWrap w:val="0"/>
                  <w:vAlign w:val="center"/>
                </w:tcPr>
                <w:p w14:paraId="19A6829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90</w:t>
                  </w:r>
                </w:p>
              </w:tc>
            </w:tr>
            <w:tr w14:paraId="120D16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continue"/>
                  <w:tcBorders>
                    <w:tl2br w:val="nil"/>
                    <w:tr2bl w:val="nil"/>
                  </w:tcBorders>
                  <w:noWrap w:val="0"/>
                  <w:vAlign w:val="center"/>
                </w:tcPr>
                <w:p w14:paraId="7E680FE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7C2B7408">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106F3428">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6" w:type="pct"/>
                  <w:tcBorders>
                    <w:tl2br w:val="nil"/>
                    <w:tr2bl w:val="nil"/>
                  </w:tcBorders>
                  <w:noWrap w:val="0"/>
                  <w:vAlign w:val="center"/>
                </w:tcPr>
                <w:p w14:paraId="786FDB1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7" w:type="pct"/>
                  <w:tcBorders>
                    <w:tl2br w:val="nil"/>
                    <w:tr2bl w:val="nil"/>
                  </w:tcBorders>
                  <w:noWrap w:val="0"/>
                  <w:vAlign w:val="center"/>
                </w:tcPr>
                <w:p w14:paraId="06F0CB5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580" w:type="pct"/>
                  <w:tcBorders>
                    <w:tl2br w:val="nil"/>
                    <w:tr2bl w:val="nil"/>
                  </w:tcBorders>
                  <w:noWrap w:val="0"/>
                  <w:vAlign w:val="center"/>
                </w:tcPr>
                <w:p w14:paraId="65B1775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531" w:type="pct"/>
                  <w:tcBorders>
                    <w:tl2br w:val="nil"/>
                    <w:tr2bl w:val="nil"/>
                  </w:tcBorders>
                  <w:noWrap w:val="0"/>
                  <w:vAlign w:val="center"/>
                </w:tcPr>
                <w:p w14:paraId="0160B80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39</w:t>
                  </w:r>
                </w:p>
              </w:tc>
              <w:tc>
                <w:tcPr>
                  <w:tcW w:w="638" w:type="pct"/>
                  <w:tcBorders>
                    <w:tl2br w:val="nil"/>
                    <w:tr2bl w:val="nil"/>
                  </w:tcBorders>
                  <w:noWrap w:val="0"/>
                  <w:vAlign w:val="center"/>
                </w:tcPr>
                <w:p w14:paraId="77BCC5A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p>
              </w:tc>
              <w:tc>
                <w:tcPr>
                  <w:tcW w:w="943" w:type="pct"/>
                  <w:tcBorders>
                    <w:tl2br w:val="nil"/>
                    <w:tr2bl w:val="nil"/>
                  </w:tcBorders>
                  <w:noWrap w:val="0"/>
                  <w:vAlign w:val="center"/>
                </w:tcPr>
                <w:p w14:paraId="37E2E124">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17</w:t>
                  </w:r>
                </w:p>
              </w:tc>
            </w:tr>
            <w:tr w14:paraId="4D58FB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restart"/>
                  <w:tcBorders>
                    <w:tl2br w:val="nil"/>
                    <w:tr2bl w:val="nil"/>
                  </w:tcBorders>
                  <w:shd w:val="clear" w:color="auto" w:fill="auto"/>
                  <w:noWrap w:val="0"/>
                  <w:vAlign w:val="center"/>
                </w:tcPr>
                <w:p w14:paraId="0A7B3C6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w:t>
                  </w:r>
                </w:p>
                <w:p w14:paraId="3C7013B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99" w:type="pct"/>
                  <w:vMerge w:val="restart"/>
                  <w:tcBorders>
                    <w:tl2br w:val="nil"/>
                    <w:tr2bl w:val="nil"/>
                  </w:tcBorders>
                  <w:noWrap w:val="0"/>
                  <w:vAlign w:val="center"/>
                </w:tcPr>
                <w:p w14:paraId="5673FF07">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空压机2</w:t>
                  </w:r>
                </w:p>
              </w:tc>
              <w:tc>
                <w:tcPr>
                  <w:tcW w:w="381" w:type="pct"/>
                  <w:vMerge w:val="restart"/>
                  <w:tcBorders>
                    <w:tl2br w:val="nil"/>
                    <w:tr2bl w:val="nil"/>
                  </w:tcBorders>
                  <w:noWrap w:val="0"/>
                  <w:vAlign w:val="center"/>
                </w:tcPr>
                <w:p w14:paraId="5640ABD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lang w:val="en-US" w:eastAsia="zh-CN"/>
                    </w:rPr>
                  </w:pPr>
                  <w:r>
                    <w:rPr>
                      <w:rFonts w:hint="eastAsia" w:cs="Times New Roman"/>
                      <w:color w:val="auto"/>
                      <w:kern w:val="2"/>
                      <w:sz w:val="21"/>
                      <w:szCs w:val="21"/>
                      <w:lang w:val="en-US" w:eastAsia="zh-CN" w:bidi="ar-SA"/>
                    </w:rPr>
                    <w:t>40</w:t>
                  </w:r>
                </w:p>
              </w:tc>
              <w:tc>
                <w:tcPr>
                  <w:tcW w:w="546" w:type="pct"/>
                  <w:tcBorders>
                    <w:tl2br w:val="nil"/>
                    <w:tr2bl w:val="nil"/>
                  </w:tcBorders>
                  <w:noWrap w:val="0"/>
                  <w:vAlign w:val="center"/>
                </w:tcPr>
                <w:p w14:paraId="4FBB811E">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7" w:type="pct"/>
                  <w:tcBorders>
                    <w:tl2br w:val="nil"/>
                    <w:tr2bl w:val="nil"/>
                  </w:tcBorders>
                  <w:noWrap w:val="0"/>
                  <w:vAlign w:val="center"/>
                </w:tcPr>
                <w:p w14:paraId="70BCFE7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114</w:t>
                  </w:r>
                </w:p>
              </w:tc>
              <w:tc>
                <w:tcPr>
                  <w:tcW w:w="580" w:type="pct"/>
                  <w:tcBorders>
                    <w:tl2br w:val="nil"/>
                    <w:tr2bl w:val="nil"/>
                  </w:tcBorders>
                  <w:noWrap w:val="0"/>
                  <w:vAlign w:val="center"/>
                </w:tcPr>
                <w:p w14:paraId="01A27F6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91</w:t>
                  </w:r>
                </w:p>
              </w:tc>
              <w:tc>
                <w:tcPr>
                  <w:tcW w:w="531" w:type="pct"/>
                  <w:tcBorders>
                    <w:tl2br w:val="nil"/>
                    <w:tr2bl w:val="nil"/>
                  </w:tcBorders>
                  <w:noWrap w:val="0"/>
                  <w:vAlign w:val="center"/>
                </w:tcPr>
                <w:p w14:paraId="02FCEF6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638" w:type="pct"/>
                  <w:tcBorders>
                    <w:tl2br w:val="nil"/>
                    <w:tr2bl w:val="nil"/>
                  </w:tcBorders>
                  <w:noWrap w:val="0"/>
                  <w:vAlign w:val="center"/>
                </w:tcPr>
                <w:p w14:paraId="481B0474">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69</w:t>
                  </w:r>
                </w:p>
              </w:tc>
              <w:tc>
                <w:tcPr>
                  <w:tcW w:w="943" w:type="pct"/>
                  <w:tcBorders>
                    <w:tl2br w:val="nil"/>
                    <w:tr2bl w:val="nil"/>
                  </w:tcBorders>
                  <w:noWrap w:val="0"/>
                  <w:vAlign w:val="center"/>
                </w:tcPr>
                <w:p w14:paraId="3BFD462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108</w:t>
                  </w:r>
                </w:p>
              </w:tc>
            </w:tr>
            <w:tr w14:paraId="1EB438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continue"/>
                  <w:tcBorders>
                    <w:tl2br w:val="nil"/>
                    <w:tr2bl w:val="nil"/>
                  </w:tcBorders>
                  <w:noWrap w:val="0"/>
                  <w:vAlign w:val="center"/>
                </w:tcPr>
                <w:p w14:paraId="18C8D7B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2A5D0A87">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7A6FAE7C">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6" w:type="pct"/>
                  <w:tcBorders>
                    <w:tl2br w:val="nil"/>
                    <w:tr2bl w:val="nil"/>
                  </w:tcBorders>
                  <w:noWrap w:val="0"/>
                  <w:vAlign w:val="center"/>
                </w:tcPr>
                <w:p w14:paraId="670248A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7" w:type="pct"/>
                  <w:tcBorders>
                    <w:tl2br w:val="nil"/>
                    <w:tr2bl w:val="nil"/>
                  </w:tcBorders>
                  <w:noWrap w:val="0"/>
                  <w:vAlign w:val="center"/>
                </w:tcPr>
                <w:p w14:paraId="16FA572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80" w:type="pct"/>
                  <w:tcBorders>
                    <w:tl2br w:val="nil"/>
                    <w:tr2bl w:val="nil"/>
                  </w:tcBorders>
                  <w:noWrap w:val="0"/>
                  <w:vAlign w:val="center"/>
                </w:tcPr>
                <w:p w14:paraId="548B0572">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531" w:type="pct"/>
                  <w:tcBorders>
                    <w:tl2br w:val="nil"/>
                    <w:tr2bl w:val="nil"/>
                  </w:tcBorders>
                  <w:noWrap w:val="0"/>
                  <w:vAlign w:val="center"/>
                </w:tcPr>
                <w:p w14:paraId="3C58849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23</w:t>
                  </w:r>
                </w:p>
              </w:tc>
              <w:tc>
                <w:tcPr>
                  <w:tcW w:w="638" w:type="pct"/>
                  <w:tcBorders>
                    <w:tl2br w:val="nil"/>
                    <w:tr2bl w:val="nil"/>
                  </w:tcBorders>
                  <w:noWrap w:val="0"/>
                  <w:vAlign w:val="center"/>
                </w:tcPr>
                <w:p w14:paraId="6C8C2140">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943" w:type="pct"/>
                  <w:tcBorders>
                    <w:tl2br w:val="nil"/>
                    <w:tr2bl w:val="nil"/>
                  </w:tcBorders>
                  <w:noWrap w:val="0"/>
                  <w:vAlign w:val="center"/>
                </w:tcPr>
                <w:p w14:paraId="092387C8">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r>
            <w:tr w14:paraId="115E4C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restart"/>
                  <w:tcBorders>
                    <w:tl2br w:val="nil"/>
                    <w:tr2bl w:val="nil"/>
                  </w:tcBorders>
                  <w:shd w:val="clear" w:color="auto" w:fill="auto"/>
                  <w:noWrap w:val="0"/>
                  <w:vAlign w:val="center"/>
                </w:tcPr>
                <w:p w14:paraId="442EEDA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8</w:t>
                  </w:r>
                </w:p>
                <w:p w14:paraId="2184088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99" w:type="pct"/>
                  <w:vMerge w:val="restart"/>
                  <w:tcBorders>
                    <w:tl2br w:val="nil"/>
                    <w:tr2bl w:val="nil"/>
                  </w:tcBorders>
                  <w:noWrap w:val="0"/>
                  <w:vAlign w:val="center"/>
                </w:tcPr>
                <w:p w14:paraId="6022028D">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空压机3</w:t>
                  </w:r>
                </w:p>
              </w:tc>
              <w:tc>
                <w:tcPr>
                  <w:tcW w:w="381" w:type="pct"/>
                  <w:vMerge w:val="restart"/>
                  <w:tcBorders>
                    <w:tl2br w:val="nil"/>
                    <w:tr2bl w:val="nil"/>
                  </w:tcBorders>
                  <w:noWrap w:val="0"/>
                  <w:vAlign w:val="center"/>
                </w:tcPr>
                <w:p w14:paraId="47717BD6">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lang w:val="en-US" w:eastAsia="zh-CN"/>
                    </w:rPr>
                  </w:pPr>
                  <w:r>
                    <w:rPr>
                      <w:rFonts w:hint="eastAsia" w:cs="Times New Roman"/>
                      <w:color w:val="auto"/>
                      <w:kern w:val="2"/>
                      <w:sz w:val="21"/>
                      <w:szCs w:val="21"/>
                      <w:lang w:val="en-US" w:eastAsia="zh-CN" w:bidi="ar-SA"/>
                    </w:rPr>
                    <w:t>44</w:t>
                  </w:r>
                </w:p>
              </w:tc>
              <w:tc>
                <w:tcPr>
                  <w:tcW w:w="546" w:type="pct"/>
                  <w:tcBorders>
                    <w:tl2br w:val="nil"/>
                    <w:tr2bl w:val="nil"/>
                  </w:tcBorders>
                  <w:noWrap w:val="0"/>
                  <w:vAlign w:val="center"/>
                </w:tcPr>
                <w:p w14:paraId="4D32F88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7" w:type="pct"/>
                  <w:tcBorders>
                    <w:tl2br w:val="nil"/>
                    <w:tr2bl w:val="nil"/>
                  </w:tcBorders>
                  <w:noWrap w:val="0"/>
                  <w:vAlign w:val="center"/>
                </w:tcPr>
                <w:p w14:paraId="2EE4CF5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580" w:type="pct"/>
                  <w:tcBorders>
                    <w:tl2br w:val="nil"/>
                    <w:tr2bl w:val="nil"/>
                  </w:tcBorders>
                  <w:noWrap w:val="0"/>
                  <w:vAlign w:val="center"/>
                </w:tcPr>
                <w:p w14:paraId="26A7B270">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157</w:t>
                  </w:r>
                </w:p>
              </w:tc>
              <w:tc>
                <w:tcPr>
                  <w:tcW w:w="531" w:type="pct"/>
                  <w:tcBorders>
                    <w:tl2br w:val="nil"/>
                    <w:tr2bl w:val="nil"/>
                  </w:tcBorders>
                  <w:noWrap w:val="0"/>
                  <w:vAlign w:val="center"/>
                </w:tcPr>
                <w:p w14:paraId="7DD741B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61</w:t>
                  </w:r>
                </w:p>
              </w:tc>
              <w:tc>
                <w:tcPr>
                  <w:tcW w:w="638" w:type="pct"/>
                  <w:tcBorders>
                    <w:tl2br w:val="nil"/>
                    <w:tr2bl w:val="nil"/>
                  </w:tcBorders>
                  <w:noWrap w:val="0"/>
                  <w:vAlign w:val="center"/>
                </w:tcPr>
                <w:p w14:paraId="6A74FA0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w:t>
                  </w:r>
                </w:p>
              </w:tc>
              <w:tc>
                <w:tcPr>
                  <w:tcW w:w="943" w:type="pct"/>
                  <w:tcBorders>
                    <w:tl2br w:val="nil"/>
                    <w:tr2bl w:val="nil"/>
                  </w:tcBorders>
                  <w:noWrap w:val="0"/>
                  <w:vAlign w:val="center"/>
                </w:tcPr>
                <w:p w14:paraId="764DC548">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r>
            <w:tr w14:paraId="2C6CE6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continue"/>
                  <w:tcBorders>
                    <w:tl2br w:val="nil"/>
                    <w:tr2bl w:val="nil"/>
                  </w:tcBorders>
                  <w:noWrap w:val="0"/>
                  <w:vAlign w:val="center"/>
                </w:tcPr>
                <w:p w14:paraId="78F59AA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2609AF3F">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251BAB04">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6" w:type="pct"/>
                  <w:tcBorders>
                    <w:tl2br w:val="nil"/>
                    <w:tr2bl w:val="nil"/>
                  </w:tcBorders>
                  <w:noWrap w:val="0"/>
                  <w:vAlign w:val="center"/>
                </w:tcPr>
                <w:p w14:paraId="6C7B26F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7" w:type="pct"/>
                  <w:tcBorders>
                    <w:tl2br w:val="nil"/>
                    <w:tr2bl w:val="nil"/>
                  </w:tcBorders>
                  <w:noWrap w:val="0"/>
                  <w:vAlign w:val="center"/>
                </w:tcPr>
                <w:p w14:paraId="7664507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580" w:type="pct"/>
                  <w:tcBorders>
                    <w:tl2br w:val="nil"/>
                    <w:tr2bl w:val="nil"/>
                  </w:tcBorders>
                  <w:noWrap w:val="0"/>
                  <w:vAlign w:val="center"/>
                </w:tcPr>
                <w:p w14:paraId="723C6C1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31" w:type="pct"/>
                  <w:tcBorders>
                    <w:tl2br w:val="nil"/>
                    <w:tr2bl w:val="nil"/>
                  </w:tcBorders>
                  <w:noWrap w:val="0"/>
                  <w:vAlign w:val="center"/>
                </w:tcPr>
                <w:p w14:paraId="251529F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c>
                <w:tcPr>
                  <w:tcW w:w="638" w:type="pct"/>
                  <w:tcBorders>
                    <w:tl2br w:val="nil"/>
                    <w:tr2bl w:val="nil"/>
                  </w:tcBorders>
                  <w:noWrap w:val="0"/>
                  <w:vAlign w:val="center"/>
                </w:tcPr>
                <w:p w14:paraId="58804182">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23</w:t>
                  </w:r>
                </w:p>
              </w:tc>
              <w:tc>
                <w:tcPr>
                  <w:tcW w:w="943" w:type="pct"/>
                  <w:tcBorders>
                    <w:tl2br w:val="nil"/>
                    <w:tr2bl w:val="nil"/>
                  </w:tcBorders>
                  <w:noWrap w:val="0"/>
                  <w:vAlign w:val="center"/>
                </w:tcPr>
                <w:p w14:paraId="4625D10A">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w:t>
                  </w:r>
                </w:p>
              </w:tc>
            </w:tr>
            <w:tr w14:paraId="7C9F66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restart"/>
                  <w:tcBorders>
                    <w:tl2br w:val="nil"/>
                    <w:tr2bl w:val="nil"/>
                  </w:tcBorders>
                  <w:shd w:val="clear" w:color="auto" w:fill="auto"/>
                  <w:noWrap w:val="0"/>
                  <w:vAlign w:val="center"/>
                </w:tcPr>
                <w:p w14:paraId="2FA7D1B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w:t>
                  </w:r>
                </w:p>
                <w:p w14:paraId="1998F60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99" w:type="pct"/>
                  <w:vMerge w:val="restart"/>
                  <w:tcBorders>
                    <w:tl2br w:val="nil"/>
                    <w:tr2bl w:val="nil"/>
                  </w:tcBorders>
                  <w:noWrap w:val="0"/>
                  <w:vAlign w:val="center"/>
                </w:tcPr>
                <w:p w14:paraId="5A254660">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环保设备风机1</w:t>
                  </w:r>
                </w:p>
              </w:tc>
              <w:tc>
                <w:tcPr>
                  <w:tcW w:w="381" w:type="pct"/>
                  <w:vMerge w:val="restart"/>
                  <w:tcBorders>
                    <w:tl2br w:val="nil"/>
                    <w:tr2bl w:val="nil"/>
                  </w:tcBorders>
                  <w:noWrap w:val="0"/>
                  <w:vAlign w:val="center"/>
                </w:tcPr>
                <w:p w14:paraId="4E06C7A3">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lang w:val="en-US" w:eastAsia="zh-CN"/>
                    </w:rPr>
                  </w:pPr>
                  <w:r>
                    <w:rPr>
                      <w:rFonts w:hint="eastAsia" w:cs="Times New Roman"/>
                      <w:color w:val="auto"/>
                      <w:kern w:val="2"/>
                      <w:sz w:val="21"/>
                      <w:szCs w:val="21"/>
                      <w:lang w:val="en-US" w:eastAsia="zh-CN" w:bidi="ar-SA"/>
                    </w:rPr>
                    <w:t>50</w:t>
                  </w:r>
                </w:p>
              </w:tc>
              <w:tc>
                <w:tcPr>
                  <w:tcW w:w="546" w:type="pct"/>
                  <w:tcBorders>
                    <w:tl2br w:val="nil"/>
                    <w:tr2bl w:val="nil"/>
                  </w:tcBorders>
                  <w:noWrap w:val="0"/>
                  <w:vAlign w:val="center"/>
                </w:tcPr>
                <w:p w14:paraId="007E0872">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7" w:type="pct"/>
                  <w:tcBorders>
                    <w:tl2br w:val="nil"/>
                    <w:tr2bl w:val="nil"/>
                  </w:tcBorders>
                  <w:noWrap w:val="0"/>
                  <w:vAlign w:val="center"/>
                </w:tcPr>
                <w:p w14:paraId="2789199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116</w:t>
                  </w:r>
                </w:p>
              </w:tc>
              <w:tc>
                <w:tcPr>
                  <w:tcW w:w="580" w:type="pct"/>
                  <w:tcBorders>
                    <w:tl2br w:val="nil"/>
                    <w:tr2bl w:val="nil"/>
                  </w:tcBorders>
                  <w:noWrap w:val="0"/>
                  <w:vAlign w:val="center"/>
                </w:tcPr>
                <w:p w14:paraId="53036F7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121</w:t>
                  </w:r>
                </w:p>
              </w:tc>
              <w:tc>
                <w:tcPr>
                  <w:tcW w:w="531" w:type="pct"/>
                  <w:tcBorders>
                    <w:tl2br w:val="nil"/>
                    <w:tr2bl w:val="nil"/>
                  </w:tcBorders>
                  <w:noWrap w:val="0"/>
                  <w:vAlign w:val="center"/>
                </w:tcPr>
                <w:p w14:paraId="22CDE293">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638" w:type="pct"/>
                  <w:tcBorders>
                    <w:tl2br w:val="nil"/>
                    <w:tr2bl w:val="nil"/>
                  </w:tcBorders>
                  <w:noWrap w:val="0"/>
                  <w:vAlign w:val="center"/>
                </w:tcPr>
                <w:p w14:paraId="2780142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943" w:type="pct"/>
                  <w:tcBorders>
                    <w:tl2br w:val="nil"/>
                    <w:tr2bl w:val="nil"/>
                  </w:tcBorders>
                  <w:noWrap w:val="0"/>
                  <w:vAlign w:val="center"/>
                </w:tcPr>
                <w:p w14:paraId="3985E13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77</w:t>
                  </w:r>
                </w:p>
              </w:tc>
            </w:tr>
            <w:tr w14:paraId="412167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continue"/>
                  <w:tcBorders>
                    <w:tl2br w:val="nil"/>
                    <w:tr2bl w:val="nil"/>
                  </w:tcBorders>
                  <w:noWrap w:val="0"/>
                  <w:vAlign w:val="center"/>
                </w:tcPr>
                <w:p w14:paraId="5AC5673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2A419D50">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4387586F">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6" w:type="pct"/>
                  <w:tcBorders>
                    <w:tl2br w:val="nil"/>
                    <w:tr2bl w:val="nil"/>
                  </w:tcBorders>
                  <w:noWrap w:val="0"/>
                  <w:vAlign w:val="center"/>
                </w:tcPr>
                <w:p w14:paraId="6E1F118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7" w:type="pct"/>
                  <w:tcBorders>
                    <w:tl2br w:val="nil"/>
                    <w:tr2bl w:val="nil"/>
                  </w:tcBorders>
                  <w:noWrap w:val="0"/>
                  <w:vAlign w:val="center"/>
                </w:tcPr>
                <w:p w14:paraId="75F739A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580" w:type="pct"/>
                  <w:tcBorders>
                    <w:tl2br w:val="nil"/>
                    <w:tr2bl w:val="nil"/>
                  </w:tcBorders>
                  <w:noWrap w:val="0"/>
                  <w:vAlign w:val="center"/>
                </w:tcPr>
                <w:p w14:paraId="62CCE6A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c>
                <w:tcPr>
                  <w:tcW w:w="531" w:type="pct"/>
                  <w:tcBorders>
                    <w:tl2br w:val="nil"/>
                    <w:tr2bl w:val="nil"/>
                  </w:tcBorders>
                  <w:noWrap w:val="0"/>
                  <w:vAlign w:val="center"/>
                </w:tcPr>
                <w:p w14:paraId="635EE723">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34</w:t>
                  </w:r>
                </w:p>
              </w:tc>
              <w:tc>
                <w:tcPr>
                  <w:tcW w:w="638" w:type="pct"/>
                  <w:tcBorders>
                    <w:tl2br w:val="nil"/>
                    <w:tr2bl w:val="nil"/>
                  </w:tcBorders>
                  <w:noWrap w:val="0"/>
                  <w:vAlign w:val="center"/>
                </w:tcPr>
                <w:p w14:paraId="4DC4283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18</w:t>
                  </w:r>
                </w:p>
              </w:tc>
              <w:tc>
                <w:tcPr>
                  <w:tcW w:w="943" w:type="pct"/>
                  <w:tcBorders>
                    <w:tl2br w:val="nil"/>
                    <w:tr2bl w:val="nil"/>
                  </w:tcBorders>
                  <w:noWrap w:val="0"/>
                  <w:vAlign w:val="center"/>
                </w:tcPr>
                <w:p w14:paraId="0319257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r>
            <w:tr w14:paraId="443C27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restart"/>
                  <w:tcBorders>
                    <w:tl2br w:val="nil"/>
                    <w:tr2bl w:val="nil"/>
                  </w:tcBorders>
                  <w:shd w:val="clear" w:color="auto" w:fill="auto"/>
                  <w:noWrap w:val="0"/>
                  <w:vAlign w:val="center"/>
                </w:tcPr>
                <w:p w14:paraId="2578684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w:t>
                  </w:r>
                </w:p>
                <w:p w14:paraId="430834F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599" w:type="pct"/>
                  <w:vMerge w:val="restart"/>
                  <w:tcBorders>
                    <w:tl2br w:val="nil"/>
                    <w:tr2bl w:val="nil"/>
                  </w:tcBorders>
                  <w:noWrap w:val="0"/>
                  <w:vAlign w:val="center"/>
                </w:tcPr>
                <w:p w14:paraId="2BE94BAF">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环保设备风机2</w:t>
                  </w:r>
                </w:p>
              </w:tc>
              <w:tc>
                <w:tcPr>
                  <w:tcW w:w="381" w:type="pct"/>
                  <w:vMerge w:val="restart"/>
                  <w:tcBorders>
                    <w:tl2br w:val="nil"/>
                    <w:tr2bl w:val="nil"/>
                  </w:tcBorders>
                  <w:noWrap w:val="0"/>
                  <w:vAlign w:val="center"/>
                </w:tcPr>
                <w:p w14:paraId="4CCB50D4">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44</w:t>
                  </w:r>
                </w:p>
              </w:tc>
              <w:tc>
                <w:tcPr>
                  <w:tcW w:w="546" w:type="pct"/>
                  <w:tcBorders>
                    <w:tl2br w:val="nil"/>
                    <w:tr2bl w:val="nil"/>
                  </w:tcBorders>
                  <w:noWrap w:val="0"/>
                  <w:vAlign w:val="center"/>
                </w:tcPr>
                <w:p w14:paraId="3F82961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7" w:type="pct"/>
                  <w:tcBorders>
                    <w:tl2br w:val="nil"/>
                    <w:tr2bl w:val="nil"/>
                  </w:tcBorders>
                  <w:noWrap w:val="0"/>
                  <w:vAlign w:val="center"/>
                </w:tcPr>
                <w:p w14:paraId="481D796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580" w:type="pct"/>
                  <w:tcBorders>
                    <w:tl2br w:val="nil"/>
                    <w:tr2bl w:val="nil"/>
                  </w:tcBorders>
                  <w:noWrap w:val="0"/>
                  <w:vAlign w:val="center"/>
                </w:tcPr>
                <w:p w14:paraId="4C83809E">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156</w:t>
                  </w:r>
                </w:p>
              </w:tc>
              <w:tc>
                <w:tcPr>
                  <w:tcW w:w="531" w:type="pct"/>
                  <w:tcBorders>
                    <w:tl2br w:val="nil"/>
                    <w:tr2bl w:val="nil"/>
                  </w:tcBorders>
                  <w:noWrap w:val="0"/>
                  <w:vAlign w:val="center"/>
                </w:tcPr>
                <w:p w14:paraId="75EC37E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76</w:t>
                  </w:r>
                </w:p>
              </w:tc>
              <w:tc>
                <w:tcPr>
                  <w:tcW w:w="638" w:type="pct"/>
                  <w:tcBorders>
                    <w:tl2br w:val="nil"/>
                    <w:tr2bl w:val="nil"/>
                  </w:tcBorders>
                  <w:noWrap w:val="0"/>
                  <w:vAlign w:val="center"/>
                </w:tcPr>
                <w:p w14:paraId="462EE2E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w:t>
                  </w:r>
                </w:p>
              </w:tc>
              <w:tc>
                <w:tcPr>
                  <w:tcW w:w="943" w:type="pct"/>
                  <w:tcBorders>
                    <w:tl2br w:val="nil"/>
                    <w:tr2bl w:val="nil"/>
                  </w:tcBorders>
                  <w:noWrap w:val="0"/>
                  <w:vAlign w:val="center"/>
                </w:tcPr>
                <w:p w14:paraId="306EAD54">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r>
            <w:tr w14:paraId="6FF0A2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continue"/>
                  <w:tcBorders>
                    <w:tl2br w:val="nil"/>
                    <w:tr2bl w:val="nil"/>
                  </w:tcBorders>
                  <w:noWrap w:val="0"/>
                  <w:vAlign w:val="center"/>
                </w:tcPr>
                <w:p w14:paraId="096A00E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1E066DC2">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41D88BD6">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6" w:type="pct"/>
                  <w:tcBorders>
                    <w:tl2br w:val="nil"/>
                    <w:tr2bl w:val="nil"/>
                  </w:tcBorders>
                  <w:noWrap w:val="0"/>
                  <w:vAlign w:val="center"/>
                </w:tcPr>
                <w:p w14:paraId="53AD144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7" w:type="pct"/>
                  <w:tcBorders>
                    <w:tl2br w:val="nil"/>
                    <w:tr2bl w:val="nil"/>
                  </w:tcBorders>
                  <w:noWrap w:val="0"/>
                  <w:vAlign w:val="center"/>
                </w:tcPr>
                <w:p w14:paraId="50A7895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580" w:type="pct"/>
                  <w:tcBorders>
                    <w:tl2br w:val="nil"/>
                    <w:tr2bl w:val="nil"/>
                  </w:tcBorders>
                  <w:noWrap w:val="0"/>
                  <w:vAlign w:val="center"/>
                </w:tcPr>
                <w:p w14:paraId="6A883B9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31" w:type="pct"/>
                  <w:tcBorders>
                    <w:tl2br w:val="nil"/>
                    <w:tr2bl w:val="nil"/>
                  </w:tcBorders>
                  <w:noWrap w:val="0"/>
                  <w:vAlign w:val="center"/>
                </w:tcPr>
                <w:p w14:paraId="487A747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638" w:type="pct"/>
                  <w:tcBorders>
                    <w:tl2br w:val="nil"/>
                    <w:tr2bl w:val="nil"/>
                  </w:tcBorders>
                  <w:noWrap w:val="0"/>
                  <w:vAlign w:val="center"/>
                </w:tcPr>
                <w:p w14:paraId="2851166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23</w:t>
                  </w:r>
                </w:p>
              </w:tc>
              <w:tc>
                <w:tcPr>
                  <w:tcW w:w="943" w:type="pct"/>
                  <w:tcBorders>
                    <w:tl2br w:val="nil"/>
                    <w:tr2bl w:val="nil"/>
                  </w:tcBorders>
                  <w:noWrap w:val="0"/>
                  <w:vAlign w:val="center"/>
                </w:tcPr>
                <w:p w14:paraId="27FF2BDE">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r>
            <w:tr w14:paraId="29EC12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restart"/>
                  <w:tcBorders>
                    <w:tl2br w:val="nil"/>
                    <w:tr2bl w:val="nil"/>
                  </w:tcBorders>
                  <w:shd w:val="clear" w:color="auto" w:fill="auto"/>
                  <w:noWrap w:val="0"/>
                  <w:vAlign w:val="center"/>
                </w:tcPr>
                <w:p w14:paraId="7C621E7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11</w:t>
                  </w:r>
                </w:p>
              </w:tc>
              <w:tc>
                <w:tcPr>
                  <w:tcW w:w="599" w:type="pct"/>
                  <w:vMerge w:val="restart"/>
                  <w:tcBorders>
                    <w:tl2br w:val="nil"/>
                    <w:tr2bl w:val="nil"/>
                  </w:tcBorders>
                  <w:noWrap w:val="0"/>
                  <w:vAlign w:val="center"/>
                </w:tcPr>
                <w:p w14:paraId="63627AF0">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环保设备风机3</w:t>
                  </w:r>
                </w:p>
              </w:tc>
              <w:tc>
                <w:tcPr>
                  <w:tcW w:w="381" w:type="pct"/>
                  <w:vMerge w:val="restart"/>
                  <w:tcBorders>
                    <w:tl2br w:val="nil"/>
                    <w:tr2bl w:val="nil"/>
                  </w:tcBorders>
                  <w:noWrap w:val="0"/>
                  <w:vAlign w:val="center"/>
                </w:tcPr>
                <w:p w14:paraId="21BE7115">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w:t>
                  </w:r>
                </w:p>
              </w:tc>
              <w:tc>
                <w:tcPr>
                  <w:tcW w:w="546" w:type="pct"/>
                  <w:tcBorders>
                    <w:tl2br w:val="nil"/>
                    <w:tr2bl w:val="nil"/>
                  </w:tcBorders>
                  <w:noWrap w:val="0"/>
                  <w:vAlign w:val="center"/>
                </w:tcPr>
                <w:p w14:paraId="4D12E60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7" w:type="pct"/>
                  <w:tcBorders>
                    <w:tl2br w:val="nil"/>
                    <w:tr2bl w:val="nil"/>
                  </w:tcBorders>
                  <w:noWrap w:val="0"/>
                  <w:vAlign w:val="center"/>
                </w:tcPr>
                <w:p w14:paraId="773EA8C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580" w:type="pct"/>
                  <w:tcBorders>
                    <w:tl2br w:val="nil"/>
                    <w:tr2bl w:val="nil"/>
                  </w:tcBorders>
                  <w:noWrap w:val="0"/>
                  <w:vAlign w:val="center"/>
                </w:tcPr>
                <w:p w14:paraId="62848A02">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156</w:t>
                  </w:r>
                </w:p>
              </w:tc>
              <w:tc>
                <w:tcPr>
                  <w:tcW w:w="531" w:type="pct"/>
                  <w:tcBorders>
                    <w:tl2br w:val="nil"/>
                    <w:tr2bl w:val="nil"/>
                  </w:tcBorders>
                  <w:noWrap w:val="0"/>
                  <w:vAlign w:val="center"/>
                </w:tcPr>
                <w:p w14:paraId="48FCD29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88</w:t>
                  </w:r>
                </w:p>
              </w:tc>
              <w:tc>
                <w:tcPr>
                  <w:tcW w:w="638" w:type="pct"/>
                  <w:tcBorders>
                    <w:tl2br w:val="nil"/>
                    <w:tr2bl w:val="nil"/>
                  </w:tcBorders>
                  <w:noWrap w:val="0"/>
                  <w:vAlign w:val="center"/>
                </w:tcPr>
                <w:p w14:paraId="58B927B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w:t>
                  </w:r>
                </w:p>
              </w:tc>
              <w:tc>
                <w:tcPr>
                  <w:tcW w:w="943" w:type="pct"/>
                  <w:tcBorders>
                    <w:tl2br w:val="nil"/>
                    <w:tr2bl w:val="nil"/>
                  </w:tcBorders>
                  <w:noWrap w:val="0"/>
                  <w:vAlign w:val="center"/>
                </w:tcPr>
                <w:p w14:paraId="0C6857D2">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w:t>
                  </w:r>
                </w:p>
              </w:tc>
            </w:tr>
            <w:tr w14:paraId="7875C5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continue"/>
                  <w:tcBorders>
                    <w:tl2br w:val="nil"/>
                    <w:tr2bl w:val="nil"/>
                  </w:tcBorders>
                  <w:noWrap w:val="0"/>
                  <w:vAlign w:val="center"/>
                </w:tcPr>
                <w:p w14:paraId="4B204DC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77AF53E8">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72EC4919">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6" w:type="pct"/>
                  <w:tcBorders>
                    <w:tl2br w:val="nil"/>
                    <w:tr2bl w:val="nil"/>
                  </w:tcBorders>
                  <w:noWrap w:val="0"/>
                  <w:vAlign w:val="center"/>
                </w:tcPr>
                <w:p w14:paraId="18D3A7E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7" w:type="pct"/>
                  <w:tcBorders>
                    <w:tl2br w:val="nil"/>
                    <w:tr2bl w:val="nil"/>
                  </w:tcBorders>
                  <w:noWrap w:val="0"/>
                  <w:vAlign w:val="center"/>
                </w:tcPr>
                <w:p w14:paraId="4EF5B9B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29</w:t>
                  </w:r>
                </w:p>
              </w:tc>
              <w:tc>
                <w:tcPr>
                  <w:tcW w:w="580" w:type="pct"/>
                  <w:tcBorders>
                    <w:tl2br w:val="nil"/>
                    <w:tr2bl w:val="nil"/>
                  </w:tcBorders>
                  <w:noWrap w:val="0"/>
                  <w:vAlign w:val="center"/>
                </w:tcPr>
                <w:p w14:paraId="6C0AB22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w:t>
                  </w:r>
                </w:p>
              </w:tc>
              <w:tc>
                <w:tcPr>
                  <w:tcW w:w="531" w:type="pct"/>
                  <w:tcBorders>
                    <w:tl2br w:val="nil"/>
                    <w:tr2bl w:val="nil"/>
                  </w:tcBorders>
                  <w:noWrap w:val="0"/>
                  <w:vAlign w:val="center"/>
                </w:tcPr>
                <w:p w14:paraId="3A6BF5E2">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21</w:t>
                  </w:r>
                </w:p>
              </w:tc>
              <w:tc>
                <w:tcPr>
                  <w:tcW w:w="638" w:type="pct"/>
                  <w:tcBorders>
                    <w:tl2br w:val="nil"/>
                    <w:tr2bl w:val="nil"/>
                  </w:tcBorders>
                  <w:noWrap w:val="0"/>
                  <w:vAlign w:val="center"/>
                </w:tcPr>
                <w:p w14:paraId="45C4807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38</w:t>
                  </w:r>
                </w:p>
              </w:tc>
              <w:tc>
                <w:tcPr>
                  <w:tcW w:w="943" w:type="pct"/>
                  <w:tcBorders>
                    <w:tl2br w:val="nil"/>
                    <w:tr2bl w:val="nil"/>
                  </w:tcBorders>
                  <w:noWrap w:val="0"/>
                  <w:vAlign w:val="center"/>
                </w:tcPr>
                <w:p w14:paraId="723720B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27</w:t>
                  </w:r>
                </w:p>
              </w:tc>
            </w:tr>
            <w:tr w14:paraId="39164B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restart"/>
                  <w:tcBorders>
                    <w:tl2br w:val="nil"/>
                    <w:tr2bl w:val="nil"/>
                  </w:tcBorders>
                  <w:shd w:val="clear" w:color="auto" w:fill="auto"/>
                  <w:noWrap w:val="0"/>
                  <w:vAlign w:val="center"/>
                </w:tcPr>
                <w:p w14:paraId="3726767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w:t>
                  </w:r>
                </w:p>
                <w:p w14:paraId="7677FDB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99" w:type="pct"/>
                  <w:vMerge w:val="restart"/>
                  <w:tcBorders>
                    <w:tl2br w:val="nil"/>
                    <w:tr2bl w:val="nil"/>
                  </w:tcBorders>
                  <w:noWrap w:val="0"/>
                  <w:vAlign w:val="center"/>
                </w:tcPr>
                <w:p w14:paraId="7736CCA3">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热风炉风机</w:t>
                  </w:r>
                  <w:r>
                    <w:rPr>
                      <w:rFonts w:hint="eastAsia" w:cs="Times New Roman"/>
                      <w:color w:val="auto"/>
                      <w:szCs w:val="21"/>
                      <w:lang w:val="en-US" w:eastAsia="zh-CN"/>
                    </w:rPr>
                    <w:t>1</w:t>
                  </w:r>
                </w:p>
              </w:tc>
              <w:tc>
                <w:tcPr>
                  <w:tcW w:w="381" w:type="pct"/>
                  <w:vMerge w:val="restart"/>
                  <w:tcBorders>
                    <w:tl2br w:val="nil"/>
                    <w:tr2bl w:val="nil"/>
                  </w:tcBorders>
                  <w:noWrap w:val="0"/>
                  <w:vAlign w:val="center"/>
                </w:tcPr>
                <w:p w14:paraId="6352B976">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42</w:t>
                  </w:r>
                </w:p>
              </w:tc>
              <w:tc>
                <w:tcPr>
                  <w:tcW w:w="546" w:type="pct"/>
                  <w:tcBorders>
                    <w:tl2br w:val="nil"/>
                    <w:tr2bl w:val="nil"/>
                  </w:tcBorders>
                  <w:noWrap w:val="0"/>
                  <w:vAlign w:val="center"/>
                </w:tcPr>
                <w:p w14:paraId="540E78D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7" w:type="pct"/>
                  <w:tcBorders>
                    <w:tl2br w:val="nil"/>
                    <w:tr2bl w:val="nil"/>
                  </w:tcBorders>
                  <w:noWrap w:val="0"/>
                  <w:vAlign w:val="center"/>
                </w:tcPr>
                <w:p w14:paraId="1DDFAEE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57</w:t>
                  </w:r>
                </w:p>
              </w:tc>
              <w:tc>
                <w:tcPr>
                  <w:tcW w:w="580" w:type="pct"/>
                  <w:tcBorders>
                    <w:tl2br w:val="nil"/>
                    <w:tr2bl w:val="nil"/>
                  </w:tcBorders>
                  <w:noWrap w:val="0"/>
                  <w:vAlign w:val="center"/>
                </w:tcPr>
                <w:p w14:paraId="301D08A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157</w:t>
                  </w:r>
                </w:p>
              </w:tc>
              <w:tc>
                <w:tcPr>
                  <w:tcW w:w="531" w:type="pct"/>
                  <w:tcBorders>
                    <w:tl2br w:val="nil"/>
                    <w:tr2bl w:val="nil"/>
                  </w:tcBorders>
                  <w:noWrap w:val="0"/>
                  <w:vAlign w:val="center"/>
                </w:tcPr>
                <w:p w14:paraId="761097B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65</w:t>
                  </w:r>
                </w:p>
              </w:tc>
              <w:tc>
                <w:tcPr>
                  <w:tcW w:w="638" w:type="pct"/>
                  <w:tcBorders>
                    <w:tl2br w:val="nil"/>
                    <w:tr2bl w:val="nil"/>
                  </w:tcBorders>
                  <w:noWrap w:val="0"/>
                  <w:vAlign w:val="center"/>
                </w:tcPr>
                <w:p w14:paraId="2DC7BF6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w:t>
                  </w:r>
                </w:p>
              </w:tc>
              <w:tc>
                <w:tcPr>
                  <w:tcW w:w="943" w:type="pct"/>
                  <w:tcBorders>
                    <w:tl2br w:val="nil"/>
                    <w:tr2bl w:val="nil"/>
                  </w:tcBorders>
                  <w:noWrap w:val="0"/>
                  <w:vAlign w:val="center"/>
                </w:tcPr>
                <w:p w14:paraId="3FBD4BB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w:t>
                  </w:r>
                </w:p>
              </w:tc>
            </w:tr>
            <w:tr w14:paraId="30E2D4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continue"/>
                  <w:tcBorders>
                    <w:tl2br w:val="nil"/>
                    <w:tr2bl w:val="nil"/>
                  </w:tcBorders>
                  <w:noWrap w:val="0"/>
                  <w:vAlign w:val="center"/>
                </w:tcPr>
                <w:p w14:paraId="0074470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0E474190">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1A9509E0">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6" w:type="pct"/>
                  <w:tcBorders>
                    <w:tl2br w:val="nil"/>
                    <w:tr2bl w:val="nil"/>
                  </w:tcBorders>
                  <w:noWrap w:val="0"/>
                  <w:vAlign w:val="center"/>
                </w:tcPr>
                <w:p w14:paraId="0D86E543">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7" w:type="pct"/>
                  <w:tcBorders>
                    <w:tl2br w:val="nil"/>
                    <w:tr2bl w:val="nil"/>
                  </w:tcBorders>
                  <w:noWrap w:val="0"/>
                  <w:vAlign w:val="center"/>
                </w:tcPr>
                <w:p w14:paraId="3BDEDBE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580" w:type="pct"/>
                  <w:tcBorders>
                    <w:tl2br w:val="nil"/>
                    <w:tr2bl w:val="nil"/>
                  </w:tcBorders>
                  <w:noWrap w:val="0"/>
                  <w:vAlign w:val="center"/>
                </w:tcPr>
                <w:p w14:paraId="1E0368B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31" w:type="pct"/>
                  <w:tcBorders>
                    <w:tl2br w:val="nil"/>
                    <w:tr2bl w:val="nil"/>
                  </w:tcBorders>
                  <w:noWrap w:val="0"/>
                  <w:vAlign w:val="center"/>
                </w:tcPr>
                <w:p w14:paraId="730E685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638" w:type="pct"/>
                  <w:tcBorders>
                    <w:tl2br w:val="nil"/>
                    <w:tr2bl w:val="nil"/>
                  </w:tcBorders>
                  <w:noWrap w:val="0"/>
                  <w:vAlign w:val="center"/>
                </w:tcPr>
                <w:p w14:paraId="2E13C9FA">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21</w:t>
                  </w:r>
                </w:p>
              </w:tc>
              <w:tc>
                <w:tcPr>
                  <w:tcW w:w="943" w:type="pct"/>
                  <w:tcBorders>
                    <w:tl2br w:val="nil"/>
                    <w:tr2bl w:val="nil"/>
                  </w:tcBorders>
                  <w:noWrap w:val="0"/>
                  <w:vAlign w:val="center"/>
                </w:tcPr>
                <w:p w14:paraId="64AFB03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r>
            <w:tr w14:paraId="061F40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restart"/>
                  <w:tcBorders>
                    <w:tl2br w:val="nil"/>
                    <w:tr2bl w:val="nil"/>
                  </w:tcBorders>
                  <w:shd w:val="clear" w:color="auto" w:fill="auto"/>
                  <w:noWrap w:val="0"/>
                  <w:vAlign w:val="center"/>
                </w:tcPr>
                <w:p w14:paraId="39466A9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13</w:t>
                  </w:r>
                </w:p>
              </w:tc>
              <w:tc>
                <w:tcPr>
                  <w:tcW w:w="599" w:type="pct"/>
                  <w:vMerge w:val="restart"/>
                  <w:tcBorders>
                    <w:tl2br w:val="nil"/>
                    <w:tr2bl w:val="nil"/>
                  </w:tcBorders>
                  <w:noWrap w:val="0"/>
                  <w:vAlign w:val="center"/>
                </w:tcPr>
                <w:p w14:paraId="33C21CC9">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热风炉风机</w:t>
                  </w:r>
                  <w:r>
                    <w:rPr>
                      <w:rFonts w:hint="eastAsia" w:cs="Times New Roman"/>
                      <w:color w:val="auto"/>
                      <w:szCs w:val="21"/>
                      <w:lang w:val="en-US" w:eastAsia="zh-CN"/>
                    </w:rPr>
                    <w:t>2</w:t>
                  </w:r>
                </w:p>
              </w:tc>
              <w:tc>
                <w:tcPr>
                  <w:tcW w:w="381" w:type="pct"/>
                  <w:vMerge w:val="restart"/>
                  <w:tcBorders>
                    <w:tl2br w:val="nil"/>
                    <w:tr2bl w:val="nil"/>
                  </w:tcBorders>
                  <w:noWrap w:val="0"/>
                  <w:vAlign w:val="center"/>
                </w:tcPr>
                <w:p w14:paraId="7569C211">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41</w:t>
                  </w:r>
                </w:p>
              </w:tc>
              <w:tc>
                <w:tcPr>
                  <w:tcW w:w="546" w:type="pct"/>
                  <w:tcBorders>
                    <w:tl2br w:val="nil"/>
                    <w:tr2bl w:val="nil"/>
                  </w:tcBorders>
                  <w:shd w:val="clear" w:color="auto" w:fill="auto"/>
                  <w:noWrap w:val="0"/>
                  <w:vAlign w:val="center"/>
                </w:tcPr>
                <w:p w14:paraId="5CAA7F18">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距离</w:t>
                  </w:r>
                </w:p>
              </w:tc>
              <w:tc>
                <w:tcPr>
                  <w:tcW w:w="537" w:type="pct"/>
                  <w:tcBorders>
                    <w:tl2br w:val="nil"/>
                    <w:tr2bl w:val="nil"/>
                  </w:tcBorders>
                  <w:shd w:val="clear" w:color="auto" w:fill="auto"/>
                  <w:noWrap w:val="0"/>
                  <w:vAlign w:val="center"/>
                </w:tcPr>
                <w:p w14:paraId="678D405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52</w:t>
                  </w:r>
                </w:p>
              </w:tc>
              <w:tc>
                <w:tcPr>
                  <w:tcW w:w="580" w:type="pct"/>
                  <w:tcBorders>
                    <w:tl2br w:val="nil"/>
                    <w:tr2bl w:val="nil"/>
                  </w:tcBorders>
                  <w:shd w:val="clear" w:color="auto" w:fill="auto"/>
                  <w:noWrap w:val="0"/>
                  <w:vAlign w:val="center"/>
                </w:tcPr>
                <w:p w14:paraId="2836488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157</w:t>
                  </w:r>
                </w:p>
              </w:tc>
              <w:tc>
                <w:tcPr>
                  <w:tcW w:w="531" w:type="pct"/>
                  <w:tcBorders>
                    <w:tl2br w:val="nil"/>
                    <w:tr2bl w:val="nil"/>
                  </w:tcBorders>
                  <w:shd w:val="clear" w:color="auto" w:fill="auto"/>
                  <w:noWrap w:val="0"/>
                  <w:vAlign w:val="center"/>
                </w:tcPr>
                <w:p w14:paraId="2CCBCE0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69</w:t>
                  </w:r>
                </w:p>
              </w:tc>
              <w:tc>
                <w:tcPr>
                  <w:tcW w:w="638" w:type="pct"/>
                  <w:tcBorders>
                    <w:tl2br w:val="nil"/>
                    <w:tr2bl w:val="nil"/>
                  </w:tcBorders>
                  <w:noWrap w:val="0"/>
                  <w:vAlign w:val="center"/>
                </w:tcPr>
                <w:p w14:paraId="2EBA304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c>
                <w:tcPr>
                  <w:tcW w:w="943" w:type="pct"/>
                  <w:tcBorders>
                    <w:tl2br w:val="nil"/>
                    <w:tr2bl w:val="nil"/>
                  </w:tcBorders>
                  <w:noWrap w:val="0"/>
                  <w:vAlign w:val="center"/>
                </w:tcPr>
                <w:p w14:paraId="3913E7D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43</w:t>
                  </w:r>
                </w:p>
              </w:tc>
            </w:tr>
            <w:tr w14:paraId="5FD427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continue"/>
                  <w:tcBorders>
                    <w:tl2br w:val="nil"/>
                    <w:tr2bl w:val="nil"/>
                  </w:tcBorders>
                  <w:noWrap w:val="0"/>
                  <w:vAlign w:val="center"/>
                </w:tcPr>
                <w:p w14:paraId="1D5E319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1C4200E5">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687D4663">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6" w:type="pct"/>
                  <w:tcBorders>
                    <w:tl2br w:val="nil"/>
                    <w:tr2bl w:val="nil"/>
                  </w:tcBorders>
                  <w:shd w:val="clear" w:color="auto" w:fill="auto"/>
                  <w:noWrap w:val="0"/>
                  <w:vAlign w:val="center"/>
                </w:tcPr>
                <w:p w14:paraId="706B6B74">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z w:val="21"/>
                      <w:szCs w:val="21"/>
                      <w:highlight w:val="none"/>
                    </w:rPr>
                    <w:t>贡献值</w:t>
                  </w:r>
                </w:p>
              </w:tc>
              <w:tc>
                <w:tcPr>
                  <w:tcW w:w="537" w:type="pct"/>
                  <w:tcBorders>
                    <w:tl2br w:val="nil"/>
                    <w:tr2bl w:val="nil"/>
                  </w:tcBorders>
                  <w:noWrap w:val="0"/>
                  <w:vAlign w:val="center"/>
                </w:tcPr>
                <w:p w14:paraId="2EDABFC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580" w:type="pct"/>
                  <w:tcBorders>
                    <w:tl2br w:val="nil"/>
                    <w:tr2bl w:val="nil"/>
                  </w:tcBorders>
                  <w:noWrap w:val="0"/>
                  <w:vAlign w:val="center"/>
                </w:tcPr>
                <w:p w14:paraId="7C447CA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531" w:type="pct"/>
                  <w:tcBorders>
                    <w:tl2br w:val="nil"/>
                    <w:tr2bl w:val="nil"/>
                  </w:tcBorders>
                  <w:noWrap w:val="0"/>
                  <w:vAlign w:val="center"/>
                </w:tcPr>
                <w:p w14:paraId="49FF310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638" w:type="pct"/>
                  <w:tcBorders>
                    <w:tl2br w:val="nil"/>
                    <w:tr2bl w:val="nil"/>
                  </w:tcBorders>
                  <w:noWrap w:val="0"/>
                  <w:vAlign w:val="center"/>
                </w:tcPr>
                <w:p w14:paraId="43A75243">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19</w:t>
                  </w:r>
                </w:p>
              </w:tc>
              <w:tc>
                <w:tcPr>
                  <w:tcW w:w="943" w:type="pct"/>
                  <w:tcBorders>
                    <w:tl2br w:val="nil"/>
                    <w:tr2bl w:val="nil"/>
                  </w:tcBorders>
                  <w:noWrap w:val="0"/>
                  <w:vAlign w:val="center"/>
                </w:tcPr>
                <w:p w14:paraId="7E2B2DE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r>
            <w:tr w14:paraId="523E3E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restart"/>
                  <w:tcBorders>
                    <w:tl2br w:val="nil"/>
                    <w:tr2bl w:val="nil"/>
                  </w:tcBorders>
                  <w:noWrap w:val="0"/>
                  <w:vAlign w:val="center"/>
                </w:tcPr>
                <w:p w14:paraId="659D7DA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599" w:type="pct"/>
                  <w:vMerge w:val="restart"/>
                  <w:tcBorders>
                    <w:tl2br w:val="nil"/>
                    <w:tr2bl w:val="nil"/>
                  </w:tcBorders>
                  <w:noWrap w:val="0"/>
                  <w:vAlign w:val="center"/>
                </w:tcPr>
                <w:p w14:paraId="2A2CD38C">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污水处理设施</w:t>
                  </w:r>
                </w:p>
              </w:tc>
              <w:tc>
                <w:tcPr>
                  <w:tcW w:w="381" w:type="pct"/>
                  <w:vMerge w:val="restart"/>
                  <w:tcBorders>
                    <w:tl2br w:val="nil"/>
                    <w:tr2bl w:val="nil"/>
                  </w:tcBorders>
                  <w:noWrap w:val="0"/>
                  <w:vAlign w:val="center"/>
                </w:tcPr>
                <w:p w14:paraId="43BA9102">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46</w:t>
                  </w:r>
                </w:p>
              </w:tc>
              <w:tc>
                <w:tcPr>
                  <w:tcW w:w="546" w:type="pct"/>
                  <w:tcBorders>
                    <w:tl2br w:val="nil"/>
                    <w:tr2bl w:val="nil"/>
                  </w:tcBorders>
                  <w:noWrap w:val="0"/>
                  <w:vAlign w:val="center"/>
                </w:tcPr>
                <w:p w14:paraId="74CD3AA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7" w:type="pct"/>
                  <w:tcBorders>
                    <w:tl2br w:val="nil"/>
                    <w:tr2bl w:val="nil"/>
                  </w:tcBorders>
                  <w:noWrap w:val="0"/>
                  <w:vAlign w:val="center"/>
                </w:tcPr>
                <w:p w14:paraId="5EC4BCE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102</w:t>
                  </w:r>
                </w:p>
              </w:tc>
              <w:tc>
                <w:tcPr>
                  <w:tcW w:w="580" w:type="pct"/>
                  <w:tcBorders>
                    <w:tl2br w:val="nil"/>
                    <w:tr2bl w:val="nil"/>
                  </w:tcBorders>
                  <w:noWrap w:val="0"/>
                  <w:vAlign w:val="center"/>
                </w:tcPr>
                <w:p w14:paraId="4B04C87A">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154</w:t>
                  </w:r>
                </w:p>
              </w:tc>
              <w:tc>
                <w:tcPr>
                  <w:tcW w:w="531" w:type="pct"/>
                  <w:tcBorders>
                    <w:tl2br w:val="nil"/>
                    <w:tr2bl w:val="nil"/>
                  </w:tcBorders>
                  <w:noWrap w:val="0"/>
                  <w:vAlign w:val="center"/>
                </w:tcPr>
                <w:p w14:paraId="755CB53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19</w:t>
                  </w:r>
                </w:p>
              </w:tc>
              <w:tc>
                <w:tcPr>
                  <w:tcW w:w="638" w:type="pct"/>
                  <w:tcBorders>
                    <w:tl2br w:val="nil"/>
                    <w:tr2bl w:val="nil"/>
                  </w:tcBorders>
                  <w:noWrap w:val="0"/>
                  <w:vAlign w:val="center"/>
                </w:tcPr>
                <w:p w14:paraId="0C24F054">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c>
                <w:tcPr>
                  <w:tcW w:w="943" w:type="pct"/>
                  <w:tcBorders>
                    <w:tl2br w:val="nil"/>
                    <w:tr2bl w:val="nil"/>
                  </w:tcBorders>
                  <w:noWrap w:val="0"/>
                  <w:vAlign w:val="center"/>
                </w:tcPr>
                <w:p w14:paraId="5E96F6C8">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r>
            <w:tr w14:paraId="5978E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3" w:type="pct"/>
                  <w:vMerge w:val="continue"/>
                  <w:tcBorders>
                    <w:tl2br w:val="nil"/>
                    <w:tr2bl w:val="nil"/>
                  </w:tcBorders>
                  <w:noWrap w:val="0"/>
                  <w:vAlign w:val="center"/>
                </w:tcPr>
                <w:p w14:paraId="40FA18B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31C3C8DA">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1D10D14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6" w:type="pct"/>
                  <w:tcBorders>
                    <w:tl2br w:val="nil"/>
                    <w:tr2bl w:val="nil"/>
                  </w:tcBorders>
                  <w:noWrap w:val="0"/>
                  <w:vAlign w:val="center"/>
                </w:tcPr>
                <w:p w14:paraId="3A98EC3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7" w:type="pct"/>
                  <w:tcBorders>
                    <w:tl2br w:val="nil"/>
                    <w:tr2bl w:val="nil"/>
                  </w:tcBorders>
                  <w:noWrap w:val="0"/>
                  <w:vAlign w:val="center"/>
                </w:tcPr>
                <w:p w14:paraId="291AB7F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580" w:type="pct"/>
                  <w:tcBorders>
                    <w:tl2br w:val="nil"/>
                    <w:tr2bl w:val="nil"/>
                  </w:tcBorders>
                  <w:noWrap w:val="0"/>
                  <w:vAlign w:val="center"/>
                </w:tcPr>
                <w:p w14:paraId="0A53F1EE">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p>
              </w:tc>
              <w:tc>
                <w:tcPr>
                  <w:tcW w:w="531" w:type="pct"/>
                  <w:tcBorders>
                    <w:tl2br w:val="nil"/>
                    <w:tr2bl w:val="nil"/>
                  </w:tcBorders>
                  <w:noWrap w:val="0"/>
                  <w:vAlign w:val="center"/>
                </w:tcPr>
                <w:p w14:paraId="023C144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c>
                <w:tcPr>
                  <w:tcW w:w="638" w:type="pct"/>
                  <w:tcBorders>
                    <w:tl2br w:val="nil"/>
                    <w:tr2bl w:val="nil"/>
                  </w:tcBorders>
                  <w:noWrap w:val="0"/>
                  <w:vAlign w:val="center"/>
                </w:tcPr>
                <w:p w14:paraId="40FB7764">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28</w:t>
                  </w:r>
                </w:p>
              </w:tc>
              <w:tc>
                <w:tcPr>
                  <w:tcW w:w="943" w:type="pct"/>
                  <w:tcBorders>
                    <w:tl2br w:val="nil"/>
                    <w:tr2bl w:val="nil"/>
                  </w:tcBorders>
                  <w:noWrap w:val="0"/>
                  <w:vAlign w:val="center"/>
                </w:tcPr>
                <w:p w14:paraId="00F025A8">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w:t>
                  </w:r>
                </w:p>
              </w:tc>
            </w:tr>
            <w:tr w14:paraId="1FA934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9" w:type="pct"/>
                  <w:gridSpan w:val="4"/>
                  <w:tcBorders>
                    <w:tl2br w:val="nil"/>
                    <w:tr2bl w:val="nil"/>
                  </w:tcBorders>
                  <w:noWrap w:val="0"/>
                  <w:vAlign w:val="center"/>
                </w:tcPr>
                <w:p w14:paraId="6F3278AA">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叠加</w:t>
                  </w:r>
                  <w:r>
                    <w:rPr>
                      <w:rFonts w:hint="default" w:ascii="Times New Roman" w:hAnsi="Times New Roman" w:eastAsia="宋体" w:cs="Times New Roman"/>
                      <w:color w:val="auto"/>
                      <w:sz w:val="21"/>
                      <w:szCs w:val="21"/>
                      <w:highlight w:val="none"/>
                    </w:rPr>
                    <w:t>贡献值</w:t>
                  </w:r>
                </w:p>
              </w:tc>
              <w:tc>
                <w:tcPr>
                  <w:tcW w:w="537" w:type="pct"/>
                  <w:tcBorders>
                    <w:tl2br w:val="nil"/>
                    <w:tr2bl w:val="nil"/>
                  </w:tcBorders>
                  <w:noWrap w:val="0"/>
                  <w:vAlign w:val="center"/>
                </w:tcPr>
                <w:p w14:paraId="12C79696">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w:t>
                  </w:r>
                </w:p>
              </w:tc>
              <w:tc>
                <w:tcPr>
                  <w:tcW w:w="580" w:type="pct"/>
                  <w:tcBorders>
                    <w:tl2br w:val="nil"/>
                    <w:tr2bl w:val="nil"/>
                  </w:tcBorders>
                  <w:noWrap w:val="0"/>
                  <w:vAlign w:val="center"/>
                </w:tcPr>
                <w:p w14:paraId="4F782BB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w:t>
                  </w:r>
                </w:p>
              </w:tc>
              <w:tc>
                <w:tcPr>
                  <w:tcW w:w="531" w:type="pct"/>
                  <w:tcBorders>
                    <w:tl2br w:val="nil"/>
                    <w:tr2bl w:val="nil"/>
                  </w:tcBorders>
                  <w:noWrap w:val="0"/>
                  <w:vAlign w:val="center"/>
                </w:tcPr>
                <w:p w14:paraId="6823E15A">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w:t>
                  </w:r>
                </w:p>
              </w:tc>
              <w:tc>
                <w:tcPr>
                  <w:tcW w:w="638" w:type="pct"/>
                  <w:tcBorders>
                    <w:tl2br w:val="nil"/>
                    <w:tr2bl w:val="nil"/>
                  </w:tcBorders>
                  <w:noWrap w:val="0"/>
                  <w:vAlign w:val="center"/>
                </w:tcPr>
                <w:p w14:paraId="300585F0">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w:t>
                  </w:r>
                </w:p>
              </w:tc>
              <w:tc>
                <w:tcPr>
                  <w:tcW w:w="943" w:type="pct"/>
                  <w:tcBorders>
                    <w:tl2br w:val="nil"/>
                    <w:tr2bl w:val="nil"/>
                  </w:tcBorders>
                  <w:noWrap w:val="0"/>
                  <w:vAlign w:val="center"/>
                </w:tcPr>
                <w:p w14:paraId="7F810E3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32</w:t>
                  </w:r>
                </w:p>
              </w:tc>
            </w:tr>
            <w:tr w14:paraId="76458E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9" w:type="pct"/>
                  <w:gridSpan w:val="4"/>
                  <w:tcBorders>
                    <w:tl2br w:val="nil"/>
                    <w:tr2bl w:val="nil"/>
                  </w:tcBorders>
                  <w:noWrap w:val="0"/>
                  <w:vAlign w:val="center"/>
                </w:tcPr>
                <w:p w14:paraId="4EC8CF9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背景值</w:t>
                  </w:r>
                </w:p>
              </w:tc>
              <w:tc>
                <w:tcPr>
                  <w:tcW w:w="537" w:type="pct"/>
                  <w:tcBorders>
                    <w:tl2br w:val="nil"/>
                    <w:tr2bl w:val="nil"/>
                  </w:tcBorders>
                  <w:noWrap w:val="0"/>
                  <w:vAlign w:val="center"/>
                </w:tcPr>
                <w:p w14:paraId="33007AD3">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55</w:t>
                  </w:r>
                </w:p>
              </w:tc>
              <w:tc>
                <w:tcPr>
                  <w:tcW w:w="580" w:type="pct"/>
                  <w:tcBorders>
                    <w:tl2br w:val="nil"/>
                    <w:tr2bl w:val="nil"/>
                  </w:tcBorders>
                  <w:noWrap w:val="0"/>
                  <w:vAlign w:val="center"/>
                </w:tcPr>
                <w:p w14:paraId="4C407EFE">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c>
                <w:tcPr>
                  <w:tcW w:w="531" w:type="pct"/>
                  <w:tcBorders>
                    <w:tl2br w:val="nil"/>
                    <w:tr2bl w:val="nil"/>
                  </w:tcBorders>
                  <w:noWrap w:val="0"/>
                  <w:vAlign w:val="center"/>
                </w:tcPr>
                <w:p w14:paraId="0730A07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64</w:t>
                  </w:r>
                </w:p>
              </w:tc>
              <w:tc>
                <w:tcPr>
                  <w:tcW w:w="638" w:type="pct"/>
                  <w:tcBorders>
                    <w:tl2br w:val="nil"/>
                    <w:tr2bl w:val="nil"/>
                  </w:tcBorders>
                  <w:noWrap w:val="0"/>
                  <w:vAlign w:val="center"/>
                </w:tcPr>
                <w:p w14:paraId="4A1E05C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62</w:t>
                  </w:r>
                </w:p>
              </w:tc>
              <w:tc>
                <w:tcPr>
                  <w:tcW w:w="943" w:type="pct"/>
                  <w:tcBorders>
                    <w:tl2br w:val="nil"/>
                    <w:tr2bl w:val="nil"/>
                  </w:tcBorders>
                  <w:noWrap w:val="0"/>
                  <w:vAlign w:val="center"/>
                </w:tcPr>
                <w:p w14:paraId="3126C4A4">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54</w:t>
                  </w:r>
                </w:p>
              </w:tc>
            </w:tr>
            <w:tr w14:paraId="62FCEB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9" w:type="pct"/>
                  <w:gridSpan w:val="4"/>
                  <w:tcBorders>
                    <w:tl2br w:val="nil"/>
                    <w:tr2bl w:val="nil"/>
                  </w:tcBorders>
                  <w:noWrap w:val="0"/>
                  <w:vAlign w:val="center"/>
                </w:tcPr>
                <w:p w14:paraId="69AD693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总贡献值</w:t>
                  </w:r>
                </w:p>
              </w:tc>
              <w:tc>
                <w:tcPr>
                  <w:tcW w:w="537" w:type="pct"/>
                  <w:tcBorders>
                    <w:tl2br w:val="nil"/>
                    <w:tr2bl w:val="nil"/>
                  </w:tcBorders>
                  <w:noWrap w:val="0"/>
                  <w:vAlign w:val="center"/>
                </w:tcPr>
                <w:p w14:paraId="03F77163">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55</w:t>
                  </w:r>
                </w:p>
              </w:tc>
              <w:tc>
                <w:tcPr>
                  <w:tcW w:w="580" w:type="pct"/>
                  <w:tcBorders>
                    <w:tl2br w:val="nil"/>
                    <w:tr2bl w:val="nil"/>
                  </w:tcBorders>
                  <w:noWrap w:val="0"/>
                  <w:vAlign w:val="center"/>
                </w:tcPr>
                <w:p w14:paraId="114B01B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kern w:val="2"/>
                      <w:sz w:val="21"/>
                      <w:szCs w:val="21"/>
                      <w:highlight w:val="none"/>
                      <w:lang w:val="en-US" w:eastAsia="zh-CN" w:bidi="zh-CN"/>
                    </w:rPr>
                    <w:t>60</w:t>
                  </w:r>
                </w:p>
              </w:tc>
              <w:tc>
                <w:tcPr>
                  <w:tcW w:w="531" w:type="pct"/>
                  <w:tcBorders>
                    <w:tl2br w:val="nil"/>
                    <w:tr2bl w:val="nil"/>
                  </w:tcBorders>
                  <w:noWrap w:val="0"/>
                  <w:vAlign w:val="center"/>
                </w:tcPr>
                <w:p w14:paraId="36D824F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kern w:val="2"/>
                      <w:sz w:val="21"/>
                      <w:szCs w:val="21"/>
                      <w:highlight w:val="none"/>
                      <w:lang w:val="en-US" w:eastAsia="zh-CN" w:bidi="zh-CN"/>
                    </w:rPr>
                    <w:t>64</w:t>
                  </w:r>
                </w:p>
              </w:tc>
              <w:tc>
                <w:tcPr>
                  <w:tcW w:w="638" w:type="pct"/>
                  <w:tcBorders>
                    <w:tl2br w:val="nil"/>
                    <w:tr2bl w:val="nil"/>
                  </w:tcBorders>
                  <w:noWrap w:val="0"/>
                  <w:vAlign w:val="center"/>
                </w:tcPr>
                <w:p w14:paraId="57A5B6B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kern w:val="2"/>
                      <w:sz w:val="21"/>
                      <w:szCs w:val="21"/>
                      <w:highlight w:val="none"/>
                      <w:lang w:val="en-US" w:eastAsia="zh-CN" w:bidi="zh-CN"/>
                    </w:rPr>
                    <w:t>62</w:t>
                  </w:r>
                </w:p>
              </w:tc>
              <w:tc>
                <w:tcPr>
                  <w:tcW w:w="943" w:type="pct"/>
                  <w:tcBorders>
                    <w:tl2br w:val="nil"/>
                    <w:tr2bl w:val="nil"/>
                  </w:tcBorders>
                  <w:noWrap w:val="0"/>
                  <w:vAlign w:val="center"/>
                </w:tcPr>
                <w:p w14:paraId="4563C2E3">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3F117F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9" w:type="pct"/>
                  <w:gridSpan w:val="4"/>
                  <w:tcBorders>
                    <w:tl2br w:val="nil"/>
                    <w:tr2bl w:val="nil"/>
                  </w:tcBorders>
                  <w:noWrap w:val="0"/>
                  <w:vAlign w:val="center"/>
                </w:tcPr>
                <w:p w14:paraId="1F0A0428">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预测值</w:t>
                  </w:r>
                </w:p>
              </w:tc>
              <w:tc>
                <w:tcPr>
                  <w:tcW w:w="537" w:type="pct"/>
                  <w:tcBorders>
                    <w:tl2br w:val="nil"/>
                    <w:tr2bl w:val="nil"/>
                  </w:tcBorders>
                  <w:noWrap w:val="0"/>
                  <w:vAlign w:val="center"/>
                </w:tcPr>
                <w:p w14:paraId="42035B27">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80" w:type="pct"/>
                  <w:tcBorders>
                    <w:tl2br w:val="nil"/>
                    <w:tr2bl w:val="nil"/>
                  </w:tcBorders>
                  <w:noWrap w:val="0"/>
                  <w:vAlign w:val="center"/>
                </w:tcPr>
                <w:p w14:paraId="54316DE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kern w:val="2"/>
                      <w:sz w:val="21"/>
                      <w:szCs w:val="21"/>
                      <w:highlight w:val="none"/>
                      <w:lang w:val="en-US" w:eastAsia="zh-CN" w:bidi="zh-CN"/>
                    </w:rPr>
                    <w:t>/</w:t>
                  </w:r>
                </w:p>
              </w:tc>
              <w:tc>
                <w:tcPr>
                  <w:tcW w:w="531" w:type="pct"/>
                  <w:tcBorders>
                    <w:tl2br w:val="nil"/>
                    <w:tr2bl w:val="nil"/>
                  </w:tcBorders>
                  <w:noWrap w:val="0"/>
                  <w:vAlign w:val="center"/>
                </w:tcPr>
                <w:p w14:paraId="39C9EC9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kern w:val="2"/>
                      <w:sz w:val="21"/>
                      <w:szCs w:val="21"/>
                      <w:highlight w:val="none"/>
                      <w:lang w:val="en-US" w:eastAsia="zh-CN" w:bidi="zh-CN"/>
                    </w:rPr>
                    <w:t>/</w:t>
                  </w:r>
                </w:p>
              </w:tc>
              <w:tc>
                <w:tcPr>
                  <w:tcW w:w="638" w:type="pct"/>
                  <w:tcBorders>
                    <w:tl2br w:val="nil"/>
                    <w:tr2bl w:val="nil"/>
                  </w:tcBorders>
                  <w:noWrap w:val="0"/>
                  <w:vAlign w:val="center"/>
                </w:tcPr>
                <w:p w14:paraId="1B9604CA">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kern w:val="2"/>
                      <w:sz w:val="21"/>
                      <w:szCs w:val="21"/>
                      <w:highlight w:val="none"/>
                      <w:lang w:val="en-US" w:eastAsia="zh-CN" w:bidi="zh-CN"/>
                    </w:rPr>
                    <w:t>/</w:t>
                  </w:r>
                </w:p>
              </w:tc>
              <w:tc>
                <w:tcPr>
                  <w:tcW w:w="943" w:type="pct"/>
                  <w:tcBorders>
                    <w:tl2br w:val="nil"/>
                    <w:tr2bl w:val="nil"/>
                  </w:tcBorders>
                  <w:noWrap w:val="0"/>
                  <w:vAlign w:val="center"/>
                </w:tcPr>
                <w:p w14:paraId="1018C83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lang w:val="en-US" w:eastAsia="zh-CN" w:bidi="zh-CN"/>
                    </w:rPr>
                  </w:pPr>
                  <w:r>
                    <w:rPr>
                      <w:rFonts w:hint="eastAsia" w:ascii="Times New Roman" w:hAnsi="Times New Roman" w:cs="Times New Roman"/>
                      <w:color w:val="auto"/>
                      <w:kern w:val="2"/>
                      <w:sz w:val="21"/>
                      <w:szCs w:val="21"/>
                      <w:highlight w:val="none"/>
                      <w:lang w:val="en-US" w:eastAsia="zh-CN" w:bidi="zh-CN"/>
                    </w:rPr>
                    <w:t>54</w:t>
                  </w:r>
                </w:p>
              </w:tc>
            </w:tr>
            <w:tr w14:paraId="578FCF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69" w:type="pct"/>
                  <w:gridSpan w:val="4"/>
                  <w:tcBorders>
                    <w:tl2br w:val="nil"/>
                    <w:tr2bl w:val="nil"/>
                  </w:tcBorders>
                  <w:noWrap w:val="0"/>
                  <w:vAlign w:val="center"/>
                </w:tcPr>
                <w:p w14:paraId="2737BAE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标准限值（昼间）</w:t>
                  </w:r>
                </w:p>
              </w:tc>
              <w:tc>
                <w:tcPr>
                  <w:tcW w:w="537" w:type="pct"/>
                  <w:tcBorders>
                    <w:tl2br w:val="nil"/>
                    <w:tr2bl w:val="nil"/>
                  </w:tcBorders>
                  <w:noWrap w:val="0"/>
                  <w:vAlign w:val="center"/>
                </w:tcPr>
                <w:p w14:paraId="5ED81D2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65</w:t>
                  </w:r>
                </w:p>
              </w:tc>
              <w:tc>
                <w:tcPr>
                  <w:tcW w:w="580" w:type="pct"/>
                  <w:tcBorders>
                    <w:tl2br w:val="nil"/>
                    <w:tr2bl w:val="nil"/>
                  </w:tcBorders>
                  <w:noWrap w:val="0"/>
                  <w:vAlign w:val="center"/>
                </w:tcPr>
                <w:p w14:paraId="12BD4E1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w:t>
                  </w:r>
                  <w:r>
                    <w:rPr>
                      <w:rFonts w:hint="eastAsia" w:ascii="Times New Roman" w:hAnsi="Times New Roman" w:cs="Times New Roman"/>
                      <w:color w:val="auto"/>
                      <w:kern w:val="2"/>
                      <w:sz w:val="21"/>
                      <w:szCs w:val="21"/>
                      <w:lang w:val="en-US" w:eastAsia="zh-CN" w:bidi="ar-SA"/>
                    </w:rPr>
                    <w:t>5</w:t>
                  </w:r>
                </w:p>
              </w:tc>
              <w:tc>
                <w:tcPr>
                  <w:tcW w:w="531" w:type="pct"/>
                  <w:tcBorders>
                    <w:tl2br w:val="nil"/>
                    <w:tr2bl w:val="nil"/>
                  </w:tcBorders>
                  <w:noWrap w:val="0"/>
                  <w:vAlign w:val="center"/>
                </w:tcPr>
                <w:p w14:paraId="5C111D0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w:t>
                  </w:r>
                  <w:r>
                    <w:rPr>
                      <w:rFonts w:hint="eastAsia" w:ascii="Times New Roman" w:hAnsi="Times New Roman" w:cs="Times New Roman"/>
                      <w:color w:val="auto"/>
                      <w:kern w:val="2"/>
                      <w:sz w:val="21"/>
                      <w:szCs w:val="21"/>
                      <w:lang w:val="en-US" w:eastAsia="zh-CN" w:bidi="ar-SA"/>
                    </w:rPr>
                    <w:t>5</w:t>
                  </w:r>
                </w:p>
              </w:tc>
              <w:tc>
                <w:tcPr>
                  <w:tcW w:w="638" w:type="pct"/>
                  <w:tcBorders>
                    <w:tl2br w:val="nil"/>
                    <w:tr2bl w:val="nil"/>
                  </w:tcBorders>
                  <w:noWrap w:val="0"/>
                  <w:vAlign w:val="center"/>
                </w:tcPr>
                <w:p w14:paraId="31124EE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70</w:t>
                  </w:r>
                </w:p>
              </w:tc>
              <w:tc>
                <w:tcPr>
                  <w:tcW w:w="943" w:type="pct"/>
                  <w:tcBorders>
                    <w:tl2br w:val="nil"/>
                    <w:tr2bl w:val="nil"/>
                  </w:tcBorders>
                  <w:noWrap w:val="0"/>
                  <w:vAlign w:val="center"/>
                </w:tcPr>
                <w:p w14:paraId="547CD5B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7</w:t>
                  </w:r>
                  <w:r>
                    <w:rPr>
                      <w:rFonts w:hint="eastAsia" w:ascii="Times New Roman" w:hAnsi="Times New Roman" w:cs="Times New Roman"/>
                      <w:color w:val="auto"/>
                      <w:kern w:val="2"/>
                      <w:sz w:val="21"/>
                      <w:szCs w:val="21"/>
                      <w:lang w:val="en-US" w:eastAsia="zh-CN" w:bidi="ar-SA"/>
                    </w:rPr>
                    <w:t>0</w:t>
                  </w:r>
                </w:p>
              </w:tc>
            </w:tr>
          </w:tbl>
          <w:p w14:paraId="21BE2AA3">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经上文分析、预测，项目厂界</w:t>
            </w:r>
            <w:r>
              <w:rPr>
                <w:rFonts w:hint="eastAsia" w:ascii="Times New Roman" w:hAnsi="Times New Roman" w:cs="Times New Roman"/>
                <w:color w:val="auto"/>
                <w:sz w:val="24"/>
                <w:szCs w:val="24"/>
                <w:lang w:val="en-US" w:eastAsia="zh-CN"/>
              </w:rPr>
              <w:t>东、南、西侧</w:t>
            </w:r>
            <w:r>
              <w:rPr>
                <w:rFonts w:hint="default" w:ascii="Times New Roman" w:hAnsi="Times New Roman" w:cs="Times New Roman"/>
                <w:color w:val="auto"/>
                <w:sz w:val="24"/>
                <w:szCs w:val="24"/>
              </w:rPr>
              <w:t>昼间噪声贡献值均符合《工业企业厂界环境噪声排放标准》（GB12348—2008）</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类限值要求</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北侧</w:t>
            </w:r>
            <w:r>
              <w:rPr>
                <w:rFonts w:hint="default" w:ascii="Times New Roman" w:hAnsi="Times New Roman" w:cs="Times New Roman"/>
                <w:color w:val="auto"/>
                <w:sz w:val="24"/>
                <w:szCs w:val="24"/>
              </w:rPr>
              <w:t>昼间噪声贡献值符合《工业企业厂界环境噪声排放标准》（GB12348—2008）</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类限值要求</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北侧敏感点</w:t>
            </w:r>
            <w:r>
              <w:rPr>
                <w:rFonts w:hint="eastAsia" w:cs="Times New Roman"/>
                <w:color w:val="auto"/>
                <w:sz w:val="24"/>
                <w:szCs w:val="24"/>
                <w:lang w:val="en-US" w:eastAsia="zh-CN"/>
              </w:rPr>
              <w:t>五一村</w:t>
            </w:r>
            <w:r>
              <w:rPr>
                <w:rFonts w:hint="eastAsia" w:ascii="Times New Roman" w:hAnsi="Times New Roman" w:cs="Times New Roman"/>
                <w:color w:val="auto"/>
                <w:sz w:val="24"/>
                <w:szCs w:val="24"/>
                <w:lang w:val="en-US" w:eastAsia="zh-CN"/>
              </w:rPr>
              <w:t>预测值符合《声环境质量标准》（GB3096-2008）</w:t>
            </w:r>
            <w:r>
              <w:rPr>
                <w:rFonts w:hint="eastAsia" w:cs="Times New Roman"/>
                <w:color w:val="auto"/>
                <w:sz w:val="24"/>
                <w:szCs w:val="24"/>
                <w:lang w:val="en-US" w:eastAsia="zh-CN"/>
              </w:rPr>
              <w:t>4类限值要求</w:t>
            </w:r>
            <w:r>
              <w:rPr>
                <w:rFonts w:hint="default" w:ascii="Times New Roman" w:hAnsi="Times New Roman" w:cs="Times New Roman"/>
                <w:color w:val="auto"/>
                <w:sz w:val="24"/>
                <w:szCs w:val="24"/>
              </w:rPr>
              <w:t>。</w:t>
            </w:r>
          </w:p>
          <w:p w14:paraId="4478888A">
            <w:pPr>
              <w:adjustRightInd w:val="0"/>
              <w:snapToGrid w:val="0"/>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color w:val="auto"/>
                <w:sz w:val="24"/>
                <w:szCs w:val="24"/>
                <w:lang w:val="en-US" w:eastAsia="zh-CN"/>
              </w:rPr>
              <w:t>5</w:t>
            </w:r>
            <w:r>
              <w:rPr>
                <w:rFonts w:hint="eastAsia"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监测计划</w:t>
            </w:r>
          </w:p>
          <w:p w14:paraId="7B8EAA69">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eastAsia" w:cs="Times New Roman"/>
                <w:b/>
                <w:bCs/>
                <w:color w:val="auto"/>
                <w:sz w:val="21"/>
                <w:szCs w:val="21"/>
                <w:lang w:val="en-US" w:eastAsia="zh-CN"/>
              </w:rPr>
              <w:t>10</w:t>
            </w:r>
            <w:r>
              <w:rPr>
                <w:rFonts w:hint="default" w:ascii="Times New Roman" w:hAnsi="Times New Roman" w:eastAsia="宋体" w:cs="Times New Roman"/>
                <w:b/>
                <w:bCs/>
                <w:color w:val="auto"/>
                <w:sz w:val="21"/>
                <w:szCs w:val="21"/>
              </w:rPr>
              <w:t xml:space="preserve">  </w:t>
            </w:r>
            <w:r>
              <w:rPr>
                <w:rFonts w:hint="default" w:ascii="Times New Roman" w:hAnsi="Times New Roman" w:cs="Times New Roman"/>
                <w:b/>
                <w:bCs/>
                <w:color w:val="auto"/>
                <w:sz w:val="21"/>
                <w:szCs w:val="21"/>
              </w:rPr>
              <w:t>项目噪声监测计划一览表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1936"/>
              <w:gridCol w:w="1274"/>
              <w:gridCol w:w="1537"/>
              <w:gridCol w:w="3743"/>
            </w:tblGrid>
            <w:tr w14:paraId="6DA36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90" w:hRule="atLeast"/>
                <w:jc w:val="center"/>
              </w:trPr>
              <w:tc>
                <w:tcPr>
                  <w:tcW w:w="1140" w:type="pct"/>
                  <w:tcBorders>
                    <w:tl2br w:val="nil"/>
                    <w:tr2bl w:val="nil"/>
                  </w:tcBorders>
                  <w:noWrap w:val="0"/>
                  <w:vAlign w:val="center"/>
                </w:tcPr>
                <w:p w14:paraId="0B99DF4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750" w:type="pct"/>
                  <w:tcBorders>
                    <w:tl2br w:val="nil"/>
                    <w:tr2bl w:val="nil"/>
                  </w:tcBorders>
                  <w:noWrap w:val="0"/>
                  <w:vAlign w:val="center"/>
                </w:tcPr>
                <w:p w14:paraId="7408943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监测项目</w:t>
                  </w:r>
                </w:p>
              </w:tc>
              <w:tc>
                <w:tcPr>
                  <w:tcW w:w="905" w:type="pct"/>
                  <w:tcBorders>
                    <w:tl2br w:val="nil"/>
                    <w:tr2bl w:val="nil"/>
                  </w:tcBorders>
                  <w:noWrap w:val="0"/>
                  <w:vAlign w:val="center"/>
                </w:tcPr>
                <w:p w14:paraId="54C32B3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频次</w:t>
                  </w:r>
                </w:p>
              </w:tc>
              <w:tc>
                <w:tcPr>
                  <w:tcW w:w="2203" w:type="pct"/>
                  <w:tcBorders>
                    <w:tl2br w:val="nil"/>
                    <w:tr2bl w:val="nil"/>
                  </w:tcBorders>
                  <w:noWrap w:val="0"/>
                  <w:vAlign w:val="center"/>
                </w:tcPr>
                <w:p w14:paraId="4809B25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r>
            <w:tr w14:paraId="6EF48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90" w:hRule="atLeast"/>
                <w:jc w:val="center"/>
              </w:trPr>
              <w:tc>
                <w:tcPr>
                  <w:tcW w:w="1140" w:type="pct"/>
                  <w:tcBorders>
                    <w:tl2br w:val="nil"/>
                    <w:tr2bl w:val="nil"/>
                  </w:tcBorders>
                  <w:noWrap w:val="0"/>
                  <w:vAlign w:val="center"/>
                </w:tcPr>
                <w:p w14:paraId="1850100C">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厂界四周</w:t>
                  </w:r>
                </w:p>
              </w:tc>
              <w:tc>
                <w:tcPr>
                  <w:tcW w:w="750" w:type="pct"/>
                  <w:tcBorders>
                    <w:tl2br w:val="nil"/>
                    <w:tr2bl w:val="nil"/>
                  </w:tcBorders>
                  <w:noWrap w:val="0"/>
                  <w:vAlign w:val="center"/>
                </w:tcPr>
                <w:p w14:paraId="0F492E7E">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噪声</w:t>
                  </w:r>
                </w:p>
              </w:tc>
              <w:tc>
                <w:tcPr>
                  <w:tcW w:w="905" w:type="pct"/>
                  <w:tcBorders>
                    <w:tl2br w:val="nil"/>
                    <w:tr2bl w:val="nil"/>
                  </w:tcBorders>
                  <w:noWrap w:val="0"/>
                  <w:vAlign w:val="center"/>
                </w:tcPr>
                <w:p w14:paraId="1FEA51D2">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每季度</w:t>
                  </w:r>
                  <w:r>
                    <w:rPr>
                      <w:rFonts w:hint="default" w:ascii="Times New Roman" w:hAnsi="Times New Roman" w:cs="Times New Roman"/>
                      <w:bCs/>
                      <w:color w:val="auto"/>
                      <w:sz w:val="21"/>
                      <w:szCs w:val="21"/>
                      <w:lang w:val="en-US" w:eastAsia="zh-CN"/>
                    </w:rPr>
                    <w:t>一</w:t>
                  </w:r>
                  <w:r>
                    <w:rPr>
                      <w:rFonts w:hint="default" w:ascii="Times New Roman" w:hAnsi="Times New Roman" w:cs="Times New Roman"/>
                      <w:bCs/>
                      <w:color w:val="auto"/>
                      <w:sz w:val="21"/>
                      <w:szCs w:val="21"/>
                    </w:rPr>
                    <w:t>次</w:t>
                  </w:r>
                </w:p>
              </w:tc>
              <w:tc>
                <w:tcPr>
                  <w:tcW w:w="2203" w:type="pct"/>
                  <w:tcBorders>
                    <w:tl2br w:val="nil"/>
                    <w:tr2bl w:val="nil"/>
                  </w:tcBorders>
                  <w:noWrap w:val="0"/>
                  <w:vAlign w:val="center"/>
                </w:tcPr>
                <w:p w14:paraId="708BC136">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《工业企业厂界环境噪声排放标准》（GB12348—2008）</w:t>
                  </w:r>
                  <w:r>
                    <w:rPr>
                      <w:rFonts w:hint="default" w:ascii="Times New Roman" w:hAnsi="Times New Roman" w:cs="Times New Roman"/>
                      <w:bCs/>
                      <w:color w:val="auto"/>
                      <w:sz w:val="21"/>
                      <w:szCs w:val="21"/>
                      <w:lang w:val="en-US" w:eastAsia="zh-CN"/>
                    </w:rPr>
                    <w:t>3</w:t>
                  </w:r>
                  <w:r>
                    <w:rPr>
                      <w:rFonts w:hint="default" w:ascii="Times New Roman" w:hAnsi="Times New Roman" w:cs="Times New Roman"/>
                      <w:bCs/>
                      <w:color w:val="auto"/>
                      <w:sz w:val="21"/>
                      <w:szCs w:val="21"/>
                    </w:rPr>
                    <w:t>类</w:t>
                  </w:r>
                  <w:r>
                    <w:rPr>
                      <w:rFonts w:hint="eastAsia" w:ascii="Times New Roman" w:hAnsi="Times New Roman" w:cs="Times New Roman"/>
                      <w:bCs/>
                      <w:color w:val="auto"/>
                      <w:sz w:val="21"/>
                      <w:szCs w:val="21"/>
                      <w:lang w:eastAsia="zh-CN"/>
                    </w:rPr>
                    <w:t>、</w:t>
                  </w:r>
                  <w:r>
                    <w:rPr>
                      <w:rFonts w:hint="eastAsia" w:ascii="Times New Roman" w:hAnsi="Times New Roman" w:cs="Times New Roman"/>
                      <w:bCs/>
                      <w:color w:val="auto"/>
                      <w:sz w:val="21"/>
                      <w:szCs w:val="21"/>
                      <w:lang w:val="en-US" w:eastAsia="zh-CN"/>
                    </w:rPr>
                    <w:t>4类</w:t>
                  </w:r>
                  <w:r>
                    <w:rPr>
                      <w:rFonts w:hint="default" w:ascii="Times New Roman" w:hAnsi="Times New Roman" w:cs="Times New Roman"/>
                      <w:bCs/>
                      <w:color w:val="auto"/>
                      <w:sz w:val="21"/>
                      <w:szCs w:val="21"/>
                    </w:rPr>
                    <w:t>标准限值</w:t>
                  </w:r>
                </w:p>
              </w:tc>
            </w:tr>
          </w:tbl>
          <w:p w14:paraId="687CDDE1">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四、运营期固体废物环境影响和保护措施</w:t>
            </w:r>
          </w:p>
          <w:p w14:paraId="411CEEB9">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固体废物产生及处置情况</w:t>
            </w:r>
          </w:p>
          <w:p w14:paraId="6E84E5C8">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8"/>
              </w:rPr>
            </w:pPr>
            <w:bookmarkStart w:id="4" w:name="_Hlk41381177"/>
            <w:r>
              <w:rPr>
                <w:rFonts w:hint="default" w:ascii="Times New Roman" w:hAnsi="Times New Roman" w:cs="Times New Roman"/>
                <w:color w:val="auto"/>
                <w:sz w:val="24"/>
                <w:szCs w:val="28"/>
              </w:rPr>
              <w:t>项目固体废弃物主要</w:t>
            </w:r>
            <w:r>
              <w:rPr>
                <w:rFonts w:hint="default" w:ascii="Times New Roman" w:hAnsi="Times New Roman" w:cs="Times New Roman"/>
                <w:color w:val="auto"/>
                <w:sz w:val="24"/>
                <w:szCs w:val="28"/>
                <w:lang w:eastAsia="zh-CN"/>
              </w:rPr>
              <w:t>分</w:t>
            </w:r>
            <w:r>
              <w:rPr>
                <w:rFonts w:hint="default" w:ascii="Times New Roman" w:hAnsi="Times New Roman" w:cs="Times New Roman"/>
                <w:color w:val="auto"/>
                <w:sz w:val="24"/>
                <w:szCs w:val="28"/>
              </w:rPr>
              <w:t>为</w:t>
            </w:r>
            <w:bookmarkEnd w:id="4"/>
            <w:r>
              <w:rPr>
                <w:rFonts w:hint="default" w:ascii="Times New Roman" w:hAnsi="Times New Roman" w:cs="Times New Roman"/>
                <w:color w:val="auto"/>
                <w:sz w:val="24"/>
                <w:szCs w:val="28"/>
              </w:rPr>
              <w:t>生活垃圾</w:t>
            </w:r>
            <w:r>
              <w:rPr>
                <w:rFonts w:hint="default" w:ascii="Times New Roman" w:hAnsi="Times New Roman" w:cs="Times New Roman"/>
                <w:color w:val="auto"/>
                <w:sz w:val="24"/>
                <w:szCs w:val="28"/>
                <w:lang w:eastAsia="zh-CN"/>
              </w:rPr>
              <w:t>、一般固废（</w:t>
            </w:r>
            <w:r>
              <w:rPr>
                <w:rFonts w:hint="eastAsia" w:ascii="Times New Roman" w:hAnsi="Times New Roman" w:cs="Times New Roman"/>
                <w:color w:val="auto"/>
                <w:sz w:val="24"/>
                <w:szCs w:val="28"/>
                <w:lang w:val="en-US" w:eastAsia="zh-CN"/>
              </w:rPr>
              <w:t>废金属屑、废边角料、</w:t>
            </w:r>
            <w:r>
              <w:rPr>
                <w:rFonts w:hint="eastAsia" w:ascii="Times New Roman" w:hAnsi="Times New Roman" w:cs="Times New Roman"/>
                <w:color w:val="auto"/>
                <w:sz w:val="24"/>
                <w:szCs w:val="28"/>
                <w:lang w:eastAsia="zh-CN"/>
              </w:rPr>
              <w:t>废钢丸、</w:t>
            </w:r>
            <w:r>
              <w:rPr>
                <w:rFonts w:hint="eastAsia" w:ascii="Times New Roman" w:hAnsi="Times New Roman" w:cs="Times New Roman"/>
                <w:color w:val="auto"/>
                <w:sz w:val="24"/>
                <w:szCs w:val="28"/>
                <w:lang w:val="en-US" w:eastAsia="zh-CN"/>
              </w:rPr>
              <w:t>收尘灰</w:t>
            </w: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lang w:val="en-US" w:eastAsia="zh-CN"/>
              </w:rPr>
              <w:t>废粉</w:t>
            </w:r>
            <w:r>
              <w:rPr>
                <w:rFonts w:hint="default" w:ascii="Times New Roman" w:hAnsi="Times New Roman" w:cs="Times New Roman"/>
                <w:color w:val="auto"/>
                <w:sz w:val="24"/>
                <w:szCs w:val="28"/>
                <w:lang w:eastAsia="zh-CN"/>
              </w:rPr>
              <w:t>）及危险废物（</w:t>
            </w:r>
            <w:r>
              <w:rPr>
                <w:rFonts w:hint="eastAsia" w:ascii="Times New Roman" w:hAnsi="Times New Roman" w:cs="Times New Roman"/>
                <w:color w:val="auto"/>
                <w:sz w:val="24"/>
                <w:szCs w:val="28"/>
                <w:lang w:val="en-US" w:eastAsia="zh-CN"/>
              </w:rPr>
              <w:t>废活性炭、污泥、</w:t>
            </w:r>
            <w:r>
              <w:rPr>
                <w:rFonts w:hint="default" w:ascii="Times New Roman" w:hAnsi="Times New Roman" w:cs="Times New Roman"/>
                <w:color w:val="auto"/>
                <w:sz w:val="24"/>
                <w:szCs w:val="28"/>
                <w:lang w:eastAsia="zh-CN"/>
              </w:rPr>
              <w:t>废</w:t>
            </w:r>
            <w:r>
              <w:rPr>
                <w:rFonts w:hint="eastAsia" w:ascii="Times New Roman" w:hAnsi="Times New Roman" w:cs="Times New Roman"/>
                <w:color w:val="auto"/>
                <w:sz w:val="24"/>
                <w:szCs w:val="28"/>
                <w:lang w:val="en-US" w:eastAsia="zh-CN"/>
              </w:rPr>
              <w:t>液压油</w:t>
            </w:r>
            <w:r>
              <w:rPr>
                <w:rFonts w:hint="default" w:ascii="Times New Roman" w:hAnsi="Times New Roman" w:cs="Times New Roman"/>
                <w:color w:val="auto"/>
                <w:sz w:val="24"/>
                <w:szCs w:val="28"/>
                <w:lang w:eastAsia="zh-CN"/>
              </w:rPr>
              <w:t>、废油桶及含油抹布手套）</w:t>
            </w:r>
            <w:r>
              <w:rPr>
                <w:rFonts w:hint="default" w:ascii="Times New Roman" w:hAnsi="Times New Roman" w:cs="Times New Roman"/>
                <w:color w:val="auto"/>
                <w:sz w:val="24"/>
                <w:szCs w:val="28"/>
              </w:rPr>
              <w:t>。</w:t>
            </w:r>
          </w:p>
          <w:p w14:paraId="6FC4CFA2">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szCs w:val="22"/>
              </w:rPr>
              <w:t>（</w:t>
            </w:r>
            <w:r>
              <w:rPr>
                <w:rFonts w:hint="eastAsia" w:ascii="Times New Roman" w:hAnsi="Times New Roman" w:cs="Times New Roman"/>
                <w:color w:val="auto"/>
                <w:sz w:val="24"/>
                <w:szCs w:val="22"/>
                <w:lang w:val="en-US" w:eastAsia="zh-CN"/>
              </w:rPr>
              <w:t>1</w:t>
            </w:r>
            <w:r>
              <w:rPr>
                <w:rFonts w:hint="default" w:ascii="Times New Roman" w:hAnsi="Times New Roman" w:cs="Times New Roman"/>
                <w:color w:val="auto"/>
                <w:sz w:val="24"/>
                <w:szCs w:val="22"/>
              </w:rPr>
              <w:t>）</w:t>
            </w:r>
            <w:r>
              <w:rPr>
                <w:rFonts w:hint="default" w:ascii="Times New Roman" w:hAnsi="Times New Roman" w:cs="Times New Roman"/>
                <w:color w:val="auto"/>
                <w:sz w:val="24"/>
              </w:rPr>
              <w:t>一般工业固废</w:t>
            </w:r>
          </w:p>
          <w:p w14:paraId="776F3354">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color w:val="auto"/>
                <w:sz w:val="24"/>
                <w:szCs w:val="28"/>
                <w:lang w:val="en-US" w:eastAsia="zh-CN"/>
              </w:rPr>
            </w:pPr>
            <w:r>
              <w:rPr>
                <w:rFonts w:hint="default" w:ascii="Times New Roman" w:hAnsi="Times New Roman" w:cs="Times New Roman"/>
                <w:color w:val="auto"/>
                <w:sz w:val="24"/>
                <w:szCs w:val="22"/>
                <w:lang w:eastAsia="zh-CN"/>
              </w:rPr>
              <w:t>①废边角料、金属屑：项目</w:t>
            </w:r>
            <w:r>
              <w:rPr>
                <w:rFonts w:hint="eastAsia" w:ascii="Times New Roman" w:hAnsi="Times New Roman" w:cs="Times New Roman"/>
                <w:color w:val="auto"/>
                <w:sz w:val="24"/>
                <w:szCs w:val="22"/>
                <w:lang w:eastAsia="zh-CN"/>
              </w:rPr>
              <w:t>切割机等设备运行</w:t>
            </w:r>
            <w:r>
              <w:rPr>
                <w:rFonts w:hint="default" w:ascii="Times New Roman" w:hAnsi="Times New Roman" w:cs="Times New Roman"/>
                <w:color w:val="auto"/>
                <w:sz w:val="24"/>
                <w:szCs w:val="22"/>
                <w:lang w:eastAsia="zh-CN"/>
              </w:rPr>
              <w:t>会产生相应的废边角料及金属屑</w:t>
            </w:r>
            <w:r>
              <w:rPr>
                <w:rFonts w:hint="eastAsia" w:ascii="Times New Roman" w:hAnsi="Times New Roman" w:cs="Times New Roman"/>
                <w:color w:val="auto"/>
                <w:sz w:val="24"/>
                <w:szCs w:val="22"/>
                <w:lang w:eastAsia="zh-CN"/>
              </w:rPr>
              <w:t>。</w:t>
            </w:r>
            <w:r>
              <w:rPr>
                <w:rFonts w:hint="default" w:ascii="Times New Roman" w:hAnsi="Times New Roman" w:cs="Times New Roman"/>
                <w:color w:val="auto"/>
                <w:sz w:val="24"/>
                <w:szCs w:val="22"/>
                <w:lang w:eastAsia="zh-CN"/>
              </w:rPr>
              <w:t>类比同类项目</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eastAsia="zh-CN"/>
              </w:rPr>
              <w:t>废金属屑及废边角料</w:t>
            </w:r>
            <w:r>
              <w:rPr>
                <w:rFonts w:hint="default" w:ascii="Times New Roman" w:hAnsi="Times New Roman" w:cs="Times New Roman"/>
                <w:color w:val="auto"/>
                <w:sz w:val="24"/>
                <w:szCs w:val="28"/>
              </w:rPr>
              <w:t>产生量约</w:t>
            </w:r>
            <w:r>
              <w:rPr>
                <w:rFonts w:hint="default" w:ascii="Times New Roman" w:hAnsi="Times New Roman" w:cs="Times New Roman"/>
                <w:color w:val="auto"/>
                <w:sz w:val="24"/>
                <w:szCs w:val="28"/>
                <w:lang w:eastAsia="zh-CN"/>
              </w:rPr>
              <w:t>占加工量的</w:t>
            </w:r>
            <w:r>
              <w:rPr>
                <w:rFonts w:hint="default" w:ascii="Times New Roman" w:hAnsi="Times New Roman" w:cs="Times New Roman"/>
                <w:color w:val="auto"/>
                <w:sz w:val="24"/>
                <w:szCs w:val="28"/>
                <w:lang w:val="en-US" w:eastAsia="zh-CN"/>
              </w:rPr>
              <w:t>0.</w:t>
            </w:r>
            <w:r>
              <w:rPr>
                <w:rFonts w:hint="eastAsia" w:ascii="Times New Roman" w:hAnsi="Times New Roman" w:cs="Times New Roman"/>
                <w:color w:val="auto"/>
                <w:sz w:val="24"/>
                <w:szCs w:val="28"/>
                <w:lang w:val="en-US" w:eastAsia="zh-CN"/>
              </w:rPr>
              <w:t>1</w:t>
            </w:r>
            <w:r>
              <w:rPr>
                <w:rFonts w:hint="default" w:ascii="Times New Roman" w:hAnsi="Times New Roman" w:cs="Times New Roman"/>
                <w:color w:val="auto"/>
                <w:sz w:val="24"/>
                <w:szCs w:val="28"/>
                <w:lang w:val="en-US" w:eastAsia="zh-CN"/>
              </w:rPr>
              <w:t>%，经核算本项目废金属屑及废边角料产生量约为</w:t>
            </w:r>
            <w:r>
              <w:rPr>
                <w:rFonts w:hint="eastAsia" w:ascii="Times New Roman" w:hAnsi="Times New Roman" w:cs="Times New Roman"/>
                <w:color w:val="auto"/>
                <w:sz w:val="24"/>
                <w:szCs w:val="28"/>
                <w:lang w:val="en-US" w:eastAsia="zh-CN"/>
              </w:rPr>
              <w:t>0.802</w:t>
            </w:r>
            <w:r>
              <w:rPr>
                <w:rFonts w:hint="default" w:ascii="Times New Roman" w:hAnsi="Times New Roman" w:cs="Times New Roman"/>
                <w:color w:val="auto"/>
                <w:sz w:val="24"/>
                <w:szCs w:val="28"/>
                <w:lang w:val="en-US" w:eastAsia="zh-CN"/>
              </w:rPr>
              <w:t>t/a。</w:t>
            </w:r>
            <w:r>
              <w:rPr>
                <w:rFonts w:hint="eastAsia" w:ascii="Times New Roman" w:hAnsi="Times New Roman" w:cs="Times New Roman"/>
                <w:color w:val="auto"/>
                <w:sz w:val="24"/>
                <w:szCs w:val="28"/>
                <w:lang w:val="en-US" w:eastAsia="zh-CN"/>
              </w:rPr>
              <w:t>暂存一般固废暂存区后外售处理。</w:t>
            </w:r>
          </w:p>
          <w:p w14:paraId="209329BF">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②废钢丸</w:t>
            </w:r>
          </w:p>
          <w:p w14:paraId="2DA1E900">
            <w:pPr>
              <w:pStyle w:val="12"/>
              <w:snapToGrid/>
              <w:spacing w:before="0" w:after="0" w:line="360" w:lineRule="auto"/>
              <w:ind w:right="0" w:firstLine="480" w:firstLineChars="20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项目在抛丸</w:t>
            </w:r>
            <w:r>
              <w:rPr>
                <w:rFonts w:hint="eastAsia" w:ascii="Times New Roman" w:hAnsi="Times New Roman" w:eastAsia="宋体" w:cs="Times New Roman"/>
                <w:color w:val="auto"/>
                <w:sz w:val="24"/>
                <w:szCs w:val="22"/>
                <w:lang w:val="en-US" w:eastAsia="zh-CN"/>
              </w:rPr>
              <w:t>工序使用辅料</w:t>
            </w:r>
            <w:r>
              <w:rPr>
                <w:rFonts w:hint="default" w:ascii="Times New Roman" w:hAnsi="Times New Roman" w:eastAsia="宋体" w:cs="Times New Roman"/>
                <w:color w:val="auto"/>
                <w:sz w:val="24"/>
                <w:szCs w:val="22"/>
                <w:lang w:val="en-US" w:eastAsia="zh-CN"/>
              </w:rPr>
              <w:t>钢丸</w:t>
            </w:r>
            <w:r>
              <w:rPr>
                <w:rFonts w:hint="eastAsia" w:ascii="Times New Roman" w:hAnsi="Times New Roman" w:eastAsia="宋体" w:cs="Times New Roman"/>
                <w:color w:val="auto"/>
                <w:sz w:val="24"/>
                <w:szCs w:val="22"/>
                <w:lang w:val="en-US" w:eastAsia="zh-CN"/>
              </w:rPr>
              <w:t>重复利用直至处理效果不佳后更换</w:t>
            </w:r>
            <w:r>
              <w:rPr>
                <w:rFonts w:hint="default" w:ascii="Times New Roman" w:hAnsi="Times New Roman" w:eastAsia="宋体" w:cs="Times New Roman"/>
                <w:color w:val="auto"/>
                <w:sz w:val="24"/>
                <w:szCs w:val="22"/>
                <w:lang w:val="en-US" w:eastAsia="zh-CN"/>
              </w:rPr>
              <w:t>，废钢丸产生量为</w:t>
            </w:r>
            <w:r>
              <w:rPr>
                <w:rFonts w:hint="eastAsia" w:ascii="Times New Roman" w:hAnsi="Times New Roman" w:eastAsia="宋体" w:cs="Times New Roman"/>
                <w:color w:val="auto"/>
                <w:sz w:val="24"/>
                <w:szCs w:val="22"/>
                <w:lang w:val="en-US" w:eastAsia="zh-CN"/>
              </w:rPr>
              <w:t>3.2</w:t>
            </w:r>
            <w:r>
              <w:rPr>
                <w:rFonts w:hint="default" w:ascii="Times New Roman" w:hAnsi="Times New Roman" w:eastAsia="宋体" w:cs="Times New Roman"/>
                <w:color w:val="auto"/>
                <w:sz w:val="24"/>
                <w:szCs w:val="22"/>
                <w:lang w:val="en-US" w:eastAsia="zh-CN"/>
              </w:rPr>
              <w:t>t/a（约</w:t>
            </w:r>
            <w:r>
              <w:rPr>
                <w:rFonts w:hint="eastAsia" w:ascii="Times New Roman" w:hAnsi="Times New Roman" w:eastAsia="宋体" w:cs="Times New Roman"/>
                <w:color w:val="auto"/>
                <w:sz w:val="24"/>
                <w:szCs w:val="22"/>
                <w:lang w:val="en-US" w:eastAsia="zh-CN"/>
              </w:rPr>
              <w:t>占</w:t>
            </w:r>
            <w:r>
              <w:rPr>
                <w:rFonts w:hint="default" w:ascii="Times New Roman" w:hAnsi="Times New Roman" w:eastAsia="宋体" w:cs="Times New Roman"/>
                <w:color w:val="auto"/>
                <w:sz w:val="24"/>
                <w:szCs w:val="22"/>
                <w:lang w:val="en-US" w:eastAsia="zh-CN"/>
              </w:rPr>
              <w:t>使用量的</w:t>
            </w:r>
            <w:r>
              <w:rPr>
                <w:rFonts w:hint="eastAsia" w:ascii="Times New Roman" w:hAnsi="Times New Roman" w:eastAsia="宋体" w:cs="Times New Roman"/>
                <w:color w:val="auto"/>
                <w:sz w:val="24"/>
                <w:szCs w:val="22"/>
                <w:lang w:val="en-US" w:eastAsia="zh-CN"/>
              </w:rPr>
              <w:t>4</w:t>
            </w:r>
            <w:r>
              <w:rPr>
                <w:rFonts w:hint="default" w:ascii="Times New Roman" w:hAnsi="Times New Roman" w:eastAsia="宋体" w:cs="Times New Roman"/>
                <w:color w:val="auto"/>
                <w:sz w:val="24"/>
                <w:szCs w:val="22"/>
                <w:lang w:val="en-US" w:eastAsia="zh-CN"/>
              </w:rPr>
              <w:t>0%，使用量为</w:t>
            </w:r>
            <w:r>
              <w:rPr>
                <w:rFonts w:hint="eastAsia" w:ascii="Times New Roman" w:hAnsi="Times New Roman" w:eastAsia="宋体" w:cs="Times New Roman"/>
                <w:color w:val="auto"/>
                <w:sz w:val="24"/>
                <w:szCs w:val="22"/>
                <w:lang w:val="en-US" w:eastAsia="zh-CN"/>
              </w:rPr>
              <w:t>8</w:t>
            </w:r>
            <w:r>
              <w:rPr>
                <w:rFonts w:hint="default" w:ascii="Times New Roman" w:hAnsi="Times New Roman" w:eastAsia="宋体" w:cs="Times New Roman"/>
                <w:color w:val="auto"/>
                <w:sz w:val="24"/>
                <w:szCs w:val="22"/>
                <w:lang w:val="en-US" w:eastAsia="zh-CN"/>
              </w:rPr>
              <w:t>t/a）。废钢丸暂存于一般固废暂存区（10㎡），外售相关单位综合利用。</w:t>
            </w:r>
          </w:p>
          <w:p w14:paraId="0F4F9050">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③</w:t>
            </w:r>
            <w:r>
              <w:rPr>
                <w:rFonts w:hint="eastAsia" w:ascii="Times New Roman" w:hAnsi="Times New Roman" w:cs="Times New Roman"/>
                <w:color w:val="auto"/>
                <w:sz w:val="24"/>
                <w:lang w:eastAsia="zh-CN"/>
              </w:rPr>
              <w:t>收尘灰：根据前文</w:t>
            </w:r>
            <w:r>
              <w:rPr>
                <w:rFonts w:hint="eastAsia" w:ascii="Times New Roman" w:hAnsi="Times New Roman" w:cs="Times New Roman"/>
                <w:color w:val="auto"/>
                <w:sz w:val="24"/>
                <w:lang w:val="en-US" w:eastAsia="zh-CN"/>
              </w:rPr>
              <w:t>废气源强</w:t>
            </w:r>
            <w:r>
              <w:rPr>
                <w:rFonts w:hint="eastAsia" w:ascii="Times New Roman" w:hAnsi="Times New Roman" w:cs="Times New Roman"/>
                <w:color w:val="auto"/>
                <w:sz w:val="24"/>
                <w:lang w:eastAsia="zh-CN"/>
              </w:rPr>
              <w:t>核算，项目废气处理过程产生的除尘灰共计</w:t>
            </w:r>
            <w:r>
              <w:rPr>
                <w:rFonts w:hint="eastAsia" w:ascii="Times New Roman" w:hAnsi="Times New Roman" w:cs="Times New Roman"/>
                <w:color w:val="auto"/>
                <w:sz w:val="24"/>
                <w:lang w:val="en-US" w:eastAsia="zh-CN"/>
              </w:rPr>
              <w:t>6.7t/a，定期收集后暂存一般固废暂存区外售处理。</w:t>
            </w:r>
          </w:p>
          <w:p w14:paraId="447CCA18">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④废粉：</w:t>
            </w:r>
            <w:r>
              <w:rPr>
                <w:rFonts w:hint="eastAsia" w:ascii="Times New Roman" w:hAnsi="Times New Roman" w:cs="Times New Roman"/>
                <w:color w:val="auto"/>
                <w:sz w:val="24"/>
                <w:lang w:eastAsia="zh-CN"/>
              </w:rPr>
              <w:t>根据前文</w:t>
            </w:r>
            <w:r>
              <w:rPr>
                <w:rFonts w:hint="eastAsia" w:ascii="Times New Roman" w:hAnsi="Times New Roman" w:cs="Times New Roman"/>
                <w:color w:val="auto"/>
                <w:sz w:val="24"/>
                <w:lang w:val="en-US" w:eastAsia="zh-CN"/>
              </w:rPr>
              <w:t>废气源强</w:t>
            </w:r>
            <w:r>
              <w:rPr>
                <w:rFonts w:hint="eastAsia" w:ascii="Times New Roman" w:hAnsi="Times New Roman" w:cs="Times New Roman"/>
                <w:color w:val="auto"/>
                <w:sz w:val="24"/>
                <w:lang w:eastAsia="zh-CN"/>
              </w:rPr>
              <w:t>核算，</w:t>
            </w:r>
            <w:r>
              <w:rPr>
                <w:rFonts w:hint="eastAsia" w:ascii="Times New Roman" w:hAnsi="Times New Roman" w:cs="Times New Roman"/>
                <w:color w:val="auto"/>
                <w:sz w:val="24"/>
                <w:lang w:val="en-US" w:eastAsia="zh-CN"/>
              </w:rPr>
              <w:t>项目</w:t>
            </w:r>
            <w:r>
              <w:rPr>
                <w:rFonts w:hint="eastAsia" w:cs="Times New Roman"/>
                <w:color w:val="auto"/>
                <w:sz w:val="24"/>
                <w:lang w:val="en-US" w:eastAsia="zh-CN"/>
              </w:rPr>
              <w:t>喷粉</w:t>
            </w:r>
            <w:r>
              <w:rPr>
                <w:rFonts w:hint="eastAsia" w:ascii="Times New Roman" w:hAnsi="Times New Roman" w:cs="Times New Roman"/>
                <w:color w:val="auto"/>
                <w:sz w:val="24"/>
                <w:lang w:val="en-US" w:eastAsia="zh-CN"/>
              </w:rPr>
              <w:t>工序产生的废粉总量为0.12t/a，定期收集后暂存一般固废暂存区外售处理。</w:t>
            </w:r>
          </w:p>
          <w:p w14:paraId="279492D9">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rPr>
            </w:pPr>
            <w:r>
              <w:rPr>
                <w:rFonts w:hint="eastAsia" w:cs="Times New Roman"/>
                <w:color w:val="auto"/>
                <w:sz w:val="24"/>
                <w:szCs w:val="22"/>
                <w:lang w:val="en-US" w:eastAsia="zh-CN"/>
              </w:rPr>
              <w:t>⑤</w:t>
            </w:r>
            <w:r>
              <w:rPr>
                <w:rFonts w:hint="eastAsia" w:cs="Times New Roman"/>
                <w:color w:val="auto"/>
                <w:sz w:val="24"/>
                <w:lang w:val="en-US" w:eastAsia="zh-CN"/>
              </w:rPr>
              <w:t>石英砂废砂：本项目石英砂装填量为0.12t，2年更换一次，故石英砂废砂产生量为0.06t/a。本项目污水处理设施只处理3个清水槽，无其他化学药剂，主要截留铁屑、悬浮物等，属于一般工业固废，收集后综合利用。</w:t>
            </w:r>
          </w:p>
          <w:p w14:paraId="77B1E6C1">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）危险废物</w:t>
            </w:r>
          </w:p>
          <w:p w14:paraId="14C541BC">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危险废物主要为</w:t>
            </w:r>
            <w:r>
              <w:rPr>
                <w:rFonts w:hint="eastAsia" w:ascii="Times New Roman" w:hAnsi="Times New Roman" w:cs="Times New Roman"/>
                <w:color w:val="auto"/>
                <w:sz w:val="24"/>
                <w:lang w:val="en-US" w:eastAsia="zh-CN"/>
              </w:rPr>
              <w:t>废活性炭、污泥、</w:t>
            </w:r>
            <w:r>
              <w:rPr>
                <w:rFonts w:hint="eastAsia" w:cs="Times New Roman"/>
                <w:color w:val="auto"/>
                <w:sz w:val="24"/>
                <w:lang w:val="en-US" w:eastAsia="zh-CN"/>
              </w:rPr>
              <w:t>废滤袋、废超滤膜、废脱脂槽液和硅烷槽液、</w:t>
            </w:r>
            <w:r>
              <w:rPr>
                <w:rFonts w:hint="default" w:ascii="Times New Roman" w:hAnsi="Times New Roman" w:cs="Times New Roman"/>
                <w:color w:val="auto"/>
                <w:sz w:val="24"/>
                <w:lang w:eastAsia="zh-CN"/>
              </w:rPr>
              <w:t>废</w:t>
            </w:r>
            <w:r>
              <w:rPr>
                <w:rFonts w:hint="eastAsia" w:ascii="Times New Roman" w:hAnsi="Times New Roman" w:cs="Times New Roman"/>
                <w:color w:val="auto"/>
                <w:sz w:val="24"/>
                <w:lang w:val="en-US" w:eastAsia="zh-CN"/>
              </w:rPr>
              <w:t>液压油</w:t>
            </w:r>
            <w:r>
              <w:rPr>
                <w:rFonts w:hint="default" w:ascii="Times New Roman" w:hAnsi="Times New Roman" w:cs="Times New Roman"/>
                <w:color w:val="auto"/>
                <w:sz w:val="24"/>
                <w:lang w:eastAsia="zh-CN"/>
              </w:rPr>
              <w:t>、废油桶、废含油抹布、手套</w:t>
            </w:r>
            <w:r>
              <w:rPr>
                <w:rFonts w:hint="default" w:ascii="Times New Roman" w:hAnsi="Times New Roman" w:cs="Times New Roman"/>
                <w:color w:val="auto"/>
                <w:sz w:val="24"/>
              </w:rPr>
              <w:t>。</w:t>
            </w:r>
          </w:p>
          <w:p w14:paraId="6AD3A7E6">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1"/>
                <w:lang w:val="en-US" w:eastAsia="zh-CN"/>
              </w:rPr>
            </w:pPr>
            <w:r>
              <w:rPr>
                <w:rFonts w:hint="eastAsia" w:ascii="Times New Roman" w:hAnsi="Times New Roman" w:cs="Times New Roman"/>
                <w:color w:val="auto"/>
                <w:sz w:val="24"/>
                <w:lang w:val="en-US" w:eastAsia="zh-CN"/>
              </w:rPr>
              <w:t>①废活性炭：废活性炭（含水分+吸附污染物），年产生量共计为7.64t。其中废气处理活性炭量3.312t/a（含5%含水率+10%VOCs吸附量）；废水处理废活性炭量为4.33t/a（含10%含水率+8%COD及金属吸附量）。</w:t>
            </w:r>
            <w:r>
              <w:rPr>
                <w:rFonts w:hint="default" w:ascii="Times New Roman" w:hAnsi="Times New Roman" w:cs="Times New Roman"/>
                <w:color w:val="auto"/>
                <w:kern w:val="0"/>
                <w:sz w:val="24"/>
                <w:szCs w:val="21"/>
              </w:rPr>
              <w:t>经查阅《国家危险废物名录》（202</w:t>
            </w:r>
            <w:r>
              <w:rPr>
                <w:rFonts w:hint="eastAsia" w:ascii="Times New Roman" w:hAnsi="Times New Roman" w:cs="Times New Roman"/>
                <w:color w:val="auto"/>
                <w:kern w:val="0"/>
                <w:sz w:val="24"/>
                <w:szCs w:val="21"/>
                <w:lang w:val="en-US" w:eastAsia="zh-CN"/>
              </w:rPr>
              <w:t>5</w:t>
            </w:r>
            <w:r>
              <w:rPr>
                <w:rFonts w:hint="default" w:ascii="Times New Roman" w:hAnsi="Times New Roman" w:cs="Times New Roman"/>
                <w:color w:val="auto"/>
                <w:kern w:val="0"/>
                <w:sz w:val="24"/>
                <w:szCs w:val="21"/>
              </w:rPr>
              <w:t>年版），废活性炭废物代码为HW49 （900-0</w:t>
            </w:r>
            <w:r>
              <w:rPr>
                <w:rFonts w:hint="eastAsia" w:ascii="Times New Roman" w:hAnsi="Times New Roman" w:cs="Times New Roman"/>
                <w:color w:val="auto"/>
                <w:kern w:val="0"/>
                <w:sz w:val="24"/>
                <w:szCs w:val="21"/>
                <w:lang w:val="en-US" w:eastAsia="zh-CN"/>
              </w:rPr>
              <w:t>41</w:t>
            </w:r>
            <w:r>
              <w:rPr>
                <w:rFonts w:hint="default" w:ascii="Times New Roman" w:hAnsi="Times New Roman" w:cs="Times New Roman"/>
                <w:color w:val="auto"/>
                <w:kern w:val="0"/>
                <w:sz w:val="24"/>
                <w:szCs w:val="21"/>
              </w:rPr>
              <w:t>-49）</w:t>
            </w:r>
            <w:r>
              <w:rPr>
                <w:rFonts w:hint="eastAsia" w:ascii="Times New Roman" w:hAnsi="Times New Roman" w:cs="Times New Roman"/>
                <w:color w:val="auto"/>
                <w:kern w:val="0"/>
                <w:sz w:val="24"/>
                <w:szCs w:val="21"/>
                <w:lang w:eastAsia="zh-CN"/>
              </w:rPr>
              <w:t>，</w:t>
            </w:r>
            <w:r>
              <w:rPr>
                <w:rFonts w:hint="eastAsia" w:ascii="Times New Roman" w:hAnsi="Times New Roman" w:cs="Times New Roman"/>
                <w:color w:val="auto"/>
                <w:kern w:val="0"/>
                <w:sz w:val="24"/>
                <w:szCs w:val="21"/>
                <w:lang w:val="en-US" w:eastAsia="zh-CN"/>
              </w:rPr>
              <w:t>含有或沾染毒性、感染性危险废物的废弃包装物、容器、过滤吸附介质。</w:t>
            </w:r>
          </w:p>
          <w:p w14:paraId="5A97E915">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eastAsia" w:ascii="Times New Roman" w:hAnsi="Times New Roman" w:cs="Times New Roman"/>
                <w:color w:val="auto"/>
                <w:sz w:val="24"/>
                <w:szCs w:val="22"/>
                <w:lang w:eastAsia="zh-CN"/>
              </w:rPr>
              <w:t>②</w:t>
            </w:r>
            <w:r>
              <w:rPr>
                <w:rFonts w:hint="eastAsia" w:ascii="Times New Roman" w:hAnsi="Times New Roman" w:cs="Times New Roman"/>
                <w:color w:val="auto"/>
                <w:sz w:val="24"/>
                <w:lang w:val="en-US" w:eastAsia="zh-CN"/>
              </w:rPr>
              <w:t>污泥</w:t>
            </w:r>
            <w:r>
              <w:rPr>
                <w:rFonts w:hint="eastAsia" w:cs="Times New Roman"/>
                <w:color w:val="auto"/>
                <w:sz w:val="24"/>
                <w:lang w:val="en-US" w:eastAsia="zh-CN"/>
              </w:rPr>
              <w:t>：污泥是水处理过程的副产物，污泥产生量参照《集中式污染治理设施产排污系数手册》（环境保护部华南环境科学研究所，2010年修订）中工业废水集中处理设施核算公式进行估算，污泥产生量计算公式如下：</w:t>
            </w:r>
          </w:p>
          <w:p w14:paraId="1D2C1791">
            <w:pPr>
              <w:pStyle w:val="2"/>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cs="Times New Roman"/>
                <w:color w:val="auto"/>
                <w:sz w:val="24"/>
                <w:szCs w:val="24"/>
                <w:lang w:val="en-US" w:eastAsia="zh-CN"/>
              </w:rPr>
            </w:pPr>
            <w:r>
              <w:rPr>
                <w:rFonts w:hint="eastAsia" w:cs="Times New Roman"/>
                <w:color w:val="auto"/>
                <w:sz w:val="24"/>
                <w:szCs w:val="24"/>
                <w:lang w:val="en-US" w:eastAsia="zh-CN"/>
              </w:rPr>
              <w:t>S=k4Q+k3C</w:t>
            </w:r>
          </w:p>
          <w:p w14:paraId="776C1C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式中：S—污水处理厂含水率80%的污泥产生量，t/a。</w:t>
            </w:r>
          </w:p>
          <w:p w14:paraId="5D5C3C9C">
            <w:pPr>
              <w:pStyle w:val="2"/>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color w:val="auto"/>
                <w:sz w:val="24"/>
                <w:szCs w:val="24"/>
                <w:lang w:val="en-US" w:eastAsia="zh-CN"/>
              </w:rPr>
            </w:pPr>
            <w:r>
              <w:rPr>
                <w:rFonts w:hint="eastAsia"/>
                <w:color w:val="auto"/>
                <w:sz w:val="24"/>
                <w:szCs w:val="24"/>
                <w:lang w:val="en-US" w:eastAsia="zh-CN"/>
              </w:rPr>
              <w:t>k3—工业废水集中处理设施的化学污泥产生系数，吨—污泥/吨—絮凝剂使用量；根据《集中式污泥治理设施产排污系数手册》（环境保护部华南环境科学研究所，2010年修订），k3取值见表4-11，本项目取4.53进行计算。</w:t>
            </w:r>
          </w:p>
          <w:p w14:paraId="3AFA3FF8">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color w:val="auto"/>
                <w:sz w:val="24"/>
                <w:szCs w:val="24"/>
                <w:lang w:val="en-US" w:eastAsia="zh-CN"/>
              </w:rPr>
            </w:pPr>
            <w:r>
              <w:rPr>
                <w:rFonts w:hint="eastAsia"/>
                <w:color w:val="auto"/>
                <w:sz w:val="24"/>
                <w:szCs w:val="24"/>
                <w:lang w:val="en-US" w:eastAsia="zh-CN"/>
              </w:rPr>
              <w:t>K4—工业废水集中处理设施的物理与生活污泥综合产生系数，吨—污泥/万吨—废水处理量；k4的取值见下表4-12，本项目按其他工业的含水污泥产生系数计算，取6.0。</w:t>
            </w:r>
          </w:p>
          <w:p w14:paraId="1E04792D">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color w:val="auto"/>
                <w:sz w:val="24"/>
                <w:szCs w:val="24"/>
                <w:lang w:val="en-US" w:eastAsia="zh-CN"/>
              </w:rPr>
            </w:pPr>
            <w:r>
              <w:rPr>
                <w:rFonts w:hint="eastAsia"/>
                <w:color w:val="auto"/>
                <w:sz w:val="24"/>
                <w:szCs w:val="24"/>
                <w:lang w:val="en-US" w:eastAsia="zh-CN"/>
              </w:rPr>
              <w:t>Q—污水处理厂实际污水处理量，万t/a；根据前面废水计算，本项目需处理废水量为586.602m³/a（0.0586万t/a）。</w:t>
            </w:r>
          </w:p>
          <w:p w14:paraId="58A672B2">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color w:val="auto"/>
                <w:sz w:val="24"/>
                <w:szCs w:val="24"/>
                <w:lang w:val="en-US" w:eastAsia="zh-CN"/>
              </w:rPr>
            </w:pPr>
            <w:r>
              <w:rPr>
                <w:rFonts w:hint="eastAsia"/>
                <w:color w:val="auto"/>
                <w:sz w:val="24"/>
                <w:szCs w:val="24"/>
                <w:lang w:val="en-US" w:eastAsia="zh-CN"/>
              </w:rPr>
              <w:t>C—污水处理厂无机絮凝剂使用总量，1.5kg/t—废水处理量，即本项目用量约为0.88t/a。</w:t>
            </w:r>
          </w:p>
          <w:p w14:paraId="2EA2C3C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color w:val="auto"/>
                <w:sz w:val="24"/>
                <w:szCs w:val="24"/>
                <w:vertAlign w:val="baseline"/>
                <w:lang w:val="en-US" w:eastAsia="zh-CN"/>
              </w:rPr>
            </w:pPr>
            <w:r>
              <w:rPr>
                <w:rFonts w:hint="eastAsia"/>
                <w:b/>
                <w:bCs/>
                <w:color w:val="auto"/>
                <w:sz w:val="21"/>
                <w:szCs w:val="21"/>
                <w:lang w:val="en-US" w:eastAsia="zh-CN"/>
              </w:rPr>
              <w:t>表4-88 城镇污水处理厂和工业废水集中处理设施的化学污泥产生系数表（k3）</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1"/>
              <w:gridCol w:w="2533"/>
              <w:gridCol w:w="1712"/>
              <w:gridCol w:w="2124"/>
            </w:tblGrid>
            <w:tr w14:paraId="370F1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121" w:type="dxa"/>
                  <w:vMerge w:val="restart"/>
                  <w:tcBorders>
                    <w:tl2br w:val="nil"/>
                    <w:tr2bl w:val="nil"/>
                  </w:tcBorders>
                  <w:vAlign w:val="center"/>
                </w:tcPr>
                <w:p w14:paraId="6361ABFC">
                  <w:pPr>
                    <w:jc w:val="center"/>
                    <w:rPr>
                      <w:rFonts w:hint="default"/>
                      <w:color w:val="auto"/>
                      <w:vertAlign w:val="baseline"/>
                      <w:lang w:val="en-US" w:eastAsia="zh-CN"/>
                    </w:rPr>
                  </w:pPr>
                  <w:r>
                    <w:rPr>
                      <w:rFonts w:hint="eastAsia"/>
                      <w:color w:val="auto"/>
                      <w:vertAlign w:val="baseline"/>
                      <w:lang w:val="en-US" w:eastAsia="zh-CN"/>
                    </w:rPr>
                    <w:t>处理工艺</w:t>
                  </w:r>
                </w:p>
              </w:tc>
              <w:tc>
                <w:tcPr>
                  <w:tcW w:w="6369" w:type="dxa"/>
                  <w:gridSpan w:val="3"/>
                  <w:tcBorders>
                    <w:tl2br w:val="nil"/>
                    <w:tr2bl w:val="nil"/>
                  </w:tcBorders>
                  <w:vAlign w:val="center"/>
                </w:tcPr>
                <w:p w14:paraId="4A85086C">
                  <w:pPr>
                    <w:jc w:val="center"/>
                    <w:rPr>
                      <w:rFonts w:hint="default"/>
                      <w:color w:val="auto"/>
                      <w:vertAlign w:val="baseline"/>
                      <w:lang w:val="en-US" w:eastAsia="zh-CN"/>
                    </w:rPr>
                  </w:pPr>
                  <w:r>
                    <w:rPr>
                      <w:rFonts w:hint="eastAsia"/>
                      <w:color w:val="auto"/>
                      <w:vertAlign w:val="baseline"/>
                      <w:lang w:val="en-US" w:eastAsia="zh-CN"/>
                    </w:rPr>
                    <w:t>含水污泥产生系数</w:t>
                  </w:r>
                </w:p>
              </w:tc>
            </w:tr>
            <w:tr w14:paraId="02168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vMerge w:val="continue"/>
                  <w:tcBorders>
                    <w:tl2br w:val="nil"/>
                    <w:tr2bl w:val="nil"/>
                  </w:tcBorders>
                  <w:vAlign w:val="center"/>
                </w:tcPr>
                <w:p w14:paraId="3C484084">
                  <w:pPr>
                    <w:jc w:val="center"/>
                    <w:rPr>
                      <w:rFonts w:hint="default"/>
                      <w:color w:val="auto"/>
                      <w:vertAlign w:val="baseline"/>
                      <w:lang w:val="en-US" w:eastAsia="zh-CN"/>
                    </w:rPr>
                  </w:pPr>
                </w:p>
              </w:tc>
              <w:tc>
                <w:tcPr>
                  <w:tcW w:w="2533" w:type="dxa"/>
                  <w:tcBorders>
                    <w:tl2br w:val="nil"/>
                    <w:tr2bl w:val="nil"/>
                  </w:tcBorders>
                  <w:vAlign w:val="center"/>
                </w:tcPr>
                <w:p w14:paraId="5AEA67F9">
                  <w:pPr>
                    <w:jc w:val="center"/>
                    <w:rPr>
                      <w:rFonts w:hint="default"/>
                      <w:color w:val="auto"/>
                      <w:vertAlign w:val="baseline"/>
                      <w:lang w:val="en-US" w:eastAsia="zh-CN"/>
                    </w:rPr>
                  </w:pPr>
                  <w:r>
                    <w:rPr>
                      <w:rFonts w:hint="eastAsia"/>
                      <w:color w:val="auto"/>
                      <w:vertAlign w:val="baseline"/>
                      <w:lang w:val="en-US" w:eastAsia="zh-CN"/>
                    </w:rPr>
                    <w:t>单位</w:t>
                  </w:r>
                </w:p>
              </w:tc>
              <w:tc>
                <w:tcPr>
                  <w:tcW w:w="1712" w:type="dxa"/>
                  <w:tcBorders>
                    <w:tl2br w:val="nil"/>
                    <w:tr2bl w:val="nil"/>
                  </w:tcBorders>
                  <w:vAlign w:val="center"/>
                </w:tcPr>
                <w:p w14:paraId="642C344A">
                  <w:pPr>
                    <w:jc w:val="center"/>
                    <w:rPr>
                      <w:rFonts w:hint="default"/>
                      <w:color w:val="auto"/>
                      <w:vertAlign w:val="baseline"/>
                      <w:lang w:val="en-US" w:eastAsia="zh-CN"/>
                    </w:rPr>
                  </w:pPr>
                  <w:r>
                    <w:rPr>
                      <w:rFonts w:hint="eastAsia"/>
                      <w:color w:val="auto"/>
                      <w:vertAlign w:val="baseline"/>
                      <w:lang w:val="en-US" w:eastAsia="zh-CN"/>
                    </w:rPr>
                    <w:t>核算系数</w:t>
                  </w:r>
                </w:p>
              </w:tc>
              <w:tc>
                <w:tcPr>
                  <w:tcW w:w="2124" w:type="dxa"/>
                  <w:tcBorders>
                    <w:tl2br w:val="nil"/>
                    <w:tr2bl w:val="nil"/>
                  </w:tcBorders>
                  <w:vAlign w:val="center"/>
                </w:tcPr>
                <w:p w14:paraId="79BC3DF8">
                  <w:pPr>
                    <w:jc w:val="center"/>
                    <w:rPr>
                      <w:rFonts w:hint="default"/>
                      <w:color w:val="auto"/>
                      <w:vertAlign w:val="baseline"/>
                      <w:lang w:val="en-US" w:eastAsia="zh-CN"/>
                    </w:rPr>
                  </w:pPr>
                  <w:r>
                    <w:rPr>
                      <w:rFonts w:hint="eastAsia"/>
                      <w:color w:val="auto"/>
                      <w:vertAlign w:val="baseline"/>
                      <w:lang w:val="en-US" w:eastAsia="zh-CN"/>
                    </w:rPr>
                    <w:t>校核系数</w:t>
                  </w:r>
                </w:p>
              </w:tc>
            </w:tr>
            <w:tr w14:paraId="34CE47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1" w:type="dxa"/>
                  <w:tcBorders>
                    <w:tl2br w:val="nil"/>
                    <w:tr2bl w:val="nil"/>
                  </w:tcBorders>
                  <w:vAlign w:val="center"/>
                </w:tcPr>
                <w:p w14:paraId="7871DDFD">
                  <w:pPr>
                    <w:jc w:val="center"/>
                    <w:rPr>
                      <w:rFonts w:hint="default"/>
                      <w:color w:val="auto"/>
                      <w:vertAlign w:val="baseline"/>
                      <w:lang w:val="en-US" w:eastAsia="zh-CN"/>
                    </w:rPr>
                  </w:pPr>
                  <w:r>
                    <w:rPr>
                      <w:rFonts w:hint="eastAsia"/>
                      <w:color w:val="auto"/>
                      <w:vertAlign w:val="baseline"/>
                      <w:lang w:val="en-US" w:eastAsia="zh-CN"/>
                    </w:rPr>
                    <w:t>絮凝沉淀、化学除磷、污泥调质等过程</w:t>
                  </w:r>
                </w:p>
              </w:tc>
              <w:tc>
                <w:tcPr>
                  <w:tcW w:w="2533" w:type="dxa"/>
                  <w:tcBorders>
                    <w:tl2br w:val="nil"/>
                    <w:tr2bl w:val="nil"/>
                  </w:tcBorders>
                  <w:vAlign w:val="center"/>
                </w:tcPr>
                <w:p w14:paraId="286597B3">
                  <w:pPr>
                    <w:jc w:val="center"/>
                    <w:rPr>
                      <w:rFonts w:hint="default"/>
                      <w:color w:val="auto"/>
                      <w:vertAlign w:val="baseline"/>
                      <w:lang w:val="en-US" w:eastAsia="zh-CN"/>
                    </w:rPr>
                  </w:pPr>
                  <w:r>
                    <w:rPr>
                      <w:rFonts w:hint="eastAsia"/>
                      <w:color w:val="auto"/>
                      <w:vertAlign w:val="baseline"/>
                      <w:lang w:val="en-US" w:eastAsia="zh-CN"/>
                    </w:rPr>
                    <w:t>吨/吨·絮凝剂使用量</w:t>
                  </w:r>
                </w:p>
              </w:tc>
              <w:tc>
                <w:tcPr>
                  <w:tcW w:w="1712" w:type="dxa"/>
                  <w:tcBorders>
                    <w:tl2br w:val="nil"/>
                    <w:tr2bl w:val="nil"/>
                  </w:tcBorders>
                  <w:vAlign w:val="center"/>
                </w:tcPr>
                <w:p w14:paraId="6EFF63A1">
                  <w:pPr>
                    <w:jc w:val="center"/>
                    <w:rPr>
                      <w:rFonts w:hint="default"/>
                      <w:color w:val="auto"/>
                      <w:vertAlign w:val="baseline"/>
                      <w:lang w:val="en-US" w:eastAsia="zh-CN"/>
                    </w:rPr>
                  </w:pPr>
                  <w:r>
                    <w:rPr>
                      <w:rFonts w:hint="eastAsia"/>
                      <w:color w:val="auto"/>
                      <w:vertAlign w:val="baseline"/>
                      <w:lang w:val="en-US" w:eastAsia="zh-CN"/>
                    </w:rPr>
                    <w:t>4.53</w:t>
                  </w:r>
                </w:p>
              </w:tc>
              <w:tc>
                <w:tcPr>
                  <w:tcW w:w="2124" w:type="dxa"/>
                  <w:tcBorders>
                    <w:tl2br w:val="nil"/>
                    <w:tr2bl w:val="nil"/>
                  </w:tcBorders>
                  <w:vAlign w:val="center"/>
                </w:tcPr>
                <w:p w14:paraId="44ED033B">
                  <w:pPr>
                    <w:jc w:val="center"/>
                    <w:rPr>
                      <w:rFonts w:hint="default"/>
                      <w:color w:val="auto"/>
                      <w:vertAlign w:val="baseline"/>
                      <w:lang w:val="en-US" w:eastAsia="zh-CN"/>
                    </w:rPr>
                  </w:pPr>
                  <w:r>
                    <w:rPr>
                      <w:rFonts w:hint="eastAsia"/>
                      <w:color w:val="auto"/>
                      <w:vertAlign w:val="baseline"/>
                      <w:lang w:val="en-US" w:eastAsia="zh-CN"/>
                    </w:rPr>
                    <w:t>2.44~6.55</w:t>
                  </w:r>
                </w:p>
              </w:tc>
            </w:tr>
          </w:tbl>
          <w:p w14:paraId="778C57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表4-9  工艺废水集中处理设施的物化与生化污泥综合产生系数表（k4）</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1"/>
              <w:gridCol w:w="2547"/>
              <w:gridCol w:w="1696"/>
              <w:gridCol w:w="2126"/>
            </w:tblGrid>
            <w:tr w14:paraId="28A76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Merge w:val="restart"/>
                  <w:tcBorders>
                    <w:tl2br w:val="nil"/>
                    <w:tr2bl w:val="nil"/>
                  </w:tcBorders>
                  <w:vAlign w:val="center"/>
                </w:tcPr>
                <w:p w14:paraId="2C2E3B25">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行业类型</w:t>
                  </w:r>
                </w:p>
              </w:tc>
              <w:tc>
                <w:tcPr>
                  <w:tcW w:w="6383" w:type="dxa"/>
                  <w:gridSpan w:val="3"/>
                  <w:tcBorders>
                    <w:tl2br w:val="nil"/>
                    <w:tr2bl w:val="nil"/>
                  </w:tcBorders>
                  <w:vAlign w:val="center"/>
                </w:tcPr>
                <w:p w14:paraId="4DE2001A">
                  <w:pPr>
                    <w:keepNext/>
                    <w:keepLines/>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含水污泥产生系数</w:t>
                  </w:r>
                </w:p>
              </w:tc>
            </w:tr>
            <w:tr w14:paraId="080C6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vMerge w:val="continue"/>
                  <w:tcBorders>
                    <w:tl2br w:val="nil"/>
                    <w:tr2bl w:val="nil"/>
                  </w:tcBorders>
                  <w:vAlign w:val="center"/>
                </w:tcPr>
                <w:p w14:paraId="70191969">
                  <w:pPr>
                    <w:keepNext/>
                    <w:keepLines/>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4"/>
                      <w:vertAlign w:val="baseline"/>
                      <w:lang w:val="en-US" w:eastAsia="zh-CN"/>
                    </w:rPr>
                  </w:pPr>
                </w:p>
              </w:tc>
              <w:tc>
                <w:tcPr>
                  <w:tcW w:w="2554" w:type="dxa"/>
                  <w:tcBorders>
                    <w:tl2br w:val="nil"/>
                    <w:tr2bl w:val="nil"/>
                  </w:tcBorders>
                  <w:vAlign w:val="center"/>
                </w:tcPr>
                <w:p w14:paraId="3C221F1E">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单位</w:t>
                  </w:r>
                </w:p>
              </w:tc>
              <w:tc>
                <w:tcPr>
                  <w:tcW w:w="1700" w:type="dxa"/>
                  <w:tcBorders>
                    <w:tl2br w:val="nil"/>
                    <w:tr2bl w:val="nil"/>
                  </w:tcBorders>
                  <w:vAlign w:val="center"/>
                </w:tcPr>
                <w:p w14:paraId="28693633">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核算系数</w:t>
                  </w:r>
                </w:p>
              </w:tc>
              <w:tc>
                <w:tcPr>
                  <w:tcW w:w="2129" w:type="dxa"/>
                  <w:tcBorders>
                    <w:tl2br w:val="nil"/>
                    <w:tr2bl w:val="nil"/>
                  </w:tcBorders>
                  <w:vAlign w:val="center"/>
                </w:tcPr>
                <w:p w14:paraId="17C67C55">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校核系数</w:t>
                  </w:r>
                </w:p>
              </w:tc>
            </w:tr>
            <w:tr w14:paraId="0CC2E8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tl2br w:val="nil"/>
                    <w:tr2bl w:val="nil"/>
                  </w:tcBorders>
                  <w:vAlign w:val="center"/>
                </w:tcPr>
                <w:p w14:paraId="1639DFF8">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电镀工业</w:t>
                  </w:r>
                </w:p>
              </w:tc>
              <w:tc>
                <w:tcPr>
                  <w:tcW w:w="2554" w:type="dxa"/>
                  <w:tcBorders>
                    <w:tl2br w:val="nil"/>
                    <w:tr2bl w:val="nil"/>
                  </w:tcBorders>
                  <w:vAlign w:val="center"/>
                </w:tcPr>
                <w:p w14:paraId="13CFA476">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吨/万吨—废水处理量</w:t>
                  </w:r>
                </w:p>
              </w:tc>
              <w:tc>
                <w:tcPr>
                  <w:tcW w:w="1700" w:type="dxa"/>
                  <w:tcBorders>
                    <w:tl2br w:val="nil"/>
                    <w:tr2bl w:val="nil"/>
                  </w:tcBorders>
                  <w:vAlign w:val="center"/>
                </w:tcPr>
                <w:p w14:paraId="3455D0F7">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20.9</w:t>
                  </w:r>
                </w:p>
              </w:tc>
              <w:tc>
                <w:tcPr>
                  <w:tcW w:w="2129" w:type="dxa"/>
                  <w:tcBorders>
                    <w:tl2br w:val="nil"/>
                    <w:tr2bl w:val="nil"/>
                  </w:tcBorders>
                  <w:vAlign w:val="center"/>
                </w:tcPr>
                <w:p w14:paraId="00B43685">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10.4~31.3</w:t>
                  </w:r>
                </w:p>
              </w:tc>
            </w:tr>
            <w:tr w14:paraId="3C94E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tl2br w:val="nil"/>
                    <w:tr2bl w:val="nil"/>
                  </w:tcBorders>
                  <w:vAlign w:val="center"/>
                </w:tcPr>
                <w:p w14:paraId="6E6B9FB9">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制革工业</w:t>
                  </w:r>
                </w:p>
              </w:tc>
              <w:tc>
                <w:tcPr>
                  <w:tcW w:w="2554" w:type="dxa"/>
                  <w:tcBorders>
                    <w:tl2br w:val="nil"/>
                    <w:tr2bl w:val="nil"/>
                  </w:tcBorders>
                  <w:vAlign w:val="center"/>
                </w:tcPr>
                <w:p w14:paraId="1ACABF83">
                  <w:pPr>
                    <w:keepNext/>
                    <w:keepLines/>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吨/万吨—废水处理量</w:t>
                  </w:r>
                </w:p>
              </w:tc>
              <w:tc>
                <w:tcPr>
                  <w:tcW w:w="1700" w:type="dxa"/>
                  <w:tcBorders>
                    <w:tl2br w:val="nil"/>
                    <w:tr2bl w:val="nil"/>
                  </w:tcBorders>
                  <w:vAlign w:val="center"/>
                </w:tcPr>
                <w:p w14:paraId="1C124B0D">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19.8</w:t>
                  </w:r>
                </w:p>
              </w:tc>
              <w:tc>
                <w:tcPr>
                  <w:tcW w:w="2129" w:type="dxa"/>
                  <w:tcBorders>
                    <w:tl2br w:val="nil"/>
                    <w:tr2bl w:val="nil"/>
                  </w:tcBorders>
                  <w:vAlign w:val="center"/>
                </w:tcPr>
                <w:p w14:paraId="26D449BC">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9.9~29.6</w:t>
                  </w:r>
                </w:p>
              </w:tc>
            </w:tr>
            <w:tr w14:paraId="24DC8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tl2br w:val="nil"/>
                    <w:tr2bl w:val="nil"/>
                  </w:tcBorders>
                  <w:vAlign w:val="center"/>
                </w:tcPr>
                <w:p w14:paraId="7D7A3C77">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医药工业</w:t>
                  </w:r>
                </w:p>
              </w:tc>
              <w:tc>
                <w:tcPr>
                  <w:tcW w:w="2554" w:type="dxa"/>
                  <w:tcBorders>
                    <w:tl2br w:val="nil"/>
                    <w:tr2bl w:val="nil"/>
                  </w:tcBorders>
                  <w:vAlign w:val="center"/>
                </w:tcPr>
                <w:p w14:paraId="5D1FACFD">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吨/万吨—废水处理量</w:t>
                  </w:r>
                </w:p>
              </w:tc>
              <w:tc>
                <w:tcPr>
                  <w:tcW w:w="1700" w:type="dxa"/>
                  <w:tcBorders>
                    <w:tl2br w:val="nil"/>
                    <w:tr2bl w:val="nil"/>
                  </w:tcBorders>
                  <w:vAlign w:val="center"/>
                </w:tcPr>
                <w:p w14:paraId="61CB1511">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16.7</w:t>
                  </w:r>
                </w:p>
              </w:tc>
              <w:tc>
                <w:tcPr>
                  <w:tcW w:w="2129" w:type="dxa"/>
                  <w:tcBorders>
                    <w:tl2br w:val="nil"/>
                    <w:tr2bl w:val="nil"/>
                  </w:tcBorders>
                  <w:vAlign w:val="center"/>
                </w:tcPr>
                <w:p w14:paraId="61F4BFDB">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7.4~25.1</w:t>
                  </w:r>
                </w:p>
              </w:tc>
            </w:tr>
            <w:tr w14:paraId="774AE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tl2br w:val="nil"/>
                    <w:tr2bl w:val="nil"/>
                  </w:tcBorders>
                  <w:vAlign w:val="center"/>
                </w:tcPr>
                <w:p w14:paraId="5D278486">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化工工业</w:t>
                  </w:r>
                </w:p>
              </w:tc>
              <w:tc>
                <w:tcPr>
                  <w:tcW w:w="2554" w:type="dxa"/>
                  <w:tcBorders>
                    <w:tl2br w:val="nil"/>
                    <w:tr2bl w:val="nil"/>
                  </w:tcBorders>
                  <w:vAlign w:val="center"/>
                </w:tcPr>
                <w:p w14:paraId="201AADBD">
                  <w:pPr>
                    <w:keepNext/>
                    <w:keepLines/>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吨/万吨—废水处理量</w:t>
                  </w:r>
                </w:p>
              </w:tc>
              <w:tc>
                <w:tcPr>
                  <w:tcW w:w="1700" w:type="dxa"/>
                  <w:tcBorders>
                    <w:tl2br w:val="nil"/>
                    <w:tr2bl w:val="nil"/>
                  </w:tcBorders>
                  <w:vAlign w:val="center"/>
                </w:tcPr>
                <w:p w14:paraId="5C3F8022">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7.5</w:t>
                  </w:r>
                </w:p>
              </w:tc>
              <w:tc>
                <w:tcPr>
                  <w:tcW w:w="2129" w:type="dxa"/>
                  <w:tcBorders>
                    <w:tl2br w:val="nil"/>
                    <w:tr2bl w:val="nil"/>
                  </w:tcBorders>
                  <w:vAlign w:val="center"/>
                </w:tcPr>
                <w:p w14:paraId="6819F04D">
                  <w:pPr>
                    <w:keepNext/>
                    <w:keepLines/>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3.8~11.3</w:t>
                  </w:r>
                </w:p>
              </w:tc>
            </w:tr>
            <w:tr w14:paraId="14E16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tl2br w:val="nil"/>
                    <w:tr2bl w:val="nil"/>
                  </w:tcBorders>
                  <w:vAlign w:val="center"/>
                </w:tcPr>
                <w:p w14:paraId="4394CD42">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食品工业</w:t>
                  </w:r>
                </w:p>
              </w:tc>
              <w:tc>
                <w:tcPr>
                  <w:tcW w:w="2554" w:type="dxa"/>
                  <w:tcBorders>
                    <w:tl2br w:val="nil"/>
                    <w:tr2bl w:val="nil"/>
                  </w:tcBorders>
                  <w:vAlign w:val="center"/>
                </w:tcPr>
                <w:p w14:paraId="301931AF">
                  <w:pPr>
                    <w:keepNext/>
                    <w:keepLines/>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吨/万吨—废水处理量</w:t>
                  </w:r>
                </w:p>
              </w:tc>
              <w:tc>
                <w:tcPr>
                  <w:tcW w:w="1700" w:type="dxa"/>
                  <w:tcBorders>
                    <w:tl2br w:val="nil"/>
                    <w:tr2bl w:val="nil"/>
                  </w:tcBorders>
                  <w:vAlign w:val="center"/>
                </w:tcPr>
                <w:p w14:paraId="6B4826A6">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6.7</w:t>
                  </w:r>
                </w:p>
              </w:tc>
              <w:tc>
                <w:tcPr>
                  <w:tcW w:w="2129" w:type="dxa"/>
                  <w:tcBorders>
                    <w:tl2br w:val="nil"/>
                    <w:tr2bl w:val="nil"/>
                  </w:tcBorders>
                  <w:vAlign w:val="center"/>
                </w:tcPr>
                <w:p w14:paraId="60403946">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3.4~10.1</w:t>
                  </w:r>
                </w:p>
              </w:tc>
            </w:tr>
            <w:tr w14:paraId="1C5DF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tl2br w:val="nil"/>
                    <w:tr2bl w:val="nil"/>
                  </w:tcBorders>
                  <w:vAlign w:val="center"/>
                </w:tcPr>
                <w:p w14:paraId="666DC5DB">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印染工业</w:t>
                  </w:r>
                </w:p>
              </w:tc>
              <w:tc>
                <w:tcPr>
                  <w:tcW w:w="2554" w:type="dxa"/>
                  <w:tcBorders>
                    <w:tl2br w:val="nil"/>
                    <w:tr2bl w:val="nil"/>
                  </w:tcBorders>
                  <w:vAlign w:val="center"/>
                </w:tcPr>
                <w:p w14:paraId="6B2BACEB">
                  <w:pPr>
                    <w:keepNext/>
                    <w:keepLines/>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吨/万吨—废水处理量</w:t>
                  </w:r>
                </w:p>
              </w:tc>
              <w:tc>
                <w:tcPr>
                  <w:tcW w:w="1700" w:type="dxa"/>
                  <w:tcBorders>
                    <w:tl2br w:val="nil"/>
                    <w:tr2bl w:val="nil"/>
                  </w:tcBorders>
                  <w:vAlign w:val="center"/>
                </w:tcPr>
                <w:p w14:paraId="01AABB03">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4.1</w:t>
                  </w:r>
                </w:p>
              </w:tc>
              <w:tc>
                <w:tcPr>
                  <w:tcW w:w="2129" w:type="dxa"/>
                  <w:tcBorders>
                    <w:tl2br w:val="nil"/>
                    <w:tr2bl w:val="nil"/>
                  </w:tcBorders>
                  <w:vAlign w:val="center"/>
                </w:tcPr>
                <w:p w14:paraId="577AC6B2">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2.0~6.1</w:t>
                  </w:r>
                </w:p>
              </w:tc>
            </w:tr>
            <w:tr w14:paraId="79F56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tl2br w:val="nil"/>
                    <w:tr2bl w:val="nil"/>
                  </w:tcBorders>
                  <w:vAlign w:val="center"/>
                </w:tcPr>
                <w:p w14:paraId="6B982A36">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4"/>
                      <w:vertAlign w:val="baseline"/>
                      <w:lang w:val="en-US" w:eastAsia="zh-CN"/>
                    </w:rPr>
                  </w:pPr>
                  <w:r>
                    <w:rPr>
                      <w:rFonts w:hint="eastAsia" w:cs="Times New Roman"/>
                      <w:color w:val="auto"/>
                      <w:sz w:val="24"/>
                      <w:vertAlign w:val="baseline"/>
                      <w:lang w:val="en-US" w:eastAsia="zh-CN"/>
                    </w:rPr>
                    <w:t>其他工业</w:t>
                  </w:r>
                </w:p>
              </w:tc>
              <w:tc>
                <w:tcPr>
                  <w:tcW w:w="2554" w:type="dxa"/>
                  <w:tcBorders>
                    <w:tl2br w:val="nil"/>
                    <w:tr2bl w:val="nil"/>
                  </w:tcBorders>
                  <w:vAlign w:val="center"/>
                </w:tcPr>
                <w:p w14:paraId="3B9FCE27">
                  <w:pPr>
                    <w:keepNext/>
                    <w:keepLines/>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吨/万吨—废水处理量</w:t>
                  </w:r>
                </w:p>
              </w:tc>
              <w:tc>
                <w:tcPr>
                  <w:tcW w:w="1700" w:type="dxa"/>
                  <w:tcBorders>
                    <w:tl2br w:val="nil"/>
                    <w:tr2bl w:val="nil"/>
                  </w:tcBorders>
                  <w:vAlign w:val="center"/>
                </w:tcPr>
                <w:p w14:paraId="41845288">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6.0</w:t>
                  </w:r>
                </w:p>
              </w:tc>
              <w:tc>
                <w:tcPr>
                  <w:tcW w:w="2129" w:type="dxa"/>
                  <w:tcBorders>
                    <w:tl2br w:val="nil"/>
                    <w:tr2bl w:val="nil"/>
                  </w:tcBorders>
                  <w:vAlign w:val="center"/>
                </w:tcPr>
                <w:p w14:paraId="6410CF28">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vertAlign w:val="baseline"/>
                      <w:lang w:val="en-US" w:eastAsia="zh-CN"/>
                    </w:rPr>
                  </w:pPr>
                  <w:r>
                    <w:rPr>
                      <w:rFonts w:hint="eastAsia" w:cs="Times New Roman"/>
                      <w:color w:val="auto"/>
                      <w:sz w:val="24"/>
                      <w:vertAlign w:val="baseline"/>
                      <w:lang w:val="en-US" w:eastAsia="zh-CN"/>
                    </w:rPr>
                    <w:t>3.0~9.0</w:t>
                  </w:r>
                </w:p>
              </w:tc>
            </w:tr>
          </w:tbl>
          <w:p w14:paraId="2685C325">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S（含水率80%的污泥）=6.0*0.0586+4.53*0.88=4.36t/a。污水处理设施沉淀池的污泥含水率为80%，经板框压滤机脱水后，含水率为60%，脱水后污泥量为4.36*20%/40%=2.18t/a。压滤出的污水为2.18t/a，收集后回流至调节池统一处理。本项目生产废水的污泥属于</w:t>
            </w:r>
            <w:r>
              <w:rPr>
                <w:rFonts w:hint="default" w:ascii="Times New Roman" w:hAnsi="Times New Roman" w:cs="Times New Roman"/>
                <w:color w:val="auto"/>
                <w:sz w:val="24"/>
                <w:szCs w:val="24"/>
              </w:rPr>
              <w:t>《国家危险废物名录》（</w:t>
            </w:r>
            <w:r>
              <w:rPr>
                <w:rFonts w:hint="default" w:ascii="Times New Roman" w:hAnsi="Times New Roman" w:cs="Times New Roman"/>
                <w:color w:val="auto"/>
                <w:sz w:val="24"/>
                <w:szCs w:val="24"/>
                <w:lang w:val="en-US" w:eastAsia="zh-CN"/>
              </w:rPr>
              <w:t>202</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版</w:t>
            </w:r>
            <w:r>
              <w:rPr>
                <w:rFonts w:hint="default" w:ascii="Times New Roman" w:hAnsi="Times New Roman" w:cs="Times New Roman"/>
                <w:color w:val="auto"/>
                <w:sz w:val="24"/>
                <w:szCs w:val="24"/>
              </w:rPr>
              <w:t>）</w:t>
            </w:r>
            <w:r>
              <w:rPr>
                <w:rFonts w:hint="default" w:ascii="Times New Roman" w:hAnsi="Times New Roman" w:cs="Times New Roman"/>
                <w:b w:val="0"/>
                <w:bCs w:val="0"/>
                <w:color w:val="auto"/>
                <w:sz w:val="24"/>
                <w:szCs w:val="24"/>
                <w:lang w:val="en-US" w:eastAsia="zh-CN"/>
              </w:rPr>
              <w:t>属于HW17 类危险废物，</w:t>
            </w:r>
            <w:r>
              <w:rPr>
                <w:rFonts w:hint="default" w:ascii="Times New Roman" w:hAnsi="Times New Roman" w:cs="Times New Roman"/>
                <w:color w:val="auto"/>
                <w:sz w:val="24"/>
                <w:szCs w:val="24"/>
              </w:rPr>
              <w:t>废物代码</w:t>
            </w:r>
            <w:r>
              <w:rPr>
                <w:rFonts w:hint="default" w:ascii="Times New Roman" w:hAnsi="Times New Roman" w:cs="Times New Roman"/>
                <w:color w:val="auto"/>
                <w:sz w:val="24"/>
                <w:szCs w:val="24"/>
                <w:lang w:eastAsia="zh-CN"/>
              </w:rPr>
              <w:t>（336-064-17</w:t>
            </w:r>
            <w:r>
              <w:rPr>
                <w:rFonts w:hint="default" w:ascii="Times New Roman" w:hAnsi="Times New Roman" w:cs="Times New Roman"/>
                <w:color w:val="auto"/>
                <w:sz w:val="24"/>
                <w:szCs w:val="24"/>
              </w:rPr>
              <w:t>）</w:t>
            </w:r>
            <w:r>
              <w:rPr>
                <w:rFonts w:hint="default" w:ascii="Times New Roman" w:hAnsi="Times New Roman" w:cs="Times New Roman"/>
                <w:b w:val="0"/>
                <w:bCs w:val="0"/>
                <w:color w:val="auto"/>
                <w:sz w:val="24"/>
                <w:szCs w:val="24"/>
                <w:lang w:val="en-US" w:eastAsia="zh-CN"/>
              </w:rPr>
              <w:t>。</w:t>
            </w:r>
            <w:r>
              <w:rPr>
                <w:rFonts w:hint="eastAsia" w:cs="Times New Roman"/>
                <w:b w:val="0"/>
                <w:bCs w:val="0"/>
                <w:color w:val="auto"/>
                <w:sz w:val="24"/>
                <w:szCs w:val="24"/>
                <w:lang w:val="en-US" w:eastAsia="zh-CN"/>
              </w:rPr>
              <w:t>采用胶桶封装后暂存危废贮存库内，定期交危废资质单位清运处置。</w:t>
            </w:r>
          </w:p>
          <w:p w14:paraId="7D9C14E2">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③</w:t>
            </w:r>
            <w:r>
              <w:rPr>
                <w:rFonts w:hint="eastAsia" w:cs="Times New Roman"/>
                <w:color w:val="auto"/>
                <w:sz w:val="24"/>
                <w:szCs w:val="22"/>
                <w:lang w:val="en-US" w:eastAsia="zh-CN"/>
              </w:rPr>
              <w:t>废滤袋、废超滤膜：项目滤袋每月更换一次，一只滤袋1kg，故年产生废滤袋量约为12kg/a，超滤膜3年1套，日常零星更换，本次不做定量分析。</w:t>
            </w:r>
          </w:p>
          <w:p w14:paraId="6C9B437B">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szCs w:val="22"/>
                <w:lang w:val="en-US" w:eastAsia="zh-CN"/>
              </w:rPr>
            </w:pPr>
            <w:r>
              <w:rPr>
                <w:rFonts w:hint="eastAsia" w:cs="Times New Roman"/>
                <w:color w:val="auto"/>
                <w:sz w:val="24"/>
                <w:szCs w:val="22"/>
                <w:lang w:val="en-US" w:eastAsia="zh-CN"/>
              </w:rPr>
              <w:t>④废槽液（废脱脂槽液和废硅烷槽液）</w:t>
            </w:r>
          </w:p>
          <w:p w14:paraId="08BE062C">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2"/>
                <w:lang w:val="en-US" w:eastAsia="zh-CN"/>
              </w:rPr>
            </w:pPr>
            <w:r>
              <w:rPr>
                <w:rFonts w:hint="eastAsia" w:cs="Times New Roman"/>
                <w:color w:val="auto"/>
                <w:sz w:val="24"/>
                <w:lang w:val="en-US" w:eastAsia="zh-CN"/>
              </w:rPr>
              <w:t>预脱脂槽、主脱脂槽和硅烷槽每三个月进行清理一次，按照危险废物进行暂存并委托资质单位清运处置。需更换的脱脂槽液和硅烷槽液为（3.1+6.1+3.5）m³*0.8*0.85*4=34.544m³，故本项目脱脂槽液和硅烷槽液产生量约为34.544m³/a。暂存于危废贮存设施内并委托资质单位清运处置，</w:t>
            </w:r>
            <w:r>
              <w:rPr>
                <w:rFonts w:hint="default" w:ascii="Times New Roman" w:hAnsi="Times New Roman" w:cs="Times New Roman"/>
                <w:color w:val="auto"/>
                <w:sz w:val="24"/>
                <w:szCs w:val="24"/>
              </w:rPr>
              <w:t>依据《国家危险废物名录》（</w:t>
            </w:r>
            <w:r>
              <w:rPr>
                <w:rFonts w:hint="default" w:ascii="Times New Roman" w:hAnsi="Times New Roman" w:cs="Times New Roman"/>
                <w:color w:val="auto"/>
                <w:sz w:val="24"/>
                <w:szCs w:val="24"/>
                <w:lang w:val="en-US" w:eastAsia="zh-CN"/>
              </w:rPr>
              <w:t>202</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版</w:t>
            </w:r>
            <w:r>
              <w:rPr>
                <w:rFonts w:hint="default" w:ascii="Times New Roman" w:hAnsi="Times New Roman" w:cs="Times New Roman"/>
                <w:color w:val="auto"/>
                <w:sz w:val="24"/>
                <w:szCs w:val="24"/>
              </w:rPr>
              <w:t>）</w:t>
            </w:r>
            <w:r>
              <w:rPr>
                <w:rFonts w:hint="default" w:ascii="Times New Roman" w:hAnsi="Times New Roman" w:cs="Times New Roman"/>
                <w:b w:val="0"/>
                <w:bCs w:val="0"/>
                <w:color w:val="auto"/>
                <w:sz w:val="24"/>
                <w:szCs w:val="24"/>
                <w:lang w:val="en-US" w:eastAsia="zh-CN"/>
              </w:rPr>
              <w:t xml:space="preserve">属于HW17 </w:t>
            </w:r>
            <w:r>
              <w:rPr>
                <w:rFonts w:hint="eastAsia" w:ascii="Times New Roman" w:hAnsi="Times New Roman" w:cs="Times New Roman"/>
                <w:b w:val="0"/>
                <w:bCs w:val="0"/>
                <w:color w:val="auto"/>
                <w:sz w:val="24"/>
                <w:szCs w:val="24"/>
                <w:lang w:val="en-US" w:eastAsia="zh-CN"/>
              </w:rPr>
              <w:t>表面</w:t>
            </w:r>
            <w:r>
              <w:rPr>
                <w:rFonts w:hint="eastAsia" w:cs="Times New Roman"/>
                <w:b w:val="0"/>
                <w:bCs w:val="0"/>
                <w:color w:val="auto"/>
                <w:sz w:val="24"/>
                <w:szCs w:val="24"/>
                <w:lang w:val="en-US" w:eastAsia="zh-CN"/>
              </w:rPr>
              <w:t>处理</w:t>
            </w:r>
            <w:r>
              <w:rPr>
                <w:rFonts w:hint="eastAsia" w:ascii="Times New Roman" w:hAnsi="Times New Roman" w:cs="Times New Roman"/>
                <w:b w:val="0"/>
                <w:bCs w:val="0"/>
                <w:color w:val="auto"/>
                <w:sz w:val="24"/>
                <w:szCs w:val="24"/>
                <w:lang w:val="en-US" w:eastAsia="zh-CN"/>
              </w:rPr>
              <w:t>废物，酸洗/碱洗/除油/洗涤产生废洗涤液、膜浓缩浓水</w:t>
            </w:r>
            <w:r>
              <w:rPr>
                <w:rFonts w:hint="default" w:ascii="Times New Roman" w:hAnsi="Times New Roman" w:cs="Times New Roman"/>
                <w:b w:val="0"/>
                <w:bCs w:val="0"/>
                <w:color w:val="auto"/>
                <w:sz w:val="24"/>
                <w:szCs w:val="24"/>
                <w:lang w:val="en-US" w:eastAsia="zh-CN"/>
              </w:rPr>
              <w:t>，</w:t>
            </w:r>
            <w:r>
              <w:rPr>
                <w:rFonts w:hint="default" w:ascii="Times New Roman" w:hAnsi="Times New Roman" w:cs="Times New Roman"/>
                <w:color w:val="auto"/>
                <w:sz w:val="24"/>
                <w:szCs w:val="24"/>
              </w:rPr>
              <w:t>废物代码</w:t>
            </w:r>
            <w:r>
              <w:rPr>
                <w:rFonts w:hint="default" w:ascii="Times New Roman" w:hAnsi="Times New Roman" w:cs="Times New Roman"/>
                <w:b w:val="0"/>
                <w:bCs w:val="0"/>
                <w:color w:val="auto"/>
                <w:sz w:val="24"/>
                <w:szCs w:val="24"/>
                <w:lang w:val="en-US" w:eastAsia="zh-CN"/>
              </w:rPr>
              <w:t xml:space="preserve">HW17 </w:t>
            </w:r>
            <w:r>
              <w:rPr>
                <w:rFonts w:hint="default" w:ascii="Times New Roman" w:hAnsi="Times New Roman" w:cs="Times New Roman"/>
                <w:color w:val="auto"/>
                <w:sz w:val="24"/>
                <w:szCs w:val="24"/>
                <w:lang w:eastAsia="zh-CN"/>
              </w:rPr>
              <w:t>（336-064-17</w:t>
            </w:r>
            <w:r>
              <w:rPr>
                <w:rFonts w:hint="default" w:ascii="Times New Roman" w:hAnsi="Times New Roman" w:cs="Times New Roman"/>
                <w:color w:val="auto"/>
                <w:sz w:val="24"/>
                <w:szCs w:val="24"/>
              </w:rPr>
              <w:t>）</w:t>
            </w:r>
            <w:r>
              <w:rPr>
                <w:rFonts w:hint="eastAsia" w:cs="Times New Roman"/>
                <w:color w:val="auto"/>
                <w:sz w:val="24"/>
                <w:lang w:val="en-US" w:eastAsia="zh-CN"/>
              </w:rPr>
              <w:t>。</w:t>
            </w:r>
          </w:p>
          <w:p w14:paraId="0E9266DF">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szCs w:val="22"/>
                <w:lang w:val="en-US" w:eastAsia="zh-CN"/>
              </w:rPr>
              <w:t>⑤浓盐水：本项目经污水处理的废水（1.99m³/d）95%回用于工件清洗，5%（0.1m³/d，30m³/a）超滤浓水收集按照危废暂存、委托资质单位清运处置，</w:t>
            </w:r>
            <w:r>
              <w:rPr>
                <w:rFonts w:hint="default" w:ascii="Times New Roman" w:hAnsi="Times New Roman" w:cs="Times New Roman"/>
                <w:color w:val="auto"/>
                <w:sz w:val="24"/>
                <w:szCs w:val="24"/>
              </w:rPr>
              <w:t>依据《国家危险废物名录》（</w:t>
            </w:r>
            <w:r>
              <w:rPr>
                <w:rFonts w:hint="default" w:ascii="Times New Roman" w:hAnsi="Times New Roman" w:cs="Times New Roman"/>
                <w:color w:val="auto"/>
                <w:sz w:val="24"/>
                <w:szCs w:val="24"/>
                <w:lang w:val="en-US" w:eastAsia="zh-CN"/>
              </w:rPr>
              <w:t>202</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版</w:t>
            </w:r>
            <w:r>
              <w:rPr>
                <w:rFonts w:hint="default" w:ascii="Times New Roman" w:hAnsi="Times New Roman" w:cs="Times New Roman"/>
                <w:color w:val="auto"/>
                <w:sz w:val="24"/>
                <w:szCs w:val="24"/>
              </w:rPr>
              <w:t>）</w:t>
            </w:r>
            <w:r>
              <w:rPr>
                <w:rFonts w:hint="default" w:ascii="Times New Roman" w:hAnsi="Times New Roman" w:cs="Times New Roman"/>
                <w:b w:val="0"/>
                <w:bCs w:val="0"/>
                <w:color w:val="auto"/>
                <w:sz w:val="24"/>
                <w:szCs w:val="24"/>
                <w:lang w:val="en-US" w:eastAsia="zh-CN"/>
              </w:rPr>
              <w:t xml:space="preserve">属于HW17 </w:t>
            </w:r>
            <w:r>
              <w:rPr>
                <w:rFonts w:hint="eastAsia" w:ascii="Times New Roman" w:hAnsi="Times New Roman" w:cs="Times New Roman"/>
                <w:b w:val="0"/>
                <w:bCs w:val="0"/>
                <w:color w:val="auto"/>
                <w:sz w:val="24"/>
                <w:szCs w:val="24"/>
                <w:lang w:val="en-US" w:eastAsia="zh-CN"/>
              </w:rPr>
              <w:t>表面出来废物，酸洗/碱洗/除油/洗涤产生废洗涤液、膜浓缩浓水</w:t>
            </w:r>
            <w:r>
              <w:rPr>
                <w:rFonts w:hint="default" w:ascii="Times New Roman" w:hAnsi="Times New Roman" w:cs="Times New Roman"/>
                <w:b w:val="0"/>
                <w:bCs w:val="0"/>
                <w:color w:val="auto"/>
                <w:sz w:val="24"/>
                <w:szCs w:val="24"/>
                <w:lang w:val="en-US" w:eastAsia="zh-CN"/>
              </w:rPr>
              <w:t>，</w:t>
            </w:r>
            <w:r>
              <w:rPr>
                <w:rFonts w:hint="default" w:ascii="Times New Roman" w:hAnsi="Times New Roman" w:cs="Times New Roman"/>
                <w:color w:val="auto"/>
                <w:sz w:val="24"/>
                <w:szCs w:val="24"/>
              </w:rPr>
              <w:t>废物代码</w:t>
            </w:r>
            <w:r>
              <w:rPr>
                <w:rFonts w:hint="default" w:ascii="Times New Roman" w:hAnsi="Times New Roman" w:cs="Times New Roman"/>
                <w:b w:val="0"/>
                <w:bCs w:val="0"/>
                <w:color w:val="auto"/>
                <w:sz w:val="24"/>
                <w:szCs w:val="24"/>
                <w:lang w:val="en-US" w:eastAsia="zh-CN"/>
              </w:rPr>
              <w:t xml:space="preserve">HW17 </w:t>
            </w:r>
            <w:r>
              <w:rPr>
                <w:rFonts w:hint="default" w:ascii="Times New Roman" w:hAnsi="Times New Roman" w:cs="Times New Roman"/>
                <w:color w:val="auto"/>
                <w:sz w:val="24"/>
                <w:szCs w:val="24"/>
                <w:lang w:eastAsia="zh-CN"/>
              </w:rPr>
              <w:t>（336-064-17</w:t>
            </w:r>
            <w:r>
              <w:rPr>
                <w:rFonts w:hint="default" w:ascii="Times New Roman" w:hAnsi="Times New Roman" w:cs="Times New Roman"/>
                <w:color w:val="auto"/>
                <w:sz w:val="24"/>
                <w:szCs w:val="24"/>
              </w:rPr>
              <w:t>）</w:t>
            </w:r>
            <w:r>
              <w:rPr>
                <w:rFonts w:hint="default" w:ascii="Times New Roman" w:hAnsi="Times New Roman" w:cs="Times New Roman"/>
                <w:b w:val="0"/>
                <w:bCs w:val="0"/>
                <w:color w:val="auto"/>
                <w:sz w:val="24"/>
                <w:szCs w:val="24"/>
                <w:lang w:val="en-US" w:eastAsia="zh-CN"/>
              </w:rPr>
              <w:t>。</w:t>
            </w:r>
          </w:p>
          <w:p w14:paraId="26AFAE08">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lang w:eastAsia="zh-CN"/>
              </w:rPr>
            </w:pPr>
            <w:r>
              <w:rPr>
                <w:rFonts w:hint="eastAsia" w:cs="Times New Roman"/>
                <w:color w:val="auto"/>
                <w:sz w:val="24"/>
                <w:szCs w:val="22"/>
                <w:lang w:val="en-US" w:eastAsia="zh-CN"/>
              </w:rPr>
              <w:t>⑥</w:t>
            </w:r>
            <w:r>
              <w:rPr>
                <w:rFonts w:hint="default" w:ascii="Times New Roman" w:hAnsi="Times New Roman" w:cs="Times New Roman"/>
                <w:color w:val="auto"/>
                <w:sz w:val="24"/>
                <w:szCs w:val="22"/>
                <w:lang w:eastAsia="zh-CN"/>
              </w:rPr>
              <w:t>废</w:t>
            </w:r>
            <w:r>
              <w:rPr>
                <w:rFonts w:hint="eastAsia" w:ascii="Times New Roman" w:hAnsi="Times New Roman" w:cs="Times New Roman"/>
                <w:color w:val="auto"/>
                <w:sz w:val="24"/>
                <w:szCs w:val="22"/>
                <w:lang w:val="en-US" w:eastAsia="zh-CN"/>
              </w:rPr>
              <w:t>液压油</w:t>
            </w:r>
          </w:p>
          <w:p w14:paraId="5B28C02D">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cs="Times New Roman"/>
                <w:color w:val="auto"/>
                <w:sz w:val="24"/>
                <w:szCs w:val="22"/>
                <w:lang w:val="en-US" w:eastAsia="zh-CN"/>
              </w:rPr>
              <w:t>对照《国家危险废物名录》（202</w:t>
            </w:r>
            <w:r>
              <w:rPr>
                <w:rFonts w:hint="eastAsia" w:ascii="Times New Roman" w:hAnsi="Times New Roman" w:cs="Times New Roman"/>
                <w:color w:val="auto"/>
                <w:sz w:val="24"/>
                <w:szCs w:val="22"/>
                <w:lang w:val="en-US" w:eastAsia="zh-CN"/>
              </w:rPr>
              <w:t>5</w:t>
            </w:r>
            <w:r>
              <w:rPr>
                <w:rFonts w:hint="default" w:ascii="Times New Roman" w:hAnsi="Times New Roman" w:cs="Times New Roman"/>
                <w:color w:val="auto"/>
                <w:sz w:val="24"/>
                <w:szCs w:val="22"/>
                <w:lang w:val="en-US" w:eastAsia="zh-CN"/>
              </w:rPr>
              <w:t>年版），危废代码为“HW08 废矿物油与含矿油油废物中900-218-08（液压设备维护、更换和拆解过程中产生的废液压油）”。</w:t>
            </w:r>
            <w:r>
              <w:rPr>
                <w:rFonts w:hint="default" w:ascii="Times New Roman" w:hAnsi="Times New Roman" w:eastAsia="宋体" w:cs="Times New Roman"/>
                <w:color w:val="auto"/>
                <w:sz w:val="24"/>
                <w:szCs w:val="22"/>
                <w:lang w:eastAsia="zh-CN"/>
              </w:rPr>
              <w:t>本项目</w:t>
            </w:r>
            <w:r>
              <w:rPr>
                <w:rFonts w:hint="eastAsia" w:ascii="Times New Roman" w:hAnsi="Times New Roman" w:eastAsia="宋体" w:cs="Times New Roman"/>
                <w:color w:val="auto"/>
                <w:sz w:val="24"/>
                <w:szCs w:val="22"/>
                <w:lang w:val="en-US" w:eastAsia="zh-CN"/>
              </w:rPr>
              <w:t>空压机运行需加注一定量的液压油</w:t>
            </w:r>
            <w:r>
              <w:rPr>
                <w:rFonts w:hint="default"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注入量约为16.5kg，每年维护保养时对剩余液压油进行清理，并重新注入。本项目新增3台空压机，故每年液压油消耗量为49.5kg/a。损耗约占60%，即每年清理的废液压油约为19.8kg/a。</w:t>
            </w:r>
            <w:r>
              <w:rPr>
                <w:rFonts w:hint="default" w:ascii="Times New Roman" w:hAnsi="Times New Roman" w:cs="Times New Roman"/>
                <w:color w:val="auto"/>
                <w:sz w:val="24"/>
                <w:szCs w:val="22"/>
                <w:lang w:val="en-US" w:eastAsia="zh-CN"/>
              </w:rPr>
              <w:t>暂存于厂房内</w:t>
            </w:r>
            <w:r>
              <w:rPr>
                <w:rFonts w:hint="eastAsia" w:cs="Times New Roman"/>
                <w:color w:val="auto"/>
                <w:sz w:val="24"/>
                <w:szCs w:val="22"/>
                <w:lang w:val="en-US" w:eastAsia="zh-CN"/>
              </w:rPr>
              <w:t>危废贮存库</w:t>
            </w:r>
            <w:r>
              <w:rPr>
                <w:rFonts w:hint="default" w:ascii="Times New Roman" w:hAnsi="Times New Roman" w:cs="Times New Roman"/>
                <w:color w:val="auto"/>
                <w:sz w:val="24"/>
                <w:szCs w:val="22"/>
                <w:lang w:val="en-US" w:eastAsia="zh-CN"/>
              </w:rPr>
              <w:t>，定期交由有相应资质的危险废物处置单位处置；</w:t>
            </w:r>
          </w:p>
          <w:p w14:paraId="2D1376C2">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lang w:eastAsia="zh-CN"/>
              </w:rPr>
            </w:pPr>
            <w:r>
              <w:rPr>
                <w:rFonts w:hint="eastAsia" w:cs="Times New Roman"/>
                <w:color w:val="auto"/>
                <w:sz w:val="24"/>
                <w:szCs w:val="22"/>
                <w:lang w:val="en-US" w:eastAsia="zh-CN"/>
              </w:rPr>
              <w:t>⑦</w:t>
            </w:r>
            <w:r>
              <w:rPr>
                <w:rFonts w:hint="default" w:ascii="Times New Roman" w:hAnsi="Times New Roman" w:cs="Times New Roman"/>
                <w:color w:val="auto"/>
                <w:sz w:val="24"/>
                <w:szCs w:val="22"/>
                <w:lang w:eastAsia="zh-CN"/>
              </w:rPr>
              <w:t>废油桶</w:t>
            </w:r>
          </w:p>
          <w:p w14:paraId="5BD6EBD6">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kern w:val="2"/>
                <w:sz w:val="24"/>
                <w:szCs w:val="22"/>
                <w:lang w:val="en-US" w:eastAsia="zh-CN" w:bidi="ar-SA"/>
              </w:rPr>
              <w:t>液压油</w:t>
            </w:r>
            <w:r>
              <w:rPr>
                <w:rFonts w:hint="default" w:ascii="Times New Roman" w:hAnsi="Times New Roman" w:eastAsia="宋体" w:cs="Times New Roman"/>
                <w:color w:val="auto"/>
                <w:kern w:val="2"/>
                <w:sz w:val="24"/>
                <w:szCs w:val="22"/>
                <w:lang w:val="en-US" w:eastAsia="zh-CN" w:bidi="ar-SA"/>
              </w:rPr>
              <w:t>每年共用</w:t>
            </w:r>
            <w:r>
              <w:rPr>
                <w:rFonts w:hint="eastAsia" w:ascii="Times New Roman" w:hAnsi="Times New Roman" w:eastAsia="宋体" w:cs="Times New Roman"/>
                <w:color w:val="auto"/>
                <w:kern w:val="2"/>
                <w:sz w:val="24"/>
                <w:szCs w:val="22"/>
                <w:lang w:val="en-US" w:eastAsia="zh-CN" w:bidi="ar-SA"/>
              </w:rPr>
              <w:t>4</w:t>
            </w:r>
            <w:r>
              <w:rPr>
                <w:rFonts w:hint="default" w:ascii="Times New Roman" w:hAnsi="Times New Roman" w:eastAsia="宋体" w:cs="Times New Roman"/>
                <w:color w:val="auto"/>
                <w:kern w:val="2"/>
                <w:sz w:val="24"/>
                <w:szCs w:val="22"/>
                <w:lang w:val="en-US" w:eastAsia="zh-CN" w:bidi="ar-SA"/>
              </w:rPr>
              <w:t>桶，单桶质量为0.3kg，故废</w:t>
            </w:r>
            <w:r>
              <w:rPr>
                <w:rFonts w:hint="eastAsia" w:ascii="Times New Roman" w:hAnsi="Times New Roman" w:eastAsia="宋体" w:cs="Times New Roman"/>
                <w:color w:val="auto"/>
                <w:kern w:val="2"/>
                <w:sz w:val="24"/>
                <w:szCs w:val="22"/>
                <w:lang w:val="en-US" w:eastAsia="zh-CN" w:bidi="ar-SA"/>
              </w:rPr>
              <w:t>液压</w:t>
            </w:r>
            <w:r>
              <w:rPr>
                <w:rFonts w:hint="default" w:ascii="Times New Roman" w:hAnsi="Times New Roman" w:eastAsia="宋体" w:cs="Times New Roman"/>
                <w:color w:val="auto"/>
                <w:kern w:val="2"/>
                <w:sz w:val="24"/>
                <w:szCs w:val="22"/>
                <w:lang w:val="en-US" w:eastAsia="zh-CN" w:bidi="ar-SA"/>
              </w:rPr>
              <w:t>油桶产生量为</w:t>
            </w:r>
            <w:r>
              <w:rPr>
                <w:rFonts w:hint="eastAsia" w:ascii="Times New Roman" w:hAnsi="Times New Roman" w:eastAsia="宋体" w:cs="Times New Roman"/>
                <w:color w:val="auto"/>
                <w:kern w:val="2"/>
                <w:sz w:val="24"/>
                <w:szCs w:val="22"/>
                <w:lang w:val="en-US" w:eastAsia="zh-CN" w:bidi="ar-SA"/>
              </w:rPr>
              <w:t>1.2</w:t>
            </w:r>
            <w:r>
              <w:rPr>
                <w:rFonts w:hint="default" w:ascii="Times New Roman" w:hAnsi="Times New Roman" w:eastAsia="宋体" w:cs="Times New Roman"/>
                <w:color w:val="auto"/>
                <w:kern w:val="2"/>
                <w:sz w:val="24"/>
                <w:szCs w:val="22"/>
                <w:lang w:val="en-US" w:eastAsia="zh-CN" w:bidi="ar-SA"/>
              </w:rPr>
              <w:t>kg/a，</w:t>
            </w:r>
            <w:r>
              <w:rPr>
                <w:rFonts w:hint="default" w:ascii="Times New Roman" w:hAnsi="Times New Roman" w:cs="Times New Roman"/>
                <w:color w:val="auto"/>
                <w:sz w:val="24"/>
                <w:szCs w:val="22"/>
                <w:lang w:val="en-US" w:eastAsia="zh-CN"/>
              </w:rPr>
              <w:t>暂存于厂房内</w:t>
            </w:r>
            <w:r>
              <w:rPr>
                <w:rFonts w:hint="eastAsia" w:cs="Times New Roman"/>
                <w:color w:val="auto"/>
                <w:sz w:val="24"/>
                <w:szCs w:val="22"/>
                <w:lang w:val="en-US" w:eastAsia="zh-CN"/>
              </w:rPr>
              <w:t>危废贮存库</w:t>
            </w:r>
            <w:r>
              <w:rPr>
                <w:rFonts w:hint="default" w:ascii="Times New Roman" w:hAnsi="Times New Roman" w:cs="Times New Roman"/>
                <w:color w:val="auto"/>
                <w:sz w:val="24"/>
                <w:szCs w:val="22"/>
                <w:lang w:val="en-US" w:eastAsia="zh-CN"/>
              </w:rPr>
              <w:t>，定期交由有相应资质的危险废物处置单位处置</w:t>
            </w:r>
            <w:r>
              <w:rPr>
                <w:rFonts w:hint="eastAsia" w:ascii="Times New Roman" w:hAnsi="Times New Roman" w:cs="Times New Roman"/>
                <w:color w:val="auto"/>
                <w:sz w:val="24"/>
                <w:szCs w:val="22"/>
                <w:lang w:val="en-US" w:eastAsia="zh-CN"/>
              </w:rPr>
              <w:t>，</w:t>
            </w:r>
            <w:r>
              <w:rPr>
                <w:rFonts w:hint="default" w:ascii="Times New Roman" w:hAnsi="Times New Roman" w:eastAsia="宋体" w:cs="Times New Roman"/>
                <w:color w:val="auto"/>
                <w:kern w:val="2"/>
                <w:sz w:val="24"/>
                <w:szCs w:val="22"/>
                <w:lang w:val="en-US" w:eastAsia="zh-CN" w:bidi="ar-SA"/>
              </w:rPr>
              <w:t>属于危险废物，对照《国家危险废物名录》（202</w:t>
            </w:r>
            <w:r>
              <w:rPr>
                <w:rFonts w:hint="eastAsia" w:ascii="Times New Roman" w:hAnsi="Times New Roman" w:eastAsia="宋体" w:cs="Times New Roman"/>
                <w:color w:val="auto"/>
                <w:kern w:val="2"/>
                <w:sz w:val="24"/>
                <w:szCs w:val="22"/>
                <w:lang w:val="en-US" w:eastAsia="zh-CN" w:bidi="ar-SA"/>
              </w:rPr>
              <w:t>5</w:t>
            </w:r>
            <w:r>
              <w:rPr>
                <w:rFonts w:hint="default" w:ascii="Times New Roman" w:hAnsi="Times New Roman" w:eastAsia="宋体" w:cs="Times New Roman"/>
                <w:color w:val="auto"/>
                <w:kern w:val="2"/>
                <w:sz w:val="24"/>
                <w:szCs w:val="22"/>
                <w:lang w:val="en-US" w:eastAsia="zh-CN" w:bidi="ar-SA"/>
              </w:rPr>
              <w:t>年版），危废代码为“HW49其他废物中900-041-49（含有或沾染毒性、感染性危险废物的废弃包装物、容器、过滤吸附介质）”。</w:t>
            </w:r>
          </w:p>
          <w:p w14:paraId="3E7AA892">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lang w:eastAsia="zh-CN"/>
              </w:rPr>
            </w:pPr>
            <w:r>
              <w:rPr>
                <w:rFonts w:hint="eastAsia" w:cs="Times New Roman"/>
                <w:color w:val="auto"/>
                <w:sz w:val="24"/>
                <w:szCs w:val="22"/>
                <w:lang w:val="en-US" w:eastAsia="zh-CN"/>
              </w:rPr>
              <w:t>⑧</w:t>
            </w:r>
            <w:r>
              <w:rPr>
                <w:rFonts w:hint="default" w:ascii="Times New Roman" w:hAnsi="Times New Roman" w:cs="Times New Roman"/>
                <w:color w:val="auto"/>
                <w:sz w:val="24"/>
                <w:szCs w:val="22"/>
                <w:lang w:eastAsia="zh-CN"/>
              </w:rPr>
              <w:t>废含油抹布、手套</w:t>
            </w:r>
          </w:p>
          <w:p w14:paraId="44FD7CDE">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szCs w:val="22"/>
                <w:lang w:eastAsia="zh-CN"/>
              </w:rPr>
              <w:t>企业在零件维修擦拭过程中会有部分沾染在抹布、手套上，废含油抹布、手套产生总量约为</w:t>
            </w:r>
            <w:r>
              <w:rPr>
                <w:rFonts w:hint="default" w:ascii="Times New Roman" w:hAnsi="Times New Roman" w:cs="Times New Roman"/>
                <w:color w:val="auto"/>
                <w:sz w:val="24"/>
                <w:szCs w:val="22"/>
                <w:lang w:val="en-US" w:eastAsia="zh-CN"/>
              </w:rPr>
              <w:t>0.00</w:t>
            </w:r>
            <w:r>
              <w:rPr>
                <w:rFonts w:hint="eastAsia" w:ascii="Times New Roman" w:hAnsi="Times New Roman" w:cs="Times New Roman"/>
                <w:color w:val="auto"/>
                <w:sz w:val="24"/>
                <w:szCs w:val="22"/>
                <w:lang w:val="en-US" w:eastAsia="zh-CN"/>
              </w:rPr>
              <w:t>02</w:t>
            </w:r>
            <w:r>
              <w:rPr>
                <w:rFonts w:hint="default" w:ascii="Times New Roman" w:hAnsi="Times New Roman" w:cs="Times New Roman"/>
                <w:color w:val="auto"/>
                <w:sz w:val="24"/>
                <w:szCs w:val="22"/>
                <w:lang w:val="en-US" w:eastAsia="zh-CN"/>
              </w:rPr>
              <w:t>t/a，属于危险废物，对照《国家危险废物名录》（202</w:t>
            </w:r>
            <w:r>
              <w:rPr>
                <w:rFonts w:hint="eastAsia" w:ascii="Times New Roman" w:hAnsi="Times New Roman" w:cs="Times New Roman"/>
                <w:color w:val="auto"/>
                <w:sz w:val="24"/>
                <w:szCs w:val="22"/>
                <w:lang w:val="en-US" w:eastAsia="zh-CN"/>
              </w:rPr>
              <w:t>5</w:t>
            </w:r>
            <w:r>
              <w:rPr>
                <w:rFonts w:hint="default" w:ascii="Times New Roman" w:hAnsi="Times New Roman" w:cs="Times New Roman"/>
                <w:color w:val="auto"/>
                <w:sz w:val="24"/>
                <w:szCs w:val="22"/>
                <w:lang w:val="en-US" w:eastAsia="zh-CN"/>
              </w:rPr>
              <w:t>年版），危废代码为“HW49其他废物中900-041-49（含有或沾染毒性、感染性危险废物的废弃包装物、容器、过滤吸附介质）”。废含油抹布、手套采用塑料桶收集，贮存于车间内</w:t>
            </w:r>
            <w:r>
              <w:rPr>
                <w:rFonts w:hint="eastAsia" w:cs="Times New Roman"/>
                <w:color w:val="auto"/>
                <w:sz w:val="24"/>
                <w:szCs w:val="22"/>
                <w:lang w:val="en-US" w:eastAsia="zh-CN"/>
              </w:rPr>
              <w:t>危废贮存库</w:t>
            </w:r>
            <w:r>
              <w:rPr>
                <w:rFonts w:hint="default" w:ascii="Times New Roman" w:hAnsi="Times New Roman" w:cs="Times New Roman"/>
                <w:color w:val="auto"/>
                <w:sz w:val="24"/>
                <w:szCs w:val="22"/>
                <w:lang w:val="en-US" w:eastAsia="zh-CN"/>
              </w:rPr>
              <w:t>，定期交由有相应资质的危险废物处置单位处置。</w:t>
            </w:r>
          </w:p>
          <w:p w14:paraId="5D83291C">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Cs/>
                <w:color w:val="auto"/>
                <w:kern w:val="0"/>
                <w:sz w:val="24"/>
              </w:rPr>
            </w:pPr>
            <w:r>
              <w:rPr>
                <w:rFonts w:hint="default" w:ascii="Times New Roman" w:hAnsi="Times New Roman" w:cs="Times New Roman"/>
                <w:color w:val="auto"/>
                <w:sz w:val="24"/>
                <w:szCs w:val="22"/>
              </w:rPr>
              <w:t>本项目固体废物产生量与处理措施见表4-</w:t>
            </w:r>
            <w:r>
              <w:rPr>
                <w:rFonts w:hint="eastAsia" w:cs="Times New Roman"/>
                <w:color w:val="auto"/>
                <w:sz w:val="24"/>
                <w:szCs w:val="22"/>
                <w:lang w:val="en-US" w:eastAsia="zh-CN"/>
              </w:rPr>
              <w:t>11</w:t>
            </w:r>
            <w:r>
              <w:rPr>
                <w:rFonts w:hint="default" w:ascii="Times New Roman" w:hAnsi="Times New Roman" w:cs="Times New Roman"/>
                <w:color w:val="auto"/>
                <w:sz w:val="24"/>
                <w:szCs w:val="22"/>
              </w:rPr>
              <w:t>。</w:t>
            </w:r>
          </w:p>
          <w:p w14:paraId="6413FCB1">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 w:val="24"/>
              </w:rPr>
            </w:pPr>
            <w:r>
              <w:rPr>
                <w:rFonts w:hint="default" w:ascii="Times New Roman" w:hAnsi="Times New Roman" w:cs="Times New Roman"/>
                <w:b/>
                <w:color w:val="auto"/>
                <w:sz w:val="21"/>
                <w:szCs w:val="21"/>
              </w:rPr>
              <w:t>表4-</w:t>
            </w:r>
            <w:r>
              <w:rPr>
                <w:rFonts w:hint="eastAsia" w:cs="Times New Roman"/>
                <w:b/>
                <w:color w:val="auto"/>
                <w:sz w:val="21"/>
                <w:szCs w:val="21"/>
                <w:lang w:val="en-US" w:eastAsia="zh-CN"/>
              </w:rPr>
              <w:t>11</w:t>
            </w:r>
            <w:r>
              <w:rPr>
                <w:rFonts w:hint="default" w:ascii="Times New Roman" w:hAnsi="Times New Roman" w:cs="Times New Roman"/>
                <w:b/>
                <w:color w:val="auto"/>
                <w:sz w:val="21"/>
                <w:szCs w:val="21"/>
              </w:rPr>
              <w:t xml:space="preserve">  项目固体废物产生情况及处理措施一览表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362"/>
              <w:gridCol w:w="507"/>
              <w:gridCol w:w="399"/>
              <w:gridCol w:w="618"/>
              <w:gridCol w:w="472"/>
              <w:gridCol w:w="472"/>
              <w:gridCol w:w="897"/>
              <w:gridCol w:w="545"/>
              <w:gridCol w:w="545"/>
              <w:gridCol w:w="362"/>
              <w:gridCol w:w="897"/>
              <w:gridCol w:w="508"/>
              <w:gridCol w:w="618"/>
              <w:gridCol w:w="618"/>
            </w:tblGrid>
            <w:tr w14:paraId="77AAD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gridSpan w:val="2"/>
                  <w:tcBorders>
                    <w:tl2br w:val="nil"/>
                    <w:tr2bl w:val="nil"/>
                  </w:tcBorders>
                  <w:noWrap w:val="0"/>
                  <w:vAlign w:val="center"/>
                </w:tcPr>
                <w:p w14:paraId="742BF61B">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rPr>
                    <w:t>名称</w:t>
                  </w:r>
                </w:p>
              </w:tc>
              <w:tc>
                <w:tcPr>
                  <w:tcW w:w="298" w:type="pct"/>
                  <w:tcBorders>
                    <w:tl2br w:val="nil"/>
                    <w:tr2bl w:val="nil"/>
                  </w:tcBorders>
                  <w:noWrap w:val="0"/>
                  <w:vAlign w:val="center"/>
                </w:tcPr>
                <w:p w14:paraId="713EB7E8">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rPr>
                    <w:t>废边</w:t>
                  </w:r>
                </w:p>
                <w:p w14:paraId="06D88CA1">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rPr>
                    <w:t>角料</w:t>
                  </w:r>
                  <w:r>
                    <w:rPr>
                      <w:rFonts w:hint="default" w:ascii="Times New Roman" w:hAnsi="Times New Roman" w:cs="Times New Roman"/>
                      <w:b w:val="0"/>
                      <w:bCs/>
                      <w:color w:val="auto"/>
                      <w:sz w:val="21"/>
                      <w:szCs w:val="21"/>
                      <w:lang w:val="en-US" w:eastAsia="zh-CN"/>
                    </w:rPr>
                    <w:t>、金属屑</w:t>
                  </w:r>
                </w:p>
              </w:tc>
              <w:tc>
                <w:tcPr>
                  <w:tcW w:w="234" w:type="pct"/>
                  <w:tcBorders>
                    <w:tl2br w:val="nil"/>
                    <w:tr2bl w:val="nil"/>
                  </w:tcBorders>
                  <w:noWrap w:val="0"/>
                  <w:vAlign w:val="center"/>
                </w:tcPr>
                <w:p w14:paraId="3D6A5B7C">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废钢丸</w:t>
                  </w:r>
                </w:p>
              </w:tc>
              <w:tc>
                <w:tcPr>
                  <w:tcW w:w="363" w:type="pct"/>
                  <w:tcBorders>
                    <w:tl2br w:val="nil"/>
                    <w:tr2bl w:val="nil"/>
                  </w:tcBorders>
                  <w:noWrap w:val="0"/>
                  <w:vAlign w:val="center"/>
                </w:tcPr>
                <w:p w14:paraId="6E2CF234">
                  <w:pPr>
                    <w:pStyle w:val="175"/>
                    <w:keepNext/>
                    <w:keepLines/>
                    <w:pageBreakBefore w:val="0"/>
                    <w:kinsoku/>
                    <w:wordWrap/>
                    <w:overflowPunct/>
                    <w:topLinePunct w:val="0"/>
                    <w:autoSpaceDE/>
                    <w:autoSpaceDN/>
                    <w:bidi w:val="0"/>
                    <w:adjustRightInd/>
                    <w:snapToGrid/>
                    <w:spacing w:line="240" w:lineRule="auto"/>
                    <w:textAlignment w:val="auto"/>
                    <w:rPr>
                      <w:rFonts w:hint="eastAsia"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收尘灰</w:t>
                  </w:r>
                </w:p>
              </w:tc>
              <w:tc>
                <w:tcPr>
                  <w:tcW w:w="277" w:type="pct"/>
                  <w:tcBorders>
                    <w:tl2br w:val="nil"/>
                    <w:tr2bl w:val="nil"/>
                  </w:tcBorders>
                  <w:noWrap w:val="0"/>
                  <w:vAlign w:val="center"/>
                </w:tcPr>
                <w:p w14:paraId="1C40018D">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val="en-US" w:eastAsia="zh-CN"/>
                    </w:rPr>
                    <w:t>废粉</w:t>
                  </w:r>
                </w:p>
              </w:tc>
              <w:tc>
                <w:tcPr>
                  <w:tcW w:w="277" w:type="pct"/>
                  <w:tcBorders>
                    <w:tl2br w:val="nil"/>
                    <w:tr2bl w:val="nil"/>
                  </w:tcBorders>
                  <w:noWrap w:val="0"/>
                  <w:vAlign w:val="center"/>
                </w:tcPr>
                <w:p w14:paraId="2E7C57A1">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废石英砂</w:t>
                  </w:r>
                </w:p>
              </w:tc>
              <w:tc>
                <w:tcPr>
                  <w:tcW w:w="528" w:type="pct"/>
                  <w:tcBorders>
                    <w:tl2br w:val="nil"/>
                    <w:tr2bl w:val="nil"/>
                  </w:tcBorders>
                  <w:noWrap w:val="0"/>
                  <w:vAlign w:val="center"/>
                </w:tcPr>
                <w:p w14:paraId="311A988F">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val="en-US" w:eastAsia="zh-CN"/>
                    </w:rPr>
                    <w:t>污泥</w:t>
                  </w:r>
                </w:p>
              </w:tc>
              <w:tc>
                <w:tcPr>
                  <w:tcW w:w="320" w:type="pct"/>
                  <w:tcBorders>
                    <w:tl2br w:val="nil"/>
                    <w:tr2bl w:val="nil"/>
                  </w:tcBorders>
                  <w:noWrap w:val="0"/>
                  <w:vAlign w:val="center"/>
                </w:tcPr>
                <w:p w14:paraId="1069F926">
                  <w:pPr>
                    <w:pStyle w:val="175"/>
                    <w:keepNext/>
                    <w:keepLines/>
                    <w:pageBreakBefore w:val="0"/>
                    <w:kinsoku/>
                    <w:wordWrap/>
                    <w:overflowPunct/>
                    <w:topLinePunct w:val="0"/>
                    <w:autoSpaceDE/>
                    <w:autoSpaceDN/>
                    <w:bidi w:val="0"/>
                    <w:adjustRightInd/>
                    <w:snapToGrid/>
                    <w:spacing w:line="240" w:lineRule="auto"/>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废滤袋、废超滤膜</w:t>
                  </w:r>
                </w:p>
              </w:tc>
              <w:tc>
                <w:tcPr>
                  <w:tcW w:w="320" w:type="pct"/>
                  <w:tcBorders>
                    <w:tl2br w:val="nil"/>
                    <w:tr2bl w:val="nil"/>
                  </w:tcBorders>
                  <w:noWrap w:val="0"/>
                  <w:vAlign w:val="center"/>
                </w:tcPr>
                <w:p w14:paraId="402F4C25">
                  <w:pPr>
                    <w:pStyle w:val="175"/>
                    <w:keepNext/>
                    <w:keepLines/>
                    <w:pageBreakBefore w:val="0"/>
                    <w:kinsoku/>
                    <w:wordWrap/>
                    <w:overflowPunct/>
                    <w:topLinePunct w:val="0"/>
                    <w:autoSpaceDE/>
                    <w:autoSpaceDN/>
                    <w:bidi w:val="0"/>
                    <w:adjustRightInd/>
                    <w:snapToGrid/>
                    <w:spacing w:line="240" w:lineRule="auto"/>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废槽液</w:t>
                  </w:r>
                </w:p>
              </w:tc>
              <w:tc>
                <w:tcPr>
                  <w:tcW w:w="213" w:type="pct"/>
                  <w:tcBorders>
                    <w:tl2br w:val="nil"/>
                    <w:tr2bl w:val="nil"/>
                  </w:tcBorders>
                  <w:noWrap w:val="0"/>
                  <w:vAlign w:val="center"/>
                </w:tcPr>
                <w:p w14:paraId="410E3CA5">
                  <w:pPr>
                    <w:pStyle w:val="175"/>
                    <w:keepNext/>
                    <w:keepLines/>
                    <w:pageBreakBefore w:val="0"/>
                    <w:kinsoku/>
                    <w:wordWrap/>
                    <w:overflowPunct/>
                    <w:topLinePunct w:val="0"/>
                    <w:autoSpaceDE/>
                    <w:autoSpaceDN/>
                    <w:bidi w:val="0"/>
                    <w:adjustRightInd/>
                    <w:snapToGrid/>
                    <w:spacing w:line="240" w:lineRule="auto"/>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浓盐水</w:t>
                  </w:r>
                </w:p>
              </w:tc>
              <w:tc>
                <w:tcPr>
                  <w:tcW w:w="528" w:type="pct"/>
                  <w:tcBorders>
                    <w:tl2br w:val="nil"/>
                    <w:tr2bl w:val="nil"/>
                  </w:tcBorders>
                  <w:noWrap w:val="0"/>
                  <w:vAlign w:val="center"/>
                </w:tcPr>
                <w:p w14:paraId="7741B8D1">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废</w:t>
                  </w:r>
                  <w:r>
                    <w:rPr>
                      <w:rFonts w:hint="eastAsia" w:ascii="Times New Roman" w:hAnsi="Times New Roman" w:cs="Times New Roman"/>
                      <w:b w:val="0"/>
                      <w:bCs/>
                      <w:color w:val="auto"/>
                      <w:sz w:val="21"/>
                      <w:szCs w:val="21"/>
                      <w:lang w:val="en-US" w:eastAsia="zh-CN"/>
                    </w:rPr>
                    <w:t>液压油</w:t>
                  </w:r>
                </w:p>
              </w:tc>
              <w:tc>
                <w:tcPr>
                  <w:tcW w:w="299" w:type="pct"/>
                  <w:tcBorders>
                    <w:tl2br w:val="nil"/>
                    <w:tr2bl w:val="nil"/>
                  </w:tcBorders>
                  <w:noWrap w:val="0"/>
                  <w:vAlign w:val="center"/>
                </w:tcPr>
                <w:p w14:paraId="2774EA74">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废活性炭</w:t>
                  </w:r>
                </w:p>
              </w:tc>
              <w:tc>
                <w:tcPr>
                  <w:tcW w:w="363" w:type="pct"/>
                  <w:tcBorders>
                    <w:tl2br w:val="nil"/>
                    <w:tr2bl w:val="nil"/>
                  </w:tcBorders>
                  <w:noWrap w:val="0"/>
                  <w:vAlign w:val="center"/>
                </w:tcPr>
                <w:p w14:paraId="481F4E2F">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废油桶</w:t>
                  </w:r>
                </w:p>
              </w:tc>
              <w:tc>
                <w:tcPr>
                  <w:tcW w:w="363" w:type="pct"/>
                  <w:tcBorders>
                    <w:tl2br w:val="nil"/>
                    <w:tr2bl w:val="nil"/>
                  </w:tcBorders>
                  <w:noWrap w:val="0"/>
                  <w:vAlign w:val="center"/>
                </w:tcPr>
                <w:p w14:paraId="2803A916">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废含油抹布、手套</w:t>
                  </w:r>
                </w:p>
              </w:tc>
            </w:tr>
            <w:tr w14:paraId="4FCB1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gridSpan w:val="2"/>
                  <w:tcBorders>
                    <w:tl2br w:val="nil"/>
                    <w:tr2bl w:val="nil"/>
                  </w:tcBorders>
                  <w:noWrap w:val="0"/>
                  <w:vAlign w:val="center"/>
                </w:tcPr>
                <w:p w14:paraId="03CD1B82">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lang w:val="en-US"/>
                    </w:rPr>
                    <w:t>产生环节</w:t>
                  </w:r>
                </w:p>
              </w:tc>
              <w:tc>
                <w:tcPr>
                  <w:tcW w:w="298" w:type="pct"/>
                  <w:tcBorders>
                    <w:tl2br w:val="nil"/>
                    <w:tr2bl w:val="nil"/>
                  </w:tcBorders>
                  <w:noWrap w:val="0"/>
                  <w:vAlign w:val="center"/>
                </w:tcPr>
                <w:p w14:paraId="340BCDE9">
                  <w:pPr>
                    <w:pStyle w:val="172"/>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切割</w:t>
                  </w:r>
                </w:p>
              </w:tc>
              <w:tc>
                <w:tcPr>
                  <w:tcW w:w="234" w:type="pct"/>
                  <w:tcBorders>
                    <w:tl2br w:val="nil"/>
                    <w:tr2bl w:val="nil"/>
                  </w:tcBorders>
                  <w:noWrap w:val="0"/>
                  <w:vAlign w:val="center"/>
                </w:tcPr>
                <w:p w14:paraId="39FE462F">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抛丸</w:t>
                  </w:r>
                </w:p>
              </w:tc>
              <w:tc>
                <w:tcPr>
                  <w:tcW w:w="363" w:type="pct"/>
                  <w:tcBorders>
                    <w:tl2br w:val="nil"/>
                    <w:tr2bl w:val="nil"/>
                  </w:tcBorders>
                  <w:noWrap w:val="0"/>
                  <w:vAlign w:val="center"/>
                </w:tcPr>
                <w:p w14:paraId="418B2364">
                  <w:pPr>
                    <w:pStyle w:val="175"/>
                    <w:keepNext/>
                    <w:keepLines/>
                    <w:pageBreakBefore w:val="0"/>
                    <w:kinsoku/>
                    <w:wordWrap/>
                    <w:overflowPunct/>
                    <w:topLinePunct w:val="0"/>
                    <w:autoSpaceDE/>
                    <w:autoSpaceDN/>
                    <w:bidi w:val="0"/>
                    <w:adjustRightInd/>
                    <w:snapToGrid/>
                    <w:spacing w:line="240" w:lineRule="auto"/>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除尘</w:t>
                  </w:r>
                </w:p>
              </w:tc>
              <w:tc>
                <w:tcPr>
                  <w:tcW w:w="277" w:type="pct"/>
                  <w:tcBorders>
                    <w:tl2br w:val="nil"/>
                    <w:tr2bl w:val="nil"/>
                  </w:tcBorders>
                  <w:noWrap w:val="0"/>
                  <w:vAlign w:val="center"/>
                </w:tcPr>
                <w:p w14:paraId="6BE64CEA">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修磨</w:t>
                  </w:r>
                </w:p>
              </w:tc>
              <w:tc>
                <w:tcPr>
                  <w:tcW w:w="277" w:type="pct"/>
                  <w:tcBorders>
                    <w:tl2br w:val="nil"/>
                    <w:tr2bl w:val="nil"/>
                  </w:tcBorders>
                  <w:noWrap w:val="0"/>
                  <w:vAlign w:val="center"/>
                </w:tcPr>
                <w:p w14:paraId="0788BB8F">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污水处理</w:t>
                  </w:r>
                </w:p>
              </w:tc>
              <w:tc>
                <w:tcPr>
                  <w:tcW w:w="1383" w:type="pct"/>
                  <w:gridSpan w:val="4"/>
                  <w:tcBorders>
                    <w:tl2br w:val="nil"/>
                    <w:tr2bl w:val="nil"/>
                  </w:tcBorders>
                  <w:noWrap w:val="0"/>
                  <w:vAlign w:val="center"/>
                </w:tcPr>
                <w:p w14:paraId="760C3F61">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污水处理</w:t>
                  </w:r>
                </w:p>
              </w:tc>
              <w:tc>
                <w:tcPr>
                  <w:tcW w:w="528" w:type="pct"/>
                  <w:tcBorders>
                    <w:tl2br w:val="nil"/>
                    <w:tr2bl w:val="nil"/>
                  </w:tcBorders>
                  <w:noWrap w:val="0"/>
                  <w:vAlign w:val="center"/>
                </w:tcPr>
                <w:p w14:paraId="6ECF2553">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设备维护</w:t>
                  </w:r>
                </w:p>
              </w:tc>
              <w:tc>
                <w:tcPr>
                  <w:tcW w:w="299" w:type="pct"/>
                  <w:tcBorders>
                    <w:tl2br w:val="nil"/>
                    <w:tr2bl w:val="nil"/>
                  </w:tcBorders>
                  <w:noWrap w:val="0"/>
                  <w:vAlign w:val="center"/>
                </w:tcPr>
                <w:p w14:paraId="59A2250B">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废水、废气处理</w:t>
                  </w:r>
                </w:p>
              </w:tc>
              <w:tc>
                <w:tcPr>
                  <w:tcW w:w="727" w:type="pct"/>
                  <w:gridSpan w:val="2"/>
                  <w:tcBorders>
                    <w:tl2br w:val="nil"/>
                    <w:tr2bl w:val="nil"/>
                  </w:tcBorders>
                  <w:noWrap w:val="0"/>
                  <w:vAlign w:val="center"/>
                </w:tcPr>
                <w:p w14:paraId="07FC6A9B">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空压机运行</w:t>
                  </w:r>
                </w:p>
              </w:tc>
            </w:tr>
            <w:tr w14:paraId="0ED9D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gridSpan w:val="2"/>
                  <w:tcBorders>
                    <w:tl2br w:val="nil"/>
                    <w:tr2bl w:val="nil"/>
                  </w:tcBorders>
                  <w:noWrap w:val="0"/>
                  <w:vAlign w:val="center"/>
                </w:tcPr>
                <w:p w14:paraId="67885506">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lang w:val="en-US"/>
                    </w:rPr>
                    <w:t>属性</w:t>
                  </w:r>
                </w:p>
              </w:tc>
              <w:tc>
                <w:tcPr>
                  <w:tcW w:w="298" w:type="pct"/>
                  <w:tcBorders>
                    <w:tl2br w:val="nil"/>
                    <w:tr2bl w:val="nil"/>
                  </w:tcBorders>
                  <w:noWrap w:val="0"/>
                  <w:vAlign w:val="center"/>
                </w:tcPr>
                <w:p w14:paraId="2F3D41C6">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lang w:eastAsia="zh-CN"/>
                    </w:rPr>
                  </w:pPr>
                </w:p>
              </w:tc>
              <w:tc>
                <w:tcPr>
                  <w:tcW w:w="1154" w:type="pct"/>
                  <w:gridSpan w:val="4"/>
                  <w:tcBorders>
                    <w:tl2br w:val="nil"/>
                    <w:tr2bl w:val="nil"/>
                  </w:tcBorders>
                  <w:noWrap w:val="0"/>
                  <w:vAlign w:val="center"/>
                </w:tcPr>
                <w:p w14:paraId="56D5AF6E">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一般</w:t>
                  </w:r>
                </w:p>
                <w:p w14:paraId="3E72D69B">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rPr>
                  </w:pPr>
                  <w:r>
                    <w:rPr>
                      <w:rFonts w:hint="default" w:ascii="Times New Roman" w:hAnsi="Times New Roman" w:cs="Times New Roman"/>
                      <w:b w:val="0"/>
                      <w:bCs w:val="0"/>
                      <w:color w:val="auto"/>
                      <w:sz w:val="21"/>
                      <w:szCs w:val="21"/>
                      <w:lang w:eastAsia="zh-CN"/>
                    </w:rPr>
                    <w:t>固废</w:t>
                  </w:r>
                </w:p>
              </w:tc>
              <w:tc>
                <w:tcPr>
                  <w:tcW w:w="2938" w:type="pct"/>
                  <w:gridSpan w:val="8"/>
                  <w:tcBorders>
                    <w:tl2br w:val="nil"/>
                    <w:tr2bl w:val="nil"/>
                  </w:tcBorders>
                  <w:noWrap w:val="0"/>
                  <w:vAlign w:val="center"/>
                </w:tcPr>
                <w:p w14:paraId="72928CC3">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危险废物</w:t>
                  </w:r>
                </w:p>
              </w:tc>
            </w:tr>
            <w:tr w14:paraId="5462A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gridSpan w:val="2"/>
                  <w:tcBorders>
                    <w:tl2br w:val="nil"/>
                    <w:tr2bl w:val="nil"/>
                  </w:tcBorders>
                  <w:noWrap w:val="0"/>
                  <w:vAlign w:val="center"/>
                </w:tcPr>
                <w:p w14:paraId="278FA6DF">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rPr>
                    <w:t>废物</w:t>
                  </w:r>
                  <w:r>
                    <w:rPr>
                      <w:rFonts w:hint="default" w:ascii="Times New Roman" w:hAnsi="Times New Roman" w:cs="Times New Roman"/>
                      <w:bCs/>
                      <w:color w:val="auto"/>
                      <w:sz w:val="21"/>
                      <w:szCs w:val="21"/>
                      <w:lang w:val="en-US"/>
                    </w:rPr>
                    <w:t>类别及</w:t>
                  </w:r>
                  <w:r>
                    <w:rPr>
                      <w:rFonts w:hint="default" w:ascii="Times New Roman" w:hAnsi="Times New Roman" w:cs="Times New Roman"/>
                      <w:bCs/>
                      <w:color w:val="auto"/>
                      <w:sz w:val="21"/>
                      <w:szCs w:val="21"/>
                    </w:rPr>
                    <w:t>代码</w:t>
                  </w:r>
                </w:p>
              </w:tc>
              <w:tc>
                <w:tcPr>
                  <w:tcW w:w="298" w:type="pct"/>
                  <w:tcBorders>
                    <w:tl2br w:val="nil"/>
                    <w:tr2bl w:val="nil"/>
                  </w:tcBorders>
                  <w:noWrap w:val="0"/>
                  <w:vAlign w:val="center"/>
                </w:tcPr>
                <w:p w14:paraId="1FF6A61D">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234" w:type="pct"/>
                  <w:tcBorders>
                    <w:tl2br w:val="nil"/>
                    <w:tr2bl w:val="nil"/>
                  </w:tcBorders>
                  <w:noWrap w:val="0"/>
                  <w:vAlign w:val="center"/>
                </w:tcPr>
                <w:p w14:paraId="7DC75120">
                  <w:pPr>
                    <w:keepNext/>
                    <w:keepLines/>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363" w:type="pct"/>
                  <w:tcBorders>
                    <w:tl2br w:val="nil"/>
                    <w:tr2bl w:val="nil"/>
                  </w:tcBorders>
                  <w:noWrap w:val="0"/>
                  <w:vAlign w:val="center"/>
                </w:tcPr>
                <w:p w14:paraId="6FEEF153">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277" w:type="pct"/>
                  <w:tcBorders>
                    <w:tl2br w:val="nil"/>
                    <w:tr2bl w:val="nil"/>
                  </w:tcBorders>
                  <w:noWrap w:val="0"/>
                  <w:vAlign w:val="center"/>
                </w:tcPr>
                <w:p w14:paraId="1A4F5DFB">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277" w:type="pct"/>
                  <w:tcBorders>
                    <w:tl2br w:val="nil"/>
                    <w:tr2bl w:val="nil"/>
                  </w:tcBorders>
                  <w:shd w:val="clear" w:color="auto" w:fill="auto"/>
                  <w:noWrap w:val="0"/>
                  <w:vAlign w:val="center"/>
                </w:tcPr>
                <w:p w14:paraId="6593305C">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w:t>
                  </w:r>
                </w:p>
              </w:tc>
              <w:tc>
                <w:tcPr>
                  <w:tcW w:w="528" w:type="pct"/>
                  <w:tcBorders>
                    <w:tl2br w:val="nil"/>
                    <w:tr2bl w:val="nil"/>
                  </w:tcBorders>
                  <w:noWrap w:val="0"/>
                  <w:vAlign w:val="center"/>
                </w:tcPr>
                <w:p w14:paraId="2A9CAF1F">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HW</w:t>
                  </w:r>
                  <w:r>
                    <w:rPr>
                      <w:rFonts w:hint="eastAsia" w:ascii="Times New Roman" w:hAnsi="Times New Roman" w:eastAsia="宋体" w:cs="Times New Roman"/>
                      <w:bCs/>
                      <w:color w:val="auto"/>
                      <w:sz w:val="21"/>
                      <w:szCs w:val="21"/>
                      <w:lang w:val="en-US" w:eastAsia="zh-CN"/>
                    </w:rPr>
                    <w:t>17</w:t>
                  </w:r>
                </w:p>
                <w:p w14:paraId="04E20B3C">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Cs/>
                      <w:color w:val="auto"/>
                      <w:sz w:val="21"/>
                      <w:szCs w:val="21"/>
                      <w:lang w:val="en-US" w:eastAsia="zh-CN"/>
                    </w:rPr>
                    <w:t>336-064-17</w:t>
                  </w:r>
                </w:p>
              </w:tc>
              <w:tc>
                <w:tcPr>
                  <w:tcW w:w="855" w:type="pct"/>
                  <w:gridSpan w:val="3"/>
                  <w:tcBorders>
                    <w:tl2br w:val="nil"/>
                    <w:tr2bl w:val="nil"/>
                  </w:tcBorders>
                  <w:noWrap w:val="0"/>
                  <w:vAlign w:val="center"/>
                </w:tcPr>
                <w:p w14:paraId="6B6BDCF1">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HW17 （336-064-17）</w:t>
                  </w:r>
                </w:p>
              </w:tc>
              <w:tc>
                <w:tcPr>
                  <w:tcW w:w="528" w:type="pct"/>
                  <w:tcBorders>
                    <w:tl2br w:val="nil"/>
                    <w:tr2bl w:val="nil"/>
                  </w:tcBorders>
                  <w:noWrap w:val="0"/>
                  <w:vAlign w:val="center"/>
                </w:tcPr>
                <w:p w14:paraId="6FCAB135">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rPr>
                    <w:t>HW0</w:t>
                  </w:r>
                  <w:r>
                    <w:rPr>
                      <w:rFonts w:hint="default" w:ascii="Times New Roman" w:hAnsi="Times New Roman" w:cs="Times New Roman"/>
                      <w:bCs/>
                      <w:color w:val="auto"/>
                      <w:sz w:val="21"/>
                      <w:szCs w:val="21"/>
                      <w:lang w:val="en-US" w:eastAsia="zh-CN"/>
                    </w:rPr>
                    <w:t>8</w:t>
                  </w:r>
                </w:p>
                <w:p w14:paraId="39C89F68">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Cs/>
                      <w:color w:val="auto"/>
                      <w:sz w:val="21"/>
                      <w:szCs w:val="21"/>
                      <w:lang w:val="en-US" w:eastAsia="zh-CN"/>
                    </w:rPr>
                    <w:t>900-</w:t>
                  </w:r>
                  <w:r>
                    <w:rPr>
                      <w:rFonts w:hint="eastAsia" w:ascii="Times New Roman" w:hAnsi="Times New Roman" w:eastAsia="宋体" w:cs="Times New Roman"/>
                      <w:bCs/>
                      <w:color w:val="auto"/>
                      <w:sz w:val="21"/>
                      <w:szCs w:val="21"/>
                      <w:lang w:val="en-US" w:eastAsia="zh-CN"/>
                    </w:rPr>
                    <w:t>218</w:t>
                  </w:r>
                  <w:r>
                    <w:rPr>
                      <w:rFonts w:hint="default" w:ascii="Times New Roman" w:hAnsi="Times New Roman" w:eastAsia="宋体" w:cs="Times New Roman"/>
                      <w:bCs/>
                      <w:color w:val="auto"/>
                      <w:sz w:val="21"/>
                      <w:szCs w:val="21"/>
                      <w:lang w:val="en-US" w:eastAsia="zh-CN"/>
                    </w:rPr>
                    <w:t>-08</w:t>
                  </w:r>
                </w:p>
              </w:tc>
              <w:tc>
                <w:tcPr>
                  <w:tcW w:w="1027" w:type="pct"/>
                  <w:gridSpan w:val="3"/>
                  <w:tcBorders>
                    <w:tl2br w:val="nil"/>
                    <w:tr2bl w:val="nil"/>
                  </w:tcBorders>
                  <w:noWrap w:val="0"/>
                  <w:vAlign w:val="center"/>
                </w:tcPr>
                <w:p w14:paraId="7BA922EC">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HW49</w:t>
                  </w:r>
                </w:p>
                <w:p w14:paraId="3A54D074">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900-041-49</w:t>
                  </w:r>
                </w:p>
              </w:tc>
            </w:tr>
            <w:tr w14:paraId="30E08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gridSpan w:val="2"/>
                  <w:tcBorders>
                    <w:tl2br w:val="nil"/>
                    <w:tr2bl w:val="nil"/>
                  </w:tcBorders>
                  <w:noWrap w:val="0"/>
                  <w:vAlign w:val="center"/>
                </w:tcPr>
                <w:p w14:paraId="4FA10A1F">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lang w:val="en-US"/>
                    </w:rPr>
                    <w:t>物理性状</w:t>
                  </w:r>
                </w:p>
              </w:tc>
              <w:tc>
                <w:tcPr>
                  <w:tcW w:w="1453" w:type="pct"/>
                  <w:gridSpan w:val="5"/>
                  <w:tcBorders>
                    <w:tl2br w:val="nil"/>
                    <w:tr2bl w:val="nil"/>
                  </w:tcBorders>
                  <w:noWrap w:val="0"/>
                  <w:vAlign w:val="center"/>
                </w:tcPr>
                <w:p w14:paraId="3C35C41B">
                  <w:pPr>
                    <w:pStyle w:val="175"/>
                    <w:keepNext/>
                    <w:keepLines/>
                    <w:pageBreakBefore w:val="0"/>
                    <w:kinsoku/>
                    <w:wordWrap/>
                    <w:overflowPunct/>
                    <w:topLinePunct w:val="0"/>
                    <w:autoSpaceDE/>
                    <w:autoSpaceDN/>
                    <w:bidi w:val="0"/>
                    <w:adjustRightInd/>
                    <w:snapToGrid/>
                    <w:spacing w:line="240" w:lineRule="auto"/>
                    <w:textAlignment w:val="auto"/>
                    <w:rPr>
                      <w:rFonts w:hint="eastAsia"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固态</w:t>
                  </w:r>
                </w:p>
              </w:tc>
              <w:tc>
                <w:tcPr>
                  <w:tcW w:w="528" w:type="pct"/>
                  <w:tcBorders>
                    <w:tl2br w:val="nil"/>
                    <w:tr2bl w:val="nil"/>
                  </w:tcBorders>
                  <w:noWrap w:val="0"/>
                  <w:vAlign w:val="center"/>
                </w:tcPr>
                <w:p w14:paraId="2173BC2A">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固态</w:t>
                  </w:r>
                </w:p>
              </w:tc>
              <w:tc>
                <w:tcPr>
                  <w:tcW w:w="320" w:type="pct"/>
                  <w:tcBorders>
                    <w:tl2br w:val="nil"/>
                    <w:tr2bl w:val="nil"/>
                  </w:tcBorders>
                  <w:noWrap w:val="0"/>
                  <w:vAlign w:val="center"/>
                </w:tcPr>
                <w:p w14:paraId="4488FAB0">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固态</w:t>
                  </w:r>
                </w:p>
              </w:tc>
              <w:tc>
                <w:tcPr>
                  <w:tcW w:w="320" w:type="pct"/>
                  <w:tcBorders>
                    <w:tl2br w:val="nil"/>
                    <w:tr2bl w:val="nil"/>
                  </w:tcBorders>
                  <w:noWrap w:val="0"/>
                  <w:vAlign w:val="center"/>
                </w:tcPr>
                <w:p w14:paraId="584CFACE">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液态</w:t>
                  </w:r>
                </w:p>
              </w:tc>
              <w:tc>
                <w:tcPr>
                  <w:tcW w:w="213" w:type="pct"/>
                  <w:tcBorders>
                    <w:tl2br w:val="nil"/>
                    <w:tr2bl w:val="nil"/>
                  </w:tcBorders>
                  <w:noWrap w:val="0"/>
                  <w:vAlign w:val="center"/>
                </w:tcPr>
                <w:p w14:paraId="501CB596">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液态</w:t>
                  </w:r>
                </w:p>
              </w:tc>
              <w:tc>
                <w:tcPr>
                  <w:tcW w:w="528" w:type="pct"/>
                  <w:tcBorders>
                    <w:tl2br w:val="nil"/>
                    <w:tr2bl w:val="nil"/>
                  </w:tcBorders>
                  <w:noWrap w:val="0"/>
                  <w:vAlign w:val="center"/>
                </w:tcPr>
                <w:p w14:paraId="0741D5D0">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液态</w:t>
                  </w:r>
                </w:p>
              </w:tc>
              <w:tc>
                <w:tcPr>
                  <w:tcW w:w="1027" w:type="pct"/>
                  <w:gridSpan w:val="3"/>
                  <w:tcBorders>
                    <w:tl2br w:val="nil"/>
                    <w:tr2bl w:val="nil"/>
                  </w:tcBorders>
                  <w:noWrap w:val="0"/>
                  <w:vAlign w:val="center"/>
                </w:tcPr>
                <w:p w14:paraId="320EF0AB">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固态</w:t>
                  </w:r>
                </w:p>
              </w:tc>
            </w:tr>
            <w:tr w14:paraId="301AA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gridSpan w:val="2"/>
                  <w:tcBorders>
                    <w:tl2br w:val="nil"/>
                    <w:tr2bl w:val="nil"/>
                  </w:tcBorders>
                  <w:noWrap w:val="0"/>
                  <w:vAlign w:val="center"/>
                </w:tcPr>
                <w:p w14:paraId="2270FEA7">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lang w:val="en-US"/>
                    </w:rPr>
                    <w:t>环境危险特性</w:t>
                  </w:r>
                </w:p>
              </w:tc>
              <w:tc>
                <w:tcPr>
                  <w:tcW w:w="298" w:type="pct"/>
                  <w:tcBorders>
                    <w:tl2br w:val="nil"/>
                    <w:tr2bl w:val="nil"/>
                  </w:tcBorders>
                  <w:noWrap w:val="0"/>
                  <w:vAlign w:val="center"/>
                </w:tcPr>
                <w:p w14:paraId="50E5001E">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234" w:type="pct"/>
                  <w:tcBorders>
                    <w:tl2br w:val="nil"/>
                    <w:tr2bl w:val="nil"/>
                  </w:tcBorders>
                  <w:noWrap w:val="0"/>
                  <w:vAlign w:val="center"/>
                </w:tcPr>
                <w:p w14:paraId="77A44981">
                  <w:pPr>
                    <w:keepNext/>
                    <w:keepLines/>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363" w:type="pct"/>
                  <w:tcBorders>
                    <w:tl2br w:val="nil"/>
                    <w:tr2bl w:val="nil"/>
                  </w:tcBorders>
                  <w:noWrap w:val="0"/>
                  <w:vAlign w:val="center"/>
                </w:tcPr>
                <w:p w14:paraId="24AAE603">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77" w:type="pct"/>
                  <w:tcBorders>
                    <w:tl2br w:val="nil"/>
                    <w:tr2bl w:val="nil"/>
                  </w:tcBorders>
                  <w:noWrap w:val="0"/>
                  <w:vAlign w:val="center"/>
                </w:tcPr>
                <w:p w14:paraId="21CE788A">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c>
                <w:tcPr>
                  <w:tcW w:w="277" w:type="pct"/>
                  <w:tcBorders>
                    <w:tl2br w:val="nil"/>
                    <w:tr2bl w:val="nil"/>
                  </w:tcBorders>
                  <w:shd w:val="clear" w:color="auto" w:fill="auto"/>
                  <w:noWrap w:val="0"/>
                  <w:vAlign w:val="center"/>
                </w:tcPr>
                <w:p w14:paraId="7DE1D7ED">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w:t>
                  </w:r>
                </w:p>
              </w:tc>
              <w:tc>
                <w:tcPr>
                  <w:tcW w:w="2938" w:type="pct"/>
                  <w:gridSpan w:val="8"/>
                  <w:tcBorders>
                    <w:tl2br w:val="nil"/>
                    <w:tr2bl w:val="nil"/>
                  </w:tcBorders>
                  <w:noWrap w:val="0"/>
                  <w:vAlign w:val="center"/>
                </w:tcPr>
                <w:p w14:paraId="40073D8A">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T/In（毒性/感染性）</w:t>
                  </w:r>
                </w:p>
              </w:tc>
            </w:tr>
            <w:tr w14:paraId="4FFC0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gridSpan w:val="2"/>
                  <w:tcBorders>
                    <w:tl2br w:val="nil"/>
                    <w:tr2bl w:val="nil"/>
                  </w:tcBorders>
                  <w:noWrap w:val="0"/>
                  <w:vAlign w:val="center"/>
                </w:tcPr>
                <w:p w14:paraId="15B80DD0">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rPr>
                    <w:t>产生量（t/a）</w:t>
                  </w:r>
                </w:p>
              </w:tc>
              <w:tc>
                <w:tcPr>
                  <w:tcW w:w="298" w:type="pct"/>
                  <w:tcBorders>
                    <w:tl2br w:val="nil"/>
                    <w:tr2bl w:val="nil"/>
                  </w:tcBorders>
                  <w:noWrap w:val="0"/>
                  <w:vAlign w:val="center"/>
                </w:tcPr>
                <w:p w14:paraId="5494C9EB">
                  <w:pPr>
                    <w:pStyle w:val="175"/>
                    <w:keepNext/>
                    <w:keepLines/>
                    <w:pageBreakBefore w:val="0"/>
                    <w:kinsoku/>
                    <w:wordWrap/>
                    <w:overflowPunct/>
                    <w:topLinePunct w:val="0"/>
                    <w:autoSpaceDE/>
                    <w:autoSpaceDN/>
                    <w:bidi w:val="0"/>
                    <w:adjustRightInd/>
                    <w:snapToGrid/>
                    <w:spacing w:line="240" w:lineRule="auto"/>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p w14:paraId="0F217472">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802</w:t>
                  </w:r>
                </w:p>
              </w:tc>
              <w:tc>
                <w:tcPr>
                  <w:tcW w:w="234" w:type="pct"/>
                  <w:tcBorders>
                    <w:tl2br w:val="nil"/>
                    <w:tr2bl w:val="nil"/>
                  </w:tcBorders>
                  <w:noWrap w:val="0"/>
                  <w:vAlign w:val="center"/>
                </w:tcPr>
                <w:p w14:paraId="23EAB98A">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3.2</w:t>
                  </w:r>
                </w:p>
              </w:tc>
              <w:tc>
                <w:tcPr>
                  <w:tcW w:w="363" w:type="pct"/>
                  <w:tcBorders>
                    <w:tl2br w:val="nil"/>
                    <w:tr2bl w:val="nil"/>
                  </w:tcBorders>
                  <w:noWrap w:val="0"/>
                  <w:vAlign w:val="center"/>
                </w:tcPr>
                <w:p w14:paraId="32C6CBE9">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4.738</w:t>
                  </w:r>
                </w:p>
              </w:tc>
              <w:tc>
                <w:tcPr>
                  <w:tcW w:w="277" w:type="pct"/>
                  <w:tcBorders>
                    <w:tl2br w:val="nil"/>
                    <w:tr2bl w:val="nil"/>
                  </w:tcBorders>
                  <w:noWrap w:val="0"/>
                  <w:vAlign w:val="center"/>
                </w:tcPr>
                <w:p w14:paraId="4CD5827C">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r>
                    <w:rPr>
                      <w:rFonts w:hint="eastAsia" w:cs="Times New Roman"/>
                      <w:b w:val="0"/>
                      <w:bCs/>
                      <w:color w:val="auto"/>
                      <w:sz w:val="21"/>
                      <w:szCs w:val="21"/>
                      <w:lang w:val="en-US" w:eastAsia="zh-CN"/>
                    </w:rPr>
                    <w:t>07</w:t>
                  </w:r>
                </w:p>
              </w:tc>
              <w:tc>
                <w:tcPr>
                  <w:tcW w:w="277" w:type="pct"/>
                  <w:tcBorders>
                    <w:tl2br w:val="nil"/>
                    <w:tr2bl w:val="nil"/>
                  </w:tcBorders>
                  <w:noWrap w:val="0"/>
                  <w:vAlign w:val="center"/>
                </w:tcPr>
                <w:p w14:paraId="363C111F">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0.06</w:t>
                  </w:r>
                </w:p>
              </w:tc>
              <w:tc>
                <w:tcPr>
                  <w:tcW w:w="528" w:type="pct"/>
                  <w:tcBorders>
                    <w:tl2br w:val="nil"/>
                    <w:tr2bl w:val="nil"/>
                  </w:tcBorders>
                  <w:noWrap w:val="0"/>
                  <w:vAlign w:val="center"/>
                </w:tcPr>
                <w:p w14:paraId="3E51E4C3">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2.18</w:t>
                  </w:r>
                </w:p>
              </w:tc>
              <w:tc>
                <w:tcPr>
                  <w:tcW w:w="320" w:type="pct"/>
                  <w:tcBorders>
                    <w:tl2br w:val="nil"/>
                    <w:tr2bl w:val="nil"/>
                  </w:tcBorders>
                  <w:noWrap w:val="0"/>
                  <w:vAlign w:val="center"/>
                </w:tcPr>
                <w:p w14:paraId="5F9B6874">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0.012</w:t>
                  </w:r>
                </w:p>
              </w:tc>
              <w:tc>
                <w:tcPr>
                  <w:tcW w:w="320" w:type="pct"/>
                  <w:tcBorders>
                    <w:tl2br w:val="nil"/>
                    <w:tr2bl w:val="nil"/>
                  </w:tcBorders>
                  <w:noWrap w:val="0"/>
                  <w:vAlign w:val="center"/>
                </w:tcPr>
                <w:p w14:paraId="3389ADEC">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35.44</w:t>
                  </w:r>
                </w:p>
              </w:tc>
              <w:tc>
                <w:tcPr>
                  <w:tcW w:w="213" w:type="pct"/>
                  <w:tcBorders>
                    <w:tl2br w:val="nil"/>
                    <w:tr2bl w:val="nil"/>
                  </w:tcBorders>
                  <w:noWrap w:val="0"/>
                  <w:vAlign w:val="center"/>
                </w:tcPr>
                <w:p w14:paraId="4096C367">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30</w:t>
                  </w:r>
                </w:p>
              </w:tc>
              <w:tc>
                <w:tcPr>
                  <w:tcW w:w="528" w:type="pct"/>
                  <w:tcBorders>
                    <w:tl2br w:val="nil"/>
                    <w:tr2bl w:val="nil"/>
                  </w:tcBorders>
                  <w:noWrap w:val="0"/>
                  <w:vAlign w:val="center"/>
                </w:tcPr>
                <w:p w14:paraId="3986590C">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0.02</w:t>
                  </w:r>
                </w:p>
              </w:tc>
              <w:tc>
                <w:tcPr>
                  <w:tcW w:w="299" w:type="pct"/>
                  <w:tcBorders>
                    <w:tl2br w:val="nil"/>
                    <w:tr2bl w:val="nil"/>
                  </w:tcBorders>
                  <w:noWrap w:val="0"/>
                  <w:vAlign w:val="center"/>
                </w:tcPr>
                <w:p w14:paraId="3EA78401">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7.64</w:t>
                  </w:r>
                </w:p>
              </w:tc>
              <w:tc>
                <w:tcPr>
                  <w:tcW w:w="363" w:type="pct"/>
                  <w:tcBorders>
                    <w:tl2br w:val="nil"/>
                    <w:tr2bl w:val="nil"/>
                  </w:tcBorders>
                  <w:noWrap w:val="0"/>
                  <w:vAlign w:val="center"/>
                </w:tcPr>
                <w:p w14:paraId="30ECC09C">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0.0012</w:t>
                  </w:r>
                </w:p>
              </w:tc>
              <w:tc>
                <w:tcPr>
                  <w:tcW w:w="363" w:type="pct"/>
                  <w:tcBorders>
                    <w:tl2br w:val="nil"/>
                    <w:tr2bl w:val="nil"/>
                  </w:tcBorders>
                  <w:noWrap w:val="0"/>
                  <w:vAlign w:val="center"/>
                </w:tcPr>
                <w:p w14:paraId="102FB662">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0.00</w:t>
                  </w:r>
                  <w:r>
                    <w:rPr>
                      <w:rFonts w:hint="eastAsia" w:ascii="Times New Roman" w:hAnsi="Times New Roman" w:cs="Times New Roman"/>
                      <w:b w:val="0"/>
                      <w:bCs/>
                      <w:color w:val="auto"/>
                      <w:sz w:val="21"/>
                      <w:szCs w:val="21"/>
                      <w:lang w:val="en-US" w:eastAsia="zh-CN"/>
                    </w:rPr>
                    <w:t>02</w:t>
                  </w:r>
                </w:p>
              </w:tc>
            </w:tr>
            <w:tr w14:paraId="1E1A3F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gridSpan w:val="2"/>
                  <w:tcBorders>
                    <w:tl2br w:val="nil"/>
                    <w:tr2bl w:val="nil"/>
                  </w:tcBorders>
                  <w:noWrap w:val="0"/>
                  <w:vAlign w:val="center"/>
                </w:tcPr>
                <w:p w14:paraId="006F8E83">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贮存方式</w:t>
                  </w:r>
                </w:p>
              </w:tc>
              <w:tc>
                <w:tcPr>
                  <w:tcW w:w="298" w:type="pct"/>
                  <w:tcBorders>
                    <w:tl2br w:val="nil"/>
                    <w:tr2bl w:val="nil"/>
                  </w:tcBorders>
                  <w:noWrap w:val="0"/>
                  <w:vAlign w:val="center"/>
                </w:tcPr>
                <w:p w14:paraId="5888B13C">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托架+托盘</w:t>
                  </w:r>
                </w:p>
              </w:tc>
              <w:tc>
                <w:tcPr>
                  <w:tcW w:w="234" w:type="pct"/>
                  <w:tcBorders>
                    <w:tl2br w:val="nil"/>
                    <w:tr2bl w:val="nil"/>
                  </w:tcBorders>
                  <w:noWrap w:val="0"/>
                  <w:vAlign w:val="center"/>
                </w:tcPr>
                <w:p w14:paraId="5C521823">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363" w:type="pct"/>
                  <w:tcBorders>
                    <w:tl2br w:val="nil"/>
                    <w:tr2bl w:val="nil"/>
                  </w:tcBorders>
                  <w:noWrap w:val="0"/>
                  <w:vAlign w:val="center"/>
                </w:tcPr>
                <w:p w14:paraId="01592024">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277" w:type="pct"/>
                  <w:tcBorders>
                    <w:tl2br w:val="nil"/>
                    <w:tr2bl w:val="nil"/>
                  </w:tcBorders>
                  <w:noWrap w:val="0"/>
                  <w:vAlign w:val="center"/>
                </w:tcPr>
                <w:p w14:paraId="2AA8006B">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277" w:type="pct"/>
                  <w:tcBorders>
                    <w:tl2br w:val="nil"/>
                    <w:tr2bl w:val="nil"/>
                  </w:tcBorders>
                  <w:noWrap w:val="0"/>
                  <w:vAlign w:val="center"/>
                </w:tcPr>
                <w:p w14:paraId="26747B8B">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1911" w:type="pct"/>
                  <w:gridSpan w:val="5"/>
                  <w:tcBorders>
                    <w:tl2br w:val="nil"/>
                    <w:tr2bl w:val="nil"/>
                  </w:tcBorders>
                  <w:noWrap w:val="0"/>
                  <w:vAlign w:val="center"/>
                </w:tcPr>
                <w:p w14:paraId="3081B5C6">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密闭</w:t>
                  </w:r>
                  <w:r>
                    <w:rPr>
                      <w:rFonts w:hint="default" w:ascii="Times New Roman" w:hAnsi="Times New Roman" w:cs="Times New Roman"/>
                      <w:b w:val="0"/>
                      <w:bCs/>
                      <w:color w:val="auto"/>
                      <w:sz w:val="21"/>
                      <w:szCs w:val="21"/>
                      <w:lang w:val="en-US" w:eastAsia="zh-CN"/>
                    </w:rPr>
                    <w:t>桶装</w:t>
                  </w:r>
                </w:p>
              </w:tc>
              <w:tc>
                <w:tcPr>
                  <w:tcW w:w="299" w:type="pct"/>
                  <w:tcBorders>
                    <w:tl2br w:val="nil"/>
                    <w:tr2bl w:val="nil"/>
                  </w:tcBorders>
                  <w:noWrap w:val="0"/>
                  <w:vAlign w:val="center"/>
                </w:tcPr>
                <w:p w14:paraId="5D1331B1">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托盘</w:t>
                  </w:r>
                </w:p>
              </w:tc>
              <w:tc>
                <w:tcPr>
                  <w:tcW w:w="363" w:type="pct"/>
                  <w:tcBorders>
                    <w:tl2br w:val="nil"/>
                    <w:tr2bl w:val="nil"/>
                  </w:tcBorders>
                  <w:noWrap w:val="0"/>
                  <w:vAlign w:val="center"/>
                </w:tcPr>
                <w:p w14:paraId="794C408D">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托盘</w:t>
                  </w:r>
                </w:p>
              </w:tc>
              <w:tc>
                <w:tcPr>
                  <w:tcW w:w="363" w:type="pct"/>
                  <w:tcBorders>
                    <w:tl2br w:val="nil"/>
                    <w:tr2bl w:val="nil"/>
                  </w:tcBorders>
                  <w:noWrap w:val="0"/>
                  <w:vAlign w:val="center"/>
                </w:tcPr>
                <w:p w14:paraId="717FEFE0">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桶装</w:t>
                  </w:r>
                </w:p>
              </w:tc>
            </w:tr>
            <w:tr w14:paraId="36B7B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restart"/>
                  <w:tcBorders>
                    <w:tl2br w:val="nil"/>
                    <w:tr2bl w:val="nil"/>
                  </w:tcBorders>
                  <w:noWrap w:val="0"/>
                  <w:vAlign w:val="center"/>
                </w:tcPr>
                <w:p w14:paraId="411AB346">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利用处置方式和去向</w:t>
                  </w:r>
                  <w:r>
                    <w:rPr>
                      <w:rFonts w:hint="default" w:ascii="Times New Roman" w:hAnsi="Times New Roman" w:cs="Times New Roman"/>
                      <w:bCs/>
                      <w:color w:val="auto"/>
                      <w:sz w:val="21"/>
                      <w:szCs w:val="21"/>
                    </w:rPr>
                    <w:t>（t/a）</w:t>
                  </w:r>
                </w:p>
              </w:tc>
              <w:tc>
                <w:tcPr>
                  <w:tcW w:w="213" w:type="pct"/>
                  <w:tcBorders>
                    <w:tl2br w:val="nil"/>
                    <w:tr2bl w:val="nil"/>
                  </w:tcBorders>
                  <w:noWrap w:val="0"/>
                  <w:vAlign w:val="center"/>
                </w:tcPr>
                <w:p w14:paraId="2256704A">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自行贮存量</w:t>
                  </w:r>
                </w:p>
              </w:tc>
              <w:tc>
                <w:tcPr>
                  <w:tcW w:w="298" w:type="pct"/>
                  <w:tcBorders>
                    <w:tl2br w:val="nil"/>
                    <w:tr2bl w:val="nil"/>
                  </w:tcBorders>
                  <w:noWrap w:val="0"/>
                  <w:vAlign w:val="center"/>
                </w:tcPr>
                <w:p w14:paraId="7EF6BF19">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rPr>
                    <w:t>0</w:t>
                  </w:r>
                </w:p>
              </w:tc>
              <w:tc>
                <w:tcPr>
                  <w:tcW w:w="234" w:type="pct"/>
                  <w:tcBorders>
                    <w:tl2br w:val="nil"/>
                    <w:tr2bl w:val="nil"/>
                  </w:tcBorders>
                  <w:noWrap w:val="0"/>
                  <w:vAlign w:val="center"/>
                </w:tcPr>
                <w:p w14:paraId="04D36121">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63" w:type="pct"/>
                  <w:tcBorders>
                    <w:tl2br w:val="nil"/>
                    <w:tr2bl w:val="nil"/>
                  </w:tcBorders>
                  <w:noWrap w:val="0"/>
                  <w:vAlign w:val="center"/>
                </w:tcPr>
                <w:p w14:paraId="052F2BE7">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277" w:type="pct"/>
                  <w:tcBorders>
                    <w:tl2br w:val="nil"/>
                    <w:tr2bl w:val="nil"/>
                  </w:tcBorders>
                  <w:noWrap w:val="0"/>
                  <w:vAlign w:val="center"/>
                </w:tcPr>
                <w:p w14:paraId="6D743A33">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tc>
              <w:tc>
                <w:tcPr>
                  <w:tcW w:w="277" w:type="pct"/>
                  <w:tcBorders>
                    <w:tl2br w:val="nil"/>
                    <w:tr2bl w:val="nil"/>
                  </w:tcBorders>
                  <w:noWrap w:val="0"/>
                  <w:vAlign w:val="center"/>
                </w:tcPr>
                <w:p w14:paraId="695C4F94">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528" w:type="pct"/>
                  <w:tcBorders>
                    <w:tl2br w:val="nil"/>
                    <w:tr2bl w:val="nil"/>
                  </w:tcBorders>
                  <w:noWrap w:val="0"/>
                  <w:vAlign w:val="center"/>
                </w:tcPr>
                <w:p w14:paraId="23849355">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20" w:type="pct"/>
                  <w:tcBorders>
                    <w:tl2br w:val="nil"/>
                    <w:tr2bl w:val="nil"/>
                  </w:tcBorders>
                  <w:noWrap w:val="0"/>
                  <w:vAlign w:val="center"/>
                </w:tcPr>
                <w:p w14:paraId="69807004">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20" w:type="pct"/>
                  <w:tcBorders>
                    <w:tl2br w:val="nil"/>
                    <w:tr2bl w:val="nil"/>
                  </w:tcBorders>
                  <w:noWrap w:val="0"/>
                  <w:vAlign w:val="center"/>
                </w:tcPr>
                <w:p w14:paraId="15453264">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213" w:type="pct"/>
                  <w:tcBorders>
                    <w:tl2br w:val="nil"/>
                    <w:tr2bl w:val="nil"/>
                  </w:tcBorders>
                  <w:noWrap w:val="0"/>
                  <w:vAlign w:val="center"/>
                </w:tcPr>
                <w:p w14:paraId="5DCD801B">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528" w:type="pct"/>
                  <w:tcBorders>
                    <w:tl2br w:val="nil"/>
                    <w:tr2bl w:val="nil"/>
                  </w:tcBorders>
                  <w:noWrap w:val="0"/>
                  <w:vAlign w:val="center"/>
                </w:tcPr>
                <w:p w14:paraId="6982FE61">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299" w:type="pct"/>
                  <w:tcBorders>
                    <w:tl2br w:val="nil"/>
                    <w:tr2bl w:val="nil"/>
                  </w:tcBorders>
                  <w:noWrap w:val="0"/>
                  <w:vAlign w:val="center"/>
                </w:tcPr>
                <w:p w14:paraId="3278AA14">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63" w:type="pct"/>
                  <w:tcBorders>
                    <w:tl2br w:val="nil"/>
                    <w:tr2bl w:val="nil"/>
                  </w:tcBorders>
                  <w:noWrap w:val="0"/>
                  <w:vAlign w:val="center"/>
                </w:tcPr>
                <w:p w14:paraId="115E7901">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63" w:type="pct"/>
                  <w:tcBorders>
                    <w:tl2br w:val="nil"/>
                    <w:tr2bl w:val="nil"/>
                  </w:tcBorders>
                  <w:noWrap w:val="0"/>
                  <w:vAlign w:val="center"/>
                </w:tcPr>
                <w:p w14:paraId="6B6EFE4C">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r>
            <w:tr w14:paraId="59EA1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noWrap w:val="0"/>
                  <w:vAlign w:val="center"/>
                </w:tcPr>
                <w:p w14:paraId="011F16C7">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p>
              </w:tc>
              <w:tc>
                <w:tcPr>
                  <w:tcW w:w="213" w:type="pct"/>
                  <w:tcBorders>
                    <w:tl2br w:val="nil"/>
                    <w:tr2bl w:val="nil"/>
                  </w:tcBorders>
                  <w:noWrap w:val="0"/>
                  <w:vAlign w:val="center"/>
                </w:tcPr>
                <w:p w14:paraId="6600CE5F">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自行利用量</w:t>
                  </w:r>
                </w:p>
              </w:tc>
              <w:tc>
                <w:tcPr>
                  <w:tcW w:w="298" w:type="pct"/>
                  <w:tcBorders>
                    <w:tl2br w:val="nil"/>
                    <w:tr2bl w:val="nil"/>
                  </w:tcBorders>
                  <w:noWrap w:val="0"/>
                  <w:vAlign w:val="center"/>
                </w:tcPr>
                <w:p w14:paraId="3710342F">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rPr>
                    <w:t>0</w:t>
                  </w:r>
                </w:p>
              </w:tc>
              <w:tc>
                <w:tcPr>
                  <w:tcW w:w="234" w:type="pct"/>
                  <w:tcBorders>
                    <w:tl2br w:val="nil"/>
                    <w:tr2bl w:val="nil"/>
                  </w:tcBorders>
                  <w:noWrap w:val="0"/>
                  <w:vAlign w:val="center"/>
                </w:tcPr>
                <w:p w14:paraId="4126287A">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63" w:type="pct"/>
                  <w:tcBorders>
                    <w:tl2br w:val="nil"/>
                    <w:tr2bl w:val="nil"/>
                  </w:tcBorders>
                  <w:noWrap w:val="0"/>
                  <w:vAlign w:val="center"/>
                </w:tcPr>
                <w:p w14:paraId="52DDE3D7">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277" w:type="pct"/>
                  <w:tcBorders>
                    <w:tl2br w:val="nil"/>
                    <w:tr2bl w:val="nil"/>
                  </w:tcBorders>
                  <w:noWrap w:val="0"/>
                  <w:vAlign w:val="center"/>
                </w:tcPr>
                <w:p w14:paraId="75E75661">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tc>
              <w:tc>
                <w:tcPr>
                  <w:tcW w:w="277" w:type="pct"/>
                  <w:tcBorders>
                    <w:tl2br w:val="nil"/>
                    <w:tr2bl w:val="nil"/>
                  </w:tcBorders>
                  <w:noWrap w:val="0"/>
                  <w:vAlign w:val="center"/>
                </w:tcPr>
                <w:p w14:paraId="4E9B6F34">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528" w:type="pct"/>
                  <w:tcBorders>
                    <w:tl2br w:val="nil"/>
                    <w:tr2bl w:val="nil"/>
                  </w:tcBorders>
                  <w:noWrap w:val="0"/>
                  <w:vAlign w:val="center"/>
                </w:tcPr>
                <w:p w14:paraId="0DE2718C">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20" w:type="pct"/>
                  <w:tcBorders>
                    <w:tl2br w:val="nil"/>
                    <w:tr2bl w:val="nil"/>
                  </w:tcBorders>
                  <w:noWrap w:val="0"/>
                  <w:vAlign w:val="center"/>
                </w:tcPr>
                <w:p w14:paraId="6E22F30B">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20" w:type="pct"/>
                  <w:tcBorders>
                    <w:tl2br w:val="nil"/>
                    <w:tr2bl w:val="nil"/>
                  </w:tcBorders>
                  <w:noWrap w:val="0"/>
                  <w:vAlign w:val="center"/>
                </w:tcPr>
                <w:p w14:paraId="666B251D">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213" w:type="pct"/>
                  <w:tcBorders>
                    <w:tl2br w:val="nil"/>
                    <w:tr2bl w:val="nil"/>
                  </w:tcBorders>
                  <w:noWrap w:val="0"/>
                  <w:vAlign w:val="center"/>
                </w:tcPr>
                <w:p w14:paraId="3CE083F5">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528" w:type="pct"/>
                  <w:tcBorders>
                    <w:tl2br w:val="nil"/>
                    <w:tr2bl w:val="nil"/>
                  </w:tcBorders>
                  <w:noWrap w:val="0"/>
                  <w:vAlign w:val="center"/>
                </w:tcPr>
                <w:p w14:paraId="06595ED1">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299" w:type="pct"/>
                  <w:tcBorders>
                    <w:tl2br w:val="nil"/>
                    <w:tr2bl w:val="nil"/>
                  </w:tcBorders>
                  <w:noWrap w:val="0"/>
                  <w:vAlign w:val="center"/>
                </w:tcPr>
                <w:p w14:paraId="553DCFE3">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63" w:type="pct"/>
                  <w:tcBorders>
                    <w:tl2br w:val="nil"/>
                    <w:tr2bl w:val="nil"/>
                  </w:tcBorders>
                  <w:noWrap w:val="0"/>
                  <w:vAlign w:val="center"/>
                </w:tcPr>
                <w:p w14:paraId="22799FFA">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63" w:type="pct"/>
                  <w:tcBorders>
                    <w:tl2br w:val="nil"/>
                    <w:tr2bl w:val="nil"/>
                  </w:tcBorders>
                  <w:noWrap w:val="0"/>
                  <w:vAlign w:val="center"/>
                </w:tcPr>
                <w:p w14:paraId="24D4B986">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r>
            <w:tr w14:paraId="58732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noWrap w:val="0"/>
                  <w:vAlign w:val="center"/>
                </w:tcPr>
                <w:p w14:paraId="1F4F1215">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p>
              </w:tc>
              <w:tc>
                <w:tcPr>
                  <w:tcW w:w="213" w:type="pct"/>
                  <w:tcBorders>
                    <w:tl2br w:val="nil"/>
                    <w:tr2bl w:val="nil"/>
                  </w:tcBorders>
                  <w:noWrap w:val="0"/>
                  <w:vAlign w:val="center"/>
                </w:tcPr>
                <w:p w14:paraId="058ED1A2">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自行处置量</w:t>
                  </w:r>
                </w:p>
              </w:tc>
              <w:tc>
                <w:tcPr>
                  <w:tcW w:w="298" w:type="pct"/>
                  <w:tcBorders>
                    <w:tl2br w:val="nil"/>
                    <w:tr2bl w:val="nil"/>
                  </w:tcBorders>
                  <w:noWrap w:val="0"/>
                  <w:vAlign w:val="center"/>
                </w:tcPr>
                <w:p w14:paraId="06F7516A">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rPr>
                    <w:t>0</w:t>
                  </w:r>
                </w:p>
              </w:tc>
              <w:tc>
                <w:tcPr>
                  <w:tcW w:w="234" w:type="pct"/>
                  <w:tcBorders>
                    <w:tl2br w:val="nil"/>
                    <w:tr2bl w:val="nil"/>
                  </w:tcBorders>
                  <w:noWrap w:val="0"/>
                  <w:vAlign w:val="center"/>
                </w:tcPr>
                <w:p w14:paraId="5CDB000B">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63" w:type="pct"/>
                  <w:tcBorders>
                    <w:tl2br w:val="nil"/>
                    <w:tr2bl w:val="nil"/>
                  </w:tcBorders>
                  <w:noWrap w:val="0"/>
                  <w:vAlign w:val="center"/>
                </w:tcPr>
                <w:p w14:paraId="6FD6964A">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277" w:type="pct"/>
                  <w:tcBorders>
                    <w:tl2br w:val="nil"/>
                    <w:tr2bl w:val="nil"/>
                  </w:tcBorders>
                  <w:noWrap w:val="0"/>
                  <w:vAlign w:val="center"/>
                </w:tcPr>
                <w:p w14:paraId="730C2F31">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tc>
              <w:tc>
                <w:tcPr>
                  <w:tcW w:w="277" w:type="pct"/>
                  <w:tcBorders>
                    <w:tl2br w:val="nil"/>
                    <w:tr2bl w:val="nil"/>
                  </w:tcBorders>
                  <w:noWrap w:val="0"/>
                  <w:vAlign w:val="center"/>
                </w:tcPr>
                <w:p w14:paraId="6D1CF506">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528" w:type="pct"/>
                  <w:tcBorders>
                    <w:tl2br w:val="nil"/>
                    <w:tr2bl w:val="nil"/>
                  </w:tcBorders>
                  <w:noWrap w:val="0"/>
                  <w:vAlign w:val="center"/>
                </w:tcPr>
                <w:p w14:paraId="41ADF4FA">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20" w:type="pct"/>
                  <w:tcBorders>
                    <w:tl2br w:val="nil"/>
                    <w:tr2bl w:val="nil"/>
                  </w:tcBorders>
                  <w:noWrap w:val="0"/>
                  <w:vAlign w:val="center"/>
                </w:tcPr>
                <w:p w14:paraId="14599C74">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20" w:type="pct"/>
                  <w:tcBorders>
                    <w:tl2br w:val="nil"/>
                    <w:tr2bl w:val="nil"/>
                  </w:tcBorders>
                  <w:noWrap w:val="0"/>
                  <w:vAlign w:val="center"/>
                </w:tcPr>
                <w:p w14:paraId="3D11ED0F">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213" w:type="pct"/>
                  <w:tcBorders>
                    <w:tl2br w:val="nil"/>
                    <w:tr2bl w:val="nil"/>
                  </w:tcBorders>
                  <w:noWrap w:val="0"/>
                  <w:vAlign w:val="center"/>
                </w:tcPr>
                <w:p w14:paraId="4F4789F8">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528" w:type="pct"/>
                  <w:tcBorders>
                    <w:tl2br w:val="nil"/>
                    <w:tr2bl w:val="nil"/>
                  </w:tcBorders>
                  <w:noWrap w:val="0"/>
                  <w:vAlign w:val="center"/>
                </w:tcPr>
                <w:p w14:paraId="5F29AB4B">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299" w:type="pct"/>
                  <w:tcBorders>
                    <w:tl2br w:val="nil"/>
                    <w:tr2bl w:val="nil"/>
                  </w:tcBorders>
                  <w:noWrap w:val="0"/>
                  <w:vAlign w:val="center"/>
                </w:tcPr>
                <w:p w14:paraId="24447D5F">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63" w:type="pct"/>
                  <w:tcBorders>
                    <w:tl2br w:val="nil"/>
                    <w:tr2bl w:val="nil"/>
                  </w:tcBorders>
                  <w:noWrap w:val="0"/>
                  <w:vAlign w:val="center"/>
                </w:tcPr>
                <w:p w14:paraId="49321CC5">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63" w:type="pct"/>
                  <w:tcBorders>
                    <w:tl2br w:val="nil"/>
                    <w:tr2bl w:val="nil"/>
                  </w:tcBorders>
                  <w:noWrap w:val="0"/>
                  <w:vAlign w:val="center"/>
                </w:tcPr>
                <w:p w14:paraId="03ABB103">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r>
            <w:tr w14:paraId="51CF4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noWrap w:val="0"/>
                  <w:vAlign w:val="center"/>
                </w:tcPr>
                <w:p w14:paraId="095F5A19">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p>
              </w:tc>
              <w:tc>
                <w:tcPr>
                  <w:tcW w:w="213" w:type="pct"/>
                  <w:tcBorders>
                    <w:tl2br w:val="nil"/>
                    <w:tr2bl w:val="nil"/>
                  </w:tcBorders>
                  <w:noWrap w:val="0"/>
                  <w:vAlign w:val="center"/>
                </w:tcPr>
                <w:p w14:paraId="01AC4C58">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委托利用量</w:t>
                  </w:r>
                </w:p>
              </w:tc>
              <w:tc>
                <w:tcPr>
                  <w:tcW w:w="298" w:type="pct"/>
                  <w:tcBorders>
                    <w:tl2br w:val="nil"/>
                    <w:tr2bl w:val="nil"/>
                  </w:tcBorders>
                  <w:noWrap w:val="0"/>
                  <w:vAlign w:val="center"/>
                </w:tcPr>
                <w:p w14:paraId="16F7F6E7">
                  <w:pPr>
                    <w:pStyle w:val="175"/>
                    <w:keepNext/>
                    <w:keepLines/>
                    <w:pageBreakBefore w:val="0"/>
                    <w:kinsoku/>
                    <w:wordWrap/>
                    <w:overflowPunct/>
                    <w:topLinePunct w:val="0"/>
                    <w:autoSpaceDE/>
                    <w:autoSpaceDN/>
                    <w:bidi w:val="0"/>
                    <w:adjustRightInd/>
                    <w:snapToGrid/>
                    <w:spacing w:line="240" w:lineRule="auto"/>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p w14:paraId="1500079F">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rPr>
                  </w:pPr>
                  <w:r>
                    <w:rPr>
                      <w:rFonts w:hint="eastAsia" w:ascii="Times New Roman" w:hAnsi="Times New Roman" w:cs="Times New Roman"/>
                      <w:b w:val="0"/>
                      <w:bCs/>
                      <w:color w:val="auto"/>
                      <w:sz w:val="21"/>
                      <w:szCs w:val="21"/>
                      <w:lang w:val="en-US" w:eastAsia="zh-CN"/>
                    </w:rPr>
                    <w:t>802</w:t>
                  </w:r>
                </w:p>
              </w:tc>
              <w:tc>
                <w:tcPr>
                  <w:tcW w:w="234" w:type="pct"/>
                  <w:tcBorders>
                    <w:tl2br w:val="nil"/>
                    <w:tr2bl w:val="nil"/>
                  </w:tcBorders>
                  <w:noWrap w:val="0"/>
                  <w:vAlign w:val="center"/>
                </w:tcPr>
                <w:p w14:paraId="6B4C5CFA">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rPr>
                  </w:pPr>
                  <w:r>
                    <w:rPr>
                      <w:rFonts w:hint="eastAsia" w:ascii="Times New Roman" w:hAnsi="Times New Roman" w:cs="Times New Roman"/>
                      <w:b w:val="0"/>
                      <w:bCs/>
                      <w:color w:val="auto"/>
                      <w:sz w:val="21"/>
                      <w:szCs w:val="21"/>
                      <w:lang w:val="en-US" w:eastAsia="zh-CN"/>
                    </w:rPr>
                    <w:t>3.2</w:t>
                  </w:r>
                </w:p>
              </w:tc>
              <w:tc>
                <w:tcPr>
                  <w:tcW w:w="363" w:type="pct"/>
                  <w:tcBorders>
                    <w:tl2br w:val="nil"/>
                    <w:tr2bl w:val="nil"/>
                  </w:tcBorders>
                  <w:noWrap w:val="0"/>
                  <w:vAlign w:val="center"/>
                </w:tcPr>
                <w:p w14:paraId="5D449F68">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4.7389</w:t>
                  </w:r>
                </w:p>
              </w:tc>
              <w:tc>
                <w:tcPr>
                  <w:tcW w:w="277" w:type="pct"/>
                  <w:tcBorders>
                    <w:tl2br w:val="nil"/>
                    <w:tr2bl w:val="nil"/>
                  </w:tcBorders>
                  <w:noWrap w:val="0"/>
                  <w:vAlign w:val="center"/>
                </w:tcPr>
                <w:p w14:paraId="3F359268">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r>
                    <w:rPr>
                      <w:rFonts w:hint="eastAsia" w:cs="Times New Roman"/>
                      <w:b w:val="0"/>
                      <w:bCs/>
                      <w:color w:val="auto"/>
                      <w:sz w:val="21"/>
                      <w:szCs w:val="21"/>
                      <w:lang w:val="en-US" w:eastAsia="zh-CN"/>
                    </w:rPr>
                    <w:t>.07</w:t>
                  </w:r>
                </w:p>
              </w:tc>
              <w:tc>
                <w:tcPr>
                  <w:tcW w:w="277" w:type="pct"/>
                  <w:tcBorders>
                    <w:tl2br w:val="nil"/>
                    <w:tr2bl w:val="nil"/>
                  </w:tcBorders>
                  <w:noWrap w:val="0"/>
                  <w:vAlign w:val="center"/>
                </w:tcPr>
                <w:p w14:paraId="738366A0">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0.06</w:t>
                  </w:r>
                </w:p>
              </w:tc>
              <w:tc>
                <w:tcPr>
                  <w:tcW w:w="528" w:type="pct"/>
                  <w:tcBorders>
                    <w:tl2br w:val="nil"/>
                    <w:tr2bl w:val="nil"/>
                  </w:tcBorders>
                  <w:noWrap w:val="0"/>
                  <w:vAlign w:val="center"/>
                </w:tcPr>
                <w:p w14:paraId="060546E1">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20" w:type="pct"/>
                  <w:tcBorders>
                    <w:tl2br w:val="nil"/>
                    <w:tr2bl w:val="nil"/>
                  </w:tcBorders>
                  <w:noWrap w:val="0"/>
                  <w:vAlign w:val="center"/>
                </w:tcPr>
                <w:p w14:paraId="08882EF1">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20" w:type="pct"/>
                  <w:tcBorders>
                    <w:tl2br w:val="nil"/>
                    <w:tr2bl w:val="nil"/>
                  </w:tcBorders>
                  <w:noWrap w:val="0"/>
                  <w:vAlign w:val="center"/>
                </w:tcPr>
                <w:p w14:paraId="11F59054">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213" w:type="pct"/>
                  <w:tcBorders>
                    <w:tl2br w:val="nil"/>
                    <w:tr2bl w:val="nil"/>
                  </w:tcBorders>
                  <w:noWrap w:val="0"/>
                  <w:vAlign w:val="center"/>
                </w:tcPr>
                <w:p w14:paraId="72ACF8A1">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528" w:type="pct"/>
                  <w:tcBorders>
                    <w:tl2br w:val="nil"/>
                    <w:tr2bl w:val="nil"/>
                  </w:tcBorders>
                  <w:noWrap w:val="0"/>
                  <w:vAlign w:val="center"/>
                </w:tcPr>
                <w:p w14:paraId="4EB3AF11">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299" w:type="pct"/>
                  <w:tcBorders>
                    <w:tl2br w:val="nil"/>
                    <w:tr2bl w:val="nil"/>
                  </w:tcBorders>
                  <w:noWrap w:val="0"/>
                  <w:vAlign w:val="center"/>
                </w:tcPr>
                <w:p w14:paraId="49C5EDDD">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63" w:type="pct"/>
                  <w:tcBorders>
                    <w:tl2br w:val="nil"/>
                    <w:tr2bl w:val="nil"/>
                  </w:tcBorders>
                  <w:noWrap w:val="0"/>
                  <w:vAlign w:val="center"/>
                </w:tcPr>
                <w:p w14:paraId="4FBFABC3">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63" w:type="pct"/>
                  <w:tcBorders>
                    <w:tl2br w:val="nil"/>
                    <w:tr2bl w:val="nil"/>
                  </w:tcBorders>
                  <w:noWrap w:val="0"/>
                  <w:vAlign w:val="center"/>
                </w:tcPr>
                <w:p w14:paraId="55C442F2">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r>
            <w:tr w14:paraId="3DD15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noWrap w:val="0"/>
                  <w:vAlign w:val="center"/>
                </w:tcPr>
                <w:p w14:paraId="0ECBF2C4">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p>
              </w:tc>
              <w:tc>
                <w:tcPr>
                  <w:tcW w:w="213" w:type="pct"/>
                  <w:tcBorders>
                    <w:tl2br w:val="nil"/>
                    <w:tr2bl w:val="nil"/>
                  </w:tcBorders>
                  <w:noWrap w:val="0"/>
                  <w:vAlign w:val="center"/>
                </w:tcPr>
                <w:p w14:paraId="30E6C8C0">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委托处置量</w:t>
                  </w:r>
                </w:p>
              </w:tc>
              <w:tc>
                <w:tcPr>
                  <w:tcW w:w="298" w:type="pct"/>
                  <w:tcBorders>
                    <w:tl2br w:val="nil"/>
                    <w:tr2bl w:val="nil"/>
                  </w:tcBorders>
                  <w:noWrap w:val="0"/>
                  <w:vAlign w:val="center"/>
                </w:tcPr>
                <w:p w14:paraId="3F80E712">
                  <w:pPr>
                    <w:pStyle w:val="175"/>
                    <w:keepNext/>
                    <w:keepLines/>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234" w:type="pct"/>
                  <w:tcBorders>
                    <w:tl2br w:val="nil"/>
                    <w:tr2bl w:val="nil"/>
                  </w:tcBorders>
                  <w:noWrap w:val="0"/>
                  <w:vAlign w:val="center"/>
                </w:tcPr>
                <w:p w14:paraId="6EB1E112">
                  <w:pPr>
                    <w:pStyle w:val="175"/>
                    <w:keepNext/>
                    <w:keepLines/>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363" w:type="pct"/>
                  <w:tcBorders>
                    <w:tl2br w:val="nil"/>
                    <w:tr2bl w:val="nil"/>
                  </w:tcBorders>
                  <w:noWrap w:val="0"/>
                  <w:vAlign w:val="center"/>
                </w:tcPr>
                <w:p w14:paraId="666485D3">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277" w:type="pct"/>
                  <w:tcBorders>
                    <w:tl2br w:val="nil"/>
                    <w:tr2bl w:val="nil"/>
                  </w:tcBorders>
                  <w:noWrap w:val="0"/>
                  <w:vAlign w:val="center"/>
                </w:tcPr>
                <w:p w14:paraId="5693AA89">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277" w:type="pct"/>
                  <w:tcBorders>
                    <w:tl2br w:val="nil"/>
                    <w:tr2bl w:val="nil"/>
                  </w:tcBorders>
                  <w:noWrap w:val="0"/>
                  <w:vAlign w:val="center"/>
                </w:tcPr>
                <w:p w14:paraId="4A6F73AF">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528" w:type="pct"/>
                  <w:tcBorders>
                    <w:tl2br w:val="nil"/>
                    <w:tr2bl w:val="nil"/>
                  </w:tcBorders>
                  <w:noWrap w:val="0"/>
                  <w:vAlign w:val="center"/>
                </w:tcPr>
                <w:p w14:paraId="457F2A6D">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2.18</w:t>
                  </w:r>
                </w:p>
              </w:tc>
              <w:tc>
                <w:tcPr>
                  <w:tcW w:w="320" w:type="pct"/>
                  <w:tcBorders>
                    <w:tl2br w:val="nil"/>
                    <w:tr2bl w:val="nil"/>
                  </w:tcBorders>
                  <w:noWrap w:val="0"/>
                  <w:vAlign w:val="center"/>
                </w:tcPr>
                <w:p w14:paraId="3F7D5C7F">
                  <w:pPr>
                    <w:pStyle w:val="175"/>
                    <w:keepNext/>
                    <w:keepLines/>
                    <w:pageBreakBefore w:val="0"/>
                    <w:kinsoku/>
                    <w:wordWrap/>
                    <w:overflowPunct/>
                    <w:topLinePunct w:val="0"/>
                    <w:autoSpaceDE/>
                    <w:autoSpaceDN/>
                    <w:bidi w:val="0"/>
                    <w:adjustRightInd/>
                    <w:snapToGrid/>
                    <w:spacing w:line="240" w:lineRule="auto"/>
                    <w:textAlignment w:val="auto"/>
                    <w:rPr>
                      <w:rFonts w:hint="eastAsia"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0.012</w:t>
                  </w:r>
                </w:p>
              </w:tc>
              <w:tc>
                <w:tcPr>
                  <w:tcW w:w="320" w:type="pct"/>
                  <w:tcBorders>
                    <w:tl2br w:val="nil"/>
                    <w:tr2bl w:val="nil"/>
                  </w:tcBorders>
                  <w:noWrap w:val="0"/>
                  <w:vAlign w:val="center"/>
                </w:tcPr>
                <w:p w14:paraId="07F4F8E4">
                  <w:pPr>
                    <w:pStyle w:val="175"/>
                    <w:keepNext/>
                    <w:keepLines/>
                    <w:pageBreakBefore w:val="0"/>
                    <w:kinsoku/>
                    <w:wordWrap/>
                    <w:overflowPunct/>
                    <w:topLinePunct w:val="0"/>
                    <w:autoSpaceDE/>
                    <w:autoSpaceDN/>
                    <w:bidi w:val="0"/>
                    <w:adjustRightInd/>
                    <w:snapToGrid/>
                    <w:spacing w:line="240" w:lineRule="auto"/>
                    <w:textAlignment w:val="auto"/>
                    <w:rPr>
                      <w:rFonts w:hint="eastAsia"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35.44</w:t>
                  </w:r>
                </w:p>
              </w:tc>
              <w:tc>
                <w:tcPr>
                  <w:tcW w:w="213" w:type="pct"/>
                  <w:tcBorders>
                    <w:tl2br w:val="nil"/>
                    <w:tr2bl w:val="nil"/>
                  </w:tcBorders>
                  <w:noWrap w:val="0"/>
                  <w:vAlign w:val="center"/>
                </w:tcPr>
                <w:p w14:paraId="39C44A80">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30</w:t>
                  </w:r>
                </w:p>
              </w:tc>
              <w:tc>
                <w:tcPr>
                  <w:tcW w:w="528" w:type="pct"/>
                  <w:tcBorders>
                    <w:tl2br w:val="nil"/>
                    <w:tr2bl w:val="nil"/>
                  </w:tcBorders>
                  <w:noWrap w:val="0"/>
                  <w:vAlign w:val="center"/>
                </w:tcPr>
                <w:p w14:paraId="59864683">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0.02</w:t>
                  </w:r>
                </w:p>
              </w:tc>
              <w:tc>
                <w:tcPr>
                  <w:tcW w:w="299" w:type="pct"/>
                  <w:tcBorders>
                    <w:tl2br w:val="nil"/>
                    <w:tr2bl w:val="nil"/>
                  </w:tcBorders>
                  <w:noWrap w:val="0"/>
                  <w:vAlign w:val="center"/>
                </w:tcPr>
                <w:p w14:paraId="5053157C">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7.64</w:t>
                  </w:r>
                </w:p>
              </w:tc>
              <w:tc>
                <w:tcPr>
                  <w:tcW w:w="363" w:type="pct"/>
                  <w:tcBorders>
                    <w:tl2br w:val="nil"/>
                    <w:tr2bl w:val="nil"/>
                  </w:tcBorders>
                  <w:noWrap w:val="0"/>
                  <w:vAlign w:val="center"/>
                </w:tcPr>
                <w:p w14:paraId="6583E5D6">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0.0012</w:t>
                  </w:r>
                </w:p>
              </w:tc>
              <w:tc>
                <w:tcPr>
                  <w:tcW w:w="363" w:type="pct"/>
                  <w:tcBorders>
                    <w:tl2br w:val="nil"/>
                    <w:tr2bl w:val="nil"/>
                  </w:tcBorders>
                  <w:noWrap w:val="0"/>
                  <w:vAlign w:val="center"/>
                </w:tcPr>
                <w:p w14:paraId="32A6FB28">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0.00</w:t>
                  </w:r>
                  <w:r>
                    <w:rPr>
                      <w:rFonts w:hint="eastAsia" w:ascii="Times New Roman" w:hAnsi="Times New Roman" w:cs="Times New Roman"/>
                      <w:b w:val="0"/>
                      <w:bCs/>
                      <w:color w:val="auto"/>
                      <w:sz w:val="21"/>
                      <w:szCs w:val="21"/>
                      <w:lang w:val="en-US" w:eastAsia="zh-CN"/>
                    </w:rPr>
                    <w:t>02</w:t>
                  </w:r>
                </w:p>
              </w:tc>
            </w:tr>
            <w:tr w14:paraId="3C359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noWrap w:val="0"/>
                  <w:vAlign w:val="center"/>
                </w:tcPr>
                <w:p w14:paraId="52F13B6A">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p>
              </w:tc>
              <w:tc>
                <w:tcPr>
                  <w:tcW w:w="213" w:type="pct"/>
                  <w:tcBorders>
                    <w:tl2br w:val="nil"/>
                    <w:tr2bl w:val="nil"/>
                  </w:tcBorders>
                  <w:noWrap w:val="0"/>
                  <w:vAlign w:val="center"/>
                </w:tcPr>
                <w:p w14:paraId="1FA84D97">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排放量</w:t>
                  </w:r>
                </w:p>
              </w:tc>
              <w:tc>
                <w:tcPr>
                  <w:tcW w:w="298" w:type="pct"/>
                  <w:tcBorders>
                    <w:tl2br w:val="nil"/>
                    <w:tr2bl w:val="nil"/>
                  </w:tcBorders>
                  <w:noWrap w:val="0"/>
                  <w:vAlign w:val="center"/>
                </w:tcPr>
                <w:p w14:paraId="76C8BF8C">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rPr>
                    <w:t>0</w:t>
                  </w:r>
                </w:p>
              </w:tc>
              <w:tc>
                <w:tcPr>
                  <w:tcW w:w="234" w:type="pct"/>
                  <w:tcBorders>
                    <w:tl2br w:val="nil"/>
                    <w:tr2bl w:val="nil"/>
                  </w:tcBorders>
                  <w:noWrap w:val="0"/>
                  <w:vAlign w:val="center"/>
                </w:tcPr>
                <w:p w14:paraId="2CF400FD">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63" w:type="pct"/>
                  <w:tcBorders>
                    <w:tl2br w:val="nil"/>
                    <w:tr2bl w:val="nil"/>
                  </w:tcBorders>
                  <w:noWrap w:val="0"/>
                  <w:vAlign w:val="center"/>
                </w:tcPr>
                <w:p w14:paraId="58E0DFD2">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tc>
              <w:tc>
                <w:tcPr>
                  <w:tcW w:w="277" w:type="pct"/>
                  <w:tcBorders>
                    <w:tl2br w:val="nil"/>
                    <w:tr2bl w:val="nil"/>
                  </w:tcBorders>
                  <w:noWrap w:val="0"/>
                  <w:vAlign w:val="center"/>
                </w:tcPr>
                <w:p w14:paraId="636733E1">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277" w:type="pct"/>
                  <w:tcBorders>
                    <w:tl2br w:val="nil"/>
                    <w:tr2bl w:val="nil"/>
                  </w:tcBorders>
                  <w:noWrap w:val="0"/>
                  <w:vAlign w:val="center"/>
                </w:tcPr>
                <w:p w14:paraId="03336A98">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528" w:type="pct"/>
                  <w:tcBorders>
                    <w:tl2br w:val="nil"/>
                    <w:tr2bl w:val="nil"/>
                  </w:tcBorders>
                  <w:noWrap w:val="0"/>
                  <w:vAlign w:val="center"/>
                </w:tcPr>
                <w:p w14:paraId="4C537E6C">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20" w:type="pct"/>
                  <w:tcBorders>
                    <w:tl2br w:val="nil"/>
                    <w:tr2bl w:val="nil"/>
                  </w:tcBorders>
                  <w:noWrap w:val="0"/>
                  <w:vAlign w:val="center"/>
                </w:tcPr>
                <w:p w14:paraId="40F60728">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20" w:type="pct"/>
                  <w:tcBorders>
                    <w:tl2br w:val="nil"/>
                    <w:tr2bl w:val="nil"/>
                  </w:tcBorders>
                  <w:noWrap w:val="0"/>
                  <w:vAlign w:val="center"/>
                </w:tcPr>
                <w:p w14:paraId="10F5DB4E">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213" w:type="pct"/>
                  <w:tcBorders>
                    <w:tl2br w:val="nil"/>
                    <w:tr2bl w:val="nil"/>
                  </w:tcBorders>
                  <w:noWrap w:val="0"/>
                  <w:vAlign w:val="center"/>
                </w:tcPr>
                <w:p w14:paraId="2091C58E">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528" w:type="pct"/>
                  <w:tcBorders>
                    <w:tl2br w:val="nil"/>
                    <w:tr2bl w:val="nil"/>
                  </w:tcBorders>
                  <w:noWrap w:val="0"/>
                  <w:vAlign w:val="center"/>
                </w:tcPr>
                <w:p w14:paraId="47B70B90">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299" w:type="pct"/>
                  <w:tcBorders>
                    <w:tl2br w:val="nil"/>
                    <w:tr2bl w:val="nil"/>
                  </w:tcBorders>
                  <w:noWrap w:val="0"/>
                  <w:vAlign w:val="center"/>
                </w:tcPr>
                <w:p w14:paraId="5C2A2A5C">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63" w:type="pct"/>
                  <w:tcBorders>
                    <w:tl2br w:val="nil"/>
                    <w:tr2bl w:val="nil"/>
                  </w:tcBorders>
                  <w:noWrap w:val="0"/>
                  <w:vAlign w:val="center"/>
                </w:tcPr>
                <w:p w14:paraId="427A23A2">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63" w:type="pct"/>
                  <w:tcBorders>
                    <w:tl2br w:val="nil"/>
                    <w:tr2bl w:val="nil"/>
                  </w:tcBorders>
                  <w:noWrap w:val="0"/>
                  <w:vAlign w:val="center"/>
                </w:tcPr>
                <w:p w14:paraId="5ACD8B4E">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r>
            <w:tr w14:paraId="27737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gridSpan w:val="2"/>
                  <w:tcBorders>
                    <w:tl2br w:val="nil"/>
                    <w:tr2bl w:val="nil"/>
                  </w:tcBorders>
                  <w:noWrap w:val="0"/>
                  <w:vAlign w:val="center"/>
                </w:tcPr>
                <w:p w14:paraId="50DD8C15">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委托单位名称</w:t>
                  </w:r>
                </w:p>
              </w:tc>
              <w:tc>
                <w:tcPr>
                  <w:tcW w:w="1453" w:type="pct"/>
                  <w:gridSpan w:val="5"/>
                  <w:tcBorders>
                    <w:tl2br w:val="nil"/>
                    <w:tr2bl w:val="nil"/>
                  </w:tcBorders>
                  <w:noWrap w:val="0"/>
                  <w:vAlign w:val="center"/>
                </w:tcPr>
                <w:p w14:paraId="37BBC1BD">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外售</w:t>
                  </w:r>
                </w:p>
              </w:tc>
              <w:tc>
                <w:tcPr>
                  <w:tcW w:w="2938" w:type="pct"/>
                  <w:gridSpan w:val="8"/>
                  <w:tcBorders>
                    <w:tl2br w:val="nil"/>
                    <w:tr2bl w:val="nil"/>
                  </w:tcBorders>
                  <w:noWrap w:val="0"/>
                  <w:vAlign w:val="center"/>
                </w:tcPr>
                <w:p w14:paraId="7C18A376">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eastAsia="zh-CN"/>
                    </w:rPr>
                    <w:t>危险废物暂存危废间</w:t>
                  </w:r>
                  <w:r>
                    <w:rPr>
                      <w:rFonts w:hint="eastAsia" w:ascii="Times New Roman" w:hAnsi="Times New Roman" w:cs="Times New Roman"/>
                      <w:b w:val="0"/>
                      <w:bCs/>
                      <w:color w:val="auto"/>
                      <w:sz w:val="21"/>
                      <w:szCs w:val="21"/>
                      <w:lang w:val="en-US" w:eastAsia="zh-CN"/>
                    </w:rPr>
                    <w:t>交由</w:t>
                  </w:r>
                  <w:r>
                    <w:rPr>
                      <w:rFonts w:hint="default" w:ascii="Times New Roman" w:hAnsi="Times New Roman" w:cs="Times New Roman"/>
                      <w:b w:val="0"/>
                      <w:bCs/>
                      <w:color w:val="auto"/>
                      <w:sz w:val="21"/>
                      <w:szCs w:val="21"/>
                      <w:lang w:val="en-US"/>
                    </w:rPr>
                    <w:t>危废处理资质单位处理</w:t>
                  </w:r>
                </w:p>
              </w:tc>
            </w:tr>
          </w:tbl>
          <w:p w14:paraId="0464E31C">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固体废物环境影响分析</w:t>
            </w:r>
          </w:p>
          <w:p w14:paraId="010EA0FF">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项目固体废弃物主要为</w:t>
            </w:r>
            <w:r>
              <w:rPr>
                <w:rFonts w:hint="default" w:ascii="Times New Roman" w:hAnsi="Times New Roman" w:cs="Times New Roman"/>
                <w:color w:val="auto"/>
                <w:sz w:val="24"/>
                <w:szCs w:val="28"/>
                <w:lang w:eastAsia="zh-CN"/>
              </w:rPr>
              <w:t>一般固废（</w:t>
            </w:r>
            <w:r>
              <w:rPr>
                <w:rFonts w:hint="default" w:ascii="Times New Roman" w:hAnsi="Times New Roman" w:cs="Times New Roman"/>
                <w:color w:val="auto"/>
                <w:sz w:val="24"/>
                <w:szCs w:val="28"/>
              </w:rPr>
              <w:t>废边角料金属屑</w:t>
            </w:r>
            <w:r>
              <w:rPr>
                <w:rFonts w:hint="eastAsia" w:ascii="Times New Roman" w:hAnsi="Times New Roman" w:cs="Times New Roman"/>
                <w:color w:val="auto"/>
                <w:sz w:val="24"/>
                <w:szCs w:val="28"/>
                <w:lang w:eastAsia="zh-CN"/>
              </w:rPr>
              <w:t>、废钢丸、</w:t>
            </w:r>
            <w:r>
              <w:rPr>
                <w:rFonts w:hint="eastAsia" w:ascii="Times New Roman" w:hAnsi="Times New Roman" w:cs="Times New Roman"/>
                <w:color w:val="auto"/>
                <w:sz w:val="24"/>
                <w:szCs w:val="28"/>
                <w:lang w:val="en-US" w:eastAsia="zh-CN"/>
              </w:rPr>
              <w:t>收尘灰</w:t>
            </w: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lang w:val="en-US" w:eastAsia="zh-CN"/>
              </w:rPr>
              <w:t>废粉</w:t>
            </w:r>
            <w:r>
              <w:rPr>
                <w:rFonts w:hint="default" w:ascii="Times New Roman" w:hAnsi="Times New Roman" w:cs="Times New Roman"/>
                <w:color w:val="auto"/>
                <w:sz w:val="24"/>
                <w:szCs w:val="28"/>
                <w:lang w:eastAsia="zh-CN"/>
              </w:rPr>
              <w:t>）</w:t>
            </w:r>
            <w:r>
              <w:rPr>
                <w:rFonts w:hint="default" w:ascii="Times New Roman" w:hAnsi="Times New Roman" w:cs="Times New Roman"/>
                <w:color w:val="auto"/>
                <w:sz w:val="24"/>
                <w:szCs w:val="28"/>
              </w:rPr>
              <w:t>、危险废物</w:t>
            </w:r>
            <w:r>
              <w:rPr>
                <w:rFonts w:hint="default" w:ascii="Times New Roman" w:hAnsi="Times New Roman" w:cs="Times New Roman"/>
                <w:color w:val="auto"/>
                <w:sz w:val="24"/>
                <w:szCs w:val="28"/>
                <w:lang w:eastAsia="zh-CN"/>
              </w:rPr>
              <w:t>（废</w:t>
            </w:r>
            <w:r>
              <w:rPr>
                <w:rFonts w:hint="eastAsia" w:ascii="Times New Roman" w:hAnsi="Times New Roman" w:cs="Times New Roman"/>
                <w:color w:val="auto"/>
                <w:sz w:val="24"/>
                <w:szCs w:val="28"/>
                <w:lang w:val="en-US" w:eastAsia="zh-CN"/>
              </w:rPr>
              <w:t>活性炭</w:t>
            </w:r>
            <w:r>
              <w:rPr>
                <w:rFonts w:hint="default" w:ascii="Times New Roman" w:hAnsi="Times New Roman" w:cs="Times New Roman"/>
                <w:color w:val="auto"/>
                <w:sz w:val="24"/>
                <w:szCs w:val="28"/>
                <w:lang w:eastAsia="zh-CN"/>
              </w:rPr>
              <w:t>、</w:t>
            </w:r>
            <w:r>
              <w:rPr>
                <w:rFonts w:hint="eastAsia" w:ascii="Times New Roman" w:hAnsi="Times New Roman" w:cs="Times New Roman"/>
                <w:color w:val="auto"/>
                <w:sz w:val="24"/>
                <w:szCs w:val="28"/>
                <w:lang w:val="en-US" w:eastAsia="zh-CN"/>
              </w:rPr>
              <w:t>污泥、</w:t>
            </w:r>
            <w:r>
              <w:rPr>
                <w:rFonts w:hint="eastAsia" w:cs="Times New Roman"/>
                <w:color w:val="auto"/>
                <w:sz w:val="24"/>
                <w:szCs w:val="28"/>
                <w:lang w:val="en-US" w:eastAsia="zh-CN"/>
              </w:rPr>
              <w:t>废</w:t>
            </w:r>
            <w:r>
              <w:rPr>
                <w:rFonts w:hint="eastAsia" w:ascii="Times New Roman" w:hAnsi="Times New Roman" w:cs="Times New Roman"/>
                <w:color w:val="auto"/>
                <w:sz w:val="24"/>
                <w:szCs w:val="28"/>
                <w:lang w:val="en-US" w:eastAsia="zh-CN"/>
              </w:rPr>
              <w:t>滤袋、废超滤膜</w:t>
            </w:r>
            <w:r>
              <w:rPr>
                <w:rFonts w:hint="eastAsia" w:cs="Times New Roman"/>
                <w:color w:val="auto"/>
                <w:sz w:val="24"/>
                <w:szCs w:val="28"/>
                <w:lang w:val="en-US" w:eastAsia="zh-CN"/>
              </w:rPr>
              <w:t>、</w:t>
            </w:r>
            <w:r>
              <w:rPr>
                <w:rFonts w:hint="eastAsia" w:cs="Times New Roman"/>
                <w:color w:val="auto"/>
                <w:sz w:val="24"/>
                <w:szCs w:val="22"/>
                <w:lang w:val="en-US" w:eastAsia="zh-CN"/>
              </w:rPr>
              <w:t>废脱脂槽液和废硅烷槽液、浓盐水、</w:t>
            </w:r>
            <w:r>
              <w:rPr>
                <w:rFonts w:hint="default" w:ascii="Times New Roman" w:hAnsi="Times New Roman" w:cs="Times New Roman"/>
                <w:color w:val="auto"/>
                <w:sz w:val="24"/>
                <w:szCs w:val="28"/>
                <w:lang w:eastAsia="zh-CN"/>
              </w:rPr>
              <w:t>废</w:t>
            </w:r>
            <w:r>
              <w:rPr>
                <w:rFonts w:hint="eastAsia" w:ascii="Times New Roman" w:hAnsi="Times New Roman" w:cs="Times New Roman"/>
                <w:color w:val="auto"/>
                <w:sz w:val="24"/>
                <w:szCs w:val="28"/>
                <w:lang w:val="en-US" w:eastAsia="zh-CN"/>
              </w:rPr>
              <w:t>液压油</w:t>
            </w:r>
            <w:r>
              <w:rPr>
                <w:rFonts w:hint="default" w:ascii="Times New Roman" w:hAnsi="Times New Roman" w:cs="Times New Roman"/>
                <w:color w:val="auto"/>
                <w:sz w:val="24"/>
                <w:szCs w:val="28"/>
                <w:lang w:eastAsia="zh-CN"/>
              </w:rPr>
              <w:t>、废油桶、废含油抹布、手套）</w:t>
            </w:r>
            <w:r>
              <w:rPr>
                <w:rFonts w:hint="default" w:ascii="Times New Roman" w:hAnsi="Times New Roman" w:cs="Times New Roman"/>
                <w:color w:val="auto"/>
                <w:sz w:val="24"/>
                <w:szCs w:val="28"/>
              </w:rPr>
              <w:t>。</w:t>
            </w:r>
          </w:p>
          <w:p w14:paraId="6BEF9BF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eastAsia="zh-CN"/>
              </w:rPr>
            </w:pPr>
            <w:r>
              <w:rPr>
                <w:rFonts w:hint="default" w:ascii="Times New Roman" w:hAnsi="Times New Roman" w:cs="Times New Roman"/>
                <w:color w:val="auto"/>
                <w:sz w:val="24"/>
                <w:lang w:eastAsia="zh-CN" w:bidi="ar"/>
              </w:rPr>
              <w:t>一般固废</w:t>
            </w:r>
            <w:r>
              <w:rPr>
                <w:rFonts w:hint="default" w:ascii="Times New Roman" w:hAnsi="Times New Roman" w:cs="Times New Roman"/>
                <w:color w:val="auto"/>
                <w:sz w:val="24"/>
                <w:szCs w:val="28"/>
                <w:lang w:eastAsia="zh-CN"/>
              </w:rPr>
              <w:t>（</w:t>
            </w:r>
            <w:r>
              <w:rPr>
                <w:rFonts w:hint="default" w:ascii="Times New Roman" w:hAnsi="Times New Roman" w:cs="Times New Roman"/>
                <w:color w:val="auto"/>
                <w:sz w:val="24"/>
                <w:szCs w:val="28"/>
              </w:rPr>
              <w:t>废边角料、金属屑</w:t>
            </w:r>
            <w:r>
              <w:rPr>
                <w:rFonts w:hint="eastAsia" w:ascii="Times New Roman" w:hAnsi="Times New Roman" w:cs="Times New Roman"/>
                <w:color w:val="auto"/>
                <w:sz w:val="24"/>
                <w:szCs w:val="28"/>
                <w:lang w:eastAsia="zh-CN"/>
              </w:rPr>
              <w:t>、废钢丸、</w:t>
            </w:r>
            <w:r>
              <w:rPr>
                <w:rFonts w:hint="eastAsia" w:ascii="Times New Roman" w:hAnsi="Times New Roman" w:cs="Times New Roman"/>
                <w:color w:val="auto"/>
                <w:sz w:val="24"/>
                <w:szCs w:val="28"/>
                <w:lang w:val="en-US" w:eastAsia="zh-CN"/>
              </w:rPr>
              <w:t>收尘灰、废粉</w:t>
            </w:r>
            <w:r>
              <w:rPr>
                <w:rFonts w:hint="default" w:ascii="Times New Roman" w:hAnsi="Times New Roman" w:cs="Times New Roman"/>
                <w:color w:val="auto"/>
                <w:sz w:val="24"/>
                <w:szCs w:val="28"/>
                <w:lang w:eastAsia="zh-CN"/>
              </w:rPr>
              <w:t>）</w:t>
            </w:r>
            <w:r>
              <w:rPr>
                <w:rFonts w:hint="eastAsia" w:ascii="Times New Roman" w:hAnsi="Times New Roman" w:cs="Times New Roman"/>
                <w:color w:val="auto"/>
                <w:sz w:val="24"/>
                <w:szCs w:val="28"/>
                <w:lang w:eastAsia="zh-CN"/>
              </w:rPr>
              <w:t>暂存一般固废暂存区后定期外售物资回收单位综合利用；</w:t>
            </w:r>
            <w:r>
              <w:rPr>
                <w:rFonts w:hint="default" w:ascii="Times New Roman" w:hAnsi="Times New Roman" w:cs="Times New Roman"/>
                <w:color w:val="auto"/>
                <w:sz w:val="24"/>
                <w:lang w:bidi="ar"/>
              </w:rPr>
              <w:t>危险废物</w:t>
            </w:r>
            <w:r>
              <w:rPr>
                <w:rFonts w:hint="default" w:ascii="Times New Roman" w:hAnsi="Times New Roman" w:cs="Times New Roman"/>
                <w:color w:val="auto"/>
                <w:sz w:val="24"/>
                <w:szCs w:val="28"/>
                <w:lang w:eastAsia="zh-CN"/>
              </w:rPr>
              <w:t>（废</w:t>
            </w:r>
            <w:r>
              <w:rPr>
                <w:rFonts w:hint="eastAsia" w:ascii="Times New Roman" w:hAnsi="Times New Roman" w:cs="Times New Roman"/>
                <w:color w:val="auto"/>
                <w:sz w:val="24"/>
                <w:szCs w:val="28"/>
                <w:lang w:val="en-US" w:eastAsia="zh-CN"/>
              </w:rPr>
              <w:t>活性炭</w:t>
            </w:r>
            <w:r>
              <w:rPr>
                <w:rFonts w:hint="default" w:ascii="Times New Roman" w:hAnsi="Times New Roman" w:cs="Times New Roman"/>
                <w:color w:val="auto"/>
                <w:sz w:val="24"/>
                <w:szCs w:val="28"/>
                <w:lang w:eastAsia="zh-CN"/>
              </w:rPr>
              <w:t>、</w:t>
            </w:r>
            <w:r>
              <w:rPr>
                <w:rFonts w:hint="eastAsia" w:ascii="Times New Roman" w:hAnsi="Times New Roman" w:cs="Times New Roman"/>
                <w:color w:val="auto"/>
                <w:sz w:val="24"/>
                <w:szCs w:val="28"/>
                <w:lang w:val="en-US" w:eastAsia="zh-CN"/>
              </w:rPr>
              <w:t>污泥、</w:t>
            </w:r>
            <w:r>
              <w:rPr>
                <w:rFonts w:hint="eastAsia" w:cs="Times New Roman"/>
                <w:color w:val="auto"/>
                <w:sz w:val="24"/>
                <w:szCs w:val="28"/>
                <w:lang w:val="en-US" w:eastAsia="zh-CN"/>
              </w:rPr>
              <w:t>废</w:t>
            </w:r>
            <w:r>
              <w:rPr>
                <w:rFonts w:hint="eastAsia" w:ascii="Times New Roman" w:hAnsi="Times New Roman" w:cs="Times New Roman"/>
                <w:color w:val="auto"/>
                <w:sz w:val="24"/>
                <w:szCs w:val="28"/>
                <w:lang w:val="en-US" w:eastAsia="zh-CN"/>
              </w:rPr>
              <w:t>滤袋、废超滤膜</w:t>
            </w:r>
            <w:r>
              <w:rPr>
                <w:rFonts w:hint="eastAsia" w:cs="Times New Roman"/>
                <w:color w:val="auto"/>
                <w:sz w:val="24"/>
                <w:szCs w:val="28"/>
                <w:lang w:val="en-US" w:eastAsia="zh-CN"/>
              </w:rPr>
              <w:t>、</w:t>
            </w:r>
            <w:r>
              <w:rPr>
                <w:rFonts w:hint="eastAsia" w:cs="Times New Roman"/>
                <w:color w:val="auto"/>
                <w:sz w:val="24"/>
                <w:szCs w:val="22"/>
                <w:lang w:val="en-US" w:eastAsia="zh-CN"/>
              </w:rPr>
              <w:t>废脱脂槽液和废硅烷槽液、浓盐水、</w:t>
            </w:r>
            <w:r>
              <w:rPr>
                <w:rFonts w:hint="default" w:ascii="Times New Roman" w:hAnsi="Times New Roman" w:cs="Times New Roman"/>
                <w:color w:val="auto"/>
                <w:sz w:val="24"/>
                <w:szCs w:val="28"/>
                <w:lang w:eastAsia="zh-CN"/>
              </w:rPr>
              <w:t>废</w:t>
            </w:r>
            <w:r>
              <w:rPr>
                <w:rFonts w:hint="eastAsia" w:ascii="Times New Roman" w:hAnsi="Times New Roman" w:cs="Times New Roman"/>
                <w:color w:val="auto"/>
                <w:sz w:val="24"/>
                <w:szCs w:val="28"/>
                <w:lang w:val="en-US" w:eastAsia="zh-CN"/>
              </w:rPr>
              <w:t>液压油</w:t>
            </w:r>
            <w:r>
              <w:rPr>
                <w:rFonts w:hint="default" w:ascii="Times New Roman" w:hAnsi="Times New Roman" w:cs="Times New Roman"/>
                <w:color w:val="auto"/>
                <w:sz w:val="24"/>
                <w:szCs w:val="28"/>
                <w:lang w:eastAsia="zh-CN"/>
              </w:rPr>
              <w:t>、废油桶、废含油抹布、手套）</w:t>
            </w:r>
            <w:r>
              <w:rPr>
                <w:rFonts w:hint="default" w:ascii="Times New Roman" w:hAnsi="Times New Roman" w:cs="Times New Roman"/>
                <w:color w:val="auto"/>
                <w:sz w:val="24"/>
                <w:lang w:bidi="ar"/>
              </w:rPr>
              <w:t>暂存于</w:t>
            </w:r>
            <w:r>
              <w:rPr>
                <w:rFonts w:hint="eastAsia" w:cs="Times New Roman"/>
                <w:bCs/>
                <w:color w:val="auto"/>
                <w:sz w:val="24"/>
                <w:lang w:eastAsia="zh-CN" w:bidi="ar"/>
              </w:rPr>
              <w:t>危废贮存库</w:t>
            </w:r>
            <w:r>
              <w:rPr>
                <w:rFonts w:hint="default" w:ascii="Times New Roman" w:hAnsi="Times New Roman" w:cs="Times New Roman"/>
                <w:bCs/>
                <w:color w:val="auto"/>
                <w:sz w:val="24"/>
                <w:lang w:bidi="ar"/>
              </w:rPr>
              <w:t>，定期交由</w:t>
            </w:r>
            <w:r>
              <w:rPr>
                <w:rFonts w:hint="eastAsia" w:ascii="Times New Roman" w:hAnsi="Times New Roman" w:cs="Times New Roman"/>
                <w:bCs/>
                <w:color w:val="auto"/>
                <w:sz w:val="24"/>
                <w:lang w:eastAsia="zh-CN" w:bidi="ar"/>
              </w:rPr>
              <w:t>宝鸡明瑞昕盛环保科技有限公司</w:t>
            </w:r>
            <w:r>
              <w:rPr>
                <w:rFonts w:hint="default" w:ascii="Times New Roman" w:hAnsi="Times New Roman" w:cs="Times New Roman"/>
                <w:bCs/>
                <w:color w:val="auto"/>
                <w:sz w:val="24"/>
                <w:lang w:eastAsia="zh-CN" w:bidi="ar"/>
              </w:rPr>
              <w:t>清运</w:t>
            </w:r>
            <w:r>
              <w:rPr>
                <w:rFonts w:hint="default" w:ascii="Times New Roman" w:hAnsi="Times New Roman" w:cs="Times New Roman"/>
                <w:bCs/>
                <w:color w:val="auto"/>
                <w:sz w:val="24"/>
                <w:lang w:bidi="ar"/>
              </w:rPr>
              <w:t>处理</w:t>
            </w:r>
            <w:r>
              <w:rPr>
                <w:rFonts w:hint="eastAsia" w:cs="Times New Roman"/>
                <w:bCs/>
                <w:color w:val="auto"/>
                <w:sz w:val="24"/>
                <w:lang w:eastAsia="zh-CN" w:bidi="ar"/>
              </w:rPr>
              <w:t>，</w:t>
            </w:r>
            <w:r>
              <w:rPr>
                <w:rFonts w:hint="eastAsia" w:cs="Times New Roman"/>
                <w:bCs/>
                <w:color w:val="auto"/>
                <w:sz w:val="24"/>
                <w:lang w:val="en-US" w:eastAsia="zh-CN" w:bidi="ar"/>
              </w:rPr>
              <w:t>及时与资质单位签订危废处置补充协议，将本次新增危险废物纳入处置范围内</w:t>
            </w:r>
            <w:r>
              <w:rPr>
                <w:rFonts w:hint="default" w:ascii="Times New Roman" w:hAnsi="Times New Roman" w:eastAsia="宋体" w:cs="Times New Roman"/>
                <w:color w:val="auto"/>
                <w:sz w:val="24"/>
                <w:szCs w:val="22"/>
                <w:lang w:eastAsia="zh-CN"/>
              </w:rPr>
              <w:t>。</w:t>
            </w:r>
          </w:p>
          <w:p w14:paraId="26EADAFD">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固体废物暂存可依托性分析</w:t>
            </w:r>
          </w:p>
          <w:p w14:paraId="0CC0D38D">
            <w:pPr>
              <w:keepNext/>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本项目一般固废及危险废物均依托原有项目一般固废暂存区和</w:t>
            </w:r>
            <w:r>
              <w:rPr>
                <w:rFonts w:hint="eastAsia" w:cs="Times New Roman"/>
                <w:color w:val="auto"/>
                <w:sz w:val="24"/>
                <w:lang w:eastAsia="zh-CN"/>
              </w:rPr>
              <w:t>危废贮存库</w:t>
            </w:r>
            <w:r>
              <w:rPr>
                <w:rFonts w:hint="default" w:ascii="Times New Roman" w:hAnsi="Times New Roman" w:eastAsia="宋体" w:cs="Times New Roman"/>
                <w:color w:val="auto"/>
                <w:sz w:val="24"/>
                <w:lang w:eastAsia="zh-CN"/>
              </w:rPr>
              <w:t>。</w:t>
            </w:r>
          </w:p>
          <w:p w14:paraId="44608725">
            <w:pPr>
              <w:keepNext/>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①一般固废暂存区可依托性分析</w:t>
            </w:r>
          </w:p>
          <w:p w14:paraId="444AF24C">
            <w:pPr>
              <w:keepNext/>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原有项目一般固废暂存区位于厂房内，占地面积</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eastAsia="zh-CN"/>
              </w:rPr>
              <w:t>地面已水泥硬化，并张贴了一般固废的标识、标签，最大储存量可达</w:t>
            </w:r>
            <w:r>
              <w:rPr>
                <w:rFonts w:hint="eastAsia" w:ascii="Times New Roman" w:hAnsi="Times New Roman" w:eastAsia="宋体" w:cs="Times New Roman"/>
                <w:color w:val="auto"/>
                <w:sz w:val="24"/>
                <w:lang w:val="en-US" w:eastAsia="zh-CN"/>
              </w:rPr>
              <w:t>15</w:t>
            </w:r>
            <w:r>
              <w:rPr>
                <w:rFonts w:hint="default" w:ascii="Times New Roman" w:hAnsi="Times New Roman" w:eastAsia="宋体" w:cs="Times New Roman"/>
                <w:color w:val="auto"/>
                <w:sz w:val="24"/>
                <w:lang w:val="en-US" w:eastAsia="zh-CN"/>
              </w:rPr>
              <w:t>t/次，原有项目一般固废产生量</w:t>
            </w:r>
            <w:r>
              <w:rPr>
                <w:rFonts w:hint="eastAsia" w:ascii="Times New Roman" w:hAnsi="Times New Roman" w:eastAsia="宋体" w:cs="Times New Roman"/>
                <w:color w:val="auto"/>
                <w:sz w:val="24"/>
                <w:lang w:val="en-US" w:eastAsia="zh-CN"/>
              </w:rPr>
              <w:t>约</w:t>
            </w:r>
            <w:r>
              <w:rPr>
                <w:rFonts w:hint="default" w:ascii="Times New Roman" w:hAnsi="Times New Roman" w:eastAsia="宋体" w:cs="Times New Roman"/>
                <w:color w:val="auto"/>
                <w:sz w:val="24"/>
                <w:lang w:val="en-US" w:eastAsia="zh-CN"/>
              </w:rPr>
              <w:t>为</w:t>
            </w:r>
            <w:r>
              <w:rPr>
                <w:rFonts w:hint="eastAsia" w:ascii="Times New Roman" w:hAnsi="Times New Roman" w:eastAsia="宋体" w:cs="Times New Roman"/>
                <w:color w:val="auto"/>
                <w:sz w:val="24"/>
                <w:lang w:val="en-US" w:eastAsia="zh-CN"/>
              </w:rPr>
              <w:t>4.1</w:t>
            </w:r>
            <w:r>
              <w:rPr>
                <w:rFonts w:hint="default" w:ascii="Times New Roman" w:hAnsi="Times New Roman" w:eastAsia="宋体" w:cs="Times New Roman"/>
                <w:color w:val="auto"/>
                <w:sz w:val="24"/>
                <w:lang w:val="en-US" w:eastAsia="zh-CN"/>
              </w:rPr>
              <w:t>t/a，本次新增一般固废量约为</w:t>
            </w:r>
            <w:r>
              <w:rPr>
                <w:rFonts w:hint="eastAsia" w:cs="Times New Roman"/>
                <w:color w:val="auto"/>
                <w:sz w:val="24"/>
                <w:lang w:val="en-US" w:eastAsia="zh-CN"/>
              </w:rPr>
              <w:t>8.81</w:t>
            </w:r>
            <w:r>
              <w:rPr>
                <w:rFonts w:hint="default" w:ascii="Times New Roman" w:hAnsi="Times New Roman" w:eastAsia="宋体" w:cs="Times New Roman"/>
                <w:color w:val="auto"/>
                <w:sz w:val="24"/>
                <w:lang w:val="en-US" w:eastAsia="zh-CN"/>
              </w:rPr>
              <w:t>t/a，一般固废均会</w:t>
            </w:r>
            <w:r>
              <w:rPr>
                <w:rFonts w:hint="eastAsia" w:ascii="Times New Roman" w:hAnsi="Times New Roman" w:eastAsia="宋体" w:cs="Times New Roman"/>
                <w:color w:val="auto"/>
                <w:sz w:val="24"/>
                <w:lang w:val="en-US" w:eastAsia="zh-CN"/>
              </w:rPr>
              <w:t>及时</w:t>
            </w:r>
            <w:r>
              <w:rPr>
                <w:rFonts w:hint="default" w:ascii="Times New Roman" w:hAnsi="Times New Roman" w:eastAsia="宋体" w:cs="Times New Roman"/>
                <w:color w:val="auto"/>
                <w:sz w:val="24"/>
                <w:lang w:val="en-US" w:eastAsia="zh-CN"/>
              </w:rPr>
              <w:t>清运处置，且产生频次及时间不同，故原有一般固废暂存区可满足扩建后整体项目产生的一般固废暂存量，可依托；</w:t>
            </w:r>
          </w:p>
          <w:p w14:paraId="1B145B5C">
            <w:pPr>
              <w:keepNext/>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lang w:eastAsia="zh-CN"/>
              </w:rPr>
            </w:pPr>
            <w:r>
              <w:rPr>
                <w:rFonts w:hint="default" w:ascii="Times New Roman" w:hAnsi="Times New Roman" w:cs="Times New Roman"/>
                <w:color w:val="auto"/>
                <w:kern w:val="0"/>
                <w:sz w:val="24"/>
                <w:lang w:eastAsia="zh-CN"/>
              </w:rPr>
              <w:t>②</w:t>
            </w:r>
            <w:r>
              <w:rPr>
                <w:rFonts w:hint="eastAsia" w:cs="Times New Roman"/>
                <w:color w:val="auto"/>
                <w:kern w:val="0"/>
                <w:sz w:val="24"/>
                <w:lang w:eastAsia="zh-CN"/>
              </w:rPr>
              <w:t>危废贮存库</w:t>
            </w:r>
            <w:r>
              <w:rPr>
                <w:rFonts w:hint="default" w:ascii="Times New Roman" w:hAnsi="Times New Roman" w:cs="Times New Roman"/>
                <w:color w:val="auto"/>
                <w:kern w:val="0"/>
                <w:sz w:val="24"/>
                <w:lang w:eastAsia="zh-CN"/>
              </w:rPr>
              <w:t>可依托性分析</w:t>
            </w:r>
          </w:p>
          <w:p w14:paraId="657DAF9E">
            <w:pPr>
              <w:keepNext/>
              <w:keepLines/>
              <w:pageBreakBefore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color w:val="auto"/>
                <w:kern w:val="0"/>
                <w:sz w:val="24"/>
                <w:lang w:eastAsia="zh-CN"/>
              </w:rPr>
            </w:pPr>
            <w:r>
              <w:rPr>
                <w:rFonts w:hint="eastAsia" w:ascii="Times New Roman" w:hAnsi="Times New Roman" w:cs="Times New Roman"/>
                <w:b/>
                <w:bCs/>
                <w:color w:val="auto"/>
                <w:kern w:val="0"/>
                <w:sz w:val="24"/>
                <w:lang w:val="en-US" w:eastAsia="zh-CN"/>
              </w:rPr>
              <w:t>危废间收集建设可依托性：</w:t>
            </w:r>
            <w:r>
              <w:rPr>
                <w:rFonts w:hint="eastAsia" w:ascii="Times New Roman" w:hAnsi="Times New Roman" w:eastAsia="宋体" w:cs="Times New Roman"/>
                <w:color w:val="auto"/>
                <w:kern w:val="0"/>
                <w:sz w:val="24"/>
                <w:lang w:val="en-US" w:eastAsia="zh-CN"/>
              </w:rPr>
              <w:t>原有危废间</w:t>
            </w:r>
            <w:r>
              <w:rPr>
                <w:rFonts w:hint="default" w:ascii="Times New Roman" w:hAnsi="Times New Roman" w:eastAsia="宋体" w:cs="Times New Roman"/>
                <w:color w:val="auto"/>
                <w:kern w:val="0"/>
                <w:sz w:val="24"/>
                <w:lang w:val="en-US" w:eastAsia="zh-CN"/>
              </w:rPr>
              <w:t>危废的收</w:t>
            </w:r>
            <w:r>
              <w:rPr>
                <w:rFonts w:hint="default" w:ascii="Times New Roman" w:hAnsi="Times New Roman" w:cs="Times New Roman"/>
                <w:color w:val="auto"/>
                <w:kern w:val="0"/>
                <w:sz w:val="24"/>
                <w:lang w:val="en-US" w:eastAsia="zh-CN"/>
              </w:rPr>
              <w:t>集、贮存</w:t>
            </w:r>
            <w:r>
              <w:rPr>
                <w:rFonts w:hint="eastAsia" w:ascii="Times New Roman" w:hAnsi="Times New Roman" w:cs="Times New Roman"/>
                <w:color w:val="auto"/>
                <w:kern w:val="0"/>
                <w:sz w:val="24"/>
                <w:lang w:val="en-US" w:eastAsia="zh-CN"/>
              </w:rPr>
              <w:t>要求严格</w:t>
            </w:r>
            <w:r>
              <w:rPr>
                <w:rFonts w:hint="default" w:ascii="Times New Roman" w:hAnsi="Times New Roman" w:cs="Times New Roman"/>
                <w:color w:val="auto"/>
                <w:kern w:val="0"/>
                <w:sz w:val="24"/>
                <w:lang w:val="en-US" w:eastAsia="zh-CN"/>
              </w:rPr>
              <w:t>按《</w:t>
            </w:r>
            <w:r>
              <w:rPr>
                <w:rFonts w:hint="eastAsia" w:ascii="Times New Roman" w:hAnsi="Times New Roman" w:cs="Times New Roman"/>
                <w:color w:val="auto"/>
                <w:kern w:val="0"/>
                <w:sz w:val="24"/>
                <w:lang w:val="en-US" w:eastAsia="zh-CN"/>
              </w:rPr>
              <w:t>危险废物收集 贮存 运输技术规范</w:t>
            </w:r>
            <w:r>
              <w:rPr>
                <w:rFonts w:hint="default" w:ascii="Times New Roman" w:hAnsi="Times New Roman" w:cs="Times New Roman"/>
                <w:color w:val="auto"/>
                <w:kern w:val="0"/>
                <w:sz w:val="24"/>
                <w:lang w:val="en-US" w:eastAsia="zh-CN"/>
              </w:rPr>
              <w:t>》（HJ2025-2012）及《危险废物贮存污染控制标准》（GB18597-20</w:t>
            </w:r>
            <w:r>
              <w:rPr>
                <w:rFonts w:hint="eastAsia" w:ascii="Times New Roman" w:hAnsi="Times New Roman" w:cs="Times New Roman"/>
                <w:color w:val="auto"/>
                <w:kern w:val="0"/>
                <w:sz w:val="24"/>
                <w:lang w:val="en-US" w:eastAsia="zh-CN"/>
              </w:rPr>
              <w:t>23</w:t>
            </w:r>
            <w:r>
              <w:rPr>
                <w:rFonts w:hint="default" w:ascii="Times New Roman" w:hAnsi="Times New Roman" w:cs="Times New Roman"/>
                <w:color w:val="auto"/>
                <w:kern w:val="0"/>
                <w:sz w:val="24"/>
                <w:lang w:val="en-US" w:eastAsia="zh-CN"/>
              </w:rPr>
              <w:t>）及修改单中相关规定</w:t>
            </w:r>
            <w:r>
              <w:rPr>
                <w:rFonts w:hint="eastAsia" w:ascii="Times New Roman" w:hAnsi="Times New Roman" w:cs="Times New Roman"/>
                <w:color w:val="auto"/>
                <w:kern w:val="0"/>
                <w:sz w:val="24"/>
                <w:lang w:val="en-US" w:eastAsia="zh-CN"/>
              </w:rPr>
              <w:t>整改</w:t>
            </w:r>
            <w:r>
              <w:rPr>
                <w:rFonts w:hint="default" w:ascii="Times New Roman" w:hAnsi="Times New Roman" w:cs="Times New Roman"/>
                <w:color w:val="auto"/>
                <w:kern w:val="0"/>
                <w:sz w:val="24"/>
                <w:lang w:val="en-US" w:eastAsia="zh-CN"/>
              </w:rPr>
              <w:t>。</w:t>
            </w:r>
            <w:r>
              <w:rPr>
                <w:rFonts w:hint="default" w:ascii="Times New Roman" w:hAnsi="Times New Roman" w:eastAsia="宋体" w:cs="Times New Roman"/>
                <w:color w:val="auto"/>
                <w:sz w:val="24"/>
                <w:lang w:val="en-US" w:eastAsia="zh-CN"/>
              </w:rPr>
              <w:t>地面水泥硬化并涂防渗漆</w:t>
            </w:r>
            <w:r>
              <w:rPr>
                <w:rFonts w:hint="default" w:ascii="Times New Roman" w:hAnsi="Times New Roman" w:eastAsia="宋体" w:cs="Times New Roman"/>
                <w:color w:val="auto"/>
                <w:sz w:val="24"/>
                <w:lang w:eastAsia="zh-CN"/>
              </w:rPr>
              <w:t>（等效黏土防渗层Mb≥6m，K≤1×10</w:t>
            </w:r>
            <w:r>
              <w:rPr>
                <w:rFonts w:hint="default" w:ascii="Times New Roman" w:hAnsi="Times New Roman" w:eastAsia="宋体" w:cs="Times New Roman"/>
                <w:color w:val="auto"/>
                <w:sz w:val="24"/>
                <w:vertAlign w:val="superscript"/>
                <w:lang w:eastAsia="zh-CN"/>
              </w:rPr>
              <w:t>-7</w:t>
            </w:r>
            <w:r>
              <w:rPr>
                <w:rFonts w:hint="default" w:ascii="Times New Roman" w:hAnsi="Times New Roman" w:eastAsia="宋体" w:cs="Times New Roman"/>
                <w:color w:val="auto"/>
                <w:sz w:val="24"/>
                <w:lang w:eastAsia="zh-CN"/>
              </w:rPr>
              <w:t>cm/s）</w:t>
            </w:r>
            <w:r>
              <w:rPr>
                <w:rFonts w:hint="default" w:ascii="Times New Roman" w:hAnsi="Times New Roman" w:eastAsia="宋体" w:cs="Times New Roman"/>
                <w:color w:val="auto"/>
                <w:sz w:val="24"/>
                <w:lang w:val="en-US" w:eastAsia="zh-CN"/>
              </w:rPr>
              <w:t>，盛装容器底部均设置防渗托盘，</w:t>
            </w:r>
            <w:r>
              <w:rPr>
                <w:rFonts w:hint="eastAsia" w:ascii="Times New Roman" w:hAnsi="Times New Roman" w:eastAsia="宋体" w:cs="Times New Roman"/>
                <w:color w:val="auto"/>
                <w:sz w:val="24"/>
                <w:lang w:val="en-US" w:eastAsia="zh-CN"/>
              </w:rPr>
              <w:t>进行危废台账实时记录，需</w:t>
            </w:r>
            <w:r>
              <w:rPr>
                <w:rFonts w:hint="eastAsia" w:ascii="Times New Roman" w:hAnsi="Times New Roman" w:cs="Times New Roman"/>
                <w:color w:val="auto"/>
                <w:kern w:val="0"/>
                <w:sz w:val="24"/>
                <w:lang w:val="en-US" w:eastAsia="zh-CN"/>
              </w:rPr>
              <w:t>补充</w:t>
            </w:r>
            <w:r>
              <w:rPr>
                <w:rFonts w:hint="default" w:ascii="Times New Roman" w:hAnsi="Times New Roman" w:eastAsia="宋体" w:cs="Times New Roman"/>
                <w:color w:val="auto"/>
                <w:sz w:val="24"/>
                <w:lang w:val="en-US" w:eastAsia="zh-CN"/>
              </w:rPr>
              <w:t>张贴危废标识、标签和管理制度，</w:t>
            </w:r>
            <w:r>
              <w:rPr>
                <w:rFonts w:hint="eastAsia" w:ascii="Times New Roman" w:hAnsi="Times New Roman" w:eastAsia="宋体" w:cs="Times New Roman"/>
                <w:color w:val="auto"/>
                <w:sz w:val="24"/>
                <w:lang w:val="en-US" w:eastAsia="zh-CN"/>
              </w:rPr>
              <w:t>并</w:t>
            </w:r>
            <w:r>
              <w:rPr>
                <w:rFonts w:hint="default" w:ascii="Times New Roman" w:hAnsi="Times New Roman" w:eastAsia="宋体" w:cs="Times New Roman"/>
                <w:color w:val="auto"/>
                <w:sz w:val="24"/>
                <w:lang w:val="en-US" w:eastAsia="zh-CN"/>
              </w:rPr>
              <w:t>对</w:t>
            </w:r>
            <w:r>
              <w:rPr>
                <w:rFonts w:hint="default" w:ascii="Times New Roman" w:hAnsi="Times New Roman" w:cs="Times New Roman"/>
                <w:color w:val="auto"/>
                <w:kern w:val="0"/>
                <w:sz w:val="24"/>
                <w:lang w:val="en-US" w:eastAsia="zh-CN"/>
              </w:rPr>
              <w:t>危废处理协议进行内容补充</w:t>
            </w:r>
            <w:r>
              <w:rPr>
                <w:rFonts w:hint="eastAsia" w:ascii="Times New Roman" w:hAnsi="Times New Roman" w:cs="Times New Roman"/>
                <w:color w:val="auto"/>
                <w:kern w:val="0"/>
                <w:sz w:val="24"/>
                <w:lang w:val="en-US" w:eastAsia="zh-CN"/>
              </w:rPr>
              <w:t>后可依托，</w:t>
            </w:r>
          </w:p>
          <w:p w14:paraId="34138646">
            <w:pPr>
              <w:keepNext/>
              <w:keepLines/>
              <w:pageBreakBefore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color w:val="auto"/>
                <w:sz w:val="24"/>
              </w:rPr>
            </w:pPr>
            <w:r>
              <w:rPr>
                <w:rFonts w:hint="eastAsia" w:ascii="Times New Roman" w:hAnsi="Times New Roman" w:eastAsia="宋体" w:cs="Times New Roman"/>
                <w:b/>
                <w:bCs/>
                <w:color w:val="auto"/>
                <w:sz w:val="24"/>
                <w:lang w:val="en-US" w:eastAsia="zh-CN"/>
              </w:rPr>
              <w:t>危废间容量可依托性：</w:t>
            </w:r>
            <w:r>
              <w:rPr>
                <w:rFonts w:hint="default" w:ascii="Times New Roman" w:hAnsi="Times New Roman" w:cs="Times New Roman"/>
                <w:color w:val="auto"/>
                <w:kern w:val="0"/>
                <w:sz w:val="24"/>
                <w:lang w:eastAsia="zh-CN"/>
              </w:rPr>
              <w:t>原有项目</w:t>
            </w:r>
            <w:r>
              <w:rPr>
                <w:rFonts w:hint="eastAsia" w:cs="Times New Roman"/>
                <w:color w:val="auto"/>
                <w:kern w:val="0"/>
                <w:sz w:val="24"/>
                <w:lang w:eastAsia="zh-CN"/>
              </w:rPr>
              <w:t>危废贮存库</w:t>
            </w:r>
            <w:r>
              <w:rPr>
                <w:rFonts w:hint="default" w:ascii="Times New Roman" w:hAnsi="Times New Roman" w:cs="Times New Roman"/>
                <w:color w:val="auto"/>
                <w:kern w:val="0"/>
                <w:sz w:val="24"/>
                <w:lang w:eastAsia="zh-CN"/>
              </w:rPr>
              <w:t>占地面积</w:t>
            </w:r>
            <w:r>
              <w:rPr>
                <w:rFonts w:hint="eastAsia" w:ascii="Times New Roman" w:hAnsi="Times New Roman" w:cs="Times New Roman"/>
                <w:color w:val="auto"/>
                <w:kern w:val="0"/>
                <w:sz w:val="24"/>
                <w:lang w:val="en-US" w:eastAsia="zh-CN"/>
              </w:rPr>
              <w:t>12</w:t>
            </w:r>
            <w:r>
              <w:rPr>
                <w:rFonts w:hint="default" w:ascii="Times New Roman" w:hAnsi="Times New Roman" w:cs="Times New Roman"/>
                <w:color w:val="auto"/>
                <w:kern w:val="0"/>
                <w:sz w:val="24"/>
                <w:lang w:val="en-US" w:eastAsia="zh-CN"/>
              </w:rPr>
              <w:t>㎡，</w:t>
            </w:r>
            <w:r>
              <w:rPr>
                <w:rFonts w:hint="default" w:ascii="Times New Roman" w:hAnsi="Times New Roman" w:eastAsia="宋体" w:cs="Times New Roman"/>
                <w:color w:val="auto"/>
                <w:sz w:val="24"/>
                <w:lang w:val="en-US" w:eastAsia="zh-CN"/>
              </w:rPr>
              <w:t>最大储存量可达</w:t>
            </w:r>
            <w:r>
              <w:rPr>
                <w:rFonts w:hint="eastAsia" w:cs="Times New Roman"/>
                <w:color w:val="auto"/>
                <w:sz w:val="24"/>
                <w:lang w:val="en-US" w:eastAsia="zh-CN"/>
              </w:rPr>
              <w:t>20</w:t>
            </w:r>
            <w:r>
              <w:rPr>
                <w:rFonts w:hint="default" w:ascii="Times New Roman" w:hAnsi="Times New Roman" w:eastAsia="宋体" w:cs="Times New Roman"/>
                <w:color w:val="auto"/>
                <w:sz w:val="24"/>
                <w:lang w:val="en-US" w:eastAsia="zh-CN"/>
              </w:rPr>
              <w:t>t/次，原有项目危废产生量</w:t>
            </w:r>
            <w:r>
              <w:rPr>
                <w:rFonts w:hint="eastAsia" w:ascii="Times New Roman" w:hAnsi="Times New Roman" w:eastAsia="宋体" w:cs="Times New Roman"/>
                <w:color w:val="auto"/>
                <w:sz w:val="24"/>
                <w:lang w:val="en-US" w:eastAsia="zh-CN"/>
              </w:rPr>
              <w:t>约</w:t>
            </w:r>
            <w:r>
              <w:rPr>
                <w:rFonts w:hint="default" w:ascii="Times New Roman" w:hAnsi="Times New Roman" w:eastAsia="宋体" w:cs="Times New Roman"/>
                <w:color w:val="auto"/>
                <w:sz w:val="24"/>
                <w:lang w:val="en-US" w:eastAsia="zh-CN"/>
              </w:rPr>
              <w:t>为</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t/a，本次新增危废</w:t>
            </w:r>
            <w:r>
              <w:rPr>
                <w:rFonts w:hint="eastAsia" w:cs="Times New Roman"/>
                <w:color w:val="auto"/>
                <w:sz w:val="24"/>
                <w:lang w:val="en-US" w:eastAsia="zh-CN"/>
              </w:rPr>
              <w:t>脱脂槽液每三个月更换一次，若同时更换</w:t>
            </w:r>
            <w:r>
              <w:rPr>
                <w:rFonts w:hint="default" w:ascii="Times New Roman" w:hAnsi="Times New Roman" w:eastAsia="宋体" w:cs="Times New Roman"/>
                <w:color w:val="auto"/>
                <w:sz w:val="24"/>
                <w:lang w:val="en-US" w:eastAsia="zh-CN"/>
              </w:rPr>
              <w:t>产生</w:t>
            </w:r>
            <w:r>
              <w:rPr>
                <w:rFonts w:hint="eastAsia" w:cs="Times New Roman"/>
                <w:color w:val="auto"/>
                <w:sz w:val="24"/>
                <w:lang w:val="en-US" w:eastAsia="zh-CN"/>
              </w:rPr>
              <w:t>最大</w:t>
            </w:r>
            <w:r>
              <w:rPr>
                <w:rFonts w:hint="default" w:ascii="Times New Roman" w:hAnsi="Times New Roman" w:eastAsia="宋体" w:cs="Times New Roman"/>
                <w:color w:val="auto"/>
                <w:sz w:val="24"/>
                <w:lang w:val="en-US" w:eastAsia="zh-CN"/>
              </w:rPr>
              <w:t>量</w:t>
            </w:r>
            <w:r>
              <w:rPr>
                <w:rFonts w:hint="eastAsia" w:cs="Times New Roman"/>
                <w:color w:val="auto"/>
                <w:sz w:val="24"/>
                <w:lang w:val="en-US" w:eastAsia="zh-CN"/>
              </w:rPr>
              <w:t>约</w:t>
            </w:r>
            <w:r>
              <w:rPr>
                <w:rFonts w:hint="default" w:ascii="Times New Roman" w:hAnsi="Times New Roman" w:eastAsia="宋体" w:cs="Times New Roman"/>
                <w:color w:val="auto"/>
                <w:sz w:val="24"/>
                <w:lang w:val="en-US" w:eastAsia="zh-CN"/>
              </w:rPr>
              <w:t>为</w:t>
            </w:r>
            <w:r>
              <w:rPr>
                <w:rFonts w:hint="eastAsia" w:cs="Times New Roman"/>
                <w:color w:val="auto"/>
                <w:sz w:val="24"/>
                <w:lang w:val="en-US" w:eastAsia="zh-CN"/>
              </w:rPr>
              <w:t>8.64</w:t>
            </w:r>
            <w:r>
              <w:rPr>
                <w:rFonts w:hint="default" w:ascii="Times New Roman" w:hAnsi="Times New Roman" w:eastAsia="宋体" w:cs="Times New Roman"/>
                <w:color w:val="auto"/>
                <w:sz w:val="24"/>
                <w:lang w:val="en-US" w:eastAsia="zh-CN"/>
              </w:rPr>
              <w:t>t/</w:t>
            </w:r>
            <w:r>
              <w:rPr>
                <w:rFonts w:hint="eastAsia" w:cs="Times New Roman"/>
                <w:color w:val="auto"/>
                <w:sz w:val="24"/>
                <w:lang w:val="en-US" w:eastAsia="zh-CN"/>
              </w:rPr>
              <w:t>次</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要求企业每次更换槽液及时联系资质单位清运处置，并交替更换，避免在危废贮存库内存留长时间，其余危废交替更换并及时委托资质单位清运处置，因各类危废</w:t>
            </w:r>
            <w:r>
              <w:rPr>
                <w:rFonts w:hint="default" w:ascii="Times New Roman" w:hAnsi="Times New Roman" w:eastAsia="宋体" w:cs="Times New Roman"/>
                <w:color w:val="auto"/>
                <w:sz w:val="24"/>
                <w:lang w:val="en-US" w:eastAsia="zh-CN"/>
              </w:rPr>
              <w:t>产生频次及时间不同</w:t>
            </w:r>
            <w:r>
              <w:rPr>
                <w:rFonts w:hint="eastAsia" w:cs="Times New Roman"/>
                <w:color w:val="auto"/>
                <w:sz w:val="24"/>
                <w:lang w:val="en-US" w:eastAsia="zh-CN"/>
              </w:rPr>
              <w:t>并可及时清运处置，</w:t>
            </w:r>
            <w:r>
              <w:rPr>
                <w:rFonts w:hint="default" w:ascii="Times New Roman" w:hAnsi="Times New Roman" w:eastAsia="宋体" w:cs="Times New Roman"/>
                <w:color w:val="auto"/>
                <w:sz w:val="24"/>
                <w:lang w:val="en-US" w:eastAsia="zh-CN"/>
              </w:rPr>
              <w:t>故原有项目</w:t>
            </w:r>
            <w:r>
              <w:rPr>
                <w:rFonts w:hint="eastAsia" w:cs="Times New Roman"/>
                <w:color w:val="auto"/>
                <w:sz w:val="24"/>
                <w:lang w:val="en-US" w:eastAsia="zh-CN"/>
              </w:rPr>
              <w:t>危废贮存库</w:t>
            </w:r>
            <w:r>
              <w:rPr>
                <w:rFonts w:hint="default" w:ascii="Times New Roman" w:hAnsi="Times New Roman" w:eastAsia="宋体" w:cs="Times New Roman"/>
                <w:color w:val="auto"/>
                <w:sz w:val="24"/>
                <w:lang w:val="en-US" w:eastAsia="zh-CN"/>
              </w:rPr>
              <w:t>可满足</w:t>
            </w:r>
            <w:r>
              <w:rPr>
                <w:rFonts w:hint="eastAsia" w:cs="Times New Roman"/>
                <w:color w:val="auto"/>
                <w:sz w:val="24"/>
                <w:lang w:val="en-US" w:eastAsia="zh-CN"/>
              </w:rPr>
              <w:t>建成</w:t>
            </w:r>
            <w:r>
              <w:rPr>
                <w:rFonts w:hint="default" w:ascii="Times New Roman" w:hAnsi="Times New Roman" w:eastAsia="宋体" w:cs="Times New Roman"/>
                <w:color w:val="auto"/>
                <w:sz w:val="24"/>
                <w:lang w:val="en-US" w:eastAsia="zh-CN"/>
              </w:rPr>
              <w:t>后整体项目产生的危废暂存量，可依托。</w:t>
            </w:r>
          </w:p>
          <w:p w14:paraId="114B5D56">
            <w:pPr>
              <w:keepNext/>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本次新增污染物种类需</w:t>
            </w:r>
            <w:r>
              <w:rPr>
                <w:rFonts w:hint="eastAsia" w:cs="Times New Roman"/>
                <w:color w:val="auto"/>
                <w:sz w:val="24"/>
                <w:lang w:val="en-US" w:eastAsia="zh-CN"/>
              </w:rPr>
              <w:t>在</w:t>
            </w:r>
            <w:r>
              <w:rPr>
                <w:rFonts w:hint="default" w:ascii="Times New Roman" w:hAnsi="Times New Roman" w:cs="Times New Roman"/>
                <w:color w:val="auto"/>
                <w:kern w:val="0"/>
                <w:sz w:val="24"/>
                <w:lang w:val="en-US" w:eastAsia="zh-CN"/>
              </w:rPr>
              <w:t>本项目运行后应根据排污许可证的相关要求进行排污申报、提交转移计划、做好台账记录、执行联单制度等要求。</w:t>
            </w:r>
            <w:r>
              <w:rPr>
                <w:rFonts w:hint="default" w:ascii="Times New Roman" w:hAnsi="Times New Roman" w:eastAsia="宋体" w:cs="Times New Roman"/>
                <w:color w:val="auto"/>
                <w:sz w:val="24"/>
                <w:lang w:eastAsia="zh-CN"/>
              </w:rPr>
              <w:t>做好本项目产生的危废记录、及时检查危废间内包装容积及贮存设施是否老化、标识标牌是否清晰完整，发现破损，应及时采取措施清理更换。</w:t>
            </w:r>
          </w:p>
          <w:p w14:paraId="23C2A10D">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rPr>
            </w:pPr>
            <w:r>
              <w:rPr>
                <w:color w:val="auto"/>
                <w:sz w:val="24"/>
              </w:rPr>
              <w:t>项目为避免不相容的危险废物接触、混合</w:t>
            </w:r>
            <w:r>
              <w:rPr>
                <w:rFonts w:hint="eastAsia"/>
                <w:color w:val="auto"/>
                <w:sz w:val="24"/>
              </w:rPr>
              <w:t>，</w:t>
            </w:r>
            <w:r>
              <w:rPr>
                <w:color w:val="auto"/>
                <w:sz w:val="24"/>
              </w:rPr>
              <w:t>均根据危险废物的类别、数量、形态、物理化学性质和污染防治等要求进行分区存放。</w:t>
            </w:r>
          </w:p>
          <w:p w14:paraId="4C85AB06">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因此，本项目产生的固废去向明确，处置合理，有效地防止了固体废弃物的逸散和对环境的二次污染，因此对周围环境影响很小。</w:t>
            </w:r>
          </w:p>
          <w:p w14:paraId="361AC98A">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五、地下水环境影响分析</w:t>
            </w:r>
          </w:p>
          <w:p w14:paraId="5D9018B0">
            <w:pPr>
              <w:spacing w:line="360" w:lineRule="auto"/>
              <w:ind w:firstLine="480" w:firstLineChars="200"/>
              <w:rPr>
                <w:color w:val="auto"/>
                <w:sz w:val="24"/>
              </w:rPr>
            </w:pPr>
            <w:r>
              <w:rPr>
                <w:color w:val="auto"/>
                <w:sz w:val="24"/>
              </w:rPr>
              <w:t>根据工程分析，本项目无生产废水排放。本项目均在生产车间内进行，车间按照标准化厂房建设，具备防渗功能。项目产生的危险废物暂存于危险废物贮存设施内，贮存设施内严格按照相关规范进行重点防渗防腐处理。本项目无地下水污染源，故不进行地下水环境影响分析。</w:t>
            </w:r>
          </w:p>
          <w:p w14:paraId="6466893E">
            <w:pPr>
              <w:spacing w:line="360" w:lineRule="auto"/>
              <w:rPr>
                <w:color w:val="auto"/>
                <w:sz w:val="24"/>
              </w:rPr>
            </w:pPr>
            <w:r>
              <w:rPr>
                <w:color w:val="auto"/>
              </w:rPr>
              <w:drawing>
                <wp:inline distT="0" distB="0" distL="114300" distR="114300">
                  <wp:extent cx="5164455" cy="3270885"/>
                  <wp:effectExtent l="9525" t="9525" r="26670" b="152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tretch>
                            <a:fillRect/>
                          </a:stretch>
                        </pic:blipFill>
                        <pic:spPr>
                          <a:xfrm>
                            <a:off x="0" y="0"/>
                            <a:ext cx="5164455" cy="3270885"/>
                          </a:xfrm>
                          <a:prstGeom prst="rect">
                            <a:avLst/>
                          </a:prstGeom>
                          <a:noFill/>
                          <a:ln>
                            <a:solidFill>
                              <a:schemeClr val="tx1"/>
                            </a:solidFill>
                          </a:ln>
                        </pic:spPr>
                      </pic:pic>
                    </a:graphicData>
                  </a:graphic>
                </wp:inline>
              </w:drawing>
            </w:r>
          </w:p>
          <w:p w14:paraId="17878A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8"/>
                <w:szCs w:val="28"/>
                <w:lang w:val="en-US" w:eastAsia="zh-CN"/>
              </w:rPr>
            </w:pPr>
            <w:r>
              <w:rPr>
                <w:rFonts w:hint="eastAsia" w:cs="Times New Roman"/>
                <w:b/>
                <w:bCs/>
                <w:color w:val="auto"/>
                <w:sz w:val="21"/>
                <w:szCs w:val="21"/>
                <w:lang w:val="en-US" w:eastAsia="zh-CN"/>
              </w:rPr>
              <w:t>图4-2  项目分区反渗图</w:t>
            </w:r>
          </w:p>
          <w:p w14:paraId="4A2A5461">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六、土壤环境影响分析</w:t>
            </w:r>
          </w:p>
          <w:p w14:paraId="4CFA1670">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1"/>
              <w:rPr>
                <w:color w:val="auto"/>
                <w:sz w:val="24"/>
              </w:rPr>
            </w:pPr>
            <w:r>
              <w:rPr>
                <w:color w:val="auto"/>
                <w:sz w:val="24"/>
              </w:rPr>
              <w:t>根据工程分析，生产过程中产生的非甲烷总烃经处理后排放量较小，项目厂区生产车间、运输路面、危险废物贮存设施等地面均进行硬化，无土壤污染途径，本次评价不对土壤环境进行评价。</w:t>
            </w:r>
          </w:p>
          <w:p w14:paraId="29D321DD">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七、环境风险</w:t>
            </w:r>
          </w:p>
          <w:p w14:paraId="0ABE00AB">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lang w:val="en-US" w:eastAsia="zh-CN"/>
              </w:rPr>
              <w:t>（1）危险物质和风险等级评判</w:t>
            </w:r>
          </w:p>
          <w:p w14:paraId="7D85E91D">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依据《建设项目环境风险评价技术导则》（HJ169-2018）要求，结合《企业突发环境事件风险分级方法HJ941-2018》附录A第四部分，本项目生产、使用、储存过程中涉及液态物质润滑油</w:t>
            </w:r>
            <w:r>
              <w:rPr>
                <w:rFonts w:hint="eastAsia" w:ascii="Times New Roman" w:hAnsi="Times New Roman" w:eastAsia="宋体" w:cs="Times New Roman"/>
                <w:color w:val="auto"/>
                <w:sz w:val="24"/>
                <w:lang w:val="en-US" w:eastAsia="zh-CN"/>
              </w:rPr>
              <w:t>（废）、液压油（废）</w:t>
            </w:r>
            <w:r>
              <w:rPr>
                <w:rFonts w:hint="eastAsia" w:cs="Times New Roman"/>
                <w:color w:val="auto"/>
                <w:sz w:val="24"/>
                <w:lang w:val="en-US" w:eastAsia="zh-CN"/>
              </w:rPr>
              <w:t>、硅烷原液、脱脂原液</w:t>
            </w:r>
            <w:r>
              <w:rPr>
                <w:rFonts w:hint="default" w:ascii="Times New Roman" w:hAnsi="Times New Roman" w:eastAsia="宋体" w:cs="Times New Roman"/>
                <w:color w:val="auto"/>
                <w:sz w:val="24"/>
                <w:lang w:val="en-US" w:eastAsia="zh-CN"/>
              </w:rPr>
              <w:t>，主要对全厂仓库</w:t>
            </w:r>
            <w:r>
              <w:rPr>
                <w:rFonts w:hint="eastAsia" w:cs="Times New Roman"/>
                <w:color w:val="auto"/>
                <w:sz w:val="24"/>
                <w:lang w:val="en-US" w:eastAsia="zh-CN"/>
              </w:rPr>
              <w:t>、脱脂槽、硅烷槽</w:t>
            </w:r>
            <w:r>
              <w:rPr>
                <w:rFonts w:hint="default" w:ascii="Times New Roman" w:hAnsi="Times New Roman" w:eastAsia="宋体" w:cs="Times New Roman"/>
                <w:color w:val="auto"/>
                <w:sz w:val="24"/>
                <w:lang w:val="en-US" w:eastAsia="zh-CN"/>
              </w:rPr>
              <w:t>及</w:t>
            </w:r>
            <w:r>
              <w:rPr>
                <w:rFonts w:hint="eastAsia" w:cs="Times New Roman"/>
                <w:color w:val="auto"/>
                <w:sz w:val="24"/>
                <w:lang w:val="en-US" w:eastAsia="zh-CN"/>
              </w:rPr>
              <w:t>危废贮存库</w:t>
            </w:r>
            <w:r>
              <w:rPr>
                <w:rFonts w:hint="default" w:ascii="Times New Roman" w:hAnsi="Times New Roman" w:eastAsia="宋体" w:cs="Times New Roman"/>
                <w:color w:val="auto"/>
                <w:sz w:val="24"/>
                <w:lang w:val="en-US" w:eastAsia="zh-CN"/>
              </w:rPr>
              <w:t>危险废物最大储存量进行风险分析，具体危险特性及分布情况见下表：</w:t>
            </w:r>
          </w:p>
          <w:p w14:paraId="7B7F7AE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z w:val="21"/>
                <w:szCs w:val="21"/>
                <w:lang w:val="de-DE" w:eastAsia="zh-CN"/>
              </w:rPr>
            </w:pPr>
            <w:r>
              <w:rPr>
                <w:rFonts w:hint="default" w:ascii="Times New Roman" w:hAnsi="Times New Roman" w:eastAsia="宋体" w:cs="Times New Roman"/>
                <w:b/>
                <w:bCs/>
                <w:color w:val="auto"/>
                <w:sz w:val="21"/>
                <w:szCs w:val="21"/>
                <w:lang w:val="de-DE" w:eastAsia="zh-CN"/>
              </w:rPr>
              <w:t>表4-</w:t>
            </w:r>
            <w:r>
              <w:rPr>
                <w:rFonts w:hint="eastAsia" w:cs="Times New Roman"/>
                <w:b/>
                <w:bCs/>
                <w:color w:val="auto"/>
                <w:sz w:val="21"/>
                <w:szCs w:val="21"/>
                <w:lang w:val="en-US" w:eastAsia="zh-CN"/>
              </w:rPr>
              <w:t>12</w:t>
            </w:r>
            <w:r>
              <w:rPr>
                <w:rFonts w:hint="default" w:ascii="Times New Roman" w:hAnsi="Times New Roman" w:eastAsia="宋体" w:cs="Times New Roman"/>
                <w:b/>
                <w:bCs/>
                <w:color w:val="auto"/>
                <w:sz w:val="21"/>
                <w:szCs w:val="21"/>
                <w:lang w:val="de-DE" w:eastAsia="zh-CN"/>
              </w:rPr>
              <w:t xml:space="preserve">  主要危险物质年用量及存储量一览表</w:t>
            </w:r>
          </w:p>
          <w:tbl>
            <w:tblPr>
              <w:tblStyle w:val="30"/>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3"/>
              <w:gridCol w:w="478"/>
              <w:gridCol w:w="1081"/>
              <w:gridCol w:w="962"/>
              <w:gridCol w:w="1171"/>
              <w:gridCol w:w="1389"/>
              <w:gridCol w:w="886"/>
              <w:gridCol w:w="1732"/>
            </w:tblGrid>
            <w:tr w14:paraId="3A695B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2" w:type="pct"/>
                  <w:noWrap w:val="0"/>
                  <w:vAlign w:val="center"/>
                </w:tcPr>
                <w:p w14:paraId="30352AD8">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282" w:type="pct"/>
                  <w:noWrap w:val="0"/>
                  <w:vAlign w:val="center"/>
                </w:tcPr>
                <w:p w14:paraId="605F781E">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形态</w:t>
                  </w:r>
                </w:p>
              </w:tc>
              <w:tc>
                <w:tcPr>
                  <w:tcW w:w="637" w:type="pct"/>
                  <w:noWrap w:val="0"/>
                  <w:vAlign w:val="center"/>
                </w:tcPr>
                <w:p w14:paraId="7F56F0A8">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性 质</w:t>
                  </w:r>
                </w:p>
              </w:tc>
              <w:tc>
                <w:tcPr>
                  <w:tcW w:w="567" w:type="pct"/>
                  <w:noWrap w:val="0"/>
                  <w:vAlign w:val="center"/>
                </w:tcPr>
                <w:p w14:paraId="403C581B">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CAS号</w:t>
                  </w:r>
                </w:p>
              </w:tc>
              <w:tc>
                <w:tcPr>
                  <w:tcW w:w="690" w:type="pct"/>
                  <w:noWrap w:val="0"/>
                  <w:vAlign w:val="center"/>
                </w:tcPr>
                <w:p w14:paraId="1592A624">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分布位置</w:t>
                  </w:r>
                </w:p>
              </w:tc>
              <w:tc>
                <w:tcPr>
                  <w:tcW w:w="819" w:type="pct"/>
                  <w:noWrap w:val="0"/>
                  <w:vAlign w:val="center"/>
                </w:tcPr>
                <w:p w14:paraId="3A491DAC">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最大储存量</w:t>
                  </w:r>
                  <w:r>
                    <w:rPr>
                      <w:rFonts w:hint="default" w:ascii="Times New Roman" w:hAnsi="Times New Roman" w:eastAsia="宋体" w:cs="Times New Roman"/>
                      <w:b/>
                      <w:bCs/>
                      <w:color w:val="auto"/>
                      <w:szCs w:val="21"/>
                    </w:rPr>
                    <w:t>（t）</w:t>
                  </w:r>
                </w:p>
              </w:tc>
              <w:tc>
                <w:tcPr>
                  <w:tcW w:w="522" w:type="pct"/>
                  <w:noWrap w:val="0"/>
                  <w:vAlign w:val="center"/>
                </w:tcPr>
                <w:p w14:paraId="4CF5ABDA">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临界量（t）</w:t>
                  </w:r>
                </w:p>
              </w:tc>
              <w:tc>
                <w:tcPr>
                  <w:tcW w:w="1018" w:type="pct"/>
                  <w:noWrap w:val="0"/>
                  <w:vAlign w:val="center"/>
                </w:tcPr>
                <w:p w14:paraId="5EF490A8">
                  <w:pPr>
                    <w:keepNext/>
                    <w:keepLines/>
                    <w:pageBreakBefore w:val="0"/>
                    <w:widowControl/>
                    <w:kinsoku/>
                    <w:wordWrap/>
                    <w:overflowPunct/>
                    <w:topLinePunct w:val="0"/>
                    <w:autoSpaceDE/>
                    <w:autoSpaceDN/>
                    <w:bidi w:val="0"/>
                    <w:adjustRightInd/>
                    <w:snapToGrid/>
                    <w:spacing w:beforeAutospacing="0" w:afterAutospacing="0"/>
                    <w:jc w:val="both"/>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eastAsia="zh-CN"/>
                    </w:rPr>
                    <w:t>危险物质</w:t>
                  </w:r>
                  <w:r>
                    <w:rPr>
                      <w:rFonts w:hint="default" w:ascii="Times New Roman" w:hAnsi="Times New Roman" w:eastAsia="宋体" w:cs="Times New Roman"/>
                      <w:b/>
                      <w:bCs/>
                      <w:color w:val="auto"/>
                      <w:szCs w:val="21"/>
                      <w:lang w:val="en-US" w:eastAsia="zh-CN"/>
                    </w:rPr>
                    <w:t>Q值</w:t>
                  </w:r>
                </w:p>
              </w:tc>
            </w:tr>
            <w:tr w14:paraId="1D16F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2" w:type="pct"/>
                  <w:noWrap w:val="0"/>
                  <w:vAlign w:val="center"/>
                </w:tcPr>
                <w:p w14:paraId="151DD582">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矿物油</w:t>
                  </w:r>
                </w:p>
              </w:tc>
              <w:tc>
                <w:tcPr>
                  <w:tcW w:w="282" w:type="pct"/>
                  <w:vMerge w:val="restart"/>
                  <w:noWrap w:val="0"/>
                  <w:vAlign w:val="center"/>
                </w:tcPr>
                <w:p w14:paraId="3327EF83">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液态</w:t>
                  </w:r>
                </w:p>
              </w:tc>
              <w:tc>
                <w:tcPr>
                  <w:tcW w:w="637" w:type="pct"/>
                  <w:noWrap w:val="0"/>
                  <w:vAlign w:val="center"/>
                </w:tcPr>
                <w:p w14:paraId="1D4C35CA">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567" w:type="pct"/>
                  <w:vMerge w:val="restart"/>
                  <w:noWrap w:val="0"/>
                  <w:vAlign w:val="center"/>
                </w:tcPr>
                <w:p w14:paraId="7502393B">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690" w:type="pct"/>
                  <w:noWrap w:val="0"/>
                  <w:vAlign w:val="center"/>
                </w:tcPr>
                <w:p w14:paraId="11CD4865">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仓库</w:t>
                  </w:r>
                  <w:r>
                    <w:rPr>
                      <w:rFonts w:hint="eastAsia" w:ascii="Times New Roman" w:hAnsi="Times New Roman" w:eastAsia="宋体" w:cs="Times New Roman"/>
                      <w:color w:val="auto"/>
                      <w:szCs w:val="21"/>
                      <w:lang w:eastAsia="zh-CN"/>
                    </w:rPr>
                    <w:t>、</w:t>
                  </w:r>
                  <w:r>
                    <w:rPr>
                      <w:rFonts w:hint="eastAsia" w:cs="Times New Roman"/>
                      <w:color w:val="auto"/>
                      <w:szCs w:val="21"/>
                      <w:lang w:eastAsia="zh-CN"/>
                    </w:rPr>
                    <w:t>危废贮存库</w:t>
                  </w:r>
                </w:p>
              </w:tc>
              <w:tc>
                <w:tcPr>
                  <w:tcW w:w="819" w:type="pct"/>
                  <w:noWrap w:val="0"/>
                  <w:vAlign w:val="center"/>
                </w:tcPr>
                <w:p w14:paraId="29C0C1F9">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0.12</w:t>
                  </w:r>
                </w:p>
              </w:tc>
              <w:tc>
                <w:tcPr>
                  <w:tcW w:w="522" w:type="pct"/>
                  <w:noWrap w:val="0"/>
                  <w:vAlign w:val="center"/>
                </w:tcPr>
                <w:p w14:paraId="7391CA56">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2500</w:t>
                  </w:r>
                </w:p>
              </w:tc>
              <w:tc>
                <w:tcPr>
                  <w:tcW w:w="1018" w:type="pct"/>
                  <w:noWrap w:val="0"/>
                  <w:vAlign w:val="center"/>
                </w:tcPr>
                <w:p w14:paraId="61CF8DFC">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0.000048</w:t>
                  </w:r>
                </w:p>
              </w:tc>
            </w:tr>
            <w:tr w14:paraId="4852FC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2" w:type="pct"/>
                  <w:vMerge w:val="restart"/>
                  <w:noWrap w:val="0"/>
                  <w:vAlign w:val="center"/>
                </w:tcPr>
                <w:p w14:paraId="4FFE9F47">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硅烷原液</w:t>
                  </w:r>
                </w:p>
              </w:tc>
              <w:tc>
                <w:tcPr>
                  <w:tcW w:w="282" w:type="pct"/>
                  <w:vMerge w:val="continue"/>
                  <w:noWrap w:val="0"/>
                  <w:vAlign w:val="center"/>
                </w:tcPr>
                <w:p w14:paraId="7E967637">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p>
              </w:tc>
              <w:tc>
                <w:tcPr>
                  <w:tcW w:w="637" w:type="pct"/>
                  <w:vMerge w:val="restart"/>
                  <w:noWrap w:val="0"/>
                  <w:vAlign w:val="center"/>
                </w:tcPr>
                <w:p w14:paraId="5B0CA158">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腐蚀性</w:t>
                  </w:r>
                </w:p>
              </w:tc>
              <w:tc>
                <w:tcPr>
                  <w:tcW w:w="567" w:type="pct"/>
                  <w:vMerge w:val="continue"/>
                  <w:noWrap w:val="0"/>
                  <w:vAlign w:val="center"/>
                </w:tcPr>
                <w:p w14:paraId="7EE0CBC4">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p>
              </w:tc>
              <w:tc>
                <w:tcPr>
                  <w:tcW w:w="690" w:type="pct"/>
                  <w:noWrap w:val="0"/>
                  <w:vAlign w:val="center"/>
                </w:tcPr>
                <w:p w14:paraId="249F2DF7">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槽液</w:t>
                  </w:r>
                </w:p>
              </w:tc>
              <w:tc>
                <w:tcPr>
                  <w:tcW w:w="819" w:type="pct"/>
                  <w:noWrap w:val="0"/>
                  <w:vAlign w:val="center"/>
                </w:tcPr>
                <w:p w14:paraId="1CCB9CA8">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0.056</w:t>
                  </w:r>
                </w:p>
              </w:tc>
              <w:tc>
                <w:tcPr>
                  <w:tcW w:w="522" w:type="pct"/>
                  <w:vMerge w:val="restart"/>
                  <w:noWrap w:val="0"/>
                  <w:vAlign w:val="center"/>
                </w:tcPr>
                <w:p w14:paraId="4B64FECE">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100</w:t>
                  </w:r>
                </w:p>
              </w:tc>
              <w:tc>
                <w:tcPr>
                  <w:tcW w:w="1018" w:type="pct"/>
                  <w:noWrap w:val="0"/>
                  <w:vAlign w:val="center"/>
                </w:tcPr>
                <w:p w14:paraId="50B7A399">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0.00056</w:t>
                  </w:r>
                </w:p>
              </w:tc>
            </w:tr>
            <w:tr w14:paraId="60CB15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2" w:type="pct"/>
                  <w:vMerge w:val="continue"/>
                  <w:noWrap w:val="0"/>
                  <w:vAlign w:val="center"/>
                </w:tcPr>
                <w:p w14:paraId="5282C25B">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p>
              </w:tc>
              <w:tc>
                <w:tcPr>
                  <w:tcW w:w="282" w:type="pct"/>
                  <w:vMerge w:val="continue"/>
                  <w:noWrap w:val="0"/>
                  <w:vAlign w:val="center"/>
                </w:tcPr>
                <w:p w14:paraId="17C20229">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p>
              </w:tc>
              <w:tc>
                <w:tcPr>
                  <w:tcW w:w="637" w:type="pct"/>
                  <w:vMerge w:val="continue"/>
                  <w:noWrap w:val="0"/>
                  <w:vAlign w:val="center"/>
                </w:tcPr>
                <w:p w14:paraId="58B8D092">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p>
              </w:tc>
              <w:tc>
                <w:tcPr>
                  <w:tcW w:w="567" w:type="pct"/>
                  <w:vMerge w:val="continue"/>
                  <w:noWrap w:val="0"/>
                  <w:vAlign w:val="center"/>
                </w:tcPr>
                <w:p w14:paraId="3886E0FD">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p>
              </w:tc>
              <w:tc>
                <w:tcPr>
                  <w:tcW w:w="690" w:type="pct"/>
                  <w:noWrap w:val="0"/>
                  <w:vAlign w:val="center"/>
                </w:tcPr>
                <w:p w14:paraId="52F379E3">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仓库</w:t>
                  </w:r>
                </w:p>
              </w:tc>
              <w:tc>
                <w:tcPr>
                  <w:tcW w:w="819" w:type="pct"/>
                  <w:noWrap w:val="0"/>
                  <w:vAlign w:val="center"/>
                </w:tcPr>
                <w:p w14:paraId="67735266">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cs="Times New Roman"/>
                      <w:color w:val="auto"/>
                      <w:szCs w:val="21"/>
                      <w:lang w:val="en-US" w:eastAsia="zh-CN"/>
                    </w:rPr>
                  </w:pPr>
                  <w:r>
                    <w:rPr>
                      <w:rFonts w:hint="eastAsia" w:cs="Times New Roman"/>
                      <w:color w:val="auto"/>
                      <w:szCs w:val="21"/>
                      <w:lang w:val="en-US" w:eastAsia="zh-CN"/>
                    </w:rPr>
                    <w:t>0.812</w:t>
                  </w:r>
                </w:p>
              </w:tc>
              <w:tc>
                <w:tcPr>
                  <w:tcW w:w="522" w:type="pct"/>
                  <w:vMerge w:val="continue"/>
                  <w:noWrap w:val="0"/>
                  <w:vAlign w:val="center"/>
                </w:tcPr>
                <w:p w14:paraId="1C4E2D24">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p>
              </w:tc>
              <w:tc>
                <w:tcPr>
                  <w:tcW w:w="1018" w:type="pct"/>
                  <w:noWrap w:val="0"/>
                  <w:vAlign w:val="center"/>
                </w:tcPr>
                <w:p w14:paraId="10E8165E">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0.00812</w:t>
                  </w:r>
                </w:p>
              </w:tc>
            </w:tr>
            <w:tr w14:paraId="1D011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2" w:type="pct"/>
                  <w:vMerge w:val="continue"/>
                  <w:noWrap w:val="0"/>
                  <w:vAlign w:val="center"/>
                </w:tcPr>
                <w:p w14:paraId="250F2D46">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p>
              </w:tc>
              <w:tc>
                <w:tcPr>
                  <w:tcW w:w="282" w:type="pct"/>
                  <w:vMerge w:val="continue"/>
                  <w:noWrap w:val="0"/>
                  <w:vAlign w:val="center"/>
                </w:tcPr>
                <w:p w14:paraId="27A69566">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p>
              </w:tc>
              <w:tc>
                <w:tcPr>
                  <w:tcW w:w="637" w:type="pct"/>
                  <w:vMerge w:val="continue"/>
                  <w:noWrap w:val="0"/>
                  <w:vAlign w:val="center"/>
                </w:tcPr>
                <w:p w14:paraId="1A31FA97">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p>
              </w:tc>
              <w:tc>
                <w:tcPr>
                  <w:tcW w:w="567" w:type="pct"/>
                  <w:vMerge w:val="continue"/>
                  <w:noWrap w:val="0"/>
                  <w:vAlign w:val="center"/>
                </w:tcPr>
                <w:p w14:paraId="4C656A88">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p>
              </w:tc>
              <w:tc>
                <w:tcPr>
                  <w:tcW w:w="690" w:type="pct"/>
                  <w:noWrap w:val="0"/>
                  <w:vAlign w:val="center"/>
                </w:tcPr>
                <w:p w14:paraId="1E272F0B">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cs="Times New Roman"/>
                      <w:color w:val="auto"/>
                      <w:szCs w:val="21"/>
                      <w:lang w:val="en-US" w:eastAsia="zh-CN"/>
                    </w:rPr>
                  </w:pPr>
                  <w:r>
                    <w:rPr>
                      <w:rFonts w:hint="eastAsia" w:cs="Times New Roman"/>
                      <w:color w:val="auto"/>
                      <w:szCs w:val="21"/>
                      <w:lang w:val="en-US" w:eastAsia="zh-CN"/>
                    </w:rPr>
                    <w:t>危废贮存库</w:t>
                  </w:r>
                </w:p>
              </w:tc>
              <w:tc>
                <w:tcPr>
                  <w:tcW w:w="819" w:type="pct"/>
                  <w:noWrap w:val="0"/>
                  <w:vAlign w:val="center"/>
                </w:tcPr>
                <w:p w14:paraId="0F26A4C5">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eastAsia" w:cs="Times New Roman"/>
                      <w:color w:val="auto"/>
                      <w:szCs w:val="21"/>
                      <w:lang w:val="en-US" w:eastAsia="zh-CN"/>
                    </w:rPr>
                  </w:pPr>
                  <w:r>
                    <w:rPr>
                      <w:rFonts w:hint="eastAsia" w:cs="Times New Roman"/>
                      <w:color w:val="auto"/>
                      <w:szCs w:val="21"/>
                      <w:lang w:val="en-US" w:eastAsia="zh-CN"/>
                    </w:rPr>
                    <w:t>0.056</w:t>
                  </w:r>
                </w:p>
              </w:tc>
              <w:tc>
                <w:tcPr>
                  <w:tcW w:w="522" w:type="pct"/>
                  <w:vMerge w:val="continue"/>
                  <w:noWrap w:val="0"/>
                  <w:vAlign w:val="center"/>
                </w:tcPr>
                <w:p w14:paraId="1B3E5794">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p>
              </w:tc>
              <w:tc>
                <w:tcPr>
                  <w:tcW w:w="1018" w:type="pct"/>
                  <w:noWrap w:val="0"/>
                  <w:vAlign w:val="center"/>
                </w:tcPr>
                <w:p w14:paraId="07D0ACB5">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0.00056</w:t>
                  </w:r>
                </w:p>
              </w:tc>
            </w:tr>
            <w:tr w14:paraId="677D1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2" w:type="pct"/>
                  <w:vMerge w:val="restart"/>
                  <w:noWrap w:val="0"/>
                  <w:vAlign w:val="center"/>
                </w:tcPr>
                <w:p w14:paraId="77972A28">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脱脂原液</w:t>
                  </w:r>
                </w:p>
              </w:tc>
              <w:tc>
                <w:tcPr>
                  <w:tcW w:w="282" w:type="pct"/>
                  <w:vMerge w:val="continue"/>
                  <w:noWrap w:val="0"/>
                  <w:vAlign w:val="center"/>
                </w:tcPr>
                <w:p w14:paraId="33EE93CA">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p>
              </w:tc>
              <w:tc>
                <w:tcPr>
                  <w:tcW w:w="637" w:type="pct"/>
                  <w:vMerge w:val="continue"/>
                  <w:noWrap w:val="0"/>
                  <w:vAlign w:val="center"/>
                </w:tcPr>
                <w:p w14:paraId="714CDCCF">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p>
              </w:tc>
              <w:tc>
                <w:tcPr>
                  <w:tcW w:w="567" w:type="pct"/>
                  <w:vMerge w:val="continue"/>
                  <w:noWrap w:val="0"/>
                  <w:vAlign w:val="center"/>
                </w:tcPr>
                <w:p w14:paraId="20BE0846">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p>
              </w:tc>
              <w:tc>
                <w:tcPr>
                  <w:tcW w:w="690" w:type="pct"/>
                  <w:noWrap w:val="0"/>
                  <w:vAlign w:val="center"/>
                </w:tcPr>
                <w:p w14:paraId="13390983">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cs="Times New Roman"/>
                      <w:color w:val="auto"/>
                      <w:szCs w:val="21"/>
                      <w:lang w:val="en-US" w:eastAsia="zh-CN"/>
                    </w:rPr>
                  </w:pPr>
                  <w:r>
                    <w:rPr>
                      <w:rFonts w:hint="eastAsia" w:cs="Times New Roman"/>
                      <w:color w:val="auto"/>
                      <w:szCs w:val="21"/>
                      <w:lang w:val="en-US" w:eastAsia="zh-CN"/>
                    </w:rPr>
                    <w:t>槽液</w:t>
                  </w:r>
                </w:p>
              </w:tc>
              <w:tc>
                <w:tcPr>
                  <w:tcW w:w="819" w:type="pct"/>
                  <w:noWrap w:val="0"/>
                  <w:vAlign w:val="center"/>
                </w:tcPr>
                <w:p w14:paraId="0CC09ED9">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cs="Times New Roman"/>
                      <w:color w:val="auto"/>
                      <w:szCs w:val="21"/>
                      <w:lang w:val="en-US" w:eastAsia="zh-CN"/>
                    </w:rPr>
                  </w:pPr>
                  <w:r>
                    <w:rPr>
                      <w:rFonts w:hint="eastAsia" w:cs="Times New Roman"/>
                      <w:color w:val="auto"/>
                      <w:szCs w:val="21"/>
                      <w:lang w:val="en-US" w:eastAsia="zh-CN"/>
                    </w:rPr>
                    <w:t>0.269</w:t>
                  </w:r>
                </w:p>
              </w:tc>
              <w:tc>
                <w:tcPr>
                  <w:tcW w:w="522" w:type="pct"/>
                  <w:vMerge w:val="continue"/>
                  <w:noWrap w:val="0"/>
                  <w:vAlign w:val="center"/>
                </w:tcPr>
                <w:p w14:paraId="06C6CB65">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p>
              </w:tc>
              <w:tc>
                <w:tcPr>
                  <w:tcW w:w="1018" w:type="pct"/>
                  <w:noWrap w:val="0"/>
                  <w:vAlign w:val="center"/>
                </w:tcPr>
                <w:p w14:paraId="6217087B">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0.00269</w:t>
                  </w:r>
                </w:p>
              </w:tc>
            </w:tr>
            <w:tr w14:paraId="0961FF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2" w:type="pct"/>
                  <w:vMerge w:val="continue"/>
                  <w:noWrap w:val="0"/>
                  <w:vAlign w:val="center"/>
                </w:tcPr>
                <w:p w14:paraId="194C68FA">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p>
              </w:tc>
              <w:tc>
                <w:tcPr>
                  <w:tcW w:w="282" w:type="pct"/>
                  <w:vMerge w:val="continue"/>
                  <w:noWrap w:val="0"/>
                  <w:vAlign w:val="center"/>
                </w:tcPr>
                <w:p w14:paraId="7FFC572F">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p>
              </w:tc>
              <w:tc>
                <w:tcPr>
                  <w:tcW w:w="637" w:type="pct"/>
                  <w:vMerge w:val="continue"/>
                  <w:noWrap w:val="0"/>
                  <w:vAlign w:val="center"/>
                </w:tcPr>
                <w:p w14:paraId="1154CCC7">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p>
              </w:tc>
              <w:tc>
                <w:tcPr>
                  <w:tcW w:w="567" w:type="pct"/>
                  <w:vMerge w:val="continue"/>
                  <w:noWrap w:val="0"/>
                  <w:vAlign w:val="center"/>
                </w:tcPr>
                <w:p w14:paraId="00FE0CED">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p>
              </w:tc>
              <w:tc>
                <w:tcPr>
                  <w:tcW w:w="690" w:type="pct"/>
                  <w:noWrap w:val="0"/>
                  <w:vAlign w:val="center"/>
                </w:tcPr>
                <w:p w14:paraId="6B2CE2A7">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cs="Times New Roman"/>
                      <w:color w:val="auto"/>
                      <w:szCs w:val="21"/>
                      <w:lang w:val="en-US" w:eastAsia="zh-CN"/>
                    </w:rPr>
                  </w:pPr>
                  <w:r>
                    <w:rPr>
                      <w:rFonts w:hint="eastAsia" w:cs="Times New Roman"/>
                      <w:color w:val="auto"/>
                      <w:szCs w:val="21"/>
                      <w:lang w:val="en-US" w:eastAsia="zh-CN"/>
                    </w:rPr>
                    <w:t>原仓库液</w:t>
                  </w:r>
                </w:p>
              </w:tc>
              <w:tc>
                <w:tcPr>
                  <w:tcW w:w="819" w:type="pct"/>
                  <w:noWrap w:val="0"/>
                  <w:vAlign w:val="center"/>
                </w:tcPr>
                <w:p w14:paraId="2200631E">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cs="Times New Roman"/>
                      <w:color w:val="auto"/>
                      <w:szCs w:val="21"/>
                      <w:lang w:val="en-US" w:eastAsia="zh-CN"/>
                    </w:rPr>
                  </w:pPr>
                  <w:r>
                    <w:rPr>
                      <w:rFonts w:hint="eastAsia" w:cs="Times New Roman"/>
                      <w:color w:val="auto"/>
                      <w:szCs w:val="21"/>
                      <w:lang w:val="en-US" w:eastAsia="zh-CN"/>
                    </w:rPr>
                    <w:t>3.9</w:t>
                  </w:r>
                </w:p>
              </w:tc>
              <w:tc>
                <w:tcPr>
                  <w:tcW w:w="522" w:type="pct"/>
                  <w:vMerge w:val="continue"/>
                  <w:noWrap w:val="0"/>
                  <w:vAlign w:val="center"/>
                </w:tcPr>
                <w:p w14:paraId="1B3BDC5D">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p>
              </w:tc>
              <w:tc>
                <w:tcPr>
                  <w:tcW w:w="1018" w:type="pct"/>
                  <w:noWrap w:val="0"/>
                  <w:vAlign w:val="center"/>
                </w:tcPr>
                <w:p w14:paraId="1126FAB5">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0.039</w:t>
                  </w:r>
                </w:p>
              </w:tc>
            </w:tr>
            <w:tr w14:paraId="79A4C3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2" w:type="pct"/>
                  <w:vMerge w:val="continue"/>
                  <w:noWrap w:val="0"/>
                  <w:vAlign w:val="center"/>
                </w:tcPr>
                <w:p w14:paraId="2B22D288">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p>
              </w:tc>
              <w:tc>
                <w:tcPr>
                  <w:tcW w:w="282" w:type="pct"/>
                  <w:vMerge w:val="continue"/>
                  <w:noWrap w:val="0"/>
                  <w:vAlign w:val="center"/>
                </w:tcPr>
                <w:p w14:paraId="1A05139D">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p>
              </w:tc>
              <w:tc>
                <w:tcPr>
                  <w:tcW w:w="637" w:type="pct"/>
                  <w:vMerge w:val="continue"/>
                  <w:noWrap w:val="0"/>
                  <w:vAlign w:val="center"/>
                </w:tcPr>
                <w:p w14:paraId="6D24E889">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p>
              </w:tc>
              <w:tc>
                <w:tcPr>
                  <w:tcW w:w="567" w:type="pct"/>
                  <w:vMerge w:val="continue"/>
                  <w:noWrap w:val="0"/>
                  <w:vAlign w:val="center"/>
                </w:tcPr>
                <w:p w14:paraId="41D8D77A">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p>
              </w:tc>
              <w:tc>
                <w:tcPr>
                  <w:tcW w:w="690" w:type="pct"/>
                  <w:noWrap w:val="0"/>
                  <w:vAlign w:val="center"/>
                </w:tcPr>
                <w:p w14:paraId="7D64194C">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eastAsia" w:cs="Times New Roman"/>
                      <w:color w:val="auto"/>
                      <w:szCs w:val="21"/>
                      <w:lang w:val="en-US" w:eastAsia="zh-CN"/>
                    </w:rPr>
                  </w:pPr>
                  <w:r>
                    <w:rPr>
                      <w:rFonts w:hint="eastAsia" w:cs="Times New Roman"/>
                      <w:color w:val="auto"/>
                      <w:szCs w:val="21"/>
                      <w:lang w:val="en-US" w:eastAsia="zh-CN"/>
                    </w:rPr>
                    <w:t>危废贮存库</w:t>
                  </w:r>
                </w:p>
              </w:tc>
              <w:tc>
                <w:tcPr>
                  <w:tcW w:w="819" w:type="pct"/>
                  <w:noWrap w:val="0"/>
                  <w:vAlign w:val="center"/>
                </w:tcPr>
                <w:p w14:paraId="7D8D3EB3">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cs="Times New Roman"/>
                      <w:color w:val="auto"/>
                      <w:szCs w:val="21"/>
                      <w:lang w:val="en-US" w:eastAsia="zh-CN"/>
                    </w:rPr>
                  </w:pPr>
                  <w:r>
                    <w:rPr>
                      <w:rFonts w:hint="eastAsia" w:cs="Times New Roman"/>
                      <w:color w:val="auto"/>
                      <w:szCs w:val="21"/>
                      <w:lang w:val="en-US" w:eastAsia="zh-CN"/>
                    </w:rPr>
                    <w:t>0.269</w:t>
                  </w:r>
                </w:p>
              </w:tc>
              <w:tc>
                <w:tcPr>
                  <w:tcW w:w="522" w:type="pct"/>
                  <w:vMerge w:val="continue"/>
                  <w:noWrap w:val="0"/>
                  <w:vAlign w:val="center"/>
                </w:tcPr>
                <w:p w14:paraId="695FB7AF">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p>
              </w:tc>
              <w:tc>
                <w:tcPr>
                  <w:tcW w:w="1018" w:type="pct"/>
                  <w:noWrap w:val="0"/>
                  <w:vAlign w:val="center"/>
                </w:tcPr>
                <w:p w14:paraId="5D82C63A">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0.00269</w:t>
                  </w:r>
                </w:p>
              </w:tc>
            </w:tr>
            <w:tr w14:paraId="0F9756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8"/>
                  <w:noWrap w:val="0"/>
                  <w:vAlign w:val="center"/>
                </w:tcPr>
                <w:p w14:paraId="6D394B41">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Q=0.</w:t>
                  </w:r>
                  <w:r>
                    <w:rPr>
                      <w:rFonts w:hint="eastAsia" w:ascii="Times New Roman" w:hAnsi="Times New Roman" w:eastAsia="宋体" w:cs="Times New Roman"/>
                      <w:b w:val="0"/>
                      <w:bCs w:val="0"/>
                      <w:color w:val="auto"/>
                      <w:szCs w:val="21"/>
                      <w:lang w:val="en-US" w:eastAsia="zh-CN"/>
                    </w:rPr>
                    <w:t>048</w:t>
                  </w:r>
                  <w:r>
                    <w:rPr>
                      <w:rFonts w:hint="eastAsia" w:cs="Times New Roman"/>
                      <w:b w:val="0"/>
                      <w:bCs w:val="0"/>
                      <w:color w:val="auto"/>
                      <w:szCs w:val="21"/>
                      <w:lang w:val="en-US" w:eastAsia="zh-CN"/>
                    </w:rPr>
                    <w:t>826</w:t>
                  </w:r>
                </w:p>
              </w:tc>
            </w:tr>
          </w:tbl>
          <w:p w14:paraId="63D6CE33">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由《建设项目环境风险评价技术导则》（</w:t>
            </w:r>
            <w:r>
              <w:rPr>
                <w:rFonts w:hint="eastAsia" w:ascii="Times New Roman" w:hAnsi="Times New Roman" w:eastAsia="宋体" w:cs="Times New Roman"/>
                <w:color w:val="auto"/>
                <w:sz w:val="24"/>
                <w:lang w:val="en-US" w:eastAsia="zh-CN"/>
              </w:rPr>
              <w:t>HJ 169-2018</w:t>
            </w:r>
            <w:r>
              <w:rPr>
                <w:rFonts w:hint="default" w:ascii="Times New Roman" w:hAnsi="Times New Roman" w:eastAsia="宋体" w:cs="Times New Roman"/>
                <w:color w:val="auto"/>
                <w:sz w:val="24"/>
                <w:lang w:val="en-US" w:eastAsia="zh-CN"/>
              </w:rPr>
              <w:t>）附录C可知，Q值=</w:t>
            </w:r>
            <w:r>
              <w:rPr>
                <w:rFonts w:hint="eastAsia" w:ascii="Times New Roman" w:hAnsi="Times New Roman" w:eastAsia="宋体" w:cs="Times New Roman"/>
                <w:color w:val="auto"/>
                <w:sz w:val="24"/>
                <w:lang w:val="en-US" w:eastAsia="zh-CN"/>
              </w:rPr>
              <w:t>0.0</w:t>
            </w:r>
            <w:r>
              <w:rPr>
                <w:rFonts w:hint="eastAsia" w:cs="Times New Roman"/>
                <w:color w:val="auto"/>
                <w:sz w:val="24"/>
                <w:lang w:val="en-US" w:eastAsia="zh-CN"/>
              </w:rPr>
              <w:t>48826</w:t>
            </w:r>
            <w:r>
              <w:rPr>
                <w:rFonts w:hint="default" w:ascii="Times New Roman" w:hAnsi="Times New Roman" w:eastAsia="宋体" w:cs="Times New Roman"/>
                <w:color w:val="auto"/>
                <w:sz w:val="24"/>
                <w:lang w:val="en-US" w:eastAsia="zh-CN"/>
              </w:rPr>
              <w:t>＜1。根据《建设项目环境风险评价技术导则》</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HJ169-2018</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中项目风险等级判别表可知，评价等级为简单分析。</w:t>
            </w:r>
          </w:p>
          <w:p w14:paraId="26F05F63">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lang w:val="en-US" w:eastAsia="zh-CN"/>
              </w:rPr>
              <w:t>（2）环境影响途径</w:t>
            </w:r>
          </w:p>
          <w:p w14:paraId="0EF1A5A2">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本项目投入的风险物料为生产使用的</w:t>
            </w:r>
            <w:r>
              <w:rPr>
                <w:rFonts w:hint="eastAsia" w:ascii="Times New Roman" w:hAnsi="Times New Roman" w:eastAsia="宋体" w:cs="Times New Roman"/>
                <w:color w:val="auto"/>
                <w:sz w:val="24"/>
                <w:lang w:val="en-US" w:eastAsia="zh-CN"/>
              </w:rPr>
              <w:t>矿物油</w:t>
            </w:r>
            <w:r>
              <w:rPr>
                <w:rFonts w:hint="eastAsia" w:cs="Times New Roman"/>
                <w:color w:val="auto"/>
                <w:sz w:val="24"/>
                <w:lang w:val="en-US" w:eastAsia="zh-CN"/>
              </w:rPr>
              <w:t>、硅烷、脱脂剂</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容器破损、开裂、溢流等会造成漫流、进入雨水沟等，长期下渗污染浅层地下水。</w:t>
            </w:r>
          </w:p>
          <w:p w14:paraId="6D25C3A9">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val="0"/>
                <w:bCs w:val="0"/>
                <w:color w:val="auto"/>
                <w:sz w:val="24"/>
                <w:lang w:val="en-US" w:eastAsia="zh-CN"/>
              </w:rPr>
              <w:t>（3）风险防范措施</w:t>
            </w:r>
          </w:p>
          <w:p w14:paraId="33771636">
            <w:pPr>
              <w:spacing w:line="360" w:lineRule="auto"/>
              <w:ind w:firstLine="480" w:firstLineChars="200"/>
              <w:rPr>
                <w:color w:val="auto"/>
                <w:sz w:val="24"/>
              </w:rPr>
            </w:pPr>
            <w:r>
              <w:rPr>
                <w:color w:val="auto"/>
                <w:sz w:val="24"/>
              </w:rPr>
              <w:t>1）防范措施</w:t>
            </w:r>
          </w:p>
          <w:p w14:paraId="103A544B">
            <w:pPr>
              <w:spacing w:line="360" w:lineRule="auto"/>
              <w:ind w:firstLine="482" w:firstLineChars="200"/>
              <w:rPr>
                <w:rFonts w:hint="eastAsia"/>
                <w:color w:val="auto"/>
                <w:sz w:val="24"/>
                <w:lang w:val="en-US" w:eastAsia="zh-CN"/>
              </w:rPr>
            </w:pPr>
            <w:r>
              <w:rPr>
                <w:rFonts w:hint="eastAsia"/>
                <w:b/>
                <w:bCs/>
                <w:color w:val="auto"/>
                <w:sz w:val="24"/>
                <w:lang w:val="en-US" w:eastAsia="zh-CN"/>
              </w:rPr>
              <w:t>槽体区域：</w:t>
            </w:r>
            <w:r>
              <w:rPr>
                <w:rFonts w:hint="eastAsia"/>
                <w:color w:val="auto"/>
                <w:sz w:val="24"/>
                <w:lang w:val="en-US" w:eastAsia="zh-CN"/>
              </w:rPr>
              <w:t>脱脂槽及硅烷槽周边做防渗混凝土地坪+环形收集围堰，围堰有效容积≥本单元最大单槽容积（主脱脂槽6.1m³），泄漏液截留在围堰内；</w:t>
            </w:r>
          </w:p>
          <w:p w14:paraId="0D02BEDC">
            <w:pPr>
              <w:spacing w:line="360" w:lineRule="auto"/>
              <w:ind w:firstLine="482" w:firstLineChars="200"/>
              <w:rPr>
                <w:rFonts w:hint="default" w:eastAsia="宋体"/>
                <w:color w:val="auto"/>
                <w:sz w:val="24"/>
                <w:lang w:val="en-US" w:eastAsia="zh-CN"/>
              </w:rPr>
            </w:pPr>
            <w:r>
              <w:rPr>
                <w:rFonts w:hint="eastAsia"/>
                <w:b/>
                <w:bCs/>
                <w:color w:val="auto"/>
                <w:sz w:val="24"/>
                <w:lang w:val="en-US" w:eastAsia="zh-CN"/>
              </w:rPr>
              <w:t>配备应急物资：</w:t>
            </w:r>
            <w:r>
              <w:rPr>
                <w:rFonts w:hint="eastAsia"/>
                <w:color w:val="auto"/>
                <w:sz w:val="24"/>
                <w:lang w:val="en-US" w:eastAsia="zh-CN"/>
              </w:rPr>
              <w:t>中和石灰、吸附棉、应急塑料桶、抽液泵，泄漏就地收集转入危废；</w:t>
            </w:r>
          </w:p>
          <w:p w14:paraId="276C22F3">
            <w:pPr>
              <w:spacing w:line="360" w:lineRule="auto"/>
              <w:ind w:firstLine="482" w:firstLineChars="200"/>
              <w:rPr>
                <w:rFonts w:hint="eastAsia"/>
                <w:color w:val="auto"/>
                <w:sz w:val="24"/>
                <w:lang w:val="en-US" w:eastAsia="zh-CN"/>
              </w:rPr>
            </w:pPr>
            <w:r>
              <w:rPr>
                <w:rFonts w:hint="eastAsia"/>
                <w:b/>
                <w:bCs/>
                <w:color w:val="auto"/>
                <w:sz w:val="24"/>
                <w:lang w:val="en-US" w:eastAsia="zh-CN"/>
              </w:rPr>
              <w:t>原液原料仓库：</w:t>
            </w:r>
            <w:r>
              <w:rPr>
                <w:rFonts w:hint="eastAsia"/>
                <w:color w:val="auto"/>
                <w:sz w:val="24"/>
                <w:lang w:val="en-US" w:eastAsia="zh-CN"/>
              </w:rPr>
              <w:t>库房地面防渗混凝土+防渗托盘，每桶放置接液托盘，单桶泄漏全部存于托帕内；</w:t>
            </w:r>
          </w:p>
          <w:p w14:paraId="25B436E2">
            <w:pPr>
              <w:spacing w:line="360" w:lineRule="auto"/>
              <w:ind w:firstLine="482" w:firstLineChars="200"/>
              <w:rPr>
                <w:rFonts w:hint="eastAsia"/>
                <w:color w:val="auto"/>
                <w:sz w:val="24"/>
                <w:lang w:val="en-US" w:eastAsia="zh-CN"/>
              </w:rPr>
            </w:pPr>
            <w:r>
              <w:rPr>
                <w:rFonts w:hint="eastAsia"/>
                <w:b/>
                <w:bCs/>
                <w:color w:val="auto"/>
                <w:sz w:val="24"/>
                <w:lang w:val="en-US" w:eastAsia="zh-CN"/>
              </w:rPr>
              <w:t>酸碱药剂分区存放：</w:t>
            </w:r>
            <w:r>
              <w:rPr>
                <w:rFonts w:hint="eastAsia"/>
                <w:color w:val="auto"/>
                <w:sz w:val="24"/>
                <w:lang w:val="en-US" w:eastAsia="zh-CN"/>
              </w:rPr>
              <w:t>硅烷（酸）、脱脂剂（碱）库房隔断分区，间距≥1.5米，禁止混堆；</w:t>
            </w:r>
          </w:p>
          <w:p w14:paraId="0D4A138A">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color w:val="auto"/>
                <w:lang w:val="en-US" w:eastAsia="zh-CN"/>
              </w:rPr>
            </w:pPr>
            <w:r>
              <w:rPr>
                <w:rFonts w:hint="eastAsia"/>
                <w:b/>
                <w:bCs/>
                <w:color w:val="auto"/>
                <w:sz w:val="24"/>
                <w:lang w:val="en-US" w:eastAsia="zh-CN"/>
              </w:rPr>
              <w:t>库房设通风设施：</w:t>
            </w:r>
            <w:r>
              <w:rPr>
                <w:rFonts w:hint="eastAsia"/>
                <w:color w:val="auto"/>
                <w:sz w:val="24"/>
                <w:lang w:val="en-US" w:eastAsia="zh-CN"/>
              </w:rPr>
              <w:t>减少VOC无组织挥发；桶装竖立存放，库存定量管控，不超3月备货量。</w:t>
            </w:r>
          </w:p>
          <w:p w14:paraId="7C5448B0">
            <w:pPr>
              <w:spacing w:line="360" w:lineRule="auto"/>
              <w:ind w:firstLine="482" w:firstLineChars="200"/>
              <w:rPr>
                <w:rFonts w:hint="default"/>
                <w:color w:val="auto"/>
                <w:sz w:val="24"/>
                <w:lang w:val="en-US"/>
              </w:rPr>
            </w:pPr>
            <w:r>
              <w:rPr>
                <w:rFonts w:hint="eastAsia"/>
                <w:b/>
                <w:bCs/>
                <w:color w:val="auto"/>
                <w:sz w:val="24"/>
                <w:lang w:val="en-US" w:eastAsia="zh-CN"/>
              </w:rPr>
              <w:t>危废贮存库：</w:t>
            </w:r>
            <w:r>
              <w:rPr>
                <w:rFonts w:hint="eastAsia"/>
                <w:color w:val="auto"/>
                <w:sz w:val="24"/>
                <w:lang w:val="en-US" w:eastAsia="zh-CN"/>
              </w:rPr>
              <w:t>全防渗地坪，废槽液、废矿物油等均密闭储存，分类储存。防雨、密闭张贴危废标识，及时委托资质单位清运，不超贮存期限。具体参照</w:t>
            </w:r>
            <w:r>
              <w:rPr>
                <w:rFonts w:hint="default" w:ascii="Times New Roman" w:hAnsi="Times New Roman" w:cs="Times New Roman"/>
                <w:color w:val="auto"/>
                <w:kern w:val="0"/>
                <w:sz w:val="24"/>
                <w:lang w:val="en-US" w:eastAsia="zh-CN"/>
              </w:rPr>
              <w:t>《</w:t>
            </w:r>
            <w:r>
              <w:rPr>
                <w:rFonts w:hint="eastAsia" w:ascii="Times New Roman" w:hAnsi="Times New Roman" w:cs="Times New Roman"/>
                <w:color w:val="auto"/>
                <w:kern w:val="0"/>
                <w:sz w:val="24"/>
                <w:lang w:val="en-US" w:eastAsia="zh-CN"/>
              </w:rPr>
              <w:t>危险废物收集 贮存 运输技术规范</w:t>
            </w:r>
            <w:r>
              <w:rPr>
                <w:rFonts w:hint="default" w:ascii="Times New Roman" w:hAnsi="Times New Roman" w:cs="Times New Roman"/>
                <w:color w:val="auto"/>
                <w:kern w:val="0"/>
                <w:sz w:val="24"/>
                <w:lang w:val="en-US" w:eastAsia="zh-CN"/>
              </w:rPr>
              <w:t>》（HJ2025-2012）及《危险废物贮存污染控制标准》（GB18597-20</w:t>
            </w:r>
            <w:r>
              <w:rPr>
                <w:rFonts w:hint="eastAsia" w:ascii="Times New Roman" w:hAnsi="Times New Roman" w:cs="Times New Roman"/>
                <w:color w:val="auto"/>
                <w:kern w:val="0"/>
                <w:sz w:val="24"/>
                <w:lang w:val="en-US" w:eastAsia="zh-CN"/>
              </w:rPr>
              <w:t>23</w:t>
            </w:r>
            <w:r>
              <w:rPr>
                <w:rFonts w:hint="default" w:ascii="Times New Roman" w:hAnsi="Times New Roman" w:cs="Times New Roman"/>
                <w:color w:val="auto"/>
                <w:kern w:val="0"/>
                <w:sz w:val="24"/>
                <w:lang w:val="en-US" w:eastAsia="zh-CN"/>
              </w:rPr>
              <w:t>）及修改单中相关规定</w:t>
            </w:r>
            <w:r>
              <w:rPr>
                <w:rFonts w:hint="eastAsia" w:cs="Times New Roman"/>
                <w:color w:val="auto"/>
                <w:kern w:val="0"/>
                <w:sz w:val="24"/>
                <w:lang w:val="en-US" w:eastAsia="zh-CN"/>
              </w:rPr>
              <w:t>进行建设及整改。</w:t>
            </w:r>
          </w:p>
          <w:p w14:paraId="7CAE0B18">
            <w:pPr>
              <w:spacing w:line="360" w:lineRule="auto"/>
              <w:ind w:firstLine="480" w:firstLineChars="200"/>
              <w:rPr>
                <w:color w:val="auto"/>
                <w:sz w:val="24"/>
              </w:rPr>
            </w:pPr>
            <w:r>
              <w:rPr>
                <w:color w:val="auto"/>
                <w:sz w:val="24"/>
              </w:rPr>
              <w:t>油类物质储存场所应设置警示牌与警示语，安全告示牌，提醒人们注意，避免碰撞或者携带火种等；</w:t>
            </w:r>
          </w:p>
          <w:p w14:paraId="27288945">
            <w:pPr>
              <w:spacing w:line="360" w:lineRule="auto"/>
              <w:ind w:firstLine="482" w:firstLineChars="200"/>
              <w:rPr>
                <w:rFonts w:hint="default" w:eastAsia="宋体"/>
                <w:color w:val="auto"/>
                <w:sz w:val="24"/>
                <w:lang w:val="en-US" w:eastAsia="zh-CN"/>
              </w:rPr>
            </w:pPr>
            <w:r>
              <w:rPr>
                <w:rFonts w:hint="eastAsia"/>
                <w:b/>
                <w:bCs/>
                <w:color w:val="auto"/>
                <w:sz w:val="24"/>
                <w:lang w:val="en-US" w:eastAsia="zh-CN"/>
              </w:rPr>
              <w:t>废水末端防控：</w:t>
            </w:r>
            <w:r>
              <w:rPr>
                <w:rFonts w:hint="eastAsia"/>
                <w:color w:val="auto"/>
                <w:sz w:val="24"/>
                <w:lang w:val="en-US" w:eastAsia="zh-CN"/>
              </w:rPr>
              <w:t>生产清洗废水进厂区污水处理站处理达标后回用，雨水、生产废水管网彻底分流，事故废液全部锁在应急池，严禁入雨水管网。</w:t>
            </w:r>
          </w:p>
          <w:p w14:paraId="165D20F3">
            <w:pPr>
              <w:spacing w:line="360" w:lineRule="auto"/>
              <w:ind w:firstLine="482" w:firstLineChars="200"/>
              <w:rPr>
                <w:rFonts w:hint="eastAsia" w:eastAsia="宋体"/>
                <w:color w:val="auto"/>
                <w:sz w:val="24"/>
                <w:lang w:eastAsia="zh-CN"/>
              </w:rPr>
            </w:pPr>
            <w:r>
              <w:rPr>
                <w:rFonts w:hint="eastAsia"/>
                <w:b/>
                <w:bCs/>
                <w:color w:val="auto"/>
                <w:sz w:val="24"/>
                <w:lang w:val="en-US" w:eastAsia="zh-CN"/>
              </w:rPr>
              <w:t>管理：</w:t>
            </w:r>
            <w:r>
              <w:rPr>
                <w:color w:val="auto"/>
                <w:sz w:val="24"/>
              </w:rPr>
              <w:t>加强对</w:t>
            </w:r>
            <w:r>
              <w:rPr>
                <w:rFonts w:hint="eastAsia"/>
                <w:color w:val="auto"/>
                <w:sz w:val="24"/>
                <w:lang w:val="en-US" w:eastAsia="zh-CN"/>
              </w:rPr>
              <w:t>风险</w:t>
            </w:r>
            <w:r>
              <w:rPr>
                <w:color w:val="auto"/>
                <w:sz w:val="24"/>
              </w:rPr>
              <w:t>物质的管理和检修。定期对原料储存区</w:t>
            </w:r>
            <w:r>
              <w:rPr>
                <w:rFonts w:hint="eastAsia"/>
                <w:color w:val="auto"/>
                <w:sz w:val="24"/>
                <w:lang w:eastAsia="zh-CN"/>
              </w:rPr>
              <w:t>、</w:t>
            </w:r>
            <w:r>
              <w:rPr>
                <w:rFonts w:hint="eastAsia"/>
                <w:color w:val="auto"/>
                <w:sz w:val="24"/>
                <w:lang w:val="en-US" w:eastAsia="zh-CN"/>
              </w:rPr>
              <w:t>槽体</w:t>
            </w:r>
            <w:r>
              <w:rPr>
                <w:color w:val="auto"/>
                <w:sz w:val="24"/>
              </w:rPr>
              <w:t>及</w:t>
            </w:r>
            <w:r>
              <w:rPr>
                <w:rFonts w:hint="eastAsia"/>
                <w:color w:val="auto"/>
                <w:sz w:val="24"/>
                <w:lang w:val="en-US" w:eastAsia="zh-CN"/>
              </w:rPr>
              <w:t>危废贮存库</w:t>
            </w:r>
            <w:r>
              <w:rPr>
                <w:color w:val="auto"/>
                <w:sz w:val="24"/>
              </w:rPr>
              <w:t>的</w:t>
            </w:r>
            <w:r>
              <w:rPr>
                <w:rFonts w:hint="eastAsia"/>
                <w:color w:val="auto"/>
                <w:sz w:val="24"/>
                <w:lang w:val="en-US" w:eastAsia="zh-CN"/>
              </w:rPr>
              <w:t>风险</w:t>
            </w:r>
            <w:r>
              <w:rPr>
                <w:color w:val="auto"/>
                <w:sz w:val="24"/>
              </w:rPr>
              <w:t>物质进行检查，发现轻微泄漏事故或怀疑有泄漏时，应立即进行维修</w:t>
            </w:r>
            <w:r>
              <w:rPr>
                <w:rFonts w:hint="eastAsia"/>
                <w:color w:val="auto"/>
                <w:sz w:val="24"/>
                <w:lang w:eastAsia="zh-CN"/>
              </w:rPr>
              <w:t>。</w:t>
            </w:r>
          </w:p>
          <w:p w14:paraId="4F1E4066">
            <w:pPr>
              <w:pStyle w:val="166"/>
              <w:widowControl w:val="0"/>
              <w:tabs>
                <w:tab w:val="left" w:pos="1318"/>
              </w:tabs>
              <w:ind w:firstLine="480" w:firstLineChars="200"/>
              <w:jc w:val="both"/>
              <w:rPr>
                <w:rFonts w:ascii="Times New Roman" w:hAnsi="Times New Roman"/>
                <w:color w:val="auto"/>
                <w:sz w:val="24"/>
                <w:szCs w:val="24"/>
              </w:rPr>
            </w:pPr>
            <w:r>
              <w:rPr>
                <w:rFonts w:ascii="Times New Roman" w:hAnsi="Times New Roman"/>
                <w:color w:val="auto"/>
                <w:sz w:val="24"/>
                <w:szCs w:val="24"/>
              </w:rPr>
              <w:t>2）环境风险应急</w:t>
            </w:r>
          </w:p>
          <w:p w14:paraId="2FEE67F6">
            <w:pPr>
              <w:spacing w:line="360" w:lineRule="auto"/>
              <w:ind w:firstLine="480" w:firstLineChars="200"/>
              <w:rPr>
                <w:color w:val="auto"/>
                <w:sz w:val="24"/>
              </w:rPr>
            </w:pPr>
            <w:r>
              <w:rPr>
                <w:color w:val="auto"/>
                <w:sz w:val="24"/>
              </w:rPr>
              <w:t>环境风险应急预案是以“安全第一，预防为主”的方针，坚持专门机关和群众相结合的原则，实行安全岗位责任制，有效地防止和减少一般性安全事故，杜绝</w:t>
            </w:r>
            <w:r>
              <w:rPr>
                <w:rFonts w:hint="eastAsia"/>
                <w:color w:val="auto"/>
                <w:sz w:val="24"/>
                <w:lang w:eastAsia="zh-CN"/>
              </w:rPr>
              <w:t>重特大</w:t>
            </w:r>
            <w:r>
              <w:rPr>
                <w:color w:val="auto"/>
                <w:sz w:val="24"/>
              </w:rPr>
              <w:t>事故，保障人民群众生命和财产安全的指导思想，迅速有效地组织事故施救工作，防止事故扩大，最大限度地减少人员伤亡，做好统一调度与指挥为原则。制定环境应急监测方案；制定人员紧急撤离、疏散</w:t>
            </w:r>
            <w:r>
              <w:rPr>
                <w:rFonts w:hint="eastAsia"/>
                <w:color w:val="auto"/>
                <w:sz w:val="24"/>
              </w:rPr>
              <w:t>、</w:t>
            </w:r>
            <w:r>
              <w:rPr>
                <w:color w:val="auto"/>
                <w:sz w:val="24"/>
              </w:rPr>
              <w:t>应急剂量控制、撤离组织计划；事故应急救援关闭程序与恢复措施；加强应急演习和应急技术培训；加强公众教育和信息；加强企业的环境突发事件应急救援预案的编制。</w:t>
            </w:r>
          </w:p>
          <w:p w14:paraId="7B97CCF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color w:val="auto"/>
                <w:sz w:val="24"/>
              </w:rPr>
            </w:pPr>
            <w:r>
              <w:rPr>
                <w:color w:val="auto"/>
                <w:sz w:val="24"/>
              </w:rPr>
              <w:t>项目在采取上述防范措施后，环境风险水平可接受。</w:t>
            </w:r>
          </w:p>
          <w:p w14:paraId="10AF5334">
            <w:pPr>
              <w:keepNext/>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1"/>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事故应急池：根据《化工建设项目环境保护工程设计标准》（GB/T50483-2019）中化工废水应急容积公式进行本项目事故应急池容积核算：</w:t>
            </w:r>
          </w:p>
          <w:p w14:paraId="47522806">
            <w:pPr>
              <w:keepNext/>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1"/>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计算公式：V总=（V1+V2+V3）-V4</w:t>
            </w:r>
          </w:p>
          <w:p w14:paraId="21542B12">
            <w:pPr>
              <w:pStyle w:val="2"/>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V1：最大一个槽泄漏容积；（</w:t>
            </w:r>
            <w:r>
              <w:rPr>
                <w:rFonts w:hint="eastAsia" w:cs="Times New Roman"/>
                <w:color w:val="auto"/>
                <w:kern w:val="2"/>
                <w:sz w:val="24"/>
                <w:szCs w:val="24"/>
                <w:lang w:val="en-US" w:eastAsia="zh-CN" w:bidi="ar-SA"/>
              </w:rPr>
              <w:t>6.1</w:t>
            </w:r>
            <w:r>
              <w:rPr>
                <w:rFonts w:hint="eastAsia" w:ascii="Times New Roman" w:hAnsi="Times New Roman" w:eastAsia="宋体" w:cs="Times New Roman"/>
                <w:color w:val="auto"/>
                <w:kern w:val="2"/>
                <w:sz w:val="24"/>
                <w:szCs w:val="24"/>
                <w:lang w:val="en-US" w:eastAsia="zh-CN" w:bidi="ar-SA"/>
              </w:rPr>
              <w:t>）</w:t>
            </w:r>
          </w:p>
          <w:p w14:paraId="348A90F4">
            <w:pPr>
              <w:pStyle w:val="2"/>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V2：消防用水量；（</w:t>
            </w:r>
            <w:r>
              <w:rPr>
                <w:rFonts w:hint="eastAsia" w:cs="Times New Roman"/>
                <w:color w:val="auto"/>
                <w:kern w:val="2"/>
                <w:sz w:val="24"/>
                <w:szCs w:val="24"/>
                <w:lang w:val="en-US" w:eastAsia="zh-CN" w:bidi="ar-SA"/>
              </w:rPr>
              <w:t>0</w:t>
            </w:r>
            <w:r>
              <w:rPr>
                <w:rFonts w:hint="eastAsia" w:ascii="Times New Roman" w:hAnsi="Times New Roman" w:eastAsia="宋体" w:cs="Times New Roman"/>
                <w:color w:val="auto"/>
                <w:kern w:val="2"/>
                <w:sz w:val="24"/>
                <w:szCs w:val="24"/>
                <w:lang w:val="en-US" w:eastAsia="zh-CN" w:bidi="ar-SA"/>
              </w:rPr>
              <w:t>m³）</w:t>
            </w:r>
          </w:p>
          <w:p w14:paraId="5955224A">
            <w:pPr>
              <w:pStyle w:val="2"/>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V3：雨水容积；（0）</w:t>
            </w:r>
          </w:p>
          <w:p w14:paraId="25144A31">
            <w:pPr>
              <w:pStyle w:val="2"/>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V4：围堰/槽区可收集容积（</w:t>
            </w:r>
            <w:r>
              <w:rPr>
                <w:rFonts w:hint="eastAsia" w:cs="Times New Roman"/>
                <w:color w:val="auto"/>
                <w:kern w:val="2"/>
                <w:sz w:val="24"/>
                <w:szCs w:val="24"/>
                <w:lang w:val="en-US" w:eastAsia="zh-CN" w:bidi="ar-SA"/>
              </w:rPr>
              <w:t>6.1</w:t>
            </w:r>
            <w:r>
              <w:rPr>
                <w:rFonts w:hint="eastAsia" w:ascii="Times New Roman" w:hAnsi="Times New Roman" w:eastAsia="宋体" w:cs="Times New Roman"/>
                <w:color w:val="auto"/>
                <w:kern w:val="2"/>
                <w:sz w:val="24"/>
                <w:szCs w:val="24"/>
                <w:lang w:val="en-US" w:eastAsia="zh-CN" w:bidi="ar-SA"/>
              </w:rPr>
              <w:t>）</w:t>
            </w:r>
          </w:p>
          <w:p w14:paraId="5CB26DD6">
            <w:pPr>
              <w:pStyle w:val="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已知参数：最大单槽为主脱脂槽V1=</w:t>
            </w:r>
            <w:r>
              <w:rPr>
                <w:rFonts w:hint="eastAsia" w:cs="Times New Roman"/>
                <w:color w:val="auto"/>
                <w:kern w:val="2"/>
                <w:sz w:val="24"/>
                <w:szCs w:val="24"/>
                <w:lang w:val="en-US" w:eastAsia="zh-CN" w:bidi="ar-SA"/>
              </w:rPr>
              <w:t>6.1</w:t>
            </w:r>
            <w:r>
              <w:rPr>
                <w:rFonts w:hint="eastAsia" w:ascii="Times New Roman" w:hAnsi="Times New Roman" w:eastAsia="宋体" w:cs="Times New Roman"/>
                <w:color w:val="auto"/>
                <w:kern w:val="2"/>
                <w:sz w:val="24"/>
                <w:szCs w:val="24"/>
                <w:lang w:val="en-US" w:eastAsia="zh-CN" w:bidi="ar-SA"/>
              </w:rPr>
              <w:t>m³，</w:t>
            </w:r>
          </w:p>
          <w:p w14:paraId="42A57873">
            <w:pPr>
              <w:pStyle w:val="16"/>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因槽区已</w:t>
            </w:r>
            <w:r>
              <w:rPr>
                <w:rFonts w:hint="eastAsia" w:cs="Times New Roman"/>
                <w:color w:val="auto"/>
                <w:sz w:val="24"/>
                <w:szCs w:val="24"/>
                <w:lang w:val="en-US" w:eastAsia="zh-CN"/>
              </w:rPr>
              <w:t>要求企业建</w:t>
            </w:r>
            <w:r>
              <w:rPr>
                <w:rFonts w:hint="eastAsia" w:ascii="Times New Roman" w:hAnsi="Times New Roman" w:eastAsia="宋体" w:cs="Times New Roman"/>
                <w:color w:val="auto"/>
                <w:sz w:val="24"/>
                <w:szCs w:val="24"/>
                <w:lang w:val="en-US" w:eastAsia="zh-CN"/>
              </w:rPr>
              <w:t>设围堰</w:t>
            </w:r>
            <w:r>
              <w:rPr>
                <w:rFonts w:hint="eastAsia" w:cs="Times New Roman"/>
                <w:color w:val="auto"/>
                <w:sz w:val="24"/>
                <w:szCs w:val="24"/>
                <w:lang w:val="en-US" w:eastAsia="zh-CN"/>
              </w:rPr>
              <w:t>，危废间均设托盘等，</w:t>
            </w:r>
            <w:r>
              <w:rPr>
                <w:rFonts w:hint="eastAsia" w:ascii="Times New Roman" w:hAnsi="Times New Roman" w:eastAsia="宋体" w:cs="Times New Roman"/>
                <w:color w:val="auto"/>
                <w:sz w:val="24"/>
                <w:szCs w:val="24"/>
                <w:lang w:val="en-US" w:eastAsia="zh-CN"/>
              </w:rPr>
              <w:t>且所用矿物油、硅烷和脱脂剂均不易燃</w:t>
            </w:r>
            <w:r>
              <w:rPr>
                <w:rFonts w:hint="eastAsia" w:cs="Times New Roman"/>
                <w:color w:val="auto"/>
                <w:sz w:val="24"/>
                <w:szCs w:val="24"/>
                <w:lang w:val="en-US" w:eastAsia="zh-CN"/>
              </w:rPr>
              <w:t>物</w:t>
            </w:r>
            <w:r>
              <w:rPr>
                <w:rFonts w:hint="eastAsia" w:ascii="Times New Roman" w:hAnsi="Times New Roman" w:eastAsia="宋体" w:cs="Times New Roman"/>
                <w:color w:val="auto"/>
                <w:sz w:val="24"/>
                <w:szCs w:val="24"/>
                <w:lang w:val="en-US" w:eastAsia="zh-CN"/>
              </w:rPr>
              <w:t>，仅设手提灭火器，消防用水取0。</w:t>
            </w:r>
            <w:r>
              <w:rPr>
                <w:rFonts w:hint="eastAsia" w:cs="Times New Roman"/>
                <w:color w:val="auto"/>
                <w:sz w:val="24"/>
                <w:szCs w:val="24"/>
                <w:lang w:val="en-US" w:eastAsia="zh-CN"/>
              </w:rPr>
              <w:t>故</w:t>
            </w:r>
            <w:r>
              <w:rPr>
                <w:rFonts w:hint="eastAsia" w:ascii="Times New Roman" w:hAnsi="Times New Roman" w:eastAsia="宋体" w:cs="Times New Roman"/>
                <w:color w:val="auto"/>
                <w:sz w:val="24"/>
                <w:szCs w:val="24"/>
                <w:lang w:val="en-US" w:eastAsia="zh-CN"/>
              </w:rPr>
              <w:t>企业</w:t>
            </w:r>
            <w:r>
              <w:rPr>
                <w:rFonts w:hint="eastAsia" w:cs="Times New Roman"/>
                <w:color w:val="auto"/>
                <w:sz w:val="24"/>
                <w:szCs w:val="24"/>
                <w:lang w:val="en-US" w:eastAsia="zh-CN"/>
              </w:rPr>
              <w:t>可不用建设应急池，需将</w:t>
            </w:r>
            <w:r>
              <w:rPr>
                <w:rFonts w:hint="eastAsia"/>
                <w:color w:val="auto"/>
                <w:sz w:val="24"/>
                <w:lang w:val="en-US" w:eastAsia="zh-CN"/>
              </w:rPr>
              <w:t>脱脂槽及硅烷槽周边做防渗混凝土地坪+环形收集围堰，围堰有效容积≥本单元最大单槽容积（主脱脂槽6.1m³），泄漏液截留在围堰内。</w:t>
            </w:r>
          </w:p>
          <w:p w14:paraId="23AB9312">
            <w:pPr>
              <w:adjustRightInd w:val="0"/>
              <w:snapToGrid w:val="0"/>
              <w:spacing w:line="360" w:lineRule="auto"/>
              <w:rPr>
                <w:rFonts w:hint="eastAsia"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八、</w:t>
            </w:r>
            <w:r>
              <w:rPr>
                <w:rFonts w:hint="eastAsia" w:ascii="Times New Roman" w:hAnsi="Times New Roman" w:eastAsia="宋体" w:cs="Times New Roman"/>
                <w:b/>
                <w:bCs/>
                <w:color w:val="auto"/>
                <w:sz w:val="28"/>
                <w:szCs w:val="28"/>
                <w:lang w:val="en-US" w:eastAsia="zh-CN"/>
              </w:rPr>
              <w:t>依托工程可行性分析</w:t>
            </w:r>
          </w:p>
          <w:p w14:paraId="7B17D80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val="0"/>
                <w:bCs/>
                <w:color w:val="auto"/>
                <w:kern w:val="0"/>
                <w:sz w:val="24"/>
                <w:szCs w:val="24"/>
                <w:lang w:val="en-US" w:eastAsia="zh-CN"/>
              </w:rPr>
            </w:pPr>
            <w:r>
              <w:rPr>
                <w:rFonts w:hint="eastAsia" w:ascii="Times New Roman" w:hAnsi="Times New Roman" w:eastAsia="宋体" w:cs="Times New Roman"/>
                <w:b/>
                <w:bCs w:val="0"/>
                <w:color w:val="auto"/>
                <w:kern w:val="0"/>
                <w:sz w:val="24"/>
                <w:szCs w:val="24"/>
                <w:lang w:val="en-US" w:eastAsia="zh-CN"/>
              </w:rPr>
              <w:t>1</w:t>
            </w:r>
            <w:r>
              <w:rPr>
                <w:rFonts w:hint="eastAsia" w:cs="Times New Roman"/>
                <w:b/>
                <w:bCs w:val="0"/>
                <w:color w:val="auto"/>
                <w:kern w:val="0"/>
                <w:sz w:val="24"/>
                <w:szCs w:val="24"/>
                <w:lang w:val="en-US" w:eastAsia="zh-CN"/>
              </w:rPr>
              <w:t>.</w:t>
            </w:r>
            <w:r>
              <w:rPr>
                <w:rFonts w:hint="eastAsia" w:ascii="Times New Roman" w:hAnsi="Times New Roman" w:eastAsia="宋体" w:cs="Times New Roman"/>
                <w:b/>
                <w:bCs w:val="0"/>
                <w:color w:val="auto"/>
                <w:kern w:val="0"/>
                <w:sz w:val="24"/>
                <w:szCs w:val="24"/>
                <w:lang w:val="en-US" w:eastAsia="zh-CN"/>
              </w:rPr>
              <w:t>生产车间：</w:t>
            </w:r>
            <w:r>
              <w:rPr>
                <w:rFonts w:hint="eastAsia" w:ascii="Times New Roman" w:hAnsi="Times New Roman" w:eastAsia="宋体" w:cs="Times New Roman"/>
                <w:b w:val="0"/>
                <w:bCs/>
                <w:color w:val="auto"/>
                <w:kern w:val="0"/>
                <w:sz w:val="24"/>
                <w:szCs w:val="24"/>
                <w:lang w:val="en-US" w:eastAsia="zh-CN"/>
              </w:rPr>
              <w:t>本项目新增生产设备主要为切割设备、焊接设备、抛丸设备及喷塑整套生产线，设备数量较少，且均在车间内预留位置进行布设，不占用其他位置，可依托；</w:t>
            </w:r>
          </w:p>
          <w:p w14:paraId="6B4668D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val="0"/>
                <w:bCs/>
                <w:color w:val="auto"/>
                <w:kern w:val="0"/>
                <w:sz w:val="24"/>
                <w:szCs w:val="24"/>
                <w:lang w:val="en-US" w:eastAsia="zh-CN"/>
              </w:rPr>
            </w:pPr>
            <w:r>
              <w:rPr>
                <w:rFonts w:hint="eastAsia" w:ascii="Times New Roman" w:hAnsi="Times New Roman" w:eastAsia="宋体" w:cs="Times New Roman"/>
                <w:b/>
                <w:bCs w:val="0"/>
                <w:color w:val="auto"/>
                <w:kern w:val="0"/>
                <w:sz w:val="24"/>
                <w:szCs w:val="24"/>
                <w:lang w:val="en-US" w:eastAsia="zh-CN"/>
              </w:rPr>
              <w:t>2</w:t>
            </w:r>
            <w:r>
              <w:rPr>
                <w:rFonts w:hint="eastAsia" w:cs="Times New Roman"/>
                <w:b/>
                <w:bCs w:val="0"/>
                <w:color w:val="auto"/>
                <w:kern w:val="0"/>
                <w:sz w:val="24"/>
                <w:szCs w:val="24"/>
                <w:lang w:val="en-US" w:eastAsia="zh-CN"/>
              </w:rPr>
              <w:t>.</w:t>
            </w:r>
            <w:r>
              <w:rPr>
                <w:rFonts w:hint="eastAsia" w:ascii="Times New Roman" w:hAnsi="Times New Roman" w:eastAsia="宋体" w:cs="Times New Roman"/>
                <w:b/>
                <w:bCs w:val="0"/>
                <w:color w:val="auto"/>
                <w:kern w:val="0"/>
                <w:sz w:val="24"/>
                <w:szCs w:val="24"/>
                <w:lang w:val="en-US" w:eastAsia="zh-CN"/>
              </w:rPr>
              <w:t>生产设备：</w:t>
            </w:r>
            <w:r>
              <w:rPr>
                <w:rFonts w:hint="eastAsia" w:ascii="Times New Roman" w:hAnsi="Times New Roman" w:eastAsia="宋体" w:cs="Times New Roman"/>
                <w:b w:val="0"/>
                <w:bCs/>
                <w:color w:val="auto"/>
                <w:kern w:val="0"/>
                <w:sz w:val="24"/>
                <w:szCs w:val="24"/>
                <w:lang w:val="en-US" w:eastAsia="zh-CN"/>
              </w:rPr>
              <w:t>本项目建</w:t>
            </w:r>
            <w:r>
              <w:rPr>
                <w:rFonts w:hint="eastAsia" w:cs="Times New Roman"/>
                <w:b w:val="0"/>
                <w:bCs/>
                <w:color w:val="auto"/>
                <w:kern w:val="0"/>
                <w:sz w:val="24"/>
                <w:szCs w:val="24"/>
                <w:lang w:val="en-US" w:eastAsia="zh-CN"/>
              </w:rPr>
              <w:t>成后</w:t>
            </w:r>
            <w:r>
              <w:rPr>
                <w:rFonts w:hint="eastAsia" w:ascii="Times New Roman" w:hAnsi="Times New Roman" w:eastAsia="宋体" w:cs="Times New Roman"/>
                <w:b w:val="0"/>
                <w:bCs/>
                <w:color w:val="auto"/>
                <w:kern w:val="0"/>
                <w:sz w:val="24"/>
                <w:szCs w:val="24"/>
                <w:lang w:val="en-US" w:eastAsia="zh-CN"/>
              </w:rPr>
              <w:t>产能不变，主要提高工件品质，每天仅昼间运行，未达到满负荷运行。本项目</w:t>
            </w:r>
            <w:r>
              <w:rPr>
                <w:rFonts w:hint="eastAsia" w:cs="Times New Roman"/>
                <w:b w:val="0"/>
                <w:bCs/>
                <w:color w:val="auto"/>
                <w:kern w:val="0"/>
                <w:sz w:val="24"/>
                <w:szCs w:val="24"/>
                <w:lang w:val="en-US" w:eastAsia="zh-CN"/>
              </w:rPr>
              <w:t>运行</w:t>
            </w:r>
            <w:r>
              <w:rPr>
                <w:rFonts w:hint="eastAsia" w:ascii="Times New Roman" w:hAnsi="Times New Roman" w:eastAsia="宋体" w:cs="Times New Roman"/>
                <w:b w:val="0"/>
                <w:bCs/>
                <w:color w:val="auto"/>
                <w:kern w:val="0"/>
                <w:sz w:val="24"/>
                <w:szCs w:val="24"/>
                <w:lang w:val="en-US" w:eastAsia="zh-CN"/>
              </w:rPr>
              <w:t>后可有效利用设备设施及提高员工工作效率，可依托；</w:t>
            </w:r>
          </w:p>
          <w:p w14:paraId="25C14E1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val="0"/>
                <w:bCs/>
                <w:color w:val="auto"/>
                <w:kern w:val="0"/>
                <w:sz w:val="24"/>
                <w:szCs w:val="24"/>
                <w:lang w:val="en-US" w:eastAsia="zh-CN"/>
              </w:rPr>
            </w:pPr>
            <w:r>
              <w:rPr>
                <w:rFonts w:hint="eastAsia" w:ascii="Times New Roman" w:hAnsi="Times New Roman" w:eastAsia="宋体" w:cs="Times New Roman"/>
                <w:b/>
                <w:bCs w:val="0"/>
                <w:color w:val="auto"/>
                <w:kern w:val="0"/>
                <w:sz w:val="24"/>
                <w:szCs w:val="24"/>
                <w:lang w:val="en-US" w:eastAsia="zh-CN"/>
              </w:rPr>
              <w:t>3</w:t>
            </w:r>
            <w:r>
              <w:rPr>
                <w:rFonts w:hint="eastAsia" w:cs="Times New Roman"/>
                <w:b/>
                <w:bCs w:val="0"/>
                <w:color w:val="auto"/>
                <w:kern w:val="0"/>
                <w:sz w:val="24"/>
                <w:szCs w:val="24"/>
                <w:lang w:val="en-US" w:eastAsia="zh-CN"/>
              </w:rPr>
              <w:t>.</w:t>
            </w:r>
            <w:r>
              <w:rPr>
                <w:rFonts w:hint="eastAsia" w:ascii="Times New Roman" w:hAnsi="Times New Roman" w:eastAsia="宋体" w:cs="Times New Roman"/>
                <w:b/>
                <w:bCs w:val="0"/>
                <w:color w:val="auto"/>
                <w:kern w:val="0"/>
                <w:sz w:val="24"/>
                <w:szCs w:val="24"/>
                <w:lang w:val="en-US" w:eastAsia="zh-CN"/>
              </w:rPr>
              <w:t>原料区、成品区：</w:t>
            </w:r>
            <w:r>
              <w:rPr>
                <w:rFonts w:hint="eastAsia" w:ascii="Times New Roman" w:hAnsi="Times New Roman" w:eastAsia="宋体" w:cs="Times New Roman"/>
                <w:b w:val="0"/>
                <w:bCs/>
                <w:color w:val="auto"/>
                <w:kern w:val="0"/>
                <w:sz w:val="24"/>
                <w:szCs w:val="24"/>
                <w:lang w:val="en-US" w:eastAsia="zh-CN"/>
              </w:rPr>
              <w:t>项目原料按需购买，成品及时转运，不会造成满负荷储存，可依托。</w:t>
            </w:r>
          </w:p>
          <w:p w14:paraId="1BC33773">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九、</w:t>
            </w:r>
            <w:r>
              <w:rPr>
                <w:rFonts w:hint="default" w:ascii="Times New Roman" w:hAnsi="Times New Roman" w:eastAsia="宋体" w:cs="Times New Roman"/>
                <w:b/>
                <w:bCs/>
                <w:color w:val="auto"/>
                <w:sz w:val="28"/>
                <w:szCs w:val="28"/>
                <w:lang w:val="en-US" w:eastAsia="zh-CN"/>
              </w:rPr>
              <w:t>环保投资</w:t>
            </w:r>
          </w:p>
          <w:p w14:paraId="0E5FB1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0"/>
                <w:sz w:val="24"/>
                <w:szCs w:val="24"/>
                <w:lang w:val="en-US" w:eastAsia="zh-CN"/>
              </w:rPr>
            </w:pPr>
            <w:r>
              <w:rPr>
                <w:rFonts w:hint="default" w:ascii="Times New Roman" w:hAnsi="Times New Roman" w:eastAsia="宋体" w:cs="Times New Roman"/>
                <w:b w:val="0"/>
                <w:bCs/>
                <w:color w:val="auto"/>
                <w:kern w:val="0"/>
                <w:sz w:val="24"/>
                <w:szCs w:val="24"/>
                <w:lang w:eastAsia="zh-CN"/>
              </w:rPr>
              <w:t>该项目环保投资</w:t>
            </w:r>
            <w:r>
              <w:rPr>
                <w:rFonts w:hint="eastAsia" w:cs="Times New Roman"/>
                <w:b w:val="0"/>
                <w:bCs/>
                <w:color w:val="auto"/>
                <w:kern w:val="0"/>
                <w:sz w:val="24"/>
                <w:szCs w:val="24"/>
                <w:lang w:val="en-US" w:eastAsia="zh-CN"/>
              </w:rPr>
              <w:t>49</w:t>
            </w:r>
            <w:r>
              <w:rPr>
                <w:rFonts w:hint="default" w:ascii="Times New Roman" w:hAnsi="Times New Roman" w:eastAsia="宋体" w:cs="Times New Roman"/>
                <w:b w:val="0"/>
                <w:bCs/>
                <w:color w:val="auto"/>
                <w:kern w:val="0"/>
                <w:sz w:val="24"/>
                <w:szCs w:val="24"/>
                <w:lang w:val="en-US" w:eastAsia="zh-CN"/>
              </w:rPr>
              <w:t>万元，</w:t>
            </w:r>
            <w:r>
              <w:rPr>
                <w:rFonts w:hint="eastAsia" w:ascii="Times New Roman" w:hAnsi="Times New Roman" w:eastAsia="宋体" w:cs="Times New Roman"/>
                <w:b w:val="0"/>
                <w:bCs/>
                <w:color w:val="auto"/>
                <w:kern w:val="0"/>
                <w:sz w:val="24"/>
                <w:szCs w:val="24"/>
                <w:lang w:val="en-US" w:eastAsia="zh-CN"/>
              </w:rPr>
              <w:t>占</w:t>
            </w:r>
            <w:r>
              <w:rPr>
                <w:rFonts w:hint="default" w:ascii="Times New Roman" w:hAnsi="Times New Roman" w:eastAsia="宋体" w:cs="Times New Roman"/>
                <w:b w:val="0"/>
                <w:bCs/>
                <w:color w:val="auto"/>
                <w:kern w:val="0"/>
                <w:sz w:val="24"/>
                <w:szCs w:val="24"/>
                <w:lang w:val="en-US" w:eastAsia="zh-CN"/>
              </w:rPr>
              <w:t>项目总投资</w:t>
            </w:r>
            <w:r>
              <w:rPr>
                <w:rFonts w:hint="eastAsia" w:ascii="Times New Roman" w:hAnsi="Times New Roman" w:eastAsia="宋体" w:cs="Times New Roman"/>
                <w:b w:val="0"/>
                <w:bCs/>
                <w:color w:val="auto"/>
                <w:kern w:val="0"/>
                <w:sz w:val="24"/>
                <w:szCs w:val="24"/>
                <w:lang w:val="en-US" w:eastAsia="zh-CN"/>
              </w:rPr>
              <w:t>80</w:t>
            </w:r>
            <w:r>
              <w:rPr>
                <w:rFonts w:hint="default" w:ascii="Times New Roman" w:hAnsi="Times New Roman" w:eastAsia="宋体" w:cs="Times New Roman"/>
                <w:b w:val="0"/>
                <w:bCs/>
                <w:color w:val="auto"/>
                <w:kern w:val="0"/>
                <w:sz w:val="24"/>
                <w:szCs w:val="24"/>
                <w:lang w:val="en-US" w:eastAsia="zh-CN"/>
              </w:rPr>
              <w:t>万元的</w:t>
            </w:r>
            <w:r>
              <w:rPr>
                <w:rFonts w:hint="eastAsia" w:cs="Times New Roman"/>
                <w:b w:val="0"/>
                <w:bCs/>
                <w:color w:val="auto"/>
                <w:kern w:val="0"/>
                <w:sz w:val="24"/>
                <w:szCs w:val="24"/>
                <w:lang w:val="en-US" w:eastAsia="zh-CN"/>
              </w:rPr>
              <w:t>61</w:t>
            </w:r>
            <w:r>
              <w:rPr>
                <w:rFonts w:hint="default" w:ascii="Times New Roman" w:hAnsi="Times New Roman" w:eastAsia="宋体" w:cs="Times New Roman"/>
                <w:b w:val="0"/>
                <w:bCs/>
                <w:color w:val="auto"/>
                <w:kern w:val="0"/>
                <w:sz w:val="24"/>
                <w:szCs w:val="24"/>
                <w:lang w:val="en-US" w:eastAsia="zh-CN"/>
              </w:rPr>
              <w:t>%，具体见下表：</w:t>
            </w:r>
          </w:p>
          <w:p w14:paraId="70F511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kern w:val="0"/>
                <w:sz w:val="24"/>
                <w:szCs w:val="24"/>
                <w:vertAlign w:val="baseline"/>
                <w:lang w:val="en-US" w:eastAsia="zh-CN"/>
              </w:rPr>
            </w:pPr>
            <w:r>
              <w:rPr>
                <w:rFonts w:hint="default" w:ascii="Times New Roman" w:hAnsi="Times New Roman" w:eastAsia="宋体" w:cs="Times New Roman"/>
                <w:b/>
                <w:bCs w:val="0"/>
                <w:color w:val="auto"/>
                <w:kern w:val="0"/>
                <w:sz w:val="21"/>
                <w:szCs w:val="21"/>
                <w:lang w:val="en-US" w:eastAsia="zh-CN"/>
              </w:rPr>
              <w:t>表4-1</w:t>
            </w:r>
            <w:r>
              <w:rPr>
                <w:rFonts w:hint="eastAsia" w:cs="Times New Roman"/>
                <w:b/>
                <w:bCs w:val="0"/>
                <w:color w:val="auto"/>
                <w:kern w:val="0"/>
                <w:sz w:val="21"/>
                <w:szCs w:val="21"/>
                <w:lang w:val="en-US" w:eastAsia="zh-CN"/>
              </w:rPr>
              <w:t>3</w:t>
            </w:r>
            <w:r>
              <w:rPr>
                <w:rFonts w:hint="default" w:ascii="Times New Roman" w:hAnsi="Times New Roman" w:eastAsia="宋体" w:cs="Times New Roman"/>
                <w:b/>
                <w:bCs w:val="0"/>
                <w:color w:val="auto"/>
                <w:kern w:val="0"/>
                <w:sz w:val="21"/>
                <w:szCs w:val="21"/>
                <w:lang w:val="en-US" w:eastAsia="zh-CN"/>
              </w:rPr>
              <w:t xml:space="preserve"> 建设项目环保设施投资一览表</w:t>
            </w:r>
          </w:p>
          <w:tbl>
            <w:tblPr>
              <w:tblStyle w:val="31"/>
              <w:tblW w:w="81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739"/>
              <w:gridCol w:w="1057"/>
              <w:gridCol w:w="1090"/>
              <w:gridCol w:w="2556"/>
              <w:gridCol w:w="749"/>
              <w:gridCol w:w="1352"/>
            </w:tblGrid>
            <w:tr w14:paraId="41809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4" w:type="pct"/>
                  <w:gridSpan w:val="4"/>
                  <w:tcBorders>
                    <w:tl2br w:val="nil"/>
                    <w:tr2bl w:val="nil"/>
                  </w:tcBorders>
                  <w:noWrap w:val="0"/>
                  <w:vAlign w:val="center"/>
                </w:tcPr>
                <w:p w14:paraId="20EBB7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名称</w:t>
                  </w:r>
                </w:p>
              </w:tc>
              <w:tc>
                <w:tcPr>
                  <w:tcW w:w="1567" w:type="pct"/>
                  <w:tcBorders>
                    <w:tl2br w:val="nil"/>
                    <w:tr2bl w:val="nil"/>
                  </w:tcBorders>
                  <w:noWrap w:val="0"/>
                  <w:vAlign w:val="center"/>
                </w:tcPr>
                <w:p w14:paraId="367AD6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环保设施</w:t>
                  </w:r>
                </w:p>
              </w:tc>
              <w:tc>
                <w:tcPr>
                  <w:tcW w:w="458" w:type="pct"/>
                  <w:tcBorders>
                    <w:tl2br w:val="nil"/>
                    <w:tr2bl w:val="nil"/>
                  </w:tcBorders>
                  <w:noWrap w:val="0"/>
                  <w:vAlign w:val="center"/>
                </w:tcPr>
                <w:p w14:paraId="47A04C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数量</w:t>
                  </w:r>
                </w:p>
              </w:tc>
              <w:tc>
                <w:tcPr>
                  <w:tcW w:w="829" w:type="pct"/>
                  <w:tcBorders>
                    <w:tl2br w:val="nil"/>
                    <w:tr2bl w:val="nil"/>
                  </w:tcBorders>
                  <w:noWrap w:val="0"/>
                  <w:vAlign w:val="center"/>
                </w:tcPr>
                <w:p w14:paraId="260E71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投资（万元）</w:t>
                  </w:r>
                </w:p>
              </w:tc>
            </w:tr>
            <w:tr w14:paraId="01CEF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restart"/>
                  <w:tcBorders>
                    <w:tl2br w:val="nil"/>
                    <w:tr2bl w:val="nil"/>
                  </w:tcBorders>
                  <w:noWrap w:val="0"/>
                  <w:vAlign w:val="center"/>
                </w:tcPr>
                <w:p w14:paraId="3B2BE9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运营期</w:t>
                  </w:r>
                </w:p>
              </w:tc>
              <w:tc>
                <w:tcPr>
                  <w:tcW w:w="453" w:type="pct"/>
                  <w:vMerge w:val="restart"/>
                  <w:tcBorders>
                    <w:tl2br w:val="nil"/>
                    <w:tr2bl w:val="nil"/>
                  </w:tcBorders>
                  <w:noWrap w:val="0"/>
                  <w:vAlign w:val="center"/>
                </w:tcPr>
                <w:p w14:paraId="61457B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废气</w:t>
                  </w:r>
                </w:p>
              </w:tc>
              <w:tc>
                <w:tcPr>
                  <w:tcW w:w="648" w:type="pct"/>
                  <w:tcBorders>
                    <w:tl2br w:val="nil"/>
                    <w:tr2bl w:val="nil"/>
                  </w:tcBorders>
                  <w:noWrap w:val="0"/>
                  <w:vAlign w:val="center"/>
                </w:tcPr>
                <w:p w14:paraId="0FDC013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切割、焊接、抛丸</w:t>
                  </w:r>
                </w:p>
              </w:tc>
              <w:tc>
                <w:tcPr>
                  <w:tcW w:w="667" w:type="pct"/>
                  <w:tcBorders>
                    <w:tl2br w:val="nil"/>
                    <w:tr2bl w:val="nil"/>
                  </w:tcBorders>
                  <w:noWrap w:val="0"/>
                  <w:vAlign w:val="center"/>
                </w:tcPr>
                <w:p w14:paraId="0D2236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颗粒物</w:t>
                  </w:r>
                </w:p>
              </w:tc>
              <w:tc>
                <w:tcPr>
                  <w:tcW w:w="1567" w:type="pct"/>
                  <w:tcBorders>
                    <w:tl2br w:val="nil"/>
                    <w:tr2bl w:val="nil"/>
                  </w:tcBorders>
                  <w:noWrap w:val="0"/>
                  <w:vAlign w:val="center"/>
                </w:tcPr>
                <w:p w14:paraId="79D147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焊接房、密闭管道、</w:t>
                  </w:r>
                  <w:r>
                    <w:rPr>
                      <w:rFonts w:hint="eastAsia" w:cs="Times New Roman"/>
                      <w:b w:val="0"/>
                      <w:bCs/>
                      <w:color w:val="auto"/>
                      <w:kern w:val="0"/>
                      <w:sz w:val="21"/>
                      <w:szCs w:val="21"/>
                      <w:vertAlign w:val="baseline"/>
                      <w:lang w:val="en-US" w:eastAsia="zh-CN"/>
                    </w:rPr>
                    <w:t>袋式</w:t>
                  </w:r>
                  <w:r>
                    <w:rPr>
                      <w:rFonts w:hint="eastAsia" w:ascii="Times New Roman" w:hAnsi="Times New Roman" w:eastAsia="宋体" w:cs="Times New Roman"/>
                      <w:b w:val="0"/>
                      <w:bCs/>
                      <w:color w:val="auto"/>
                      <w:kern w:val="0"/>
                      <w:sz w:val="21"/>
                      <w:szCs w:val="21"/>
                      <w:vertAlign w:val="baseline"/>
                      <w:lang w:val="en-US" w:eastAsia="zh-CN"/>
                    </w:rPr>
                    <w:t>除尘器、15米排气筒（DA001）</w:t>
                  </w:r>
                </w:p>
              </w:tc>
              <w:tc>
                <w:tcPr>
                  <w:tcW w:w="458" w:type="pct"/>
                  <w:tcBorders>
                    <w:tl2br w:val="nil"/>
                    <w:tr2bl w:val="nil"/>
                  </w:tcBorders>
                  <w:noWrap w:val="0"/>
                  <w:vAlign w:val="center"/>
                </w:tcPr>
                <w:p w14:paraId="5CF1FD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w:t>
                  </w:r>
                  <w:r>
                    <w:rPr>
                      <w:rFonts w:hint="eastAsia" w:ascii="Times New Roman" w:hAnsi="Times New Roman" w:eastAsia="宋体" w:cs="Times New Roman"/>
                      <w:b w:val="0"/>
                      <w:bCs/>
                      <w:color w:val="auto"/>
                      <w:kern w:val="0"/>
                      <w:sz w:val="21"/>
                      <w:szCs w:val="21"/>
                      <w:vertAlign w:val="baseline"/>
                      <w:lang w:val="en-US" w:eastAsia="zh-CN"/>
                    </w:rPr>
                    <w:t>套</w:t>
                  </w:r>
                </w:p>
              </w:tc>
              <w:tc>
                <w:tcPr>
                  <w:tcW w:w="829" w:type="pct"/>
                  <w:tcBorders>
                    <w:tl2br w:val="nil"/>
                    <w:tr2bl w:val="nil"/>
                  </w:tcBorders>
                  <w:noWrap w:val="0"/>
                  <w:vAlign w:val="center"/>
                </w:tcPr>
                <w:p w14:paraId="175A0E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17</w:t>
                  </w:r>
                </w:p>
              </w:tc>
            </w:tr>
            <w:tr w14:paraId="1D0ED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tl2br w:val="nil"/>
                    <w:tr2bl w:val="nil"/>
                  </w:tcBorders>
                  <w:noWrap w:val="0"/>
                  <w:vAlign w:val="center"/>
                </w:tcPr>
                <w:p w14:paraId="0F601D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453" w:type="pct"/>
                  <w:vMerge w:val="continue"/>
                  <w:tcBorders>
                    <w:tl2br w:val="nil"/>
                    <w:tr2bl w:val="nil"/>
                  </w:tcBorders>
                  <w:noWrap w:val="0"/>
                  <w:vAlign w:val="center"/>
                </w:tcPr>
                <w:p w14:paraId="5387E3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rPr>
                  </w:pPr>
                </w:p>
              </w:tc>
              <w:tc>
                <w:tcPr>
                  <w:tcW w:w="648" w:type="pct"/>
                  <w:tcBorders>
                    <w:tl2br w:val="nil"/>
                    <w:tr2bl w:val="nil"/>
                  </w:tcBorders>
                  <w:noWrap w:val="0"/>
                  <w:vAlign w:val="center"/>
                </w:tcPr>
                <w:p w14:paraId="6DB47EF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喷粉</w:t>
                  </w:r>
                  <w:r>
                    <w:rPr>
                      <w:rFonts w:hint="eastAsia" w:ascii="Times New Roman" w:hAnsi="Times New Roman" w:eastAsia="宋体" w:cs="Times New Roman"/>
                      <w:b w:val="0"/>
                      <w:bCs/>
                      <w:color w:val="auto"/>
                      <w:kern w:val="0"/>
                      <w:sz w:val="21"/>
                      <w:szCs w:val="21"/>
                      <w:vertAlign w:val="baseline"/>
                      <w:lang w:val="en-US" w:eastAsia="zh-CN"/>
                    </w:rPr>
                    <w:t>废气</w:t>
                  </w:r>
                </w:p>
              </w:tc>
              <w:tc>
                <w:tcPr>
                  <w:tcW w:w="667" w:type="pct"/>
                  <w:tcBorders>
                    <w:tl2br w:val="nil"/>
                    <w:tr2bl w:val="nil"/>
                  </w:tcBorders>
                  <w:noWrap w:val="0"/>
                  <w:vAlign w:val="center"/>
                </w:tcPr>
                <w:p w14:paraId="31652C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大旋风除尘器</w:t>
                  </w:r>
                </w:p>
              </w:tc>
              <w:tc>
                <w:tcPr>
                  <w:tcW w:w="1567" w:type="pct"/>
                  <w:tcBorders>
                    <w:tl2br w:val="nil"/>
                    <w:tr2bl w:val="nil"/>
                  </w:tcBorders>
                  <w:noWrap w:val="0"/>
                  <w:vAlign w:val="center"/>
                </w:tcPr>
                <w:p w14:paraId="4A0F31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密闭喷房+管道+大旋风除尘器</w:t>
                  </w:r>
                </w:p>
              </w:tc>
              <w:tc>
                <w:tcPr>
                  <w:tcW w:w="458" w:type="pct"/>
                  <w:tcBorders>
                    <w:tl2br w:val="nil"/>
                    <w:tr2bl w:val="nil"/>
                  </w:tcBorders>
                  <w:noWrap w:val="0"/>
                  <w:vAlign w:val="center"/>
                </w:tcPr>
                <w:p w14:paraId="4C0FED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1套</w:t>
                  </w:r>
                </w:p>
              </w:tc>
              <w:tc>
                <w:tcPr>
                  <w:tcW w:w="829" w:type="pct"/>
                  <w:tcBorders>
                    <w:tl2br w:val="nil"/>
                    <w:tr2bl w:val="nil"/>
                  </w:tcBorders>
                  <w:noWrap w:val="0"/>
                  <w:vAlign w:val="center"/>
                </w:tcPr>
                <w:p w14:paraId="74E039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11</w:t>
                  </w:r>
                </w:p>
              </w:tc>
            </w:tr>
            <w:tr w14:paraId="0629B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tl2br w:val="nil"/>
                    <w:tr2bl w:val="nil"/>
                  </w:tcBorders>
                  <w:noWrap w:val="0"/>
                  <w:vAlign w:val="center"/>
                </w:tcPr>
                <w:p w14:paraId="7B629E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453" w:type="pct"/>
                  <w:vMerge w:val="continue"/>
                  <w:tcBorders>
                    <w:tl2br w:val="nil"/>
                    <w:tr2bl w:val="nil"/>
                  </w:tcBorders>
                  <w:noWrap w:val="0"/>
                  <w:vAlign w:val="center"/>
                </w:tcPr>
                <w:p w14:paraId="55344A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rPr>
                  </w:pPr>
                </w:p>
              </w:tc>
              <w:tc>
                <w:tcPr>
                  <w:tcW w:w="648" w:type="pct"/>
                  <w:tcBorders>
                    <w:tl2br w:val="nil"/>
                    <w:tr2bl w:val="nil"/>
                  </w:tcBorders>
                  <w:noWrap w:val="0"/>
                  <w:vAlign w:val="center"/>
                </w:tcPr>
                <w:p w14:paraId="2CD99D2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固化废气</w:t>
                  </w:r>
                </w:p>
              </w:tc>
              <w:tc>
                <w:tcPr>
                  <w:tcW w:w="667" w:type="pct"/>
                  <w:tcBorders>
                    <w:tl2br w:val="nil"/>
                    <w:tr2bl w:val="nil"/>
                  </w:tcBorders>
                  <w:noWrap w:val="0"/>
                  <w:vAlign w:val="center"/>
                </w:tcPr>
                <w:p w14:paraId="7E32E8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非甲烷总烃</w:t>
                  </w:r>
                </w:p>
              </w:tc>
              <w:tc>
                <w:tcPr>
                  <w:tcW w:w="1567" w:type="pct"/>
                  <w:tcBorders>
                    <w:tl2br w:val="nil"/>
                    <w:tr2bl w:val="nil"/>
                  </w:tcBorders>
                  <w:noWrap w:val="0"/>
                  <w:vAlign w:val="center"/>
                </w:tcPr>
                <w:p w14:paraId="067AD6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密闭管道+二级活性炭</w:t>
                  </w:r>
                </w:p>
              </w:tc>
              <w:tc>
                <w:tcPr>
                  <w:tcW w:w="458" w:type="pct"/>
                  <w:tcBorders>
                    <w:tl2br w:val="nil"/>
                    <w:tr2bl w:val="nil"/>
                  </w:tcBorders>
                  <w:noWrap w:val="0"/>
                  <w:vAlign w:val="center"/>
                </w:tcPr>
                <w:p w14:paraId="4F7719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1套</w:t>
                  </w:r>
                </w:p>
              </w:tc>
              <w:tc>
                <w:tcPr>
                  <w:tcW w:w="829" w:type="pct"/>
                  <w:tcBorders>
                    <w:tl2br w:val="nil"/>
                    <w:tr2bl w:val="nil"/>
                  </w:tcBorders>
                  <w:noWrap w:val="0"/>
                  <w:vAlign w:val="center"/>
                </w:tcPr>
                <w:p w14:paraId="3E831B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5</w:t>
                  </w:r>
                </w:p>
              </w:tc>
            </w:tr>
            <w:tr w14:paraId="3AF0E6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tl2br w:val="nil"/>
                    <w:tr2bl w:val="nil"/>
                  </w:tcBorders>
                  <w:noWrap w:val="0"/>
                  <w:vAlign w:val="center"/>
                </w:tcPr>
                <w:p w14:paraId="26EA38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453" w:type="pct"/>
                  <w:vMerge w:val="continue"/>
                  <w:tcBorders>
                    <w:tl2br w:val="nil"/>
                    <w:tr2bl w:val="nil"/>
                  </w:tcBorders>
                  <w:noWrap w:val="0"/>
                  <w:vAlign w:val="center"/>
                </w:tcPr>
                <w:p w14:paraId="7C7DFC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rPr>
                  </w:pPr>
                </w:p>
              </w:tc>
              <w:tc>
                <w:tcPr>
                  <w:tcW w:w="648" w:type="pct"/>
                  <w:tcBorders>
                    <w:tl2br w:val="nil"/>
                    <w:tr2bl w:val="nil"/>
                  </w:tcBorders>
                  <w:noWrap w:val="0"/>
                  <w:vAlign w:val="center"/>
                </w:tcPr>
                <w:p w14:paraId="1D85E3E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天然气燃烧废气</w:t>
                  </w:r>
                </w:p>
              </w:tc>
              <w:tc>
                <w:tcPr>
                  <w:tcW w:w="667" w:type="pct"/>
                  <w:tcBorders>
                    <w:tl2br w:val="nil"/>
                    <w:tr2bl w:val="nil"/>
                  </w:tcBorders>
                  <w:noWrap w:val="0"/>
                  <w:vAlign w:val="center"/>
                </w:tcPr>
                <w:p w14:paraId="5841B6E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颗粒物、二氧化硫、氮氧化物</w:t>
                  </w:r>
                </w:p>
              </w:tc>
              <w:tc>
                <w:tcPr>
                  <w:tcW w:w="1567" w:type="pct"/>
                  <w:tcBorders>
                    <w:tl2br w:val="nil"/>
                    <w:tr2bl w:val="nil"/>
                  </w:tcBorders>
                  <w:noWrap w:val="0"/>
                  <w:vAlign w:val="center"/>
                </w:tcPr>
                <w:p w14:paraId="10A125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低氮燃烧器</w:t>
                  </w:r>
                </w:p>
              </w:tc>
              <w:tc>
                <w:tcPr>
                  <w:tcW w:w="458" w:type="pct"/>
                  <w:tcBorders>
                    <w:tl2br w:val="nil"/>
                    <w:tr2bl w:val="nil"/>
                  </w:tcBorders>
                  <w:noWrap w:val="0"/>
                  <w:vAlign w:val="center"/>
                </w:tcPr>
                <w:p w14:paraId="4FEF94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1个</w:t>
                  </w:r>
                </w:p>
              </w:tc>
              <w:tc>
                <w:tcPr>
                  <w:tcW w:w="829" w:type="pct"/>
                  <w:tcBorders>
                    <w:tl2br w:val="nil"/>
                    <w:tr2bl w:val="nil"/>
                  </w:tcBorders>
                  <w:noWrap w:val="0"/>
                  <w:vAlign w:val="center"/>
                </w:tcPr>
                <w:p w14:paraId="5E8D37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3</w:t>
                  </w:r>
                </w:p>
              </w:tc>
            </w:tr>
            <w:tr w14:paraId="3008D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tl2br w:val="nil"/>
                    <w:tr2bl w:val="nil"/>
                  </w:tcBorders>
                  <w:noWrap w:val="0"/>
                  <w:vAlign w:val="center"/>
                </w:tcPr>
                <w:p w14:paraId="29C04D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453" w:type="pct"/>
                  <w:tcBorders>
                    <w:tl2br w:val="nil"/>
                    <w:tr2bl w:val="nil"/>
                  </w:tcBorders>
                  <w:noWrap w:val="0"/>
                  <w:vAlign w:val="center"/>
                </w:tcPr>
                <w:p w14:paraId="11A9AD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废水</w:t>
                  </w:r>
                </w:p>
              </w:tc>
              <w:tc>
                <w:tcPr>
                  <w:tcW w:w="648" w:type="pct"/>
                  <w:tcBorders>
                    <w:tl2br w:val="nil"/>
                    <w:tr2bl w:val="nil"/>
                  </w:tcBorders>
                  <w:noWrap w:val="0"/>
                  <w:vAlign w:val="center"/>
                </w:tcPr>
                <w:p w14:paraId="32FB3AA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清洗废水</w:t>
                  </w:r>
                </w:p>
              </w:tc>
              <w:tc>
                <w:tcPr>
                  <w:tcW w:w="667" w:type="pct"/>
                  <w:tcBorders>
                    <w:tl2br w:val="nil"/>
                    <w:tr2bl w:val="nil"/>
                  </w:tcBorders>
                  <w:noWrap w:val="0"/>
                  <w:vAlign w:val="center"/>
                </w:tcPr>
                <w:p w14:paraId="4241C72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COD、油类物质、SS、LAS等</w:t>
                  </w:r>
                </w:p>
              </w:tc>
              <w:tc>
                <w:tcPr>
                  <w:tcW w:w="1567" w:type="pct"/>
                  <w:tcBorders>
                    <w:tl2br w:val="nil"/>
                    <w:tr2bl w:val="nil"/>
                  </w:tcBorders>
                  <w:noWrap w:val="0"/>
                  <w:vAlign w:val="center"/>
                </w:tcPr>
                <w:p w14:paraId="61250D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污水处理设施</w:t>
                  </w:r>
                </w:p>
              </w:tc>
              <w:tc>
                <w:tcPr>
                  <w:tcW w:w="458" w:type="pct"/>
                  <w:tcBorders>
                    <w:tl2br w:val="nil"/>
                    <w:tr2bl w:val="nil"/>
                  </w:tcBorders>
                  <w:noWrap w:val="0"/>
                  <w:vAlign w:val="center"/>
                </w:tcPr>
                <w:p w14:paraId="287DF2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1套</w:t>
                  </w:r>
                </w:p>
              </w:tc>
              <w:tc>
                <w:tcPr>
                  <w:tcW w:w="829" w:type="pct"/>
                  <w:tcBorders>
                    <w:tl2br w:val="nil"/>
                    <w:tr2bl w:val="nil"/>
                  </w:tcBorders>
                  <w:noWrap w:val="0"/>
                  <w:vAlign w:val="center"/>
                </w:tcPr>
                <w:p w14:paraId="6DD428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10</w:t>
                  </w:r>
                </w:p>
              </w:tc>
            </w:tr>
            <w:tr w14:paraId="136FA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tl2br w:val="nil"/>
                    <w:tr2bl w:val="nil"/>
                  </w:tcBorders>
                  <w:noWrap w:val="0"/>
                  <w:vAlign w:val="center"/>
                </w:tcPr>
                <w:p w14:paraId="12EF05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453" w:type="pct"/>
                  <w:tcBorders>
                    <w:tl2br w:val="nil"/>
                    <w:tr2bl w:val="nil"/>
                  </w:tcBorders>
                  <w:noWrap w:val="0"/>
                  <w:vAlign w:val="center"/>
                </w:tcPr>
                <w:p w14:paraId="416E0F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噪声</w:t>
                  </w:r>
                </w:p>
              </w:tc>
              <w:tc>
                <w:tcPr>
                  <w:tcW w:w="1315" w:type="pct"/>
                  <w:gridSpan w:val="2"/>
                  <w:tcBorders>
                    <w:tl2br w:val="nil"/>
                    <w:tr2bl w:val="nil"/>
                  </w:tcBorders>
                  <w:noWrap w:val="0"/>
                  <w:vAlign w:val="center"/>
                </w:tcPr>
                <w:p w14:paraId="7F7CEB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设备噪声</w:t>
                  </w:r>
                </w:p>
              </w:tc>
              <w:tc>
                <w:tcPr>
                  <w:tcW w:w="1567" w:type="pct"/>
                  <w:tcBorders>
                    <w:tl2br w:val="nil"/>
                    <w:tr2bl w:val="nil"/>
                  </w:tcBorders>
                  <w:noWrap w:val="0"/>
                  <w:vAlign w:val="center"/>
                </w:tcPr>
                <w:p w14:paraId="5DBB1B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隔声</w:t>
                  </w:r>
                  <w:r>
                    <w:rPr>
                      <w:rFonts w:hint="eastAsia" w:ascii="Times New Roman" w:hAnsi="Times New Roman" w:eastAsia="宋体" w:cs="Times New Roman"/>
                      <w:b w:val="0"/>
                      <w:bCs/>
                      <w:color w:val="auto"/>
                      <w:kern w:val="0"/>
                      <w:sz w:val="21"/>
                      <w:szCs w:val="21"/>
                      <w:vertAlign w:val="baseline"/>
                      <w:lang w:val="en-US" w:eastAsia="zh-CN"/>
                    </w:rPr>
                    <w:t>罩、软连接</w:t>
                  </w:r>
                </w:p>
              </w:tc>
              <w:tc>
                <w:tcPr>
                  <w:tcW w:w="458" w:type="pct"/>
                  <w:tcBorders>
                    <w:tl2br w:val="nil"/>
                    <w:tr2bl w:val="nil"/>
                  </w:tcBorders>
                  <w:noWrap w:val="0"/>
                  <w:vAlign w:val="center"/>
                </w:tcPr>
                <w:p w14:paraId="18BC96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1套</w:t>
                  </w:r>
                </w:p>
              </w:tc>
              <w:tc>
                <w:tcPr>
                  <w:tcW w:w="829" w:type="pct"/>
                  <w:tcBorders>
                    <w:tl2br w:val="nil"/>
                    <w:tr2bl w:val="nil"/>
                  </w:tcBorders>
                  <w:noWrap w:val="0"/>
                  <w:vAlign w:val="center"/>
                </w:tcPr>
                <w:p w14:paraId="3E5781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w:t>
                  </w:r>
                </w:p>
              </w:tc>
            </w:tr>
            <w:tr w14:paraId="76E8F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tl2br w:val="nil"/>
                    <w:tr2bl w:val="nil"/>
                  </w:tcBorders>
                  <w:noWrap w:val="0"/>
                  <w:vAlign w:val="center"/>
                </w:tcPr>
                <w:p w14:paraId="044C85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453" w:type="pct"/>
                  <w:tcBorders>
                    <w:tl2br w:val="nil"/>
                    <w:tr2bl w:val="nil"/>
                  </w:tcBorders>
                  <w:noWrap w:val="0"/>
                  <w:vAlign w:val="center"/>
                </w:tcPr>
                <w:p w14:paraId="31BEDE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环境风险</w:t>
                  </w:r>
                </w:p>
              </w:tc>
              <w:tc>
                <w:tcPr>
                  <w:tcW w:w="1315" w:type="pct"/>
                  <w:gridSpan w:val="2"/>
                  <w:tcBorders>
                    <w:tl2br w:val="nil"/>
                    <w:tr2bl w:val="nil"/>
                  </w:tcBorders>
                  <w:noWrap w:val="0"/>
                  <w:vAlign w:val="center"/>
                </w:tcPr>
                <w:p w14:paraId="0F1F8C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脱脂槽和硅烷槽漏液</w:t>
                  </w:r>
                </w:p>
              </w:tc>
              <w:tc>
                <w:tcPr>
                  <w:tcW w:w="1567" w:type="pct"/>
                  <w:tcBorders>
                    <w:tl2br w:val="nil"/>
                    <w:tr2bl w:val="nil"/>
                  </w:tcBorders>
                  <w:noWrap w:val="0"/>
                  <w:vAlign w:val="center"/>
                </w:tcPr>
                <w:p w14:paraId="34859F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应急围堰</w:t>
                  </w:r>
                </w:p>
              </w:tc>
              <w:tc>
                <w:tcPr>
                  <w:tcW w:w="458" w:type="pct"/>
                  <w:tcBorders>
                    <w:tl2br w:val="nil"/>
                    <w:tr2bl w:val="nil"/>
                  </w:tcBorders>
                  <w:noWrap w:val="0"/>
                  <w:vAlign w:val="center"/>
                </w:tcPr>
                <w:p w14:paraId="456FD9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6.1m³</w:t>
                  </w:r>
                </w:p>
              </w:tc>
              <w:tc>
                <w:tcPr>
                  <w:tcW w:w="829" w:type="pct"/>
                  <w:tcBorders>
                    <w:tl2br w:val="nil"/>
                    <w:tr2bl w:val="nil"/>
                  </w:tcBorders>
                  <w:noWrap w:val="0"/>
                  <w:vAlign w:val="center"/>
                </w:tcPr>
                <w:p w14:paraId="0A12E9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2</w:t>
                  </w:r>
                </w:p>
              </w:tc>
            </w:tr>
            <w:tr w14:paraId="790D8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tl2br w:val="nil"/>
                    <w:tr2bl w:val="nil"/>
                  </w:tcBorders>
                  <w:noWrap w:val="0"/>
                  <w:vAlign w:val="center"/>
                </w:tcPr>
                <w:p w14:paraId="477C67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3795" w:type="pct"/>
                  <w:gridSpan w:val="5"/>
                  <w:tcBorders>
                    <w:tl2br w:val="nil"/>
                    <w:tr2bl w:val="nil"/>
                  </w:tcBorders>
                  <w:noWrap w:val="0"/>
                  <w:vAlign w:val="center"/>
                </w:tcPr>
                <w:p w14:paraId="28AC6C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合计</w:t>
                  </w:r>
                </w:p>
              </w:tc>
              <w:tc>
                <w:tcPr>
                  <w:tcW w:w="829" w:type="pct"/>
                  <w:tcBorders>
                    <w:tl2br w:val="nil"/>
                    <w:tr2bl w:val="nil"/>
                  </w:tcBorders>
                  <w:noWrap w:val="0"/>
                  <w:vAlign w:val="center"/>
                </w:tcPr>
                <w:p w14:paraId="65324F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49</w:t>
                  </w:r>
                </w:p>
              </w:tc>
            </w:tr>
          </w:tbl>
          <w:p w14:paraId="3D5964B3">
            <w:pPr>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p>
        </w:tc>
      </w:tr>
    </w:tbl>
    <w:p w14:paraId="79FCABB3">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2E424CD4">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5" w:name="_Hlk54167917"/>
      <w:r>
        <w:rPr>
          <w:rFonts w:hint="default" w:ascii="Times New Roman" w:hAnsi="Times New Roman" w:eastAsia="黑体" w:cs="Times New Roman"/>
          <w:snapToGrid w:val="0"/>
          <w:color w:val="auto"/>
          <w:sz w:val="30"/>
          <w:szCs w:val="30"/>
        </w:rPr>
        <w:t>环境保护措施监督检查清单</w:t>
      </w:r>
      <w:bookmarkEnd w:id="5"/>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392"/>
        <w:gridCol w:w="866"/>
        <w:gridCol w:w="1373"/>
        <w:gridCol w:w="2446"/>
        <w:gridCol w:w="2690"/>
      </w:tblGrid>
      <w:tr w14:paraId="5D0BC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tcBorders>
              <w:tl2br w:val="single" w:color="auto" w:sz="4" w:space="0"/>
            </w:tcBorders>
            <w:noWrap w:val="0"/>
            <w:vAlign w:val="top"/>
          </w:tcPr>
          <w:p w14:paraId="068EB1F7">
            <w:pPr>
              <w:adjustRightInd w:val="0"/>
              <w:snapToGrid w:val="0"/>
              <w:ind w:firstLine="630" w:firstLineChars="300"/>
              <w:rPr>
                <w:rFonts w:hint="default" w:ascii="Times New Roman" w:hAnsi="Times New Roman" w:cs="Times New Roman"/>
                <w:color w:val="auto"/>
                <w:szCs w:val="21"/>
              </w:rPr>
            </w:pPr>
            <w:r>
              <w:rPr>
                <w:rFonts w:hint="default" w:ascii="Times New Roman" w:hAnsi="Times New Roman" w:cs="Times New Roman"/>
                <w:color w:val="auto"/>
                <w:szCs w:val="21"/>
              </w:rPr>
              <w:t>内容</w:t>
            </w:r>
          </w:p>
          <w:p w14:paraId="669A41F0">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要素</w:t>
            </w:r>
          </w:p>
        </w:tc>
        <w:tc>
          <w:tcPr>
            <w:tcW w:w="1258" w:type="dxa"/>
            <w:gridSpan w:val="2"/>
            <w:noWrap w:val="0"/>
            <w:vAlign w:val="center"/>
          </w:tcPr>
          <w:p w14:paraId="7FA6AFEC">
            <w:pPr>
              <w:adjustRightInd w:val="0"/>
              <w:snapToGrid w:val="0"/>
              <w:jc w:val="both"/>
              <w:rPr>
                <w:rFonts w:hint="default" w:ascii="Times New Roman" w:hAnsi="Times New Roman" w:cs="Times New Roman"/>
                <w:color w:val="auto"/>
                <w:szCs w:val="21"/>
              </w:rPr>
            </w:pPr>
            <w:r>
              <w:rPr>
                <w:rFonts w:hint="default" w:ascii="Times New Roman" w:hAnsi="Times New Roman" w:cs="Times New Roman"/>
                <w:color w:val="auto"/>
                <w:szCs w:val="21"/>
              </w:rPr>
              <w:t>排放口</w:t>
            </w:r>
          </w:p>
          <w:p w14:paraId="1377FC97">
            <w:pPr>
              <w:adjustRightInd w:val="0"/>
              <w:snapToGrid w:val="0"/>
              <w:jc w:val="both"/>
              <w:rPr>
                <w:rFonts w:hint="default" w:ascii="Times New Roman" w:hAnsi="Times New Roman" w:cs="Times New Roman"/>
                <w:color w:val="auto"/>
                <w:szCs w:val="21"/>
              </w:rPr>
            </w:pP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编号、名称</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/污染源</w:t>
            </w:r>
          </w:p>
        </w:tc>
        <w:tc>
          <w:tcPr>
            <w:tcW w:w="1373" w:type="dxa"/>
            <w:noWrap w:val="0"/>
            <w:vAlign w:val="center"/>
          </w:tcPr>
          <w:p w14:paraId="2142F49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污染物项目</w:t>
            </w:r>
          </w:p>
        </w:tc>
        <w:tc>
          <w:tcPr>
            <w:tcW w:w="2446" w:type="dxa"/>
            <w:noWrap w:val="0"/>
            <w:vAlign w:val="center"/>
          </w:tcPr>
          <w:p w14:paraId="16B6464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环境保护措施</w:t>
            </w:r>
          </w:p>
        </w:tc>
        <w:tc>
          <w:tcPr>
            <w:tcW w:w="2690" w:type="dxa"/>
            <w:noWrap w:val="0"/>
            <w:vAlign w:val="center"/>
          </w:tcPr>
          <w:p w14:paraId="5EC810F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r>
      <w:tr w14:paraId="10CDDA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restart"/>
            <w:noWrap w:val="0"/>
            <w:vAlign w:val="center"/>
          </w:tcPr>
          <w:p w14:paraId="7DBA3253">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大气环境</w:t>
            </w:r>
          </w:p>
        </w:tc>
        <w:tc>
          <w:tcPr>
            <w:tcW w:w="392" w:type="dxa"/>
            <w:vMerge w:val="restart"/>
            <w:noWrap w:val="0"/>
            <w:vAlign w:val="center"/>
          </w:tcPr>
          <w:p w14:paraId="40D83712">
            <w:pPr>
              <w:pStyle w:val="95"/>
              <w:adjustRightInd w:val="0"/>
              <w:snapToGrid w:val="0"/>
              <w:contextualSpacing/>
              <w:rPr>
                <w:rFonts w:hint="default" w:ascii="Times New Roman" w:hAnsi="Times New Roman" w:cs="Times New Roman"/>
                <w:b w:val="0"/>
                <w:bCs w:val="0"/>
                <w:color w:val="auto"/>
                <w:kern w:val="2"/>
                <w:sz w:val="21"/>
                <w:szCs w:val="21"/>
                <w:lang w:val="en-US" w:eastAsia="zh-CN" w:bidi="ar-SA"/>
              </w:rPr>
            </w:pPr>
            <w:r>
              <w:rPr>
                <w:rFonts w:hint="eastAsia" w:cs="Times New Roman"/>
                <w:b w:val="0"/>
                <w:bCs w:val="0"/>
                <w:color w:val="auto"/>
                <w:szCs w:val="21"/>
                <w:lang w:val="en-US" w:eastAsia="zh-CN"/>
              </w:rPr>
              <w:t>有组织废气</w:t>
            </w:r>
          </w:p>
        </w:tc>
        <w:tc>
          <w:tcPr>
            <w:tcW w:w="866" w:type="dxa"/>
            <w:noWrap w:val="0"/>
            <w:vAlign w:val="center"/>
          </w:tcPr>
          <w:p w14:paraId="6CA21C4B">
            <w:pPr>
              <w:pStyle w:val="95"/>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DA001</w:t>
            </w:r>
          </w:p>
        </w:tc>
        <w:tc>
          <w:tcPr>
            <w:tcW w:w="1373" w:type="dxa"/>
            <w:noWrap w:val="0"/>
            <w:vAlign w:val="center"/>
          </w:tcPr>
          <w:p w14:paraId="43651ED7">
            <w:pPr>
              <w:pStyle w:val="95"/>
              <w:adjustRightInd w:val="0"/>
              <w:snapToGrid w:val="0"/>
              <w:contextualSpacing/>
              <w:rPr>
                <w:rFonts w:hint="default" w:ascii="Times New Roman" w:hAnsi="Times New Roman"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颗粒物</w:t>
            </w:r>
          </w:p>
        </w:tc>
        <w:tc>
          <w:tcPr>
            <w:tcW w:w="2446" w:type="dxa"/>
            <w:noWrap w:val="0"/>
            <w:vAlign w:val="center"/>
          </w:tcPr>
          <w:p w14:paraId="2BFA95EB">
            <w:pPr>
              <w:pStyle w:val="95"/>
              <w:adjustRightInd w:val="0"/>
              <w:snapToGrid w:val="0"/>
              <w:contextualSpacing/>
              <w:rPr>
                <w:rFonts w:hint="eastAsia"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抛丸废气</w:t>
            </w:r>
            <w:r>
              <w:rPr>
                <w:rFonts w:hint="eastAsia" w:cs="Times New Roman"/>
                <w:b w:val="0"/>
                <w:bCs w:val="0"/>
                <w:color w:val="auto"/>
                <w:szCs w:val="21"/>
                <w:lang w:val="en-US" w:eastAsia="zh-CN"/>
              </w:rPr>
              <w:t>经自带的袋式除尘器和滤筒除尘器处理后进入排气筒DA001排放；切割、焊接工序产生的废气经收集后统一进入袋式除尘器处理后由一根15米排气筒（DA001）高空排放；焊接设密闭焊接房。</w:t>
            </w:r>
          </w:p>
        </w:tc>
        <w:tc>
          <w:tcPr>
            <w:tcW w:w="2690" w:type="dxa"/>
            <w:noWrap w:val="0"/>
            <w:vAlign w:val="center"/>
          </w:tcPr>
          <w:p w14:paraId="02D2338F">
            <w:pPr>
              <w:pStyle w:val="95"/>
              <w:adjustRightInd w:val="0"/>
              <w:snapToGrid w:val="0"/>
              <w:contextualSpacing/>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《大气污染物</w:t>
            </w:r>
            <w:r>
              <w:rPr>
                <w:rFonts w:hint="eastAsia" w:ascii="Times New Roman" w:hAnsi="Times New Roman" w:cs="Times New Roman"/>
                <w:b w:val="0"/>
                <w:bCs w:val="0"/>
                <w:color w:val="auto"/>
                <w:szCs w:val="21"/>
                <w:lang w:val="en-US" w:eastAsia="zh-CN"/>
              </w:rPr>
              <w:t>综合</w:t>
            </w:r>
            <w:r>
              <w:rPr>
                <w:rFonts w:hint="default" w:ascii="Times New Roman" w:hAnsi="Times New Roman" w:cs="Times New Roman"/>
                <w:b w:val="0"/>
                <w:bCs w:val="0"/>
                <w:color w:val="auto"/>
                <w:szCs w:val="21"/>
                <w:lang w:val="en-US" w:eastAsia="zh-CN"/>
              </w:rPr>
              <w:t>排放标准》（GB</w:t>
            </w:r>
            <w:r>
              <w:rPr>
                <w:rFonts w:hint="eastAsia" w:ascii="Times New Roman" w:hAnsi="Times New Roman" w:cs="Times New Roman"/>
                <w:b w:val="0"/>
                <w:bCs w:val="0"/>
                <w:color w:val="auto"/>
                <w:szCs w:val="21"/>
                <w:lang w:val="en-US" w:eastAsia="zh-CN"/>
              </w:rPr>
              <w:t>16297</w:t>
            </w:r>
            <w:r>
              <w:rPr>
                <w:rFonts w:hint="default" w:ascii="Times New Roman" w:hAnsi="Times New Roman" w:cs="Times New Roman"/>
                <w:b w:val="0"/>
                <w:bCs w:val="0"/>
                <w:color w:val="auto"/>
                <w:szCs w:val="21"/>
                <w:lang w:val="en-US" w:eastAsia="zh-CN"/>
              </w:rPr>
              <w:t>-</w:t>
            </w:r>
            <w:r>
              <w:rPr>
                <w:rFonts w:hint="eastAsia" w:ascii="Times New Roman" w:hAnsi="Times New Roman" w:cs="Times New Roman"/>
                <w:b w:val="0"/>
                <w:bCs w:val="0"/>
                <w:color w:val="auto"/>
                <w:szCs w:val="21"/>
                <w:lang w:val="en-US" w:eastAsia="zh-CN"/>
              </w:rPr>
              <w:t>1996</w:t>
            </w:r>
            <w:r>
              <w:rPr>
                <w:rFonts w:hint="default" w:ascii="Times New Roman" w:hAnsi="Times New Roman" w:cs="Times New Roman"/>
                <w:b w:val="0"/>
                <w:bCs w:val="0"/>
                <w:color w:val="auto"/>
                <w:szCs w:val="21"/>
                <w:lang w:val="en-US" w:eastAsia="zh-CN"/>
              </w:rPr>
              <w:t>）表2相应标准</w:t>
            </w:r>
            <w:r>
              <w:rPr>
                <w:rFonts w:hint="eastAsia" w:cs="Times New Roman"/>
                <w:b w:val="0"/>
                <w:bCs w:val="0"/>
                <w:color w:val="auto"/>
                <w:szCs w:val="21"/>
                <w:lang w:val="en-US" w:eastAsia="zh-CN"/>
              </w:rPr>
              <w:t>限值</w:t>
            </w:r>
          </w:p>
        </w:tc>
      </w:tr>
      <w:tr w14:paraId="58159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34184424">
            <w:pPr>
              <w:adjustRightInd w:val="0"/>
              <w:snapToGrid w:val="0"/>
              <w:jc w:val="center"/>
              <w:rPr>
                <w:rFonts w:hint="default" w:ascii="Times New Roman" w:hAnsi="Times New Roman" w:cs="Times New Roman"/>
                <w:color w:val="auto"/>
                <w:szCs w:val="21"/>
                <w:lang w:eastAsia="zh-CN"/>
              </w:rPr>
            </w:pPr>
          </w:p>
        </w:tc>
        <w:tc>
          <w:tcPr>
            <w:tcW w:w="392" w:type="dxa"/>
            <w:vMerge w:val="continue"/>
            <w:noWrap w:val="0"/>
            <w:vAlign w:val="center"/>
          </w:tcPr>
          <w:p w14:paraId="5018DA32">
            <w:pPr>
              <w:pStyle w:val="95"/>
              <w:adjustRightInd w:val="0"/>
              <w:snapToGrid w:val="0"/>
              <w:contextualSpacing/>
              <w:rPr>
                <w:rFonts w:hint="default" w:ascii="Times New Roman" w:hAnsi="Times New Roman" w:cs="Times New Roman"/>
                <w:b w:val="0"/>
                <w:bCs w:val="0"/>
                <w:color w:val="auto"/>
                <w:szCs w:val="21"/>
                <w:lang w:val="en-US" w:eastAsia="zh-CN"/>
              </w:rPr>
            </w:pPr>
          </w:p>
        </w:tc>
        <w:tc>
          <w:tcPr>
            <w:tcW w:w="866" w:type="dxa"/>
            <w:vMerge w:val="restart"/>
            <w:noWrap w:val="0"/>
            <w:vAlign w:val="center"/>
          </w:tcPr>
          <w:p w14:paraId="6478E31C">
            <w:pPr>
              <w:pStyle w:val="95"/>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DA002</w:t>
            </w:r>
          </w:p>
        </w:tc>
        <w:tc>
          <w:tcPr>
            <w:tcW w:w="1373" w:type="dxa"/>
            <w:noWrap w:val="0"/>
            <w:vAlign w:val="center"/>
          </w:tcPr>
          <w:p w14:paraId="176A49AE">
            <w:pPr>
              <w:pStyle w:val="95"/>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非甲烷总烃</w:t>
            </w:r>
          </w:p>
        </w:tc>
        <w:tc>
          <w:tcPr>
            <w:tcW w:w="2446" w:type="dxa"/>
            <w:noWrap w:val="0"/>
            <w:vAlign w:val="center"/>
          </w:tcPr>
          <w:p w14:paraId="52CD4D99">
            <w:pPr>
              <w:pStyle w:val="95"/>
              <w:adjustRightInd w:val="0"/>
              <w:snapToGrid w:val="0"/>
              <w:contextualSpacing/>
              <w:rPr>
                <w:rFonts w:hint="eastAsia" w:cs="Times New Roman"/>
                <w:b w:val="0"/>
                <w:bCs w:val="0"/>
                <w:color w:val="auto"/>
                <w:szCs w:val="21"/>
                <w:lang w:val="en-US" w:eastAsia="zh-CN"/>
              </w:rPr>
            </w:pPr>
            <w:r>
              <w:rPr>
                <w:rFonts w:hint="eastAsia" w:cs="Times New Roman"/>
                <w:b w:val="0"/>
                <w:bCs w:val="0"/>
                <w:color w:val="auto"/>
                <w:szCs w:val="21"/>
                <w:lang w:val="en-US" w:eastAsia="zh-CN"/>
              </w:rPr>
              <w:t>固化廊道进出口设集气口，固化废气经收集进入二级活性炭吸附处理，由1根15米排气筒（DA003）高空排放。</w:t>
            </w:r>
          </w:p>
        </w:tc>
        <w:tc>
          <w:tcPr>
            <w:tcW w:w="2690" w:type="dxa"/>
            <w:noWrap w:val="0"/>
            <w:vAlign w:val="center"/>
          </w:tcPr>
          <w:p w14:paraId="475E8ECF">
            <w:pPr>
              <w:pStyle w:val="95"/>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color w:val="auto"/>
                <w:sz w:val="21"/>
                <w:szCs w:val="21"/>
                <w:lang w:val="en-US" w:eastAsia="zh-CN"/>
              </w:rPr>
              <w:t>《挥发性有机物排放控制标准》（DB61/T1061-2017）</w:t>
            </w:r>
            <w:r>
              <w:rPr>
                <w:rFonts w:hint="eastAsia" w:cs="Times New Roman"/>
                <w:b w:val="0"/>
                <w:bCs/>
                <w:color w:val="auto"/>
                <w:sz w:val="21"/>
                <w:szCs w:val="21"/>
                <w:lang w:val="en-US" w:eastAsia="zh-CN"/>
              </w:rPr>
              <w:t>（排放浓度为50</w:t>
            </w: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r>
              <w:rPr>
                <w:rFonts w:hint="eastAsia" w:cs="Times New Roman"/>
                <w:b w:val="0"/>
                <w:bCs/>
                <w:color w:val="auto"/>
                <w:sz w:val="21"/>
                <w:szCs w:val="21"/>
                <w:lang w:val="en-US" w:eastAsia="zh-CN"/>
              </w:rPr>
              <w:t>）</w:t>
            </w:r>
            <w:r>
              <w:rPr>
                <w:rFonts w:hint="default" w:ascii="Times New Roman" w:hAnsi="Times New Roman" w:cs="Times New Roman"/>
                <w:b w:val="0"/>
                <w:bCs/>
                <w:color w:val="auto"/>
                <w:sz w:val="21"/>
                <w:szCs w:val="21"/>
                <w:lang w:val="en-US" w:eastAsia="zh-CN"/>
              </w:rPr>
              <w:t>，同时需满足《重污染天气重点行业应急减排措施制定技术指南》（环办大气函</w:t>
            </w:r>
            <w:r>
              <w:rPr>
                <w:rFonts w:hint="eastAsia" w:cs="Times New Roman"/>
                <w:b w:val="0"/>
                <w:bCs/>
                <w:color w:val="auto"/>
                <w:sz w:val="21"/>
                <w:szCs w:val="21"/>
                <w:lang w:val="en-US" w:eastAsia="zh-CN"/>
              </w:rPr>
              <w:t>〔2020〕</w:t>
            </w:r>
            <w:r>
              <w:rPr>
                <w:rFonts w:hint="default" w:ascii="Times New Roman" w:hAnsi="Times New Roman" w:cs="Times New Roman"/>
                <w:b w:val="0"/>
                <w:bCs/>
                <w:color w:val="auto"/>
                <w:sz w:val="21"/>
                <w:szCs w:val="21"/>
                <w:lang w:val="en-US" w:eastAsia="zh-CN"/>
              </w:rPr>
              <w:t>340号）中工业涂装A级企业“排放限值”要求</w:t>
            </w:r>
            <w:r>
              <w:rPr>
                <w:rFonts w:hint="eastAsia" w:cs="Times New Roman"/>
                <w:b w:val="0"/>
                <w:bCs/>
                <w:color w:val="auto"/>
                <w:sz w:val="21"/>
                <w:szCs w:val="21"/>
                <w:lang w:val="en-US" w:eastAsia="zh-CN"/>
              </w:rPr>
              <w:t>（</w:t>
            </w:r>
            <w:r>
              <w:rPr>
                <w:rFonts w:hint="default" w:ascii="Times New Roman" w:hAnsi="Times New Roman" w:cs="Times New Roman"/>
                <w:b w:val="0"/>
                <w:bCs/>
                <w:color w:val="auto"/>
                <w:sz w:val="21"/>
                <w:szCs w:val="21"/>
                <w:lang w:val="en-US" w:eastAsia="zh-CN"/>
              </w:rPr>
              <w:t>20mg/m</w:t>
            </w:r>
            <w:r>
              <w:rPr>
                <w:rFonts w:hint="default" w:ascii="Times New Roman" w:hAnsi="Times New Roman" w:cs="Times New Roman"/>
                <w:b w:val="0"/>
                <w:bCs/>
                <w:color w:val="auto"/>
                <w:sz w:val="21"/>
                <w:szCs w:val="21"/>
                <w:vertAlign w:val="superscript"/>
                <w:lang w:val="en-US" w:eastAsia="zh-CN"/>
              </w:rPr>
              <w:t>3</w:t>
            </w:r>
            <w:r>
              <w:rPr>
                <w:rFonts w:hint="default" w:ascii="Times New Roman" w:hAnsi="Times New Roman" w:cs="Times New Roman"/>
                <w:b w:val="0"/>
                <w:bCs/>
                <w:color w:val="auto"/>
                <w:sz w:val="21"/>
                <w:szCs w:val="21"/>
                <w:lang w:val="en-US" w:eastAsia="zh-CN"/>
              </w:rPr>
              <w:t>—30mg/m</w:t>
            </w:r>
            <w:r>
              <w:rPr>
                <w:rFonts w:hint="default" w:ascii="Times New Roman" w:hAnsi="Times New Roman" w:cs="Times New Roman"/>
                <w:b w:val="0"/>
                <w:bCs/>
                <w:color w:val="auto"/>
                <w:sz w:val="21"/>
                <w:szCs w:val="21"/>
                <w:vertAlign w:val="superscript"/>
                <w:lang w:val="en-US" w:eastAsia="zh-CN"/>
              </w:rPr>
              <w:t>3</w:t>
            </w:r>
            <w:r>
              <w:rPr>
                <w:rFonts w:hint="eastAsia" w:cs="Times New Roman"/>
                <w:b w:val="0"/>
                <w:bCs/>
                <w:color w:val="auto"/>
                <w:sz w:val="21"/>
                <w:szCs w:val="21"/>
                <w:lang w:val="en-US" w:eastAsia="zh-CN"/>
              </w:rPr>
              <w:t>）</w:t>
            </w:r>
          </w:p>
        </w:tc>
      </w:tr>
      <w:tr w14:paraId="465BF7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54106098">
            <w:pPr>
              <w:adjustRightInd w:val="0"/>
              <w:snapToGrid w:val="0"/>
              <w:jc w:val="center"/>
              <w:rPr>
                <w:rFonts w:hint="default" w:ascii="Times New Roman" w:hAnsi="Times New Roman" w:cs="Times New Roman"/>
                <w:color w:val="auto"/>
                <w:szCs w:val="21"/>
                <w:lang w:eastAsia="zh-CN"/>
              </w:rPr>
            </w:pPr>
          </w:p>
        </w:tc>
        <w:tc>
          <w:tcPr>
            <w:tcW w:w="392" w:type="dxa"/>
            <w:vMerge w:val="continue"/>
            <w:noWrap w:val="0"/>
            <w:vAlign w:val="center"/>
          </w:tcPr>
          <w:p w14:paraId="44BDFA7E">
            <w:pPr>
              <w:pStyle w:val="95"/>
              <w:adjustRightInd w:val="0"/>
              <w:snapToGrid w:val="0"/>
              <w:contextualSpacing/>
              <w:rPr>
                <w:rFonts w:hint="default" w:ascii="Times New Roman" w:hAnsi="Times New Roman" w:cs="Times New Roman"/>
                <w:b w:val="0"/>
                <w:bCs w:val="0"/>
                <w:color w:val="auto"/>
                <w:szCs w:val="21"/>
                <w:lang w:val="en-US" w:eastAsia="zh-CN"/>
              </w:rPr>
            </w:pPr>
          </w:p>
        </w:tc>
        <w:tc>
          <w:tcPr>
            <w:tcW w:w="866" w:type="dxa"/>
            <w:vMerge w:val="continue"/>
            <w:noWrap w:val="0"/>
            <w:vAlign w:val="center"/>
          </w:tcPr>
          <w:p w14:paraId="7544A5DD">
            <w:pPr>
              <w:pStyle w:val="95"/>
              <w:adjustRightInd w:val="0"/>
              <w:snapToGrid w:val="0"/>
              <w:contextualSpacing/>
              <w:rPr>
                <w:rFonts w:hint="default" w:ascii="Times New Roman" w:hAnsi="Times New Roman" w:cs="Times New Roman"/>
                <w:b w:val="0"/>
                <w:bCs w:val="0"/>
                <w:color w:val="auto"/>
                <w:szCs w:val="21"/>
                <w:lang w:val="en-US" w:eastAsia="zh-CN"/>
              </w:rPr>
            </w:pPr>
          </w:p>
        </w:tc>
        <w:tc>
          <w:tcPr>
            <w:tcW w:w="1373" w:type="dxa"/>
            <w:noWrap w:val="0"/>
            <w:vAlign w:val="center"/>
          </w:tcPr>
          <w:p w14:paraId="1BC0214E">
            <w:pPr>
              <w:pStyle w:val="95"/>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颗粒物、二氧化硫、氮氧化物、林格曼黑度</w:t>
            </w:r>
          </w:p>
        </w:tc>
        <w:tc>
          <w:tcPr>
            <w:tcW w:w="2446" w:type="dxa"/>
            <w:noWrap w:val="0"/>
            <w:vAlign w:val="center"/>
          </w:tcPr>
          <w:p w14:paraId="624A3C94">
            <w:pPr>
              <w:pStyle w:val="95"/>
              <w:adjustRightInd w:val="0"/>
              <w:snapToGrid w:val="0"/>
              <w:contextualSpacing/>
              <w:rPr>
                <w:rFonts w:hint="eastAsia" w:cs="Times New Roman"/>
                <w:b w:val="0"/>
                <w:bCs w:val="0"/>
                <w:color w:val="auto"/>
                <w:szCs w:val="21"/>
                <w:lang w:val="en-US" w:eastAsia="zh-CN"/>
              </w:rPr>
            </w:pPr>
            <w:r>
              <w:rPr>
                <w:rFonts w:hint="eastAsia" w:cs="Times New Roman"/>
                <w:b w:val="0"/>
                <w:bCs w:val="0"/>
                <w:color w:val="auto"/>
                <w:szCs w:val="21"/>
                <w:lang w:val="en-US" w:eastAsia="zh-CN"/>
              </w:rPr>
              <w:t>天然气燃烧废气经低氮燃烧器处理后与固化废气经同一根15米排气筒（DA003）高空排放。</w:t>
            </w:r>
          </w:p>
        </w:tc>
        <w:tc>
          <w:tcPr>
            <w:tcW w:w="2690" w:type="dxa"/>
            <w:noWrap w:val="0"/>
            <w:vAlign w:val="center"/>
          </w:tcPr>
          <w:p w14:paraId="178F93A0">
            <w:pPr>
              <w:pStyle w:val="95"/>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《工业炉窑大气污染综合治理方案》（环大气</w:t>
            </w:r>
            <w:r>
              <w:rPr>
                <w:rFonts w:hint="eastAsia" w:cs="Times New Roman"/>
                <w:b w:val="0"/>
                <w:bCs w:val="0"/>
                <w:color w:val="auto"/>
                <w:szCs w:val="21"/>
                <w:lang w:val="en-US" w:eastAsia="zh-CN"/>
              </w:rPr>
              <w:t>〔2019〕56号</w:t>
            </w:r>
            <w:r>
              <w:rPr>
                <w:rFonts w:hint="default" w:ascii="Times New Roman" w:hAnsi="Times New Roman" w:cs="Times New Roman"/>
                <w:b w:val="0"/>
                <w:bCs w:val="0"/>
                <w:color w:val="auto"/>
                <w:szCs w:val="21"/>
                <w:lang w:val="en-US" w:eastAsia="zh-CN"/>
              </w:rPr>
              <w:t>）中相应管控要求（颗粒物排放浓度为30mg/m3，SO2排放浓度为200mg/m3，NOx排放浓度为300mg/m）</w:t>
            </w:r>
            <w:r>
              <w:rPr>
                <w:rFonts w:hint="eastAsia" w:cs="Times New Roman"/>
                <w:b w:val="0"/>
                <w:bCs w:val="0"/>
                <w:color w:val="auto"/>
                <w:szCs w:val="21"/>
                <w:lang w:val="en-US" w:eastAsia="zh-CN"/>
              </w:rPr>
              <w:t>，林格曼黑度满足《工业窑炉大气污染物排放标准》（GB9078-1996）表2二级排放标准限值要求（林格曼黑度≤1）</w:t>
            </w:r>
          </w:p>
        </w:tc>
      </w:tr>
      <w:tr w14:paraId="5EFC63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2BB34125">
            <w:pPr>
              <w:adjustRightInd w:val="0"/>
              <w:snapToGrid w:val="0"/>
              <w:jc w:val="center"/>
              <w:rPr>
                <w:rFonts w:hint="default" w:ascii="Times New Roman" w:hAnsi="Times New Roman" w:cs="Times New Roman"/>
                <w:color w:val="auto"/>
                <w:szCs w:val="21"/>
                <w:lang w:eastAsia="zh-CN"/>
              </w:rPr>
            </w:pPr>
          </w:p>
        </w:tc>
        <w:tc>
          <w:tcPr>
            <w:tcW w:w="392" w:type="dxa"/>
            <w:vMerge w:val="restart"/>
            <w:noWrap w:val="0"/>
            <w:vAlign w:val="center"/>
          </w:tcPr>
          <w:p w14:paraId="3F35D81C">
            <w:pPr>
              <w:pStyle w:val="95"/>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无组织废气</w:t>
            </w:r>
          </w:p>
        </w:tc>
        <w:tc>
          <w:tcPr>
            <w:tcW w:w="866" w:type="dxa"/>
            <w:noWrap w:val="0"/>
            <w:vAlign w:val="center"/>
          </w:tcPr>
          <w:p w14:paraId="5D3F918F">
            <w:pPr>
              <w:pStyle w:val="95"/>
              <w:adjustRightInd w:val="0"/>
              <w:snapToGrid w:val="0"/>
              <w:contextualSpacing/>
              <w:rPr>
                <w:rFonts w:hint="eastAsia" w:cs="Times New Roman"/>
                <w:b w:val="0"/>
                <w:bCs w:val="0"/>
                <w:color w:val="auto"/>
                <w:szCs w:val="21"/>
                <w:lang w:val="en-US" w:eastAsia="zh-CN"/>
              </w:rPr>
            </w:pPr>
            <w:r>
              <w:rPr>
                <w:rFonts w:hint="eastAsia" w:cs="Times New Roman"/>
                <w:b w:val="0"/>
                <w:bCs w:val="0"/>
                <w:color w:val="auto"/>
                <w:szCs w:val="21"/>
                <w:lang w:val="en-US" w:eastAsia="zh-CN"/>
              </w:rPr>
              <w:t>喷粉</w:t>
            </w:r>
          </w:p>
          <w:p w14:paraId="338C44A2">
            <w:pPr>
              <w:pStyle w:val="95"/>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废气</w:t>
            </w:r>
          </w:p>
        </w:tc>
        <w:tc>
          <w:tcPr>
            <w:tcW w:w="1373" w:type="dxa"/>
            <w:noWrap w:val="0"/>
            <w:vAlign w:val="center"/>
          </w:tcPr>
          <w:p w14:paraId="63DF6D32">
            <w:pPr>
              <w:pStyle w:val="95"/>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颗粒物</w:t>
            </w:r>
          </w:p>
        </w:tc>
        <w:tc>
          <w:tcPr>
            <w:tcW w:w="2446" w:type="dxa"/>
            <w:noWrap w:val="0"/>
            <w:vAlign w:val="center"/>
          </w:tcPr>
          <w:p w14:paraId="2027590C">
            <w:pPr>
              <w:pStyle w:val="95"/>
              <w:adjustRightInd w:val="0"/>
              <w:snapToGrid w:val="0"/>
              <w:contextualSpacing/>
              <w:rPr>
                <w:rFonts w:hint="default" w:cs="Times New Roman"/>
                <w:b w:val="0"/>
                <w:bCs w:val="0"/>
                <w:color w:val="auto"/>
                <w:szCs w:val="21"/>
                <w:lang w:val="en-US" w:eastAsia="zh-CN"/>
              </w:rPr>
            </w:pPr>
            <w:r>
              <w:rPr>
                <w:rFonts w:hint="eastAsia" w:cs="Times New Roman"/>
                <w:b w:val="0"/>
                <w:bCs w:val="0"/>
                <w:color w:val="auto"/>
                <w:szCs w:val="21"/>
                <w:lang w:val="en-US" w:eastAsia="zh-CN"/>
              </w:rPr>
              <w:t>喷粉废气设密闭喷房收集，将未被工件吸附的过量粉末吸入旋风除尘器，经分离器分离后再送至供粉箱进行喷涂，部分经 排气筒DA002高空排放。</w:t>
            </w:r>
          </w:p>
        </w:tc>
        <w:tc>
          <w:tcPr>
            <w:tcW w:w="2690" w:type="dxa"/>
            <w:noWrap w:val="0"/>
            <w:vAlign w:val="center"/>
          </w:tcPr>
          <w:p w14:paraId="3FC36E74">
            <w:pPr>
              <w:pStyle w:val="95"/>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《大气污染物</w:t>
            </w:r>
            <w:r>
              <w:rPr>
                <w:rFonts w:hint="eastAsia" w:ascii="Times New Roman" w:hAnsi="Times New Roman" w:cs="Times New Roman"/>
                <w:b w:val="0"/>
                <w:bCs w:val="0"/>
                <w:color w:val="auto"/>
                <w:szCs w:val="21"/>
                <w:lang w:val="en-US" w:eastAsia="zh-CN"/>
              </w:rPr>
              <w:t>综合</w:t>
            </w:r>
            <w:r>
              <w:rPr>
                <w:rFonts w:hint="default" w:ascii="Times New Roman" w:hAnsi="Times New Roman" w:cs="Times New Roman"/>
                <w:b w:val="0"/>
                <w:bCs w:val="0"/>
                <w:color w:val="auto"/>
                <w:szCs w:val="21"/>
                <w:lang w:val="en-US" w:eastAsia="zh-CN"/>
              </w:rPr>
              <w:t>排放标准》（GB</w:t>
            </w:r>
            <w:r>
              <w:rPr>
                <w:rFonts w:hint="eastAsia" w:ascii="Times New Roman" w:hAnsi="Times New Roman" w:cs="Times New Roman"/>
                <w:b w:val="0"/>
                <w:bCs w:val="0"/>
                <w:color w:val="auto"/>
                <w:szCs w:val="21"/>
                <w:lang w:val="en-US" w:eastAsia="zh-CN"/>
              </w:rPr>
              <w:t>16297</w:t>
            </w:r>
            <w:r>
              <w:rPr>
                <w:rFonts w:hint="default" w:ascii="Times New Roman" w:hAnsi="Times New Roman" w:cs="Times New Roman"/>
                <w:b w:val="0"/>
                <w:bCs w:val="0"/>
                <w:color w:val="auto"/>
                <w:szCs w:val="21"/>
                <w:lang w:val="en-US" w:eastAsia="zh-CN"/>
              </w:rPr>
              <w:t>-</w:t>
            </w:r>
            <w:r>
              <w:rPr>
                <w:rFonts w:hint="eastAsia" w:ascii="Times New Roman" w:hAnsi="Times New Roman" w:cs="Times New Roman"/>
                <w:b w:val="0"/>
                <w:bCs w:val="0"/>
                <w:color w:val="auto"/>
                <w:szCs w:val="21"/>
                <w:lang w:val="en-US" w:eastAsia="zh-CN"/>
              </w:rPr>
              <w:t>1996</w:t>
            </w:r>
            <w:r>
              <w:rPr>
                <w:rFonts w:hint="default" w:ascii="Times New Roman" w:hAnsi="Times New Roman" w:cs="Times New Roman"/>
                <w:b w:val="0"/>
                <w:bCs w:val="0"/>
                <w:color w:val="auto"/>
                <w:szCs w:val="21"/>
                <w:lang w:val="en-US" w:eastAsia="zh-CN"/>
              </w:rPr>
              <w:t>）表2相应标准</w:t>
            </w:r>
            <w:r>
              <w:rPr>
                <w:rFonts w:hint="eastAsia" w:cs="Times New Roman"/>
                <w:b w:val="0"/>
                <w:bCs w:val="0"/>
                <w:color w:val="auto"/>
                <w:szCs w:val="21"/>
                <w:lang w:val="en-US" w:eastAsia="zh-CN"/>
              </w:rPr>
              <w:t>限值</w:t>
            </w:r>
          </w:p>
        </w:tc>
      </w:tr>
      <w:tr w14:paraId="39393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7067E772">
            <w:pPr>
              <w:adjustRightInd w:val="0"/>
              <w:snapToGrid w:val="0"/>
              <w:jc w:val="center"/>
              <w:rPr>
                <w:rFonts w:hint="default" w:ascii="Times New Roman" w:hAnsi="Times New Roman" w:cs="Times New Roman"/>
                <w:color w:val="auto"/>
                <w:szCs w:val="21"/>
                <w:lang w:eastAsia="zh-CN"/>
              </w:rPr>
            </w:pPr>
          </w:p>
        </w:tc>
        <w:tc>
          <w:tcPr>
            <w:tcW w:w="392" w:type="dxa"/>
            <w:vMerge w:val="continue"/>
            <w:noWrap w:val="0"/>
            <w:vAlign w:val="center"/>
          </w:tcPr>
          <w:p w14:paraId="66A9E1CD">
            <w:pPr>
              <w:pStyle w:val="95"/>
              <w:adjustRightInd w:val="0"/>
              <w:snapToGrid w:val="0"/>
              <w:contextualSpacing/>
              <w:rPr>
                <w:rFonts w:hint="eastAsia" w:cs="Times New Roman"/>
                <w:b w:val="0"/>
                <w:bCs w:val="0"/>
                <w:color w:val="auto"/>
                <w:szCs w:val="21"/>
                <w:lang w:val="en-US" w:eastAsia="zh-CN"/>
              </w:rPr>
            </w:pPr>
          </w:p>
        </w:tc>
        <w:tc>
          <w:tcPr>
            <w:tcW w:w="866" w:type="dxa"/>
            <w:noWrap w:val="0"/>
            <w:vAlign w:val="center"/>
          </w:tcPr>
          <w:p w14:paraId="7870AF0C">
            <w:pPr>
              <w:pStyle w:val="95"/>
              <w:adjustRightInd w:val="0"/>
              <w:snapToGrid w:val="0"/>
              <w:contextualSpacing/>
              <w:rPr>
                <w:rFonts w:hint="default" w:cs="Times New Roman"/>
                <w:b w:val="0"/>
                <w:bCs w:val="0"/>
                <w:color w:val="auto"/>
                <w:szCs w:val="21"/>
                <w:lang w:val="en-US" w:eastAsia="zh-CN"/>
              </w:rPr>
            </w:pPr>
            <w:r>
              <w:rPr>
                <w:rFonts w:hint="eastAsia" w:cs="Times New Roman"/>
                <w:b w:val="0"/>
                <w:bCs w:val="0"/>
                <w:color w:val="auto"/>
                <w:szCs w:val="21"/>
                <w:lang w:val="en-US" w:eastAsia="zh-CN"/>
              </w:rPr>
              <w:t>焊接废气、切割</w:t>
            </w:r>
          </w:p>
        </w:tc>
        <w:tc>
          <w:tcPr>
            <w:tcW w:w="1373" w:type="dxa"/>
            <w:noWrap w:val="0"/>
            <w:vAlign w:val="center"/>
          </w:tcPr>
          <w:p w14:paraId="7BA5F2F0">
            <w:pPr>
              <w:pStyle w:val="95"/>
              <w:adjustRightInd w:val="0"/>
              <w:snapToGrid w:val="0"/>
              <w:contextualSpacing/>
              <w:rPr>
                <w:rFonts w:hint="default" w:cs="Times New Roman"/>
                <w:b w:val="0"/>
                <w:bCs w:val="0"/>
                <w:color w:val="auto"/>
                <w:szCs w:val="21"/>
                <w:lang w:val="en-US" w:eastAsia="zh-CN"/>
              </w:rPr>
            </w:pPr>
            <w:r>
              <w:rPr>
                <w:rFonts w:hint="eastAsia" w:cs="Times New Roman"/>
                <w:b w:val="0"/>
                <w:bCs w:val="0"/>
                <w:color w:val="auto"/>
                <w:szCs w:val="21"/>
                <w:lang w:val="en-US" w:eastAsia="zh-CN"/>
              </w:rPr>
              <w:t>颗粒物</w:t>
            </w:r>
          </w:p>
        </w:tc>
        <w:tc>
          <w:tcPr>
            <w:tcW w:w="2446" w:type="dxa"/>
            <w:noWrap w:val="0"/>
            <w:vAlign w:val="center"/>
          </w:tcPr>
          <w:p w14:paraId="02C21C70">
            <w:pPr>
              <w:pStyle w:val="95"/>
              <w:adjustRightInd w:val="0"/>
              <w:snapToGrid w:val="0"/>
              <w:contextualSpacing/>
              <w:rPr>
                <w:rFonts w:hint="eastAsia" w:cs="Times New Roman"/>
                <w:b w:val="0"/>
                <w:bCs w:val="0"/>
                <w:color w:val="auto"/>
                <w:szCs w:val="21"/>
                <w:lang w:val="en-US" w:eastAsia="zh-CN"/>
              </w:rPr>
            </w:pPr>
            <w:r>
              <w:rPr>
                <w:rFonts w:hint="eastAsia" w:cs="Times New Roman"/>
                <w:b w:val="0"/>
                <w:bCs w:val="0"/>
                <w:color w:val="auto"/>
                <w:szCs w:val="21"/>
                <w:lang w:val="en-US" w:eastAsia="zh-CN"/>
              </w:rPr>
              <w:t>焊接、切割工序未被收集的废气无组织排放</w:t>
            </w:r>
          </w:p>
        </w:tc>
        <w:tc>
          <w:tcPr>
            <w:tcW w:w="2690" w:type="dxa"/>
            <w:noWrap w:val="0"/>
            <w:vAlign w:val="center"/>
          </w:tcPr>
          <w:p w14:paraId="22F41987">
            <w:pPr>
              <w:pStyle w:val="95"/>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《大气污染物</w:t>
            </w:r>
            <w:r>
              <w:rPr>
                <w:rFonts w:hint="eastAsia" w:ascii="Times New Roman" w:hAnsi="Times New Roman" w:cs="Times New Roman"/>
                <w:b w:val="0"/>
                <w:bCs w:val="0"/>
                <w:color w:val="auto"/>
                <w:szCs w:val="21"/>
                <w:lang w:val="en-US" w:eastAsia="zh-CN"/>
              </w:rPr>
              <w:t>综合</w:t>
            </w:r>
            <w:r>
              <w:rPr>
                <w:rFonts w:hint="default" w:ascii="Times New Roman" w:hAnsi="Times New Roman" w:cs="Times New Roman"/>
                <w:b w:val="0"/>
                <w:bCs w:val="0"/>
                <w:color w:val="auto"/>
                <w:szCs w:val="21"/>
                <w:lang w:val="en-US" w:eastAsia="zh-CN"/>
              </w:rPr>
              <w:t>排放标准》（GB</w:t>
            </w:r>
            <w:r>
              <w:rPr>
                <w:rFonts w:hint="eastAsia" w:ascii="Times New Roman" w:hAnsi="Times New Roman" w:cs="Times New Roman"/>
                <w:b w:val="0"/>
                <w:bCs w:val="0"/>
                <w:color w:val="auto"/>
                <w:szCs w:val="21"/>
                <w:lang w:val="en-US" w:eastAsia="zh-CN"/>
              </w:rPr>
              <w:t>16297</w:t>
            </w:r>
            <w:r>
              <w:rPr>
                <w:rFonts w:hint="default" w:ascii="Times New Roman" w:hAnsi="Times New Roman" w:cs="Times New Roman"/>
                <w:b w:val="0"/>
                <w:bCs w:val="0"/>
                <w:color w:val="auto"/>
                <w:szCs w:val="21"/>
                <w:lang w:val="en-US" w:eastAsia="zh-CN"/>
              </w:rPr>
              <w:t>-</w:t>
            </w:r>
            <w:r>
              <w:rPr>
                <w:rFonts w:hint="eastAsia" w:ascii="Times New Roman" w:hAnsi="Times New Roman" w:cs="Times New Roman"/>
                <w:b w:val="0"/>
                <w:bCs w:val="0"/>
                <w:color w:val="auto"/>
                <w:szCs w:val="21"/>
                <w:lang w:val="en-US" w:eastAsia="zh-CN"/>
              </w:rPr>
              <w:t>1996</w:t>
            </w:r>
            <w:r>
              <w:rPr>
                <w:rFonts w:hint="default" w:ascii="Times New Roman" w:hAnsi="Times New Roman" w:cs="Times New Roman"/>
                <w:b w:val="0"/>
                <w:bCs w:val="0"/>
                <w:color w:val="auto"/>
                <w:szCs w:val="21"/>
                <w:lang w:val="en-US" w:eastAsia="zh-CN"/>
              </w:rPr>
              <w:t>）</w:t>
            </w:r>
          </w:p>
        </w:tc>
      </w:tr>
      <w:tr w14:paraId="045CA0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03FF3AC2">
            <w:pPr>
              <w:adjustRightInd w:val="0"/>
              <w:snapToGrid w:val="0"/>
              <w:jc w:val="center"/>
              <w:rPr>
                <w:rFonts w:hint="default" w:ascii="Times New Roman" w:hAnsi="Times New Roman" w:cs="Times New Roman"/>
                <w:color w:val="auto"/>
                <w:szCs w:val="21"/>
                <w:lang w:eastAsia="zh-CN"/>
              </w:rPr>
            </w:pPr>
          </w:p>
        </w:tc>
        <w:tc>
          <w:tcPr>
            <w:tcW w:w="392" w:type="dxa"/>
            <w:vMerge w:val="continue"/>
            <w:noWrap w:val="0"/>
            <w:vAlign w:val="center"/>
          </w:tcPr>
          <w:p w14:paraId="37E4CF3D">
            <w:pPr>
              <w:pStyle w:val="95"/>
              <w:adjustRightInd w:val="0"/>
              <w:snapToGrid w:val="0"/>
              <w:contextualSpacing/>
              <w:rPr>
                <w:rFonts w:hint="eastAsia" w:cs="Times New Roman"/>
                <w:b w:val="0"/>
                <w:bCs w:val="0"/>
                <w:color w:val="auto"/>
                <w:szCs w:val="21"/>
                <w:lang w:val="en-US" w:eastAsia="zh-CN"/>
              </w:rPr>
            </w:pPr>
          </w:p>
        </w:tc>
        <w:tc>
          <w:tcPr>
            <w:tcW w:w="866" w:type="dxa"/>
            <w:noWrap w:val="0"/>
            <w:vAlign w:val="center"/>
          </w:tcPr>
          <w:p w14:paraId="0550C8F0">
            <w:pPr>
              <w:pStyle w:val="95"/>
              <w:adjustRightInd w:val="0"/>
              <w:snapToGrid w:val="0"/>
              <w:contextualSpacing/>
              <w:rPr>
                <w:rFonts w:hint="eastAsia" w:cs="Times New Roman"/>
                <w:b w:val="0"/>
                <w:bCs w:val="0"/>
                <w:color w:val="auto"/>
                <w:szCs w:val="21"/>
                <w:lang w:val="en-US" w:eastAsia="zh-CN"/>
              </w:rPr>
            </w:pPr>
            <w:r>
              <w:rPr>
                <w:rFonts w:hint="eastAsia" w:cs="Times New Roman"/>
                <w:b w:val="0"/>
                <w:bCs w:val="0"/>
                <w:color w:val="auto"/>
                <w:szCs w:val="21"/>
                <w:lang w:val="en-US" w:eastAsia="zh-CN"/>
              </w:rPr>
              <w:t>固化</w:t>
            </w:r>
          </w:p>
          <w:p w14:paraId="098142EB">
            <w:pPr>
              <w:pStyle w:val="95"/>
              <w:adjustRightInd w:val="0"/>
              <w:snapToGrid w:val="0"/>
              <w:contextualSpacing/>
              <w:rPr>
                <w:rFonts w:hint="default" w:cs="Times New Roman"/>
                <w:b w:val="0"/>
                <w:bCs w:val="0"/>
                <w:color w:val="auto"/>
                <w:szCs w:val="21"/>
                <w:lang w:val="en-US" w:eastAsia="zh-CN"/>
              </w:rPr>
            </w:pPr>
            <w:r>
              <w:rPr>
                <w:rFonts w:hint="eastAsia" w:cs="Times New Roman"/>
                <w:b w:val="0"/>
                <w:bCs w:val="0"/>
                <w:color w:val="auto"/>
                <w:szCs w:val="21"/>
                <w:lang w:val="en-US" w:eastAsia="zh-CN"/>
              </w:rPr>
              <w:t>废气</w:t>
            </w:r>
          </w:p>
        </w:tc>
        <w:tc>
          <w:tcPr>
            <w:tcW w:w="1373" w:type="dxa"/>
            <w:noWrap w:val="0"/>
            <w:vAlign w:val="center"/>
          </w:tcPr>
          <w:p w14:paraId="141FD871">
            <w:pPr>
              <w:pStyle w:val="95"/>
              <w:adjustRightInd w:val="0"/>
              <w:snapToGrid w:val="0"/>
              <w:contextualSpacing/>
              <w:rPr>
                <w:rFonts w:hint="default" w:cs="Times New Roman"/>
                <w:b w:val="0"/>
                <w:bCs w:val="0"/>
                <w:color w:val="auto"/>
                <w:szCs w:val="21"/>
                <w:lang w:val="en-US" w:eastAsia="zh-CN"/>
              </w:rPr>
            </w:pPr>
            <w:r>
              <w:rPr>
                <w:rFonts w:hint="eastAsia" w:cs="Times New Roman"/>
                <w:b w:val="0"/>
                <w:bCs w:val="0"/>
                <w:color w:val="auto"/>
                <w:szCs w:val="21"/>
                <w:lang w:val="en-US" w:eastAsia="zh-CN"/>
              </w:rPr>
              <w:t>非甲烷总烃</w:t>
            </w:r>
          </w:p>
        </w:tc>
        <w:tc>
          <w:tcPr>
            <w:tcW w:w="2446" w:type="dxa"/>
            <w:noWrap w:val="0"/>
            <w:vAlign w:val="center"/>
          </w:tcPr>
          <w:p w14:paraId="56238DB7">
            <w:pPr>
              <w:pStyle w:val="95"/>
              <w:adjustRightInd w:val="0"/>
              <w:snapToGrid w:val="0"/>
              <w:contextualSpacing/>
              <w:rPr>
                <w:rFonts w:hint="default" w:cs="Times New Roman"/>
                <w:b w:val="0"/>
                <w:bCs w:val="0"/>
                <w:color w:val="auto"/>
                <w:szCs w:val="21"/>
                <w:lang w:val="en-US" w:eastAsia="zh-CN"/>
              </w:rPr>
            </w:pPr>
            <w:r>
              <w:rPr>
                <w:rFonts w:hint="eastAsia" w:cs="Times New Roman"/>
                <w:b w:val="0"/>
                <w:bCs w:val="0"/>
                <w:color w:val="auto"/>
                <w:szCs w:val="21"/>
                <w:lang w:val="en-US" w:eastAsia="zh-CN"/>
              </w:rPr>
              <w:t>固化未被收集的废气无组织排放</w:t>
            </w:r>
          </w:p>
        </w:tc>
        <w:tc>
          <w:tcPr>
            <w:tcW w:w="2690" w:type="dxa"/>
            <w:noWrap w:val="0"/>
            <w:vAlign w:val="center"/>
          </w:tcPr>
          <w:p w14:paraId="365FA994">
            <w:pPr>
              <w:pStyle w:val="95"/>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color w:val="auto"/>
                <w:sz w:val="21"/>
                <w:szCs w:val="21"/>
                <w:lang w:val="en-US" w:eastAsia="zh-CN"/>
              </w:rPr>
              <w:t>厂界：</w:t>
            </w:r>
            <w:r>
              <w:rPr>
                <w:rFonts w:hint="default" w:ascii="Times New Roman" w:hAnsi="Times New Roman" w:cs="Times New Roman"/>
                <w:b w:val="0"/>
                <w:bCs/>
                <w:color w:val="auto"/>
                <w:sz w:val="21"/>
                <w:szCs w:val="21"/>
                <w:lang w:val="en-US" w:eastAsia="zh-CN"/>
              </w:rPr>
              <w:t>《挥发性有机物排放控制标准》（DB61/T1061-2017）</w:t>
            </w:r>
            <w:r>
              <w:rPr>
                <w:rFonts w:hint="eastAsia" w:cs="Times New Roman"/>
                <w:b w:val="0"/>
                <w:bCs/>
                <w:color w:val="auto"/>
                <w:sz w:val="21"/>
                <w:szCs w:val="21"/>
                <w:lang w:val="en-US" w:eastAsia="zh-CN"/>
              </w:rPr>
              <w:t>（</w:t>
            </w:r>
            <w:r>
              <w:rPr>
                <w:rFonts w:hint="eastAsia" w:ascii="Times New Roman" w:hAnsi="Times New Roman" w:eastAsia="宋体" w:cs="Times New Roman"/>
                <w:color w:val="auto"/>
                <w:sz w:val="21"/>
                <w:szCs w:val="21"/>
                <w:lang w:val="en-US" w:eastAsia="zh-CN"/>
              </w:rPr>
              <w:t>排放浓度为</w:t>
            </w:r>
            <w:r>
              <w:rPr>
                <w:rFonts w:hint="eastAsia" w:cs="Times New Roman"/>
                <w:b w:val="0"/>
                <w:bCs/>
                <w:color w:val="auto"/>
                <w:sz w:val="21"/>
                <w:szCs w:val="21"/>
                <w:lang w:val="en-US" w:eastAsia="zh-CN"/>
              </w:rPr>
              <w:t>3mg/m</w:t>
            </w:r>
            <w:r>
              <w:rPr>
                <w:rFonts w:hint="eastAsia" w:cs="Times New Roman"/>
                <w:b w:val="0"/>
                <w:bCs/>
                <w:color w:val="auto"/>
                <w:sz w:val="21"/>
                <w:szCs w:val="21"/>
                <w:vertAlign w:val="superscript"/>
                <w:lang w:val="en-US" w:eastAsia="zh-CN"/>
              </w:rPr>
              <w:t>3</w:t>
            </w:r>
            <w:r>
              <w:rPr>
                <w:rFonts w:hint="eastAsia" w:cs="Times New Roman"/>
                <w:b w:val="0"/>
                <w:bCs/>
                <w:color w:val="auto"/>
                <w:sz w:val="21"/>
                <w:szCs w:val="21"/>
                <w:lang w:val="en-US" w:eastAsia="zh-CN"/>
              </w:rPr>
              <w:t>）；厂内：</w:t>
            </w:r>
            <w:r>
              <w:rPr>
                <w:rFonts w:hint="default" w:ascii="Times New Roman" w:hAnsi="Times New Roman" w:eastAsia="宋体" w:cs="Times New Roman"/>
                <w:color w:val="auto"/>
                <w:szCs w:val="21"/>
                <w:lang w:val="en-US" w:eastAsia="zh-CN"/>
              </w:rPr>
              <w:t>《挥发性有机物无组织排放控制标准》（GB37822-2019），同时需满足《重污染天气重点行业应急减排措施制定技术指南》（环办大气函</w:t>
            </w:r>
            <w:r>
              <w:rPr>
                <w:rFonts w:hint="eastAsia" w:cs="Times New Roman"/>
                <w:color w:val="auto"/>
                <w:szCs w:val="21"/>
                <w:lang w:val="en-US" w:eastAsia="zh-CN"/>
              </w:rPr>
              <w:t>〔2020〕</w:t>
            </w:r>
            <w:r>
              <w:rPr>
                <w:rFonts w:hint="default" w:ascii="Times New Roman" w:hAnsi="Times New Roman" w:eastAsia="宋体" w:cs="Times New Roman"/>
                <w:color w:val="auto"/>
                <w:szCs w:val="21"/>
                <w:lang w:val="en-US" w:eastAsia="zh-CN"/>
              </w:rPr>
              <w:t>340号</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中工业涂装A级企业“排放限值”要求（排放浓度为6mg/</w:t>
            </w:r>
            <w:r>
              <w:rPr>
                <w:rFonts w:hint="eastAsia" w:ascii="Times New Roman" w:hAnsi="Times New Roman" w:eastAsia="宋体" w:cs="Times New Roman"/>
                <w:color w:val="auto"/>
                <w:szCs w:val="21"/>
                <w:lang w:val="en-US" w:eastAsia="zh-CN"/>
              </w:rPr>
              <w:t>m³</w:t>
            </w:r>
            <w:r>
              <w:rPr>
                <w:rFonts w:hint="default" w:ascii="Times New Roman" w:hAnsi="Times New Roman" w:eastAsia="宋体" w:cs="Times New Roman"/>
                <w:color w:val="auto"/>
                <w:szCs w:val="21"/>
                <w:lang w:val="en-US" w:eastAsia="zh-CN"/>
              </w:rPr>
              <w:t>、任意一次浓度值不超过20mg/</w:t>
            </w:r>
            <w:r>
              <w:rPr>
                <w:rFonts w:hint="eastAsia" w:ascii="Times New Roman" w:hAnsi="Times New Roman" w:eastAsia="宋体" w:cs="Times New Roman"/>
                <w:color w:val="auto"/>
                <w:szCs w:val="21"/>
                <w:lang w:val="en-US" w:eastAsia="zh-CN"/>
              </w:rPr>
              <w:t>m³</w:t>
            </w:r>
            <w:r>
              <w:rPr>
                <w:rFonts w:hint="default" w:ascii="Times New Roman" w:hAnsi="Times New Roman" w:eastAsia="宋体" w:cs="Times New Roman"/>
                <w:color w:val="auto"/>
                <w:szCs w:val="21"/>
                <w:lang w:val="en-US" w:eastAsia="zh-CN"/>
              </w:rPr>
              <w:t>。）</w:t>
            </w:r>
          </w:p>
        </w:tc>
      </w:tr>
      <w:tr w14:paraId="4593D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6BBEC12C">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地表水环境</w:t>
            </w:r>
          </w:p>
        </w:tc>
        <w:tc>
          <w:tcPr>
            <w:tcW w:w="1258" w:type="dxa"/>
            <w:gridSpan w:val="2"/>
            <w:noWrap w:val="0"/>
            <w:vAlign w:val="center"/>
          </w:tcPr>
          <w:p w14:paraId="1884677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清洗废水</w:t>
            </w:r>
          </w:p>
        </w:tc>
        <w:tc>
          <w:tcPr>
            <w:tcW w:w="3819" w:type="dxa"/>
            <w:gridSpan w:val="2"/>
            <w:noWrap w:val="0"/>
            <w:vAlign w:val="center"/>
          </w:tcPr>
          <w:p w14:paraId="05B735F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经一体化污水处理设施处理后循环使用，不外排</w:t>
            </w:r>
          </w:p>
        </w:tc>
        <w:tc>
          <w:tcPr>
            <w:tcW w:w="2690" w:type="dxa"/>
            <w:noWrap w:val="0"/>
            <w:vAlign w:val="center"/>
          </w:tcPr>
          <w:p w14:paraId="1F155D5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水质</w:t>
            </w:r>
            <w:r>
              <w:rPr>
                <w:rFonts w:hint="eastAsia" w:cs="Times New Roman"/>
                <w:color w:val="auto"/>
                <w:kern w:val="2"/>
                <w:sz w:val="21"/>
                <w:szCs w:val="21"/>
                <w:lang w:val="en-US" w:eastAsia="zh-CN" w:bidi="ar-SA"/>
              </w:rPr>
              <w:t>需满足</w:t>
            </w:r>
            <w:r>
              <w:rPr>
                <w:rFonts w:hint="eastAsia" w:ascii="Times New Roman" w:hAnsi="Times New Roman" w:eastAsia="宋体" w:cs="Times New Roman"/>
                <w:color w:val="auto"/>
                <w:kern w:val="2"/>
                <w:sz w:val="21"/>
                <w:szCs w:val="21"/>
                <w:lang w:val="en-US" w:eastAsia="zh-CN" w:bidi="ar-SA"/>
              </w:rPr>
              <w:t>《城市污水再生利用 工业用水水质》（GB/T 19923-20</w:t>
            </w:r>
            <w:r>
              <w:rPr>
                <w:rFonts w:hint="eastAsia" w:cs="Times New Roman"/>
                <w:color w:val="auto"/>
                <w:kern w:val="2"/>
                <w:sz w:val="21"/>
                <w:szCs w:val="21"/>
                <w:lang w:val="en-US" w:eastAsia="zh-CN" w:bidi="ar-SA"/>
              </w:rPr>
              <w:t>24</w:t>
            </w:r>
            <w:r>
              <w:rPr>
                <w:rFonts w:hint="eastAsia" w:ascii="Times New Roman" w:hAnsi="Times New Roman" w:eastAsia="宋体" w:cs="Times New Roman"/>
                <w:color w:val="auto"/>
                <w:kern w:val="2"/>
                <w:sz w:val="21"/>
                <w:szCs w:val="21"/>
                <w:lang w:val="en-US" w:eastAsia="zh-CN" w:bidi="ar-SA"/>
              </w:rPr>
              <w:t>）表1中洗涤用水水质标准限值</w:t>
            </w:r>
          </w:p>
        </w:tc>
      </w:tr>
      <w:tr w14:paraId="2540B7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restart"/>
            <w:noWrap w:val="0"/>
            <w:vAlign w:val="center"/>
          </w:tcPr>
          <w:p w14:paraId="357CEA1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258" w:type="dxa"/>
            <w:gridSpan w:val="2"/>
            <w:noWrap w:val="0"/>
            <w:vAlign w:val="center"/>
          </w:tcPr>
          <w:p w14:paraId="658D88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抛丸机</w:t>
            </w:r>
          </w:p>
        </w:tc>
        <w:tc>
          <w:tcPr>
            <w:tcW w:w="3819" w:type="dxa"/>
            <w:gridSpan w:val="2"/>
            <w:vMerge w:val="restart"/>
            <w:noWrap w:val="0"/>
            <w:vAlign w:val="center"/>
          </w:tcPr>
          <w:p w14:paraId="77065A1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厂房墙体隔声</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加强设备润滑、</w:t>
            </w:r>
            <w:r>
              <w:rPr>
                <w:rFonts w:hint="default" w:ascii="Times New Roman" w:hAnsi="Times New Roman" w:cs="Times New Roman"/>
                <w:color w:val="auto"/>
                <w:szCs w:val="21"/>
              </w:rPr>
              <w:t>距离衰减等</w:t>
            </w:r>
            <w:r>
              <w:rPr>
                <w:rFonts w:hint="eastAsia" w:cs="Times New Roman"/>
                <w:color w:val="auto"/>
                <w:szCs w:val="21"/>
                <w:lang w:eastAsia="zh-CN"/>
              </w:rPr>
              <w:t>，</w:t>
            </w:r>
            <w:r>
              <w:rPr>
                <w:rFonts w:hint="eastAsia" w:cs="Times New Roman"/>
                <w:color w:val="auto"/>
                <w:szCs w:val="21"/>
                <w:lang w:val="en-US" w:eastAsia="zh-CN"/>
              </w:rPr>
              <w:t>风机设隔声罩</w:t>
            </w:r>
          </w:p>
        </w:tc>
        <w:tc>
          <w:tcPr>
            <w:tcW w:w="2690" w:type="dxa"/>
            <w:vMerge w:val="restart"/>
            <w:noWrap w:val="0"/>
            <w:vAlign w:val="center"/>
          </w:tcPr>
          <w:p w14:paraId="50C7E143">
            <w:pPr>
              <w:adjustRightInd w:val="0"/>
              <w:snapToGrid w:val="0"/>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cs="Times New Roman"/>
                <w:color w:val="auto"/>
              </w:rPr>
              <w:t>《工业企业厂界环境噪声排放标准》（GB12348-2008）</w:t>
            </w:r>
            <w:r>
              <w:rPr>
                <w:rFonts w:hint="eastAsia" w:cs="Times New Roman"/>
                <w:color w:val="auto"/>
                <w:lang w:val="en-US" w:eastAsia="zh-CN"/>
              </w:rPr>
              <w:t>3</w:t>
            </w:r>
            <w:r>
              <w:rPr>
                <w:rFonts w:hint="default" w:ascii="Times New Roman" w:hAnsi="Times New Roman" w:cs="Times New Roman"/>
                <w:color w:val="auto"/>
              </w:rPr>
              <w:t>类标准</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4类</w:t>
            </w:r>
            <w:r>
              <w:rPr>
                <w:rFonts w:hint="default" w:ascii="Times New Roman" w:hAnsi="Times New Roman" w:cs="Times New Roman"/>
                <w:color w:val="auto"/>
                <w:lang w:eastAsia="zh-CN"/>
              </w:rPr>
              <w:t>；</w:t>
            </w:r>
          </w:p>
        </w:tc>
      </w:tr>
      <w:tr w14:paraId="2E668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666BFF1C">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75B6A4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静电喷塑机</w:t>
            </w:r>
          </w:p>
        </w:tc>
        <w:tc>
          <w:tcPr>
            <w:tcW w:w="3819" w:type="dxa"/>
            <w:gridSpan w:val="2"/>
            <w:vMerge w:val="continue"/>
            <w:noWrap w:val="0"/>
            <w:vAlign w:val="center"/>
          </w:tcPr>
          <w:p w14:paraId="617B4DEE">
            <w:pPr>
              <w:adjustRightInd w:val="0"/>
              <w:snapToGrid w:val="0"/>
              <w:jc w:val="center"/>
              <w:rPr>
                <w:rFonts w:hint="default" w:ascii="Times New Roman" w:hAnsi="Times New Roman" w:cs="Times New Roman"/>
                <w:color w:val="auto"/>
              </w:rPr>
            </w:pPr>
          </w:p>
        </w:tc>
        <w:tc>
          <w:tcPr>
            <w:tcW w:w="2690" w:type="dxa"/>
            <w:vMerge w:val="continue"/>
            <w:noWrap w:val="0"/>
            <w:vAlign w:val="center"/>
          </w:tcPr>
          <w:p w14:paraId="68E191A8">
            <w:pPr>
              <w:adjustRightInd w:val="0"/>
              <w:snapToGrid w:val="0"/>
              <w:jc w:val="center"/>
              <w:rPr>
                <w:rFonts w:hint="default" w:ascii="Times New Roman" w:hAnsi="Times New Roman" w:cs="Times New Roman"/>
                <w:color w:val="auto"/>
              </w:rPr>
            </w:pPr>
          </w:p>
        </w:tc>
      </w:tr>
      <w:tr w14:paraId="223C19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7D4E0AE6">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0E53D5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空压机</w:t>
            </w:r>
          </w:p>
        </w:tc>
        <w:tc>
          <w:tcPr>
            <w:tcW w:w="3819" w:type="dxa"/>
            <w:gridSpan w:val="2"/>
            <w:vMerge w:val="continue"/>
            <w:noWrap w:val="0"/>
            <w:vAlign w:val="center"/>
          </w:tcPr>
          <w:p w14:paraId="42235097">
            <w:pPr>
              <w:adjustRightInd w:val="0"/>
              <w:snapToGrid w:val="0"/>
              <w:jc w:val="center"/>
              <w:rPr>
                <w:rFonts w:hint="default" w:ascii="Times New Roman" w:hAnsi="Times New Roman" w:cs="Times New Roman"/>
                <w:color w:val="auto"/>
              </w:rPr>
            </w:pPr>
          </w:p>
        </w:tc>
        <w:tc>
          <w:tcPr>
            <w:tcW w:w="2690" w:type="dxa"/>
            <w:vMerge w:val="continue"/>
            <w:noWrap w:val="0"/>
            <w:vAlign w:val="center"/>
          </w:tcPr>
          <w:p w14:paraId="76D56A7B">
            <w:pPr>
              <w:adjustRightInd w:val="0"/>
              <w:snapToGrid w:val="0"/>
              <w:jc w:val="center"/>
              <w:rPr>
                <w:rFonts w:hint="default" w:ascii="Times New Roman" w:hAnsi="Times New Roman" w:cs="Times New Roman"/>
                <w:color w:val="auto"/>
              </w:rPr>
            </w:pPr>
          </w:p>
        </w:tc>
      </w:tr>
      <w:tr w14:paraId="46E9D8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0033BC40">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5C369E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风机</w:t>
            </w:r>
          </w:p>
        </w:tc>
        <w:tc>
          <w:tcPr>
            <w:tcW w:w="3819" w:type="dxa"/>
            <w:gridSpan w:val="2"/>
            <w:vMerge w:val="continue"/>
            <w:noWrap w:val="0"/>
            <w:vAlign w:val="center"/>
          </w:tcPr>
          <w:p w14:paraId="02D1BFA6">
            <w:pPr>
              <w:adjustRightInd w:val="0"/>
              <w:snapToGrid w:val="0"/>
              <w:jc w:val="center"/>
              <w:rPr>
                <w:rFonts w:hint="default" w:ascii="Times New Roman" w:hAnsi="Times New Roman" w:eastAsia="宋体" w:cs="Times New Roman"/>
                <w:color w:val="auto"/>
                <w:lang w:eastAsia="zh-CN"/>
              </w:rPr>
            </w:pPr>
          </w:p>
        </w:tc>
        <w:tc>
          <w:tcPr>
            <w:tcW w:w="2690" w:type="dxa"/>
            <w:vMerge w:val="continue"/>
            <w:noWrap w:val="0"/>
            <w:vAlign w:val="center"/>
          </w:tcPr>
          <w:p w14:paraId="7BBC423B">
            <w:pPr>
              <w:adjustRightInd w:val="0"/>
              <w:snapToGrid w:val="0"/>
              <w:jc w:val="center"/>
              <w:rPr>
                <w:rFonts w:hint="default" w:ascii="Times New Roman" w:hAnsi="Times New Roman" w:cs="Times New Roman"/>
                <w:color w:val="auto"/>
              </w:rPr>
            </w:pPr>
          </w:p>
        </w:tc>
      </w:tr>
      <w:tr w14:paraId="627569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4313F275">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0B15C4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污水处理设施</w:t>
            </w:r>
          </w:p>
        </w:tc>
        <w:tc>
          <w:tcPr>
            <w:tcW w:w="3819" w:type="dxa"/>
            <w:gridSpan w:val="2"/>
            <w:vMerge w:val="continue"/>
            <w:noWrap w:val="0"/>
            <w:vAlign w:val="center"/>
          </w:tcPr>
          <w:p w14:paraId="296598F0">
            <w:pPr>
              <w:adjustRightInd w:val="0"/>
              <w:snapToGrid w:val="0"/>
              <w:jc w:val="center"/>
              <w:rPr>
                <w:rFonts w:hint="default" w:ascii="Times New Roman" w:hAnsi="Times New Roman" w:cs="Times New Roman"/>
                <w:color w:val="auto"/>
                <w:lang w:eastAsia="zh-CN"/>
              </w:rPr>
            </w:pPr>
          </w:p>
        </w:tc>
        <w:tc>
          <w:tcPr>
            <w:tcW w:w="2690" w:type="dxa"/>
            <w:vMerge w:val="continue"/>
            <w:noWrap w:val="0"/>
            <w:vAlign w:val="center"/>
          </w:tcPr>
          <w:p w14:paraId="339B1A4E">
            <w:pPr>
              <w:adjustRightInd w:val="0"/>
              <w:snapToGrid w:val="0"/>
              <w:jc w:val="center"/>
              <w:rPr>
                <w:rFonts w:hint="default" w:ascii="Times New Roman" w:hAnsi="Times New Roman" w:cs="Times New Roman"/>
                <w:color w:val="auto"/>
              </w:rPr>
            </w:pPr>
          </w:p>
        </w:tc>
      </w:tr>
      <w:tr w14:paraId="792909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restart"/>
            <w:noWrap w:val="0"/>
            <w:vAlign w:val="center"/>
          </w:tcPr>
          <w:p w14:paraId="0642460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1258" w:type="dxa"/>
            <w:gridSpan w:val="2"/>
            <w:noWrap w:val="0"/>
            <w:vAlign w:val="center"/>
          </w:tcPr>
          <w:p w14:paraId="27C0B0BC">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废边角料、金属屑</w:t>
            </w:r>
          </w:p>
        </w:tc>
        <w:tc>
          <w:tcPr>
            <w:tcW w:w="6509" w:type="dxa"/>
            <w:gridSpan w:val="3"/>
            <w:vMerge w:val="restart"/>
            <w:noWrap w:val="0"/>
            <w:vAlign w:val="center"/>
          </w:tcPr>
          <w:p w14:paraId="7041FAA8">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暂存一般固废暂区（</w:t>
            </w:r>
            <w:r>
              <w:rPr>
                <w:rFonts w:hint="eastAsia" w:cs="Times New Roman"/>
                <w:color w:val="auto"/>
                <w:szCs w:val="21"/>
                <w:lang w:val="en-US" w:eastAsia="zh-CN"/>
              </w:rPr>
              <w:t>2</w:t>
            </w:r>
            <w:r>
              <w:rPr>
                <w:rFonts w:hint="eastAsia" w:ascii="Times New Roman" w:hAnsi="Times New Roman" w:eastAsia="宋体" w:cs="Times New Roman"/>
                <w:color w:val="auto"/>
                <w:szCs w:val="21"/>
                <w:lang w:val="en-US" w:eastAsia="zh-CN"/>
              </w:rPr>
              <w:t>0㎡）后外售相关物资回收部门综合利用</w:t>
            </w:r>
          </w:p>
        </w:tc>
      </w:tr>
      <w:tr w14:paraId="0B19CE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4374A2E4">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3B5488A3">
            <w:pPr>
              <w:adjustRightInd w:val="0"/>
              <w:snapToGrid w:val="0"/>
              <w:jc w:val="center"/>
              <w:rPr>
                <w:rFonts w:hint="default" w:ascii="Times New Roman" w:hAnsi="Times New Roman" w:cs="Times New Roman"/>
                <w:color w:val="auto"/>
                <w:szCs w:val="21"/>
                <w:lang w:eastAsia="zh-CN"/>
              </w:rPr>
            </w:pPr>
            <w:r>
              <w:rPr>
                <w:rFonts w:hint="eastAsia" w:ascii="Times New Roman" w:hAnsi="Times New Roman" w:cs="Times New Roman"/>
                <w:color w:val="auto"/>
                <w:szCs w:val="21"/>
                <w:lang w:eastAsia="zh-CN"/>
              </w:rPr>
              <w:t>废钢丸</w:t>
            </w:r>
          </w:p>
        </w:tc>
        <w:tc>
          <w:tcPr>
            <w:tcW w:w="6509" w:type="dxa"/>
            <w:gridSpan w:val="3"/>
            <w:vMerge w:val="continue"/>
            <w:noWrap w:val="0"/>
            <w:vAlign w:val="center"/>
          </w:tcPr>
          <w:p w14:paraId="432F5D61">
            <w:pPr>
              <w:adjustRightInd w:val="0"/>
              <w:snapToGrid w:val="0"/>
              <w:jc w:val="center"/>
              <w:rPr>
                <w:rFonts w:hint="default" w:ascii="Times New Roman" w:hAnsi="Times New Roman" w:eastAsia="宋体" w:cs="Times New Roman"/>
                <w:color w:val="auto"/>
                <w:szCs w:val="21"/>
                <w:lang w:val="en-US" w:eastAsia="zh-CN"/>
              </w:rPr>
            </w:pPr>
          </w:p>
        </w:tc>
      </w:tr>
      <w:tr w14:paraId="3C85E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37848D74">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3C5628AB">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收尘灰</w:t>
            </w:r>
          </w:p>
        </w:tc>
        <w:tc>
          <w:tcPr>
            <w:tcW w:w="6509" w:type="dxa"/>
            <w:gridSpan w:val="3"/>
            <w:vMerge w:val="continue"/>
            <w:noWrap w:val="0"/>
            <w:vAlign w:val="center"/>
          </w:tcPr>
          <w:p w14:paraId="0F4F74D6">
            <w:pPr>
              <w:adjustRightInd w:val="0"/>
              <w:snapToGrid w:val="0"/>
              <w:jc w:val="center"/>
              <w:rPr>
                <w:rFonts w:hint="default" w:ascii="Times New Roman" w:hAnsi="Times New Roman" w:eastAsia="宋体" w:cs="Times New Roman"/>
                <w:color w:val="auto"/>
                <w:szCs w:val="21"/>
                <w:lang w:val="en-US" w:eastAsia="zh-CN"/>
              </w:rPr>
            </w:pPr>
          </w:p>
        </w:tc>
      </w:tr>
      <w:tr w14:paraId="65CFE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0C0451C7">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266EFFEE">
            <w:pPr>
              <w:adjustRightInd w:val="0"/>
              <w:snapToGrid w:val="0"/>
              <w:jc w:val="center"/>
              <w:rPr>
                <w:rFonts w:hint="default" w:ascii="Times New Roman" w:hAnsi="Times New Roman" w:cs="Times New Roman"/>
                <w:color w:val="auto"/>
                <w:szCs w:val="21"/>
                <w:lang w:eastAsia="zh-CN"/>
              </w:rPr>
            </w:pPr>
            <w:r>
              <w:rPr>
                <w:rFonts w:hint="eastAsia" w:cs="Times New Roman"/>
                <w:color w:val="auto"/>
                <w:szCs w:val="21"/>
                <w:lang w:val="en-US" w:eastAsia="zh-CN"/>
              </w:rPr>
              <w:t>废粉</w:t>
            </w:r>
          </w:p>
        </w:tc>
        <w:tc>
          <w:tcPr>
            <w:tcW w:w="6509" w:type="dxa"/>
            <w:gridSpan w:val="3"/>
            <w:vMerge w:val="continue"/>
            <w:noWrap w:val="0"/>
            <w:vAlign w:val="center"/>
          </w:tcPr>
          <w:p w14:paraId="29873F57">
            <w:pPr>
              <w:adjustRightInd w:val="0"/>
              <w:snapToGrid w:val="0"/>
              <w:jc w:val="center"/>
              <w:rPr>
                <w:rFonts w:hint="default" w:ascii="Times New Roman" w:hAnsi="Times New Roman" w:eastAsia="宋体" w:cs="Times New Roman"/>
                <w:color w:val="auto"/>
                <w:szCs w:val="21"/>
                <w:lang w:val="en-US" w:eastAsia="zh-CN"/>
              </w:rPr>
            </w:pPr>
          </w:p>
        </w:tc>
      </w:tr>
      <w:tr w14:paraId="442047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554BDE09">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40CAB475">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废石英砂</w:t>
            </w:r>
          </w:p>
        </w:tc>
        <w:tc>
          <w:tcPr>
            <w:tcW w:w="6509" w:type="dxa"/>
            <w:gridSpan w:val="3"/>
            <w:vMerge w:val="continue"/>
            <w:noWrap w:val="0"/>
            <w:vAlign w:val="center"/>
          </w:tcPr>
          <w:p w14:paraId="3D87B6B7">
            <w:pPr>
              <w:adjustRightInd w:val="0"/>
              <w:snapToGrid w:val="0"/>
              <w:jc w:val="center"/>
              <w:rPr>
                <w:rFonts w:hint="default" w:ascii="Times New Roman" w:hAnsi="Times New Roman" w:eastAsia="宋体" w:cs="Times New Roman"/>
                <w:color w:val="auto"/>
                <w:szCs w:val="21"/>
                <w:lang w:val="en-US" w:eastAsia="zh-CN"/>
              </w:rPr>
            </w:pPr>
          </w:p>
        </w:tc>
      </w:tr>
      <w:tr w14:paraId="55E05A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6642554A">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549CD6DE">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废</w:t>
            </w:r>
            <w:r>
              <w:rPr>
                <w:rFonts w:hint="eastAsia" w:cs="Times New Roman"/>
                <w:color w:val="auto"/>
                <w:szCs w:val="21"/>
                <w:lang w:val="en-US" w:eastAsia="zh-CN"/>
              </w:rPr>
              <w:t>液压油</w:t>
            </w:r>
          </w:p>
        </w:tc>
        <w:tc>
          <w:tcPr>
            <w:tcW w:w="6509" w:type="dxa"/>
            <w:gridSpan w:val="3"/>
            <w:vMerge w:val="restart"/>
            <w:noWrap w:val="0"/>
            <w:vAlign w:val="center"/>
          </w:tcPr>
          <w:p w14:paraId="2C371CC5">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收集至</w:t>
            </w:r>
            <w:r>
              <w:rPr>
                <w:rFonts w:hint="eastAsia" w:cs="Times New Roman"/>
                <w:color w:val="auto"/>
                <w:szCs w:val="21"/>
                <w:lang w:eastAsia="zh-CN"/>
              </w:rPr>
              <w:t>危废贮存库</w:t>
            </w:r>
            <w:r>
              <w:rPr>
                <w:rFonts w:hint="eastAsia" w:ascii="Times New Roman" w:hAnsi="Times New Roman" w:cs="Times New Roman"/>
                <w:color w:val="auto"/>
                <w:szCs w:val="21"/>
                <w:lang w:eastAsia="zh-CN"/>
              </w:rPr>
              <w:t>（</w:t>
            </w:r>
            <w:r>
              <w:rPr>
                <w:rFonts w:hint="eastAsia" w:cs="Times New Roman"/>
                <w:color w:val="auto"/>
                <w:szCs w:val="21"/>
                <w:lang w:val="en-US" w:eastAsia="zh-CN"/>
              </w:rPr>
              <w:t>12</w:t>
            </w:r>
            <w:r>
              <w:rPr>
                <w:rFonts w:hint="eastAsia" w:ascii="Times New Roman" w:hAnsi="Times New Roman" w:cs="Times New Roman"/>
                <w:color w:val="auto"/>
                <w:szCs w:val="21"/>
                <w:lang w:val="en-US" w:eastAsia="zh-CN"/>
              </w:rPr>
              <w:t>㎡</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lang w:eastAsia="zh-CN"/>
              </w:rPr>
              <w:t>分类存放后交资质单位清运处置</w:t>
            </w:r>
          </w:p>
        </w:tc>
      </w:tr>
      <w:tr w14:paraId="799C4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7D3EBD33">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71DC81B1">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污泥</w:t>
            </w:r>
          </w:p>
        </w:tc>
        <w:tc>
          <w:tcPr>
            <w:tcW w:w="6509" w:type="dxa"/>
            <w:gridSpan w:val="3"/>
            <w:vMerge w:val="continue"/>
            <w:noWrap w:val="0"/>
            <w:vAlign w:val="center"/>
          </w:tcPr>
          <w:p w14:paraId="66E532A0">
            <w:pPr>
              <w:adjustRightInd w:val="0"/>
              <w:snapToGrid w:val="0"/>
              <w:jc w:val="center"/>
              <w:rPr>
                <w:rFonts w:hint="default" w:ascii="Times New Roman" w:hAnsi="Times New Roman" w:cs="Times New Roman"/>
                <w:color w:val="auto"/>
                <w:szCs w:val="21"/>
                <w:lang w:eastAsia="zh-CN"/>
              </w:rPr>
            </w:pPr>
          </w:p>
        </w:tc>
      </w:tr>
      <w:tr w14:paraId="13976A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6F19C097">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566EF941">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废滤袋、超滤膜</w:t>
            </w:r>
          </w:p>
        </w:tc>
        <w:tc>
          <w:tcPr>
            <w:tcW w:w="6509" w:type="dxa"/>
            <w:gridSpan w:val="3"/>
            <w:vMerge w:val="continue"/>
            <w:noWrap w:val="0"/>
            <w:vAlign w:val="center"/>
          </w:tcPr>
          <w:p w14:paraId="446E67AE">
            <w:pPr>
              <w:adjustRightInd w:val="0"/>
              <w:snapToGrid w:val="0"/>
              <w:jc w:val="center"/>
              <w:rPr>
                <w:rFonts w:hint="default" w:ascii="Times New Roman" w:hAnsi="Times New Roman" w:cs="Times New Roman"/>
                <w:color w:val="auto"/>
                <w:szCs w:val="21"/>
                <w:lang w:eastAsia="zh-CN"/>
              </w:rPr>
            </w:pPr>
          </w:p>
        </w:tc>
      </w:tr>
      <w:tr w14:paraId="2C469D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17A698FE">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2ED82120">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废槽液</w:t>
            </w:r>
          </w:p>
        </w:tc>
        <w:tc>
          <w:tcPr>
            <w:tcW w:w="6509" w:type="dxa"/>
            <w:gridSpan w:val="3"/>
            <w:vMerge w:val="continue"/>
            <w:noWrap w:val="0"/>
            <w:vAlign w:val="center"/>
          </w:tcPr>
          <w:p w14:paraId="37048B9B">
            <w:pPr>
              <w:adjustRightInd w:val="0"/>
              <w:snapToGrid w:val="0"/>
              <w:jc w:val="center"/>
              <w:rPr>
                <w:rFonts w:hint="default" w:ascii="Times New Roman" w:hAnsi="Times New Roman" w:cs="Times New Roman"/>
                <w:color w:val="auto"/>
                <w:szCs w:val="21"/>
                <w:lang w:eastAsia="zh-CN"/>
              </w:rPr>
            </w:pPr>
          </w:p>
        </w:tc>
      </w:tr>
      <w:tr w14:paraId="01ECD0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06FEB88F">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5DB9A4F6">
            <w:pPr>
              <w:adjustRightInd w:val="0"/>
              <w:snapToGrid w:val="0"/>
              <w:jc w:val="center"/>
              <w:rPr>
                <w:rFonts w:hint="default" w:ascii="Times New Roman" w:hAnsi="Times New Roman" w:cs="Times New Roman"/>
                <w:color w:val="auto"/>
                <w:szCs w:val="21"/>
                <w:lang w:eastAsia="zh-CN"/>
              </w:rPr>
            </w:pPr>
            <w:r>
              <w:rPr>
                <w:rFonts w:hint="eastAsia" w:cs="Times New Roman"/>
                <w:color w:val="auto"/>
                <w:szCs w:val="21"/>
                <w:lang w:val="en-US" w:eastAsia="zh-CN"/>
              </w:rPr>
              <w:t>浓水</w:t>
            </w:r>
          </w:p>
        </w:tc>
        <w:tc>
          <w:tcPr>
            <w:tcW w:w="6509" w:type="dxa"/>
            <w:gridSpan w:val="3"/>
            <w:vMerge w:val="continue"/>
            <w:noWrap w:val="0"/>
            <w:vAlign w:val="center"/>
          </w:tcPr>
          <w:p w14:paraId="10A9BCF6">
            <w:pPr>
              <w:adjustRightInd w:val="0"/>
              <w:snapToGrid w:val="0"/>
              <w:jc w:val="center"/>
              <w:rPr>
                <w:rFonts w:hint="default" w:ascii="Times New Roman" w:hAnsi="Times New Roman" w:cs="Times New Roman"/>
                <w:color w:val="auto"/>
                <w:szCs w:val="21"/>
                <w:lang w:eastAsia="zh-CN"/>
              </w:rPr>
            </w:pPr>
          </w:p>
        </w:tc>
      </w:tr>
      <w:tr w14:paraId="5722EE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6A40CA33">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0D9CFF06">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废含油抹布手套</w:t>
            </w:r>
          </w:p>
        </w:tc>
        <w:tc>
          <w:tcPr>
            <w:tcW w:w="6509" w:type="dxa"/>
            <w:gridSpan w:val="3"/>
            <w:vMerge w:val="continue"/>
            <w:noWrap w:val="0"/>
            <w:vAlign w:val="center"/>
          </w:tcPr>
          <w:p w14:paraId="467C6FB3">
            <w:pPr>
              <w:adjustRightInd w:val="0"/>
              <w:snapToGrid w:val="0"/>
              <w:jc w:val="center"/>
              <w:rPr>
                <w:rFonts w:hint="default" w:ascii="Times New Roman" w:hAnsi="Times New Roman" w:cs="Times New Roman"/>
                <w:color w:val="auto"/>
                <w:szCs w:val="21"/>
              </w:rPr>
            </w:pPr>
          </w:p>
        </w:tc>
      </w:tr>
      <w:tr w14:paraId="7C63D6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2C5C1052">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5FC46D22">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废油桶</w:t>
            </w:r>
          </w:p>
        </w:tc>
        <w:tc>
          <w:tcPr>
            <w:tcW w:w="6509" w:type="dxa"/>
            <w:gridSpan w:val="3"/>
            <w:vMerge w:val="continue"/>
            <w:noWrap w:val="0"/>
            <w:vAlign w:val="center"/>
          </w:tcPr>
          <w:p w14:paraId="21F6C749">
            <w:pPr>
              <w:adjustRightInd w:val="0"/>
              <w:snapToGrid w:val="0"/>
              <w:jc w:val="center"/>
              <w:rPr>
                <w:rFonts w:hint="default" w:ascii="Times New Roman" w:hAnsi="Times New Roman" w:cs="Times New Roman"/>
                <w:color w:val="auto"/>
                <w:szCs w:val="21"/>
              </w:rPr>
            </w:pPr>
          </w:p>
        </w:tc>
      </w:tr>
      <w:tr w14:paraId="157358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3D9598D2">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227BD801">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废</w:t>
            </w:r>
            <w:r>
              <w:rPr>
                <w:rFonts w:hint="eastAsia" w:cs="Times New Roman"/>
                <w:color w:val="auto"/>
                <w:szCs w:val="21"/>
                <w:lang w:val="en-US" w:eastAsia="zh-CN"/>
              </w:rPr>
              <w:t>活性炭</w:t>
            </w:r>
          </w:p>
        </w:tc>
        <w:tc>
          <w:tcPr>
            <w:tcW w:w="6509" w:type="dxa"/>
            <w:gridSpan w:val="3"/>
            <w:vMerge w:val="continue"/>
            <w:noWrap w:val="0"/>
            <w:vAlign w:val="center"/>
          </w:tcPr>
          <w:p w14:paraId="27CC329A">
            <w:pPr>
              <w:adjustRightInd w:val="0"/>
              <w:snapToGrid w:val="0"/>
              <w:jc w:val="center"/>
              <w:rPr>
                <w:rFonts w:hint="default" w:ascii="Times New Roman" w:hAnsi="Times New Roman" w:eastAsia="宋体" w:cs="Times New Roman"/>
                <w:color w:val="auto"/>
                <w:szCs w:val="21"/>
                <w:lang w:eastAsia="zh-CN"/>
              </w:rPr>
            </w:pPr>
          </w:p>
        </w:tc>
      </w:tr>
      <w:tr w14:paraId="2C009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4EB5EBAA">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2A6E9511">
            <w:pPr>
              <w:adjustRightInd w:val="0"/>
              <w:snapToGrid w:val="0"/>
              <w:jc w:val="center"/>
              <w:rPr>
                <w:rFonts w:hint="default" w:ascii="Times New Roman" w:hAnsi="Times New Roman" w:cs="Times New Roman"/>
                <w:color w:val="auto"/>
                <w:szCs w:val="21"/>
                <w:lang w:eastAsia="zh-CN"/>
              </w:rPr>
            </w:pPr>
            <w:r>
              <w:rPr>
                <w:rFonts w:hint="eastAsia" w:cs="Times New Roman"/>
                <w:color w:val="auto"/>
                <w:szCs w:val="21"/>
                <w:lang w:val="en-US" w:eastAsia="zh-CN"/>
              </w:rPr>
              <w:t>污泥</w:t>
            </w:r>
          </w:p>
        </w:tc>
        <w:tc>
          <w:tcPr>
            <w:tcW w:w="6509" w:type="dxa"/>
            <w:gridSpan w:val="3"/>
            <w:vMerge w:val="continue"/>
            <w:noWrap w:val="0"/>
            <w:vAlign w:val="center"/>
          </w:tcPr>
          <w:p w14:paraId="6343B7A4">
            <w:pPr>
              <w:adjustRightInd w:val="0"/>
              <w:snapToGrid w:val="0"/>
              <w:jc w:val="center"/>
              <w:rPr>
                <w:rFonts w:hint="default" w:ascii="Times New Roman" w:hAnsi="Times New Roman" w:eastAsia="宋体" w:cs="Times New Roman"/>
                <w:color w:val="auto"/>
                <w:szCs w:val="21"/>
                <w:lang w:eastAsia="zh-CN"/>
              </w:rPr>
            </w:pPr>
          </w:p>
        </w:tc>
      </w:tr>
      <w:tr w14:paraId="5C943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10E9C07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土壤及地下水污染防治措施</w:t>
            </w:r>
          </w:p>
        </w:tc>
        <w:tc>
          <w:tcPr>
            <w:tcW w:w="7767" w:type="dxa"/>
            <w:gridSpan w:val="5"/>
            <w:noWrap w:val="0"/>
            <w:vAlign w:val="center"/>
          </w:tcPr>
          <w:p w14:paraId="5E7AE32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对</w:t>
            </w:r>
            <w:r>
              <w:rPr>
                <w:rFonts w:hint="eastAsia" w:cs="Times New Roman"/>
                <w:color w:val="auto"/>
                <w:szCs w:val="21"/>
                <w:lang w:eastAsia="zh-CN"/>
              </w:rPr>
              <w:t>危废贮存库</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仓库</w:t>
            </w:r>
            <w:r>
              <w:rPr>
                <w:rFonts w:hint="default" w:ascii="Times New Roman" w:hAnsi="Times New Roman" w:cs="Times New Roman"/>
                <w:color w:val="auto"/>
                <w:szCs w:val="21"/>
              </w:rPr>
              <w:t>等</w:t>
            </w:r>
            <w:r>
              <w:rPr>
                <w:rFonts w:hint="default" w:ascii="Times New Roman" w:hAnsi="Times New Roman" w:cs="Times New Roman"/>
                <w:color w:val="auto"/>
                <w:szCs w:val="21"/>
                <w:lang w:eastAsia="zh-CN"/>
              </w:rPr>
              <w:t>区域</w:t>
            </w:r>
            <w:r>
              <w:rPr>
                <w:rFonts w:hint="default" w:ascii="Times New Roman" w:hAnsi="Times New Roman" w:cs="Times New Roman"/>
                <w:color w:val="auto"/>
                <w:szCs w:val="21"/>
              </w:rPr>
              <w:t>均采取重点防腐防渗措施；定期维护设备；加强固体废物管理，及时清运，委托处置</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避免大量堆积</w:t>
            </w:r>
          </w:p>
        </w:tc>
      </w:tr>
      <w:tr w14:paraId="68323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3175949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7767" w:type="dxa"/>
            <w:gridSpan w:val="5"/>
            <w:noWrap w:val="0"/>
            <w:vAlign w:val="center"/>
          </w:tcPr>
          <w:p w14:paraId="13F69325">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lang w:val="en-US" w:eastAsia="zh-CN"/>
              </w:rPr>
              <w:t>/</w:t>
            </w:r>
          </w:p>
        </w:tc>
      </w:tr>
      <w:tr w14:paraId="7D0F48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2223AD83">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14:paraId="0001E657">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7767" w:type="dxa"/>
            <w:gridSpan w:val="5"/>
            <w:noWrap w:val="0"/>
            <w:vAlign w:val="center"/>
          </w:tcPr>
          <w:p w14:paraId="447C11FC">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对</w:t>
            </w:r>
            <w:r>
              <w:rPr>
                <w:rFonts w:hint="eastAsia" w:ascii="Times New Roman" w:hAnsi="Times New Roman" w:cs="Times New Roman"/>
                <w:color w:val="auto"/>
                <w:szCs w:val="21"/>
                <w:lang w:eastAsia="zh-CN"/>
              </w:rPr>
              <w:t>矿物油、氧气瓶</w:t>
            </w:r>
            <w:r>
              <w:rPr>
                <w:rFonts w:hint="default" w:ascii="Times New Roman" w:hAnsi="Times New Roman" w:cs="Times New Roman"/>
                <w:color w:val="auto"/>
                <w:szCs w:val="21"/>
              </w:rPr>
              <w:t>通过加强管理，安全操作并在贮存、运输、消防设施、</w:t>
            </w:r>
            <w:r>
              <w:rPr>
                <w:rFonts w:hint="eastAsia" w:ascii="Times New Roman" w:hAnsi="Times New Roman" w:cs="Times New Roman"/>
                <w:color w:val="auto"/>
                <w:szCs w:val="21"/>
                <w:lang w:eastAsia="zh-CN"/>
              </w:rPr>
              <w:t>泄漏</w:t>
            </w:r>
            <w:r>
              <w:rPr>
                <w:rFonts w:hint="default" w:ascii="Times New Roman" w:hAnsi="Times New Roman" w:cs="Times New Roman"/>
                <w:color w:val="auto"/>
                <w:szCs w:val="21"/>
              </w:rPr>
              <w:t>后的处置措施和环境风险应急等方面采取相应措施</w:t>
            </w:r>
          </w:p>
        </w:tc>
      </w:tr>
      <w:tr w14:paraId="49099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5498B552">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14:paraId="51787E89">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管理要求</w:t>
            </w:r>
          </w:p>
        </w:tc>
        <w:tc>
          <w:tcPr>
            <w:tcW w:w="7767" w:type="dxa"/>
            <w:gridSpan w:val="5"/>
            <w:noWrap w:val="0"/>
            <w:vAlign w:val="center"/>
          </w:tcPr>
          <w:p w14:paraId="1D56F48B">
            <w:pPr>
              <w:adjustRightInd w:val="0"/>
              <w:snapToGrid w:val="0"/>
              <w:spacing w:line="360" w:lineRule="auto"/>
              <w:ind w:firstLine="422" w:firstLineChars="20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1.环境管理</w:t>
            </w:r>
          </w:p>
          <w:p w14:paraId="556F9985">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本项目的污染物排放水平与厂区环境管理水平密切相关，因此在采取环境保护工程措施和生态保护措施的同时，必须加强环境管理。 </w:t>
            </w:r>
          </w:p>
          <w:p w14:paraId="7F8B75F2">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（1）</w:t>
            </w:r>
            <w:r>
              <w:rPr>
                <w:rFonts w:hint="default" w:ascii="Times New Roman" w:hAnsi="Times New Roman" w:cs="Times New Roman"/>
                <w:color w:val="auto"/>
                <w:sz w:val="21"/>
                <w:szCs w:val="21"/>
              </w:rPr>
              <w:t xml:space="preserve">按照自行监测方案开展自行监测。 </w:t>
            </w:r>
          </w:p>
          <w:p w14:paraId="0ED4C498">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（2）</w:t>
            </w:r>
            <w:r>
              <w:rPr>
                <w:rFonts w:hint="default" w:ascii="Times New Roman" w:hAnsi="Times New Roman" w:cs="Times New Roman"/>
                <w:color w:val="auto"/>
                <w:sz w:val="21"/>
                <w:szCs w:val="21"/>
              </w:rPr>
              <w:t xml:space="preserve">定期检查各设备运行情况，杜绝事故发生。 </w:t>
            </w:r>
          </w:p>
          <w:p w14:paraId="7845AE0A">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（3）</w:t>
            </w:r>
            <w:r>
              <w:rPr>
                <w:rFonts w:hint="default" w:ascii="Times New Roman" w:hAnsi="Times New Roman" w:cs="Times New Roman"/>
                <w:color w:val="auto"/>
                <w:sz w:val="21"/>
                <w:szCs w:val="21"/>
              </w:rPr>
              <w:t>做好环境管理台账记录，主要内容包括加工信息、原辅材料使用情况、污染防治设施运行记录、监测数据等。</w:t>
            </w:r>
          </w:p>
          <w:p w14:paraId="13F73A66">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（4）</w:t>
            </w:r>
            <w:r>
              <w:rPr>
                <w:rFonts w:hint="default" w:ascii="Times New Roman" w:hAnsi="Times New Roman" w:cs="Times New Roman"/>
                <w:color w:val="auto"/>
                <w:sz w:val="21"/>
                <w:szCs w:val="21"/>
              </w:rPr>
              <w:t>定期在国家排污许可证管理信息平台填报信息，编制排污许可证执行报告，及时报送有核发权的环境保护主管部门并公开。</w:t>
            </w:r>
          </w:p>
          <w:p w14:paraId="6A9DE8D6">
            <w:pPr>
              <w:adjustRightInd w:val="0"/>
              <w:snapToGrid w:val="0"/>
              <w:spacing w:line="360" w:lineRule="auto"/>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根据《排污单位污染物排放口监测点位设置技术规范》（HJ1405-2024）中对废气排放口监测点位、工作平台等要求进行建设。</w:t>
            </w:r>
          </w:p>
          <w:p w14:paraId="6C60C57A">
            <w:pPr>
              <w:adjustRightInd w:val="0"/>
              <w:snapToGrid w:val="0"/>
              <w:spacing w:line="360" w:lineRule="auto"/>
              <w:ind w:firstLine="422" w:firstLineChars="20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2.环境保护图形标志</w:t>
            </w:r>
          </w:p>
          <w:p w14:paraId="2ABAFB76">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按照《危险废物识别标志设置技术规范》（HJ1276—2022）及《环境保护图形标志 固体废物贮存（处置）场》（GB15562.2—1995）（2023修改单）对现有危废贮存库各种标志进行规范设置。</w:t>
            </w:r>
          </w:p>
          <w:p w14:paraId="6DA58469">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5-1</w:t>
            </w:r>
            <w:r>
              <w:rPr>
                <w:rFonts w:hint="default" w:ascii="Times New Roman" w:hAnsi="Times New Roman" w:cs="Times New Roman"/>
                <w:b/>
                <w:bCs/>
                <w:color w:val="auto"/>
                <w:sz w:val="21"/>
                <w:szCs w:val="21"/>
              </w:rPr>
              <w:t xml:space="preserve">  环境保护图形符号一览表</w:t>
            </w:r>
          </w:p>
          <w:tbl>
            <w:tblPr>
              <w:tblStyle w:val="30"/>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2865"/>
              <w:gridCol w:w="2982"/>
            </w:tblGrid>
            <w:tr w14:paraId="2CA8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pct"/>
                  <w:noWrap w:val="0"/>
                  <w:vAlign w:val="center"/>
                </w:tcPr>
                <w:p w14:paraId="07F421B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图形标志</w:t>
                  </w:r>
                </w:p>
              </w:tc>
              <w:tc>
                <w:tcPr>
                  <w:tcW w:w="1900" w:type="pct"/>
                  <w:noWrap w:val="0"/>
                  <w:vAlign w:val="center"/>
                </w:tcPr>
                <w:p w14:paraId="6558137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图形代表意义</w:t>
                  </w:r>
                </w:p>
              </w:tc>
              <w:tc>
                <w:tcPr>
                  <w:tcW w:w="1978" w:type="pct"/>
                  <w:noWrap w:val="0"/>
                  <w:vAlign w:val="center"/>
                </w:tcPr>
                <w:p w14:paraId="1D670D6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符号简介</w:t>
                  </w:r>
                </w:p>
              </w:tc>
            </w:tr>
            <w:tr w14:paraId="72C2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120" w:type="pct"/>
                  <w:shd w:val="clear" w:color="auto" w:fill="auto"/>
                  <w:noWrap w:val="0"/>
                  <w:vAlign w:val="center"/>
                </w:tcPr>
                <w:p w14:paraId="67CE7566">
                  <w:pPr>
                    <w:pStyle w:val="126"/>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0"/>
                      <w:sz w:val="21"/>
                      <w:szCs w:val="21"/>
                      <w:lang w:val="en-US" w:eastAsia="zh-CN" w:bidi="ar-SA"/>
                    </w:rPr>
                  </w:pPr>
                  <w:r>
                    <w:rPr>
                      <w:rFonts w:hint="default" w:ascii="Times New Roman" w:hAnsi="Times New Roman" w:cs="Times New Roman" w:eastAsiaTheme="minorEastAsia"/>
                      <w:color w:val="auto"/>
                      <w:sz w:val="24"/>
                      <w:szCs w:val="24"/>
                    </w:rPr>
                    <w:drawing>
                      <wp:anchor distT="0" distB="0" distL="0" distR="0" simplePos="0" relativeHeight="251661312" behindDoc="1" locked="0" layoutInCell="1" allowOverlap="1">
                        <wp:simplePos x="0" y="0"/>
                        <wp:positionH relativeFrom="column">
                          <wp:posOffset>74930</wp:posOffset>
                        </wp:positionH>
                        <wp:positionV relativeFrom="paragraph">
                          <wp:posOffset>18415</wp:posOffset>
                        </wp:positionV>
                        <wp:extent cx="744220" cy="755650"/>
                        <wp:effectExtent l="0" t="0" r="17780" b="6350"/>
                        <wp:wrapNone/>
                        <wp:docPr id="132"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7.jpeg"/>
                                <pic:cNvPicPr>
                                  <a:picLocks noChangeAspect="1"/>
                                </pic:cNvPicPr>
                              </pic:nvPicPr>
                              <pic:blipFill>
                                <a:blip r:embed="rId21" cstate="print"/>
                                <a:stretch>
                                  <a:fillRect/>
                                </a:stretch>
                              </pic:blipFill>
                              <pic:spPr>
                                <a:xfrm>
                                  <a:off x="0" y="0"/>
                                  <a:ext cx="744220" cy="755650"/>
                                </a:xfrm>
                                <a:prstGeom prst="rect">
                                  <a:avLst/>
                                </a:prstGeom>
                              </pic:spPr>
                            </pic:pic>
                          </a:graphicData>
                        </a:graphic>
                      </wp:anchor>
                    </w:drawing>
                  </w:r>
                </w:p>
              </w:tc>
              <w:tc>
                <w:tcPr>
                  <w:tcW w:w="1900" w:type="pct"/>
                  <w:shd w:val="clear" w:color="auto" w:fill="auto"/>
                  <w:noWrap w:val="0"/>
                  <w:vAlign w:val="center"/>
                </w:tcPr>
                <w:p w14:paraId="4D1234D5">
                  <w:pPr>
                    <w:pStyle w:val="126"/>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0"/>
                      <w:sz w:val="21"/>
                      <w:szCs w:val="21"/>
                      <w:lang w:val="en-US" w:eastAsia="en-US" w:bidi="ar-SA"/>
                    </w:rPr>
                  </w:pPr>
                  <w:r>
                    <w:rPr>
                      <w:rFonts w:hint="default" w:ascii="Times New Roman" w:hAnsi="Times New Roman" w:cs="Times New Roman" w:eastAsiaTheme="minorEastAsia"/>
                      <w:color w:val="auto"/>
                      <w:sz w:val="21"/>
                      <w:szCs w:val="21"/>
                    </w:rPr>
                    <w:t>标志名称：废气排放口国标代码：GB15562.1-1995</w:t>
                  </w:r>
                </w:p>
              </w:tc>
              <w:tc>
                <w:tcPr>
                  <w:tcW w:w="1978" w:type="pct"/>
                  <w:shd w:val="clear" w:color="auto" w:fill="auto"/>
                  <w:noWrap w:val="0"/>
                  <w:vAlign w:val="center"/>
                </w:tcPr>
                <w:p w14:paraId="264B3867">
                  <w:pPr>
                    <w:pStyle w:val="126"/>
                    <w:pageBreakBefore w:val="0"/>
                    <w:kinsoku/>
                    <w:wordWrap/>
                    <w:overflowPunct/>
                    <w:topLinePunct w:val="0"/>
                    <w:autoSpaceDE/>
                    <w:autoSpaceDN/>
                    <w:bidi w:val="0"/>
                    <w:adjustRightInd/>
                    <w:snapToGrid/>
                    <w:spacing w:line="240" w:lineRule="auto"/>
                    <w:ind w:right="34" w:rightChars="0"/>
                    <w:jc w:val="center"/>
                    <w:textAlignment w:val="auto"/>
                    <w:rPr>
                      <w:rFonts w:hint="default" w:ascii="Times New Roman" w:hAnsi="Times New Roman" w:eastAsia="Times New Roman" w:cs="Times New Roman"/>
                      <w:color w:val="auto"/>
                      <w:kern w:val="0"/>
                      <w:sz w:val="21"/>
                      <w:szCs w:val="21"/>
                      <w:lang w:val="en-US" w:eastAsia="en-US" w:bidi="ar-SA"/>
                    </w:rPr>
                  </w:pPr>
                  <w:r>
                    <w:rPr>
                      <w:rFonts w:hint="default" w:ascii="Times New Roman" w:hAnsi="Times New Roman" w:cs="Times New Roman" w:eastAsiaTheme="minorEastAsia"/>
                      <w:color w:val="auto"/>
                      <w:sz w:val="21"/>
                      <w:szCs w:val="21"/>
                    </w:rPr>
                    <w:t>提示图形符号废气排放口表示废气向大气环境排放</w:t>
                  </w:r>
                </w:p>
              </w:tc>
            </w:tr>
            <w:tr w14:paraId="66BD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1120" w:type="pct"/>
                  <w:noWrap w:val="0"/>
                  <w:vAlign w:val="center"/>
                </w:tcPr>
                <w:p w14:paraId="438C3FF7">
                  <w:pP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drawing>
                      <wp:anchor distT="0" distB="0" distL="114300" distR="114300" simplePos="0" relativeHeight="251659264" behindDoc="0" locked="0" layoutInCell="1" allowOverlap="1">
                        <wp:simplePos x="0" y="0"/>
                        <wp:positionH relativeFrom="column">
                          <wp:posOffset>66040</wp:posOffset>
                        </wp:positionH>
                        <wp:positionV relativeFrom="paragraph">
                          <wp:posOffset>19685</wp:posOffset>
                        </wp:positionV>
                        <wp:extent cx="706120" cy="558800"/>
                        <wp:effectExtent l="0" t="0" r="17780" b="12700"/>
                        <wp:wrapNone/>
                        <wp:docPr id="11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6"/>
                                <pic:cNvPicPr>
                                  <a:picLocks noChangeAspect="1"/>
                                </pic:cNvPicPr>
                              </pic:nvPicPr>
                              <pic:blipFill>
                                <a:blip r:embed="rId22"/>
                                <a:stretch>
                                  <a:fillRect/>
                                </a:stretch>
                              </pic:blipFill>
                              <pic:spPr>
                                <a:xfrm>
                                  <a:off x="0" y="0"/>
                                  <a:ext cx="706120" cy="558800"/>
                                </a:xfrm>
                                <a:prstGeom prst="rect">
                                  <a:avLst/>
                                </a:prstGeom>
                                <a:noFill/>
                                <a:ln>
                                  <a:noFill/>
                                </a:ln>
                              </pic:spPr>
                            </pic:pic>
                          </a:graphicData>
                        </a:graphic>
                      </wp:anchor>
                    </w:drawing>
                  </w:r>
                </w:p>
              </w:tc>
              <w:tc>
                <w:tcPr>
                  <w:tcW w:w="1900" w:type="pct"/>
                  <w:noWrap w:val="0"/>
                  <w:vAlign w:val="center"/>
                </w:tcPr>
                <w:p w14:paraId="064B7D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标志名称：噪声排放源</w:t>
                  </w:r>
                </w:p>
                <w:p w14:paraId="4C0FBC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国标代码：GB15562.1-1995</w:t>
                  </w:r>
                </w:p>
              </w:tc>
              <w:tc>
                <w:tcPr>
                  <w:tcW w:w="1978" w:type="pct"/>
                  <w:noWrap w:val="0"/>
                  <w:vAlign w:val="center"/>
                </w:tcPr>
                <w:p w14:paraId="089E45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提示图形符号噪声排放源标识噪声向外环境排放</w:t>
                  </w:r>
                </w:p>
              </w:tc>
            </w:tr>
            <w:tr w14:paraId="1A79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1120" w:type="pct"/>
                  <w:shd w:val="clear" w:color="auto" w:fill="auto"/>
                  <w:noWrap w:val="0"/>
                  <w:vAlign w:val="center"/>
                </w:tcPr>
                <w:p w14:paraId="07B0A3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p w14:paraId="7B3DE9E0">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drawing>
                      <wp:anchor distT="0" distB="0" distL="114300" distR="114300" simplePos="0" relativeHeight="251660288" behindDoc="0" locked="0" layoutInCell="1" allowOverlap="1">
                        <wp:simplePos x="0" y="0"/>
                        <wp:positionH relativeFrom="column">
                          <wp:posOffset>56515</wp:posOffset>
                        </wp:positionH>
                        <wp:positionV relativeFrom="paragraph">
                          <wp:posOffset>8255</wp:posOffset>
                        </wp:positionV>
                        <wp:extent cx="744855" cy="526415"/>
                        <wp:effectExtent l="0" t="0" r="17145" b="6985"/>
                        <wp:wrapNone/>
                        <wp:docPr id="9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7"/>
                                <pic:cNvPicPr>
                                  <a:picLocks noChangeAspect="1"/>
                                </pic:cNvPicPr>
                              </pic:nvPicPr>
                              <pic:blipFill>
                                <a:blip r:embed="rId23"/>
                                <a:stretch>
                                  <a:fillRect/>
                                </a:stretch>
                              </pic:blipFill>
                              <pic:spPr>
                                <a:xfrm>
                                  <a:off x="0" y="0"/>
                                  <a:ext cx="744855" cy="526415"/>
                                </a:xfrm>
                                <a:prstGeom prst="rect">
                                  <a:avLst/>
                                </a:prstGeom>
                                <a:noFill/>
                                <a:ln>
                                  <a:noFill/>
                                </a:ln>
                              </pic:spPr>
                            </pic:pic>
                          </a:graphicData>
                        </a:graphic>
                      </wp:anchor>
                    </w:drawing>
                  </w:r>
                </w:p>
                <w:p w14:paraId="2F25AB3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900" w:type="pct"/>
                  <w:shd w:val="clear" w:color="auto" w:fill="auto"/>
                  <w:noWrap w:val="0"/>
                  <w:vAlign w:val="center"/>
                </w:tcPr>
                <w:p w14:paraId="4C88D4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标志名称：固体废物提示</w:t>
                  </w:r>
                </w:p>
                <w:p w14:paraId="26A0AB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国标代码：GB15562.1-1995</w:t>
                  </w:r>
                </w:p>
              </w:tc>
              <w:tc>
                <w:tcPr>
                  <w:tcW w:w="1978" w:type="pct"/>
                  <w:shd w:val="clear" w:color="auto" w:fill="auto"/>
                  <w:noWrap w:val="0"/>
                  <w:vAlign w:val="center"/>
                </w:tcPr>
                <w:p w14:paraId="3DE7E4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固体废物提示</w:t>
                  </w:r>
                </w:p>
              </w:tc>
            </w:tr>
            <w:tr w14:paraId="4CB7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noWrap w:val="0"/>
                  <w:vAlign w:val="center"/>
                </w:tcPr>
                <w:p w14:paraId="00FE9A4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rPr>
                    <w:drawing>
                      <wp:inline distT="0" distB="0" distL="114300" distR="114300">
                        <wp:extent cx="873125" cy="544195"/>
                        <wp:effectExtent l="0" t="0" r="3175" b="8255"/>
                        <wp:docPr id="1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
                                <pic:cNvPicPr>
                                  <a:picLocks noChangeAspect="1"/>
                                </pic:cNvPicPr>
                              </pic:nvPicPr>
                              <pic:blipFill>
                                <a:blip r:embed="rId24"/>
                                <a:stretch>
                                  <a:fillRect/>
                                </a:stretch>
                              </pic:blipFill>
                              <pic:spPr>
                                <a:xfrm>
                                  <a:off x="0" y="0"/>
                                  <a:ext cx="873125" cy="544195"/>
                                </a:xfrm>
                                <a:prstGeom prst="rect">
                                  <a:avLst/>
                                </a:prstGeom>
                                <a:noFill/>
                                <a:ln>
                                  <a:noFill/>
                                </a:ln>
                              </pic:spPr>
                            </pic:pic>
                          </a:graphicData>
                        </a:graphic>
                      </wp:inline>
                    </w:drawing>
                  </w:r>
                </w:p>
              </w:tc>
              <w:tc>
                <w:tcPr>
                  <w:tcW w:w="1900" w:type="pct"/>
                  <w:noWrap w:val="0"/>
                  <w:vAlign w:val="center"/>
                </w:tcPr>
                <w:p w14:paraId="4A4668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标志名称：危险废物</w:t>
                  </w:r>
                </w:p>
                <w:p w14:paraId="1836DE1A">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国标代码：</w:t>
                  </w:r>
                  <w:r>
                    <w:rPr>
                      <w:rFonts w:hint="default" w:ascii="Times New Roman" w:hAnsi="Times New Roman" w:eastAsia="宋体" w:cs="Times New Roman"/>
                      <w:color w:val="auto"/>
                      <w:sz w:val="21"/>
                      <w:szCs w:val="21"/>
                      <w:lang w:val="en-US" w:eastAsia="zh-CN"/>
                    </w:rPr>
                    <w:t>《危险废物识别标志设置技术规范》（HJ1276-2022）</w:t>
                  </w:r>
                </w:p>
              </w:tc>
              <w:tc>
                <w:tcPr>
                  <w:tcW w:w="1978" w:type="pct"/>
                  <w:noWrap w:val="0"/>
                  <w:vAlign w:val="center"/>
                </w:tcPr>
                <w:p w14:paraId="62781308">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表示危险废物贮存、处置场</w:t>
                  </w:r>
                </w:p>
              </w:tc>
            </w:tr>
          </w:tbl>
          <w:p w14:paraId="127C403E">
            <w:pPr>
              <w:adjustRightInd w:val="0"/>
              <w:snapToGrid w:val="0"/>
              <w:spacing w:line="360" w:lineRule="auto"/>
              <w:ind w:firstLine="422" w:firstLineChars="200"/>
              <w:jc w:val="left"/>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3.例行监测计划</w:t>
            </w:r>
          </w:p>
          <w:p w14:paraId="1919FED5">
            <w:pPr>
              <w:adjustRightInd w:val="0"/>
              <w:snapToGrid w:val="0"/>
              <w:spacing w:line="360" w:lineRule="auto"/>
              <w:ind w:firstLine="420" w:firstLineChars="200"/>
              <w:jc w:val="left"/>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监测工作可委托有资质单位完成，具体监测计划详见表4-</w:t>
            </w:r>
            <w:r>
              <w:rPr>
                <w:rFonts w:hint="eastAsia" w:ascii="Times New Roman" w:hAnsi="Times New Roman" w:cs="Times New Roman"/>
                <w:b w:val="0"/>
                <w:bCs w:val="0"/>
                <w:color w:val="auto"/>
                <w:sz w:val="21"/>
                <w:szCs w:val="21"/>
                <w:highlight w:val="none"/>
                <w:lang w:val="en-US" w:eastAsia="zh-CN"/>
              </w:rPr>
              <w:t>6</w:t>
            </w:r>
            <w:r>
              <w:rPr>
                <w:rFonts w:hint="default" w:ascii="Times New Roman" w:hAnsi="Times New Roman" w:cs="Times New Roman"/>
                <w:b w:val="0"/>
                <w:bCs w:val="0"/>
                <w:color w:val="auto"/>
                <w:sz w:val="21"/>
                <w:szCs w:val="21"/>
                <w:highlight w:val="none"/>
                <w:lang w:val="en-US" w:eastAsia="zh-CN"/>
              </w:rPr>
              <w:t>、4-</w:t>
            </w:r>
            <w:r>
              <w:rPr>
                <w:rFonts w:hint="eastAsia" w:ascii="Times New Roman" w:hAnsi="Times New Roman" w:cs="Times New Roman"/>
                <w:b w:val="0"/>
                <w:bCs w:val="0"/>
                <w:color w:val="auto"/>
                <w:sz w:val="21"/>
                <w:szCs w:val="21"/>
                <w:highlight w:val="none"/>
                <w:lang w:val="en-US" w:eastAsia="zh-CN"/>
              </w:rPr>
              <w:t>9</w:t>
            </w:r>
            <w:r>
              <w:rPr>
                <w:rFonts w:hint="default" w:ascii="Times New Roman" w:hAnsi="Times New Roman" w:cs="Times New Roman"/>
                <w:b w:val="0"/>
                <w:bCs w:val="0"/>
                <w:color w:val="auto"/>
                <w:sz w:val="21"/>
                <w:szCs w:val="21"/>
                <w:highlight w:val="none"/>
                <w:lang w:val="en-US" w:eastAsia="zh-CN"/>
              </w:rPr>
              <w:t>。</w:t>
            </w:r>
          </w:p>
          <w:p w14:paraId="193A9D10">
            <w:pPr>
              <w:adjustRightInd w:val="0"/>
              <w:snapToGrid w:val="0"/>
              <w:spacing w:line="360" w:lineRule="auto"/>
              <w:ind w:firstLine="422" w:firstLineChars="200"/>
              <w:jc w:val="left"/>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4.填报排污许可证</w:t>
            </w:r>
          </w:p>
          <w:p w14:paraId="63573CD0">
            <w:pPr>
              <w:adjustRightInd w:val="0"/>
              <w:snapToGrid w:val="0"/>
              <w:spacing w:line="360" w:lineRule="auto"/>
              <w:ind w:firstLine="420" w:firstLineChars="200"/>
              <w:jc w:val="left"/>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建设单位在验收投产前需取得排污许可证，按照《固定污染源排污许可分类管理名录》（2019年版）的要求，在全国排污许可证管理平台填报。</w:t>
            </w:r>
          </w:p>
          <w:p w14:paraId="1F0C6DD7">
            <w:pPr>
              <w:adjustRightInd w:val="0"/>
              <w:snapToGrid w:val="0"/>
              <w:spacing w:line="360" w:lineRule="auto"/>
              <w:ind w:firstLine="422" w:firstLineChars="200"/>
              <w:jc w:val="left"/>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5.编制突发环境事件应急预案</w:t>
            </w:r>
          </w:p>
          <w:p w14:paraId="311C5A02">
            <w:pPr>
              <w:adjustRightInd w:val="0"/>
              <w:snapToGrid w:val="0"/>
              <w:spacing w:line="360" w:lineRule="auto"/>
              <w:ind w:firstLine="420" w:firstLineChars="20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建设单位在验收投产前需编制突发环境事件应急预案，并报宝鸡市生态环境局</w:t>
            </w:r>
            <w:r>
              <w:rPr>
                <w:rFonts w:hint="eastAsia" w:ascii="Times New Roman" w:hAnsi="Times New Roman" w:cs="Times New Roman"/>
                <w:color w:val="auto"/>
                <w:sz w:val="21"/>
                <w:szCs w:val="21"/>
                <w:highlight w:val="none"/>
                <w:lang w:val="en-US" w:eastAsia="zh-CN"/>
              </w:rPr>
              <w:t>陈仓</w:t>
            </w:r>
            <w:r>
              <w:rPr>
                <w:rFonts w:hint="default" w:ascii="Times New Roman" w:hAnsi="Times New Roman" w:cs="Times New Roman"/>
                <w:color w:val="auto"/>
                <w:sz w:val="21"/>
                <w:szCs w:val="21"/>
                <w:highlight w:val="none"/>
                <w:lang w:val="en-US" w:eastAsia="zh-CN"/>
              </w:rPr>
              <w:t>分局进行备案。</w:t>
            </w:r>
          </w:p>
          <w:p w14:paraId="64B8D00A">
            <w:pPr>
              <w:adjustRightInd w:val="0"/>
              <w:snapToGrid w:val="0"/>
              <w:spacing w:line="360" w:lineRule="auto"/>
              <w:jc w:val="left"/>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b/>
                <w:bCs/>
                <w:color w:val="auto"/>
                <w:sz w:val="21"/>
                <w:szCs w:val="21"/>
                <w:highlight w:val="none"/>
                <w:lang w:val="en-US" w:eastAsia="zh-CN"/>
              </w:rPr>
              <w:t>6.竣工验收</w:t>
            </w:r>
          </w:p>
          <w:p w14:paraId="6BAE4820">
            <w:pPr>
              <w:adjustRightInd w:val="0"/>
              <w:snapToGrid w:val="0"/>
              <w:spacing w:line="360" w:lineRule="auto"/>
              <w:ind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根</w:t>
            </w:r>
            <w:r>
              <w:rPr>
                <w:rFonts w:hint="default" w:ascii="Times New Roman" w:hAnsi="Times New Roman" w:cs="Times New Roman"/>
                <w:color w:val="auto"/>
                <w:sz w:val="21"/>
                <w:szCs w:val="21"/>
              </w:rPr>
              <w:t>据《建设项目竣工环境保护验收暂行办法》</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国环规环评</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2017</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号</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，建设单位自行验收。验收合格后，方可投入生产或使用。</w:t>
            </w:r>
          </w:p>
          <w:p w14:paraId="4A0572D4">
            <w:pPr>
              <w:adjustRightInd w:val="0"/>
              <w:snapToGrid w:val="0"/>
              <w:spacing w:line="360" w:lineRule="auto"/>
              <w:jc w:val="left"/>
              <w:rPr>
                <w:rFonts w:hint="default" w:ascii="Times New Roman" w:hAnsi="Times New Roman" w:cs="Times New Roman"/>
                <w:color w:val="auto"/>
                <w:szCs w:val="21"/>
              </w:rPr>
            </w:pPr>
          </w:p>
        </w:tc>
      </w:tr>
    </w:tbl>
    <w:p w14:paraId="138CD1D2">
      <w:pPr>
        <w:pStyle w:val="27"/>
        <w:jc w:val="center"/>
        <w:outlineLvl w:val="0"/>
        <w:rPr>
          <w:rFonts w:hint="default" w:ascii="Times New Roman" w:hAnsi="Times New Roman" w:eastAsia="黑体" w:cs="Times New Roman"/>
          <w:snapToGrid w:val="0"/>
          <w:color w:val="auto"/>
          <w:sz w:val="30"/>
          <w:szCs w:val="30"/>
        </w:rPr>
        <w:sectPr>
          <w:pgSz w:w="11906" w:h="16838"/>
          <w:pgMar w:top="1417" w:right="1531" w:bottom="1417" w:left="1531" w:header="851" w:footer="851" w:gutter="0"/>
          <w:pgBorders>
            <w:top w:val="none" w:sz="0" w:space="0"/>
            <w:left w:val="none" w:sz="0" w:space="0"/>
            <w:bottom w:val="none" w:sz="0" w:space="0"/>
            <w:right w:val="none" w:sz="0" w:space="0"/>
          </w:pgBorders>
          <w:cols w:space="720" w:num="1"/>
          <w:docGrid w:linePitch="312" w:charSpace="0"/>
        </w:sectPr>
      </w:pPr>
    </w:p>
    <w:p w14:paraId="06CA13C8">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六、结论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00C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4" w:hRule="atLeast"/>
        </w:trPr>
        <w:tc>
          <w:tcPr>
            <w:tcW w:w="9060" w:type="dxa"/>
            <w:noWrap w:val="0"/>
            <w:vAlign w:val="top"/>
          </w:tcPr>
          <w:p w14:paraId="7AE97DF0">
            <w:pPr>
              <w:widowControl/>
              <w:adjustRightInd w:val="0"/>
              <w:spacing w:line="360" w:lineRule="auto"/>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从环境影响的角度分析，项目建设环境影响是可行的。</w:t>
            </w:r>
          </w:p>
          <w:p w14:paraId="41728975">
            <w:pPr>
              <w:pStyle w:val="27"/>
              <w:jc w:val="center"/>
              <w:outlineLvl w:val="0"/>
              <w:rPr>
                <w:rFonts w:hint="default" w:ascii="Times New Roman" w:hAnsi="Times New Roman" w:eastAsia="黑体" w:cs="Times New Roman"/>
                <w:snapToGrid w:val="0"/>
                <w:color w:val="auto"/>
                <w:sz w:val="30"/>
                <w:szCs w:val="30"/>
              </w:rPr>
            </w:pPr>
          </w:p>
        </w:tc>
      </w:tr>
    </w:tbl>
    <w:p w14:paraId="1E1026BB">
      <w:pPr>
        <w:pStyle w:val="27"/>
        <w:jc w:val="center"/>
        <w:outlineLvl w:val="0"/>
        <w:rPr>
          <w:rFonts w:hint="default" w:ascii="Times New Roman" w:hAnsi="Times New Roman" w:eastAsia="黑体" w:cs="Times New Roman"/>
          <w:snapToGrid w:val="0"/>
          <w:color w:val="auto"/>
          <w:sz w:val="30"/>
          <w:szCs w:val="30"/>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E1A26A1">
      <w:pPr>
        <w:pStyle w:val="27"/>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auto"/>
          <w:sz w:val="38"/>
          <w:szCs w:val="38"/>
        </w:rPr>
      </w:pPr>
      <w:r>
        <w:rPr>
          <w:rFonts w:hint="default" w:ascii="Times New Roman" w:hAnsi="Times New Roman" w:eastAsia="方正小标宋_GBK" w:cs="Times New Roman"/>
          <w:snapToGrid w:val="0"/>
          <w:color w:val="auto"/>
          <w:sz w:val="38"/>
          <w:szCs w:val="38"/>
        </w:rPr>
        <w:t>建设项目污染物排放量汇总表</w:t>
      </w:r>
    </w:p>
    <w:tbl>
      <w:tblPr>
        <w:tblStyle w:val="30"/>
        <w:tblpPr w:leftFromText="180" w:rightFromText="180" w:vertAnchor="text" w:tblpXSpec="center" w:tblpY="1"/>
        <w:tblOverlap w:val="never"/>
        <w:tblW w:w="1347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807"/>
        <w:gridCol w:w="1422"/>
        <w:gridCol w:w="1123"/>
        <w:gridCol w:w="1663"/>
        <w:gridCol w:w="1524"/>
        <w:gridCol w:w="1722"/>
        <w:gridCol w:w="1593"/>
        <w:gridCol w:w="1128"/>
      </w:tblGrid>
      <w:tr w14:paraId="373E64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tcBorders>
              <w:tl2br w:val="single" w:color="auto" w:sz="4" w:space="0"/>
            </w:tcBorders>
            <w:noWrap w:val="0"/>
            <w:tcMar>
              <w:left w:w="28" w:type="dxa"/>
              <w:right w:w="28" w:type="dxa"/>
            </w:tcMar>
            <w:vAlign w:val="center"/>
          </w:tcPr>
          <w:p w14:paraId="56CFD3F5">
            <w:pPr>
              <w:pStyle w:val="71"/>
              <w:spacing w:beforeLines="0" w:afterLines="0" w:line="240" w:lineRule="auto"/>
              <w:jc w:val="righ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项目</w:t>
            </w:r>
          </w:p>
          <w:p w14:paraId="229AE684">
            <w:pPr>
              <w:pStyle w:val="71"/>
              <w:spacing w:beforeLines="0" w:afterLines="0" w:line="240" w:lineRule="auto"/>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分类</w:t>
            </w:r>
          </w:p>
        </w:tc>
        <w:tc>
          <w:tcPr>
            <w:tcW w:w="1807" w:type="dxa"/>
            <w:noWrap w:val="0"/>
            <w:tcMar>
              <w:left w:w="28" w:type="dxa"/>
              <w:right w:w="28" w:type="dxa"/>
            </w:tcMar>
            <w:vAlign w:val="center"/>
          </w:tcPr>
          <w:p w14:paraId="470E3C0F">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污染物名称</w:t>
            </w:r>
          </w:p>
        </w:tc>
        <w:tc>
          <w:tcPr>
            <w:tcW w:w="1422" w:type="dxa"/>
            <w:noWrap w:val="0"/>
            <w:tcMar>
              <w:left w:w="28" w:type="dxa"/>
              <w:right w:w="28" w:type="dxa"/>
            </w:tcMar>
            <w:vAlign w:val="center"/>
          </w:tcPr>
          <w:p w14:paraId="2B7163B8">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现有工程</w:t>
            </w:r>
          </w:p>
          <w:p w14:paraId="72868C2C">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排放量（固体废物产生量）</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2"/>
                <w:szCs w:val="21"/>
              </w:rPr>
              <w:t>①</w:t>
            </w:r>
            <w:r>
              <w:rPr>
                <w:rFonts w:hint="default" w:ascii="Times New Roman" w:hAnsi="Times New Roman" w:cs="Times New Roman"/>
                <w:snapToGrid w:val="0"/>
                <w:color w:val="auto"/>
                <w:spacing w:val="-6"/>
                <w:kern w:val="21"/>
                <w:szCs w:val="21"/>
              </w:rPr>
              <w:fldChar w:fldCharType="end"/>
            </w:r>
          </w:p>
        </w:tc>
        <w:tc>
          <w:tcPr>
            <w:tcW w:w="1123" w:type="dxa"/>
            <w:noWrap w:val="0"/>
            <w:tcMar>
              <w:left w:w="28" w:type="dxa"/>
              <w:right w:w="28" w:type="dxa"/>
            </w:tcMar>
            <w:vAlign w:val="center"/>
          </w:tcPr>
          <w:p w14:paraId="22C619E8">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现有工程</w:t>
            </w:r>
          </w:p>
          <w:p w14:paraId="706FDE9E">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许可排放量</w:t>
            </w:r>
          </w:p>
          <w:p w14:paraId="399DC579">
            <w:pPr>
              <w:pStyle w:val="71"/>
              <w:spacing w:beforeLines="0" w:afterLines="0"/>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2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snapToGrid w:val="0"/>
                <w:color w:val="auto"/>
                <w:spacing w:val="-6"/>
                <w:kern w:val="21"/>
                <w:szCs w:val="21"/>
              </w:rPr>
              <w:t>②</w:t>
            </w:r>
            <w:r>
              <w:rPr>
                <w:rFonts w:hint="default" w:ascii="Times New Roman" w:hAnsi="Times New Roman" w:cs="Times New Roman"/>
                <w:snapToGrid w:val="0"/>
                <w:color w:val="auto"/>
                <w:spacing w:val="-6"/>
                <w:kern w:val="21"/>
                <w:szCs w:val="21"/>
              </w:rPr>
              <w:fldChar w:fldCharType="end"/>
            </w:r>
          </w:p>
        </w:tc>
        <w:tc>
          <w:tcPr>
            <w:tcW w:w="1663" w:type="dxa"/>
            <w:noWrap w:val="0"/>
            <w:tcMar>
              <w:left w:w="28" w:type="dxa"/>
              <w:right w:w="28" w:type="dxa"/>
            </w:tcMar>
            <w:vAlign w:val="center"/>
          </w:tcPr>
          <w:p w14:paraId="18F0460B">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在建工程</w:t>
            </w:r>
          </w:p>
          <w:p w14:paraId="71CB6673">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排放量（固体废物产生量）</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2"/>
                <w:szCs w:val="21"/>
              </w:rPr>
              <w:t>③</w:t>
            </w:r>
            <w:r>
              <w:rPr>
                <w:rFonts w:hint="default" w:ascii="Times New Roman" w:hAnsi="Times New Roman" w:cs="Times New Roman"/>
                <w:snapToGrid w:val="0"/>
                <w:color w:val="auto"/>
                <w:spacing w:val="-6"/>
                <w:kern w:val="21"/>
                <w:szCs w:val="21"/>
              </w:rPr>
              <w:fldChar w:fldCharType="end"/>
            </w:r>
          </w:p>
        </w:tc>
        <w:tc>
          <w:tcPr>
            <w:tcW w:w="1524" w:type="dxa"/>
            <w:noWrap w:val="0"/>
            <w:tcMar>
              <w:left w:w="28" w:type="dxa"/>
              <w:right w:w="28" w:type="dxa"/>
            </w:tcMar>
            <w:vAlign w:val="center"/>
          </w:tcPr>
          <w:p w14:paraId="547EE059">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本项目</w:t>
            </w:r>
          </w:p>
          <w:p w14:paraId="490E0C8A">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排放量（固体废物产生量）</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2"/>
                <w:szCs w:val="21"/>
              </w:rPr>
              <w:t>④</w:t>
            </w:r>
            <w:r>
              <w:rPr>
                <w:rFonts w:hint="default" w:ascii="Times New Roman" w:hAnsi="Times New Roman" w:cs="Times New Roman"/>
                <w:snapToGrid w:val="0"/>
                <w:color w:val="auto"/>
                <w:spacing w:val="-6"/>
                <w:kern w:val="21"/>
                <w:szCs w:val="21"/>
              </w:rPr>
              <w:fldChar w:fldCharType="end"/>
            </w:r>
          </w:p>
        </w:tc>
        <w:tc>
          <w:tcPr>
            <w:tcW w:w="1722" w:type="dxa"/>
            <w:noWrap w:val="0"/>
            <w:tcMar>
              <w:left w:w="28" w:type="dxa"/>
              <w:right w:w="28" w:type="dxa"/>
            </w:tcMar>
            <w:vAlign w:val="center"/>
          </w:tcPr>
          <w:p w14:paraId="2815B58A">
            <w:pPr>
              <w:pStyle w:val="71"/>
              <w:spacing w:beforeLines="0" w:afterLines="0"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以新带老削减量</w:t>
            </w:r>
          </w:p>
          <w:p w14:paraId="1F6D4D35">
            <w:pPr>
              <w:pStyle w:val="71"/>
              <w:spacing w:beforeLines="0" w:afterLines="0"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（新建项目不填）</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kern w:val="2"/>
                <w:szCs w:val="21"/>
              </w:rPr>
              <w:t>⑤</w:t>
            </w:r>
            <w:r>
              <w:rPr>
                <w:rFonts w:hint="default" w:ascii="Times New Roman" w:hAnsi="Times New Roman" w:cs="Times New Roman"/>
                <w:snapToGrid w:val="0"/>
                <w:color w:val="auto"/>
                <w:spacing w:val="-16"/>
                <w:kern w:val="21"/>
                <w:szCs w:val="21"/>
              </w:rPr>
              <w:fldChar w:fldCharType="end"/>
            </w:r>
          </w:p>
        </w:tc>
        <w:tc>
          <w:tcPr>
            <w:tcW w:w="1593" w:type="dxa"/>
            <w:noWrap w:val="0"/>
            <w:tcMar>
              <w:left w:w="28" w:type="dxa"/>
              <w:right w:w="28" w:type="dxa"/>
            </w:tcMar>
            <w:vAlign w:val="center"/>
          </w:tcPr>
          <w:p w14:paraId="71645838">
            <w:pPr>
              <w:pStyle w:val="71"/>
              <w:spacing w:beforeLines="0" w:afterLines="0"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本项目建成后</w:t>
            </w:r>
          </w:p>
          <w:p w14:paraId="2820C863">
            <w:pPr>
              <w:pStyle w:val="71"/>
              <w:spacing w:beforeLines="0" w:afterLines="0"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全厂排放量（固体废物产生量）</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kern w:val="2"/>
                <w:szCs w:val="21"/>
              </w:rPr>
              <w:t>⑥</w:t>
            </w:r>
            <w:r>
              <w:rPr>
                <w:rFonts w:hint="default" w:ascii="Times New Roman" w:hAnsi="Times New Roman" w:cs="Times New Roman"/>
                <w:snapToGrid w:val="0"/>
                <w:color w:val="auto"/>
                <w:spacing w:val="-16"/>
                <w:kern w:val="21"/>
                <w:szCs w:val="21"/>
              </w:rPr>
              <w:fldChar w:fldCharType="end"/>
            </w:r>
          </w:p>
        </w:tc>
        <w:tc>
          <w:tcPr>
            <w:tcW w:w="1128" w:type="dxa"/>
            <w:noWrap w:val="0"/>
            <w:tcMar>
              <w:left w:w="28" w:type="dxa"/>
              <w:right w:w="28" w:type="dxa"/>
            </w:tcMar>
            <w:vAlign w:val="center"/>
          </w:tcPr>
          <w:p w14:paraId="077C316C">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变化量</w:t>
            </w:r>
          </w:p>
          <w:p w14:paraId="2A9C88B6">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2"/>
                <w:szCs w:val="21"/>
              </w:rPr>
              <w:t>⑦</w:t>
            </w:r>
            <w:r>
              <w:rPr>
                <w:rFonts w:hint="default" w:ascii="Times New Roman" w:hAnsi="Times New Roman" w:cs="Times New Roman"/>
                <w:snapToGrid w:val="0"/>
                <w:color w:val="auto"/>
                <w:spacing w:val="-6"/>
                <w:kern w:val="21"/>
                <w:szCs w:val="21"/>
              </w:rPr>
              <w:fldChar w:fldCharType="end"/>
            </w:r>
          </w:p>
        </w:tc>
      </w:tr>
      <w:tr w14:paraId="02F041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restart"/>
            <w:noWrap w:val="0"/>
            <w:vAlign w:val="center"/>
          </w:tcPr>
          <w:p w14:paraId="413525D3">
            <w:pPr>
              <w:pStyle w:val="7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807" w:type="dxa"/>
            <w:noWrap w:val="0"/>
            <w:vAlign w:val="center"/>
          </w:tcPr>
          <w:p w14:paraId="0187E33E">
            <w:pPr>
              <w:pStyle w:val="7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颗粒物</w:t>
            </w:r>
          </w:p>
        </w:tc>
        <w:tc>
          <w:tcPr>
            <w:tcW w:w="1422" w:type="dxa"/>
            <w:noWrap w:val="0"/>
            <w:vAlign w:val="center"/>
          </w:tcPr>
          <w:p w14:paraId="6C8FC2A9">
            <w:pPr>
              <w:spacing w:beforeLines="0" w:afterLines="0" w:line="240" w:lineRule="auto"/>
              <w:jc w:val="center"/>
              <w:rPr>
                <w:rFonts w:hint="default" w:ascii="Times New Roman" w:hAnsi="Times New Roman" w:cs="Times New Roman"/>
                <w:snapToGrid w:val="0"/>
                <w:color w:val="auto"/>
                <w:kern w:val="21"/>
                <w:szCs w:val="21"/>
                <w:lang w:val="en-US"/>
              </w:rPr>
            </w:pPr>
            <w:r>
              <w:rPr>
                <w:rFonts w:hint="eastAsia" w:cs="Times New Roman"/>
                <w:snapToGrid w:val="0"/>
                <w:color w:val="auto"/>
                <w:kern w:val="21"/>
                <w:szCs w:val="21"/>
                <w:lang w:val="en-US" w:eastAsia="zh-CN"/>
              </w:rPr>
              <w:t>0.09t/a</w:t>
            </w:r>
          </w:p>
        </w:tc>
        <w:tc>
          <w:tcPr>
            <w:tcW w:w="1123" w:type="dxa"/>
            <w:noWrap w:val="0"/>
            <w:vAlign w:val="center"/>
          </w:tcPr>
          <w:p w14:paraId="594E7F25">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4602B505">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6233A830">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0.2521t/a</w:t>
            </w:r>
          </w:p>
        </w:tc>
        <w:tc>
          <w:tcPr>
            <w:tcW w:w="1722" w:type="dxa"/>
            <w:noWrap w:val="0"/>
            <w:vAlign w:val="center"/>
          </w:tcPr>
          <w:p w14:paraId="0FEEF3EB">
            <w:pPr>
              <w:pStyle w:val="7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1B5191CE">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w:t>
            </w:r>
            <w:r>
              <w:rPr>
                <w:rFonts w:hint="eastAsia" w:cs="Times New Roman"/>
                <w:snapToGrid w:val="0"/>
                <w:color w:val="auto"/>
                <w:kern w:val="21"/>
                <w:szCs w:val="21"/>
                <w:lang w:val="en-US" w:eastAsia="zh-CN"/>
              </w:rPr>
              <w:t>1421t/a</w:t>
            </w:r>
          </w:p>
        </w:tc>
        <w:tc>
          <w:tcPr>
            <w:tcW w:w="1128" w:type="dxa"/>
            <w:noWrap w:val="0"/>
            <w:vAlign w:val="center"/>
          </w:tcPr>
          <w:p w14:paraId="7A607E34">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w:t>
            </w:r>
            <w:r>
              <w:rPr>
                <w:rFonts w:hint="eastAsia" w:cs="Times New Roman"/>
                <w:snapToGrid w:val="0"/>
                <w:color w:val="auto"/>
                <w:kern w:val="21"/>
                <w:szCs w:val="21"/>
                <w:lang w:val="en-US" w:eastAsia="zh-CN"/>
              </w:rPr>
              <w:t>0.2521t/a</w:t>
            </w:r>
          </w:p>
        </w:tc>
      </w:tr>
      <w:tr w14:paraId="4F2BD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397D3EA5">
            <w:pPr>
              <w:pStyle w:val="71"/>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4A867A49">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二氧化硫</w:t>
            </w:r>
          </w:p>
        </w:tc>
        <w:tc>
          <w:tcPr>
            <w:tcW w:w="1422" w:type="dxa"/>
            <w:noWrap w:val="0"/>
            <w:vAlign w:val="center"/>
          </w:tcPr>
          <w:p w14:paraId="12BCEA62">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3" w:type="dxa"/>
            <w:noWrap w:val="0"/>
            <w:vAlign w:val="center"/>
          </w:tcPr>
          <w:p w14:paraId="5CA0980B">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663" w:type="dxa"/>
            <w:noWrap w:val="0"/>
            <w:vAlign w:val="center"/>
          </w:tcPr>
          <w:p w14:paraId="5CC87C27">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07967792">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0.0024t/a</w:t>
            </w:r>
          </w:p>
        </w:tc>
        <w:tc>
          <w:tcPr>
            <w:tcW w:w="1722" w:type="dxa"/>
            <w:noWrap w:val="0"/>
            <w:vAlign w:val="center"/>
          </w:tcPr>
          <w:p w14:paraId="1901591D">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5AD83C09">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0.0024t/a</w:t>
            </w:r>
          </w:p>
        </w:tc>
        <w:tc>
          <w:tcPr>
            <w:tcW w:w="1128" w:type="dxa"/>
            <w:noWrap w:val="0"/>
            <w:vAlign w:val="center"/>
          </w:tcPr>
          <w:p w14:paraId="2F833485">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+0.0024t/a</w:t>
            </w:r>
          </w:p>
        </w:tc>
      </w:tr>
      <w:tr w14:paraId="049B7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7BB601C6">
            <w:pPr>
              <w:pStyle w:val="71"/>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36809E91">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氮氧化物</w:t>
            </w:r>
          </w:p>
        </w:tc>
        <w:tc>
          <w:tcPr>
            <w:tcW w:w="1422" w:type="dxa"/>
            <w:noWrap w:val="0"/>
            <w:vAlign w:val="center"/>
          </w:tcPr>
          <w:p w14:paraId="47AEAA24">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3" w:type="dxa"/>
            <w:noWrap w:val="0"/>
            <w:vAlign w:val="center"/>
          </w:tcPr>
          <w:p w14:paraId="759152DB">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663" w:type="dxa"/>
            <w:noWrap w:val="0"/>
            <w:vAlign w:val="center"/>
          </w:tcPr>
          <w:p w14:paraId="744FB429">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43DFE60F">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0.112t/a</w:t>
            </w:r>
          </w:p>
        </w:tc>
        <w:tc>
          <w:tcPr>
            <w:tcW w:w="1722" w:type="dxa"/>
            <w:noWrap w:val="0"/>
            <w:vAlign w:val="center"/>
          </w:tcPr>
          <w:p w14:paraId="27883251">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7D52262C">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0.112t/a</w:t>
            </w:r>
          </w:p>
        </w:tc>
        <w:tc>
          <w:tcPr>
            <w:tcW w:w="1128" w:type="dxa"/>
            <w:noWrap w:val="0"/>
            <w:vAlign w:val="center"/>
          </w:tcPr>
          <w:p w14:paraId="7FC8C435">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+0.112t/a</w:t>
            </w:r>
          </w:p>
        </w:tc>
      </w:tr>
      <w:tr w14:paraId="179513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552AEC6F">
            <w:pPr>
              <w:pStyle w:val="71"/>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0763D27D">
            <w:pPr>
              <w:pStyle w:val="71"/>
              <w:spacing w:beforeLines="0" w:afterLines="0" w:line="240" w:lineRule="auto"/>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非甲烷总烃</w:t>
            </w:r>
          </w:p>
        </w:tc>
        <w:tc>
          <w:tcPr>
            <w:tcW w:w="1422" w:type="dxa"/>
            <w:noWrap w:val="0"/>
            <w:vAlign w:val="center"/>
          </w:tcPr>
          <w:p w14:paraId="718E1929">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3" w:type="dxa"/>
            <w:noWrap w:val="0"/>
            <w:vAlign w:val="center"/>
          </w:tcPr>
          <w:p w14:paraId="0494A9B0">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663" w:type="dxa"/>
            <w:noWrap w:val="0"/>
            <w:vAlign w:val="center"/>
          </w:tcPr>
          <w:p w14:paraId="73C9FC61">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2CA7931D">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0.22t/a</w:t>
            </w:r>
          </w:p>
        </w:tc>
        <w:tc>
          <w:tcPr>
            <w:tcW w:w="1722" w:type="dxa"/>
            <w:noWrap w:val="0"/>
            <w:vAlign w:val="center"/>
          </w:tcPr>
          <w:p w14:paraId="136FD852">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241E8206">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0.22t/a</w:t>
            </w:r>
          </w:p>
        </w:tc>
        <w:tc>
          <w:tcPr>
            <w:tcW w:w="1128" w:type="dxa"/>
            <w:noWrap w:val="0"/>
            <w:vAlign w:val="center"/>
          </w:tcPr>
          <w:p w14:paraId="7E9ABC3D">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+0.22t/a</w:t>
            </w:r>
          </w:p>
        </w:tc>
      </w:tr>
      <w:tr w14:paraId="727F9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noWrap w:val="0"/>
            <w:vAlign w:val="center"/>
          </w:tcPr>
          <w:p w14:paraId="2FE14C55">
            <w:pPr>
              <w:pStyle w:val="7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807" w:type="dxa"/>
            <w:noWrap w:val="0"/>
            <w:vAlign w:val="center"/>
          </w:tcPr>
          <w:p w14:paraId="2686C09F">
            <w:pPr>
              <w:pStyle w:val="71"/>
              <w:spacing w:beforeLines="0" w:afterLines="0" w:line="240" w:lineRule="auto"/>
              <w:rPr>
                <w:rFonts w:hint="eastAsia" w:ascii="Times New Roman" w:hAnsi="Times New Roman" w:eastAsia="宋体" w:cs="Times New Roman"/>
                <w:snapToGrid w:val="0"/>
                <w:color w:val="auto"/>
                <w:kern w:val="21"/>
                <w:szCs w:val="21"/>
                <w:lang w:eastAsia="zh-CN"/>
              </w:rPr>
            </w:pPr>
            <w:r>
              <w:rPr>
                <w:rFonts w:hint="eastAsia" w:ascii="Times New Roman" w:cs="Times New Roman"/>
                <w:snapToGrid w:val="0"/>
                <w:color w:val="auto"/>
                <w:kern w:val="21"/>
                <w:szCs w:val="21"/>
                <w:lang w:val="en-US" w:eastAsia="zh-CN"/>
              </w:rPr>
              <w:t>废水量</w:t>
            </w:r>
          </w:p>
        </w:tc>
        <w:tc>
          <w:tcPr>
            <w:tcW w:w="1422" w:type="dxa"/>
            <w:noWrap w:val="0"/>
            <w:vAlign w:val="center"/>
          </w:tcPr>
          <w:p w14:paraId="6C1519D8">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123" w:type="dxa"/>
            <w:noWrap w:val="0"/>
            <w:vAlign w:val="center"/>
          </w:tcPr>
          <w:p w14:paraId="3B39DF1A">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558E27DA">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200789A8">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722" w:type="dxa"/>
            <w:noWrap w:val="0"/>
            <w:vAlign w:val="center"/>
          </w:tcPr>
          <w:p w14:paraId="3299E532">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23047F63">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8" w:type="dxa"/>
            <w:noWrap w:val="0"/>
            <w:vAlign w:val="center"/>
          </w:tcPr>
          <w:p w14:paraId="1FB2F1BC">
            <w:pPr>
              <w:spacing w:beforeLines="0" w:afterLines="0" w:line="240" w:lineRule="auto"/>
              <w:jc w:val="center"/>
              <w:rPr>
                <w:rFonts w:hint="default" w:ascii="Times New Roman" w:hAnsi="Times New Roman" w:cs="Times New Roman"/>
                <w:snapToGrid w:val="0"/>
                <w:color w:val="auto"/>
                <w:kern w:val="21"/>
                <w:szCs w:val="21"/>
                <w:lang w:val="en-US"/>
              </w:rPr>
            </w:pPr>
            <w:r>
              <w:rPr>
                <w:rFonts w:hint="eastAsia" w:ascii="Times New Roman" w:hAnsi="Times New Roman" w:eastAsia="宋体" w:cs="Times New Roman"/>
                <w:snapToGrid w:val="0"/>
                <w:color w:val="auto"/>
                <w:kern w:val="21"/>
                <w:szCs w:val="21"/>
                <w:lang w:val="en-US" w:eastAsia="zh-CN"/>
              </w:rPr>
              <w:t>0</w:t>
            </w:r>
            <w:r>
              <w:rPr>
                <w:rFonts w:hint="eastAsia" w:cs="Times New Roman"/>
                <w:snapToGrid w:val="0"/>
                <w:color w:val="auto"/>
                <w:kern w:val="21"/>
                <w:szCs w:val="21"/>
                <w:lang w:val="en-US" w:eastAsia="zh-CN"/>
              </w:rPr>
              <w:t>t/a</w:t>
            </w:r>
          </w:p>
        </w:tc>
      </w:tr>
      <w:tr w14:paraId="772B0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restart"/>
            <w:noWrap w:val="0"/>
            <w:vAlign w:val="center"/>
          </w:tcPr>
          <w:p w14:paraId="5C0D36AC">
            <w:pPr>
              <w:pStyle w:val="7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14:paraId="1BC53F30">
            <w:pPr>
              <w:pStyle w:val="7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1807" w:type="dxa"/>
            <w:noWrap w:val="0"/>
            <w:vAlign w:val="center"/>
          </w:tcPr>
          <w:p w14:paraId="03B9A977">
            <w:pPr>
              <w:pStyle w:val="71"/>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rPr>
              <w:t>废金属屑</w:t>
            </w:r>
            <w:r>
              <w:rPr>
                <w:rFonts w:hint="default" w:ascii="Times New Roman" w:hAnsi="Times New Roman" w:cs="Times New Roman"/>
                <w:snapToGrid w:val="0"/>
                <w:color w:val="auto"/>
                <w:kern w:val="21"/>
                <w:szCs w:val="21"/>
                <w:lang w:eastAsia="zh-CN"/>
              </w:rPr>
              <w:t>、边角料</w:t>
            </w:r>
          </w:p>
        </w:tc>
        <w:tc>
          <w:tcPr>
            <w:tcW w:w="1422" w:type="dxa"/>
            <w:noWrap w:val="0"/>
            <w:vAlign w:val="center"/>
          </w:tcPr>
          <w:p w14:paraId="317DBE21">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4t/a</w:t>
            </w:r>
          </w:p>
        </w:tc>
        <w:tc>
          <w:tcPr>
            <w:tcW w:w="1123" w:type="dxa"/>
            <w:noWrap w:val="0"/>
            <w:vAlign w:val="center"/>
          </w:tcPr>
          <w:p w14:paraId="47A90496">
            <w:pPr>
              <w:spacing w:beforeLines="0" w:afterLines="0" w:line="240" w:lineRule="auto"/>
              <w:jc w:val="center"/>
              <w:rPr>
                <w:rFonts w:hint="eastAsia"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rPr>
              <w:t>/</w:t>
            </w:r>
          </w:p>
        </w:tc>
        <w:tc>
          <w:tcPr>
            <w:tcW w:w="1663" w:type="dxa"/>
            <w:noWrap w:val="0"/>
            <w:vAlign w:val="center"/>
          </w:tcPr>
          <w:p w14:paraId="2626CEE6">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543BCA3F">
            <w:pPr>
              <w:pStyle w:val="7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0.802</w:t>
            </w:r>
            <w:r>
              <w:rPr>
                <w:rFonts w:hint="eastAsia" w:cs="Times New Roman"/>
                <w:snapToGrid w:val="0"/>
                <w:color w:val="auto"/>
                <w:kern w:val="21"/>
                <w:szCs w:val="21"/>
                <w:lang w:val="en-US" w:eastAsia="zh-CN"/>
              </w:rPr>
              <w:t>t/a</w:t>
            </w:r>
          </w:p>
        </w:tc>
        <w:tc>
          <w:tcPr>
            <w:tcW w:w="1722" w:type="dxa"/>
            <w:noWrap w:val="0"/>
            <w:vAlign w:val="center"/>
          </w:tcPr>
          <w:p w14:paraId="1ECF0920">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492B977E">
            <w:pPr>
              <w:pStyle w:val="7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4.802</w:t>
            </w:r>
            <w:r>
              <w:rPr>
                <w:rFonts w:hint="eastAsia" w:cs="Times New Roman"/>
                <w:snapToGrid w:val="0"/>
                <w:color w:val="auto"/>
                <w:kern w:val="21"/>
                <w:szCs w:val="21"/>
                <w:lang w:val="en-US" w:eastAsia="zh-CN"/>
              </w:rPr>
              <w:t>t/a</w:t>
            </w:r>
          </w:p>
        </w:tc>
        <w:tc>
          <w:tcPr>
            <w:tcW w:w="1128" w:type="dxa"/>
            <w:noWrap w:val="0"/>
            <w:vAlign w:val="center"/>
          </w:tcPr>
          <w:p w14:paraId="10F687D2">
            <w:pPr>
              <w:pStyle w:val="71"/>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w:t>
            </w:r>
            <w:r>
              <w:rPr>
                <w:rFonts w:hint="eastAsia" w:ascii="Times New Roman" w:cs="Times New Roman"/>
                <w:snapToGrid w:val="0"/>
                <w:color w:val="auto"/>
                <w:kern w:val="21"/>
                <w:szCs w:val="21"/>
                <w:lang w:val="en-US" w:eastAsia="zh-CN"/>
              </w:rPr>
              <w:t>0.802</w:t>
            </w:r>
            <w:r>
              <w:rPr>
                <w:rFonts w:hint="eastAsia" w:cs="Times New Roman"/>
                <w:snapToGrid w:val="0"/>
                <w:color w:val="auto"/>
                <w:kern w:val="21"/>
                <w:szCs w:val="21"/>
                <w:lang w:val="en-US" w:eastAsia="zh-CN"/>
              </w:rPr>
              <w:t>t/a</w:t>
            </w:r>
          </w:p>
        </w:tc>
      </w:tr>
      <w:tr w14:paraId="56328F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2CA0490C">
            <w:pPr>
              <w:pStyle w:val="71"/>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54B09F1A">
            <w:pPr>
              <w:pStyle w:val="71"/>
              <w:spacing w:beforeLines="0" w:afterLines="0" w:line="240" w:lineRule="auto"/>
              <w:rPr>
                <w:rFonts w:hint="eastAsia" w:ascii="Times New Roman" w:hAnsi="Times New Roman" w:eastAsia="宋体" w:cs="Times New Roman"/>
                <w:snapToGrid w:val="0"/>
                <w:color w:val="auto"/>
                <w:kern w:val="21"/>
                <w:szCs w:val="21"/>
                <w:lang w:eastAsia="zh-CN"/>
              </w:rPr>
            </w:pPr>
            <w:r>
              <w:rPr>
                <w:rFonts w:hint="eastAsia" w:ascii="Times New Roman" w:hAnsi="Times New Roman" w:cs="Times New Roman"/>
                <w:snapToGrid w:val="0"/>
                <w:color w:val="auto"/>
                <w:kern w:val="21"/>
                <w:szCs w:val="21"/>
                <w:lang w:eastAsia="zh-CN"/>
              </w:rPr>
              <w:t>废钢丸</w:t>
            </w:r>
          </w:p>
        </w:tc>
        <w:tc>
          <w:tcPr>
            <w:tcW w:w="1422" w:type="dxa"/>
            <w:noWrap w:val="0"/>
            <w:vAlign w:val="center"/>
          </w:tcPr>
          <w:p w14:paraId="7B5E5BBE">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123" w:type="dxa"/>
            <w:noWrap w:val="0"/>
            <w:vAlign w:val="center"/>
          </w:tcPr>
          <w:p w14:paraId="7DAEEFF1">
            <w:pPr>
              <w:spacing w:beforeLines="0" w:afterLines="0" w:line="240" w:lineRule="auto"/>
              <w:jc w:val="center"/>
              <w:rPr>
                <w:rFonts w:hint="eastAsia"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0159E00D">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51E2B9D7">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3.2</w:t>
            </w:r>
            <w:r>
              <w:rPr>
                <w:rFonts w:hint="eastAsia" w:cs="Times New Roman"/>
                <w:snapToGrid w:val="0"/>
                <w:color w:val="auto"/>
                <w:kern w:val="21"/>
                <w:szCs w:val="21"/>
                <w:lang w:val="en-US" w:eastAsia="zh-CN"/>
              </w:rPr>
              <w:t>t/a</w:t>
            </w:r>
          </w:p>
        </w:tc>
        <w:tc>
          <w:tcPr>
            <w:tcW w:w="1722" w:type="dxa"/>
            <w:noWrap w:val="0"/>
            <w:vAlign w:val="center"/>
          </w:tcPr>
          <w:p w14:paraId="3E918ACE">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6EAE873A">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3.2</w:t>
            </w:r>
            <w:r>
              <w:rPr>
                <w:rFonts w:hint="eastAsia" w:cs="Times New Roman"/>
                <w:snapToGrid w:val="0"/>
                <w:color w:val="auto"/>
                <w:kern w:val="21"/>
                <w:szCs w:val="21"/>
                <w:lang w:val="en-US" w:eastAsia="zh-CN"/>
              </w:rPr>
              <w:t>t/a</w:t>
            </w:r>
          </w:p>
        </w:tc>
        <w:tc>
          <w:tcPr>
            <w:tcW w:w="1128" w:type="dxa"/>
            <w:noWrap w:val="0"/>
            <w:vAlign w:val="center"/>
          </w:tcPr>
          <w:p w14:paraId="40872909">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r>
              <w:rPr>
                <w:rFonts w:hint="eastAsia" w:ascii="Times New Roman" w:cs="Times New Roman"/>
                <w:snapToGrid w:val="0"/>
                <w:color w:val="auto"/>
                <w:kern w:val="21"/>
                <w:szCs w:val="21"/>
                <w:lang w:val="en-US" w:eastAsia="zh-CN"/>
              </w:rPr>
              <w:t>3.2</w:t>
            </w:r>
            <w:r>
              <w:rPr>
                <w:rFonts w:hint="eastAsia" w:cs="Times New Roman"/>
                <w:snapToGrid w:val="0"/>
                <w:color w:val="auto"/>
                <w:kern w:val="21"/>
                <w:szCs w:val="21"/>
                <w:lang w:val="en-US" w:eastAsia="zh-CN"/>
              </w:rPr>
              <w:t>t/a</w:t>
            </w:r>
          </w:p>
        </w:tc>
      </w:tr>
      <w:tr w14:paraId="060A43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281CCB40">
            <w:pPr>
              <w:pStyle w:val="71"/>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5A85A3AD">
            <w:pPr>
              <w:pStyle w:val="71"/>
              <w:spacing w:beforeLines="0" w:afterLines="0" w:line="240" w:lineRule="auto"/>
              <w:rPr>
                <w:rFonts w:hint="eastAsia" w:ascii="Times New Roman" w:hAnsi="Times New Roman" w:cs="Times New Roman"/>
                <w:snapToGrid w:val="0"/>
                <w:color w:val="auto"/>
                <w:kern w:val="21"/>
                <w:szCs w:val="21"/>
                <w:lang w:eastAsia="zh-CN"/>
              </w:rPr>
            </w:pPr>
            <w:r>
              <w:rPr>
                <w:rFonts w:hint="eastAsia" w:ascii="Times New Roman" w:hAnsi="Times New Roman" w:cs="Times New Roman"/>
                <w:snapToGrid w:val="0"/>
                <w:color w:val="auto"/>
                <w:kern w:val="21"/>
                <w:szCs w:val="21"/>
                <w:lang w:eastAsia="zh-CN"/>
              </w:rPr>
              <w:t>废砂轮片</w:t>
            </w:r>
          </w:p>
        </w:tc>
        <w:tc>
          <w:tcPr>
            <w:tcW w:w="1422" w:type="dxa"/>
            <w:noWrap w:val="0"/>
            <w:vAlign w:val="center"/>
          </w:tcPr>
          <w:p w14:paraId="64A095C1">
            <w:pPr>
              <w:spacing w:beforeLines="0" w:afterLines="0" w:line="240" w:lineRule="auto"/>
              <w:jc w:val="center"/>
              <w:rPr>
                <w:rFonts w:hint="default" w:ascii="Times New Roman" w:hAnsi="Times New Roman" w:cs="Times New Roman"/>
                <w:snapToGrid w:val="0"/>
                <w:color w:val="auto"/>
                <w:kern w:val="21"/>
                <w:szCs w:val="21"/>
                <w:lang w:val="en-US"/>
              </w:rPr>
            </w:pPr>
            <w:r>
              <w:rPr>
                <w:rFonts w:hint="eastAsia" w:cs="Times New Roman"/>
                <w:snapToGrid w:val="0"/>
                <w:color w:val="auto"/>
                <w:kern w:val="21"/>
                <w:szCs w:val="21"/>
                <w:lang w:val="en-US" w:eastAsia="zh-CN"/>
              </w:rPr>
              <w:t>0.035t/a</w:t>
            </w:r>
          </w:p>
        </w:tc>
        <w:tc>
          <w:tcPr>
            <w:tcW w:w="1123" w:type="dxa"/>
            <w:noWrap w:val="0"/>
            <w:vAlign w:val="center"/>
          </w:tcPr>
          <w:p w14:paraId="79E452FF">
            <w:pPr>
              <w:spacing w:beforeLines="0" w:afterLines="0" w:line="240" w:lineRule="auto"/>
              <w:jc w:val="center"/>
              <w:rPr>
                <w:rFonts w:hint="eastAsia"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6B7D94E4">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5E31C589">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r>
              <w:rPr>
                <w:rFonts w:hint="eastAsia" w:cs="Times New Roman"/>
                <w:snapToGrid w:val="0"/>
                <w:color w:val="auto"/>
                <w:kern w:val="21"/>
                <w:szCs w:val="21"/>
                <w:lang w:val="en-US" w:eastAsia="zh-CN"/>
              </w:rPr>
              <w:t>t/a</w:t>
            </w:r>
          </w:p>
        </w:tc>
        <w:tc>
          <w:tcPr>
            <w:tcW w:w="1722" w:type="dxa"/>
            <w:noWrap w:val="0"/>
            <w:vAlign w:val="center"/>
          </w:tcPr>
          <w:p w14:paraId="4C1265C9">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4AD8D3F3">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0.035</w:t>
            </w:r>
            <w:r>
              <w:rPr>
                <w:rFonts w:hint="eastAsia" w:cs="Times New Roman"/>
                <w:snapToGrid w:val="0"/>
                <w:color w:val="auto"/>
                <w:kern w:val="21"/>
                <w:szCs w:val="21"/>
                <w:lang w:val="en-US" w:eastAsia="zh-CN"/>
              </w:rPr>
              <w:t>t/a</w:t>
            </w:r>
          </w:p>
        </w:tc>
        <w:tc>
          <w:tcPr>
            <w:tcW w:w="1128" w:type="dxa"/>
            <w:noWrap w:val="0"/>
            <w:vAlign w:val="center"/>
          </w:tcPr>
          <w:p w14:paraId="6B62E361">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r>
              <w:rPr>
                <w:rFonts w:hint="eastAsia" w:cs="Times New Roman"/>
                <w:snapToGrid w:val="0"/>
                <w:color w:val="auto"/>
                <w:kern w:val="21"/>
                <w:szCs w:val="21"/>
                <w:lang w:val="en-US" w:eastAsia="zh-CN"/>
              </w:rPr>
              <w:t>t/a</w:t>
            </w:r>
          </w:p>
        </w:tc>
      </w:tr>
      <w:tr w14:paraId="6D4EED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311FF3B6">
            <w:pPr>
              <w:pStyle w:val="71"/>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33FE74B6">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eastAsia="zh-CN"/>
              </w:rPr>
              <w:t>收尘灰</w:t>
            </w:r>
          </w:p>
        </w:tc>
        <w:tc>
          <w:tcPr>
            <w:tcW w:w="1422" w:type="dxa"/>
            <w:noWrap w:val="0"/>
            <w:vAlign w:val="center"/>
          </w:tcPr>
          <w:p w14:paraId="3BFA51B0">
            <w:pPr>
              <w:spacing w:beforeLines="0" w:afterLines="0" w:line="240" w:lineRule="auto"/>
              <w:jc w:val="center"/>
              <w:rPr>
                <w:rFonts w:hint="default" w:ascii="Times New Roman" w:hAnsi="Times New Roman" w:cs="Times New Roman"/>
                <w:snapToGrid w:val="0"/>
                <w:color w:val="auto"/>
                <w:kern w:val="21"/>
                <w:szCs w:val="21"/>
                <w:lang w:val="en-US"/>
              </w:rPr>
            </w:pPr>
            <w:r>
              <w:rPr>
                <w:rFonts w:hint="eastAsia" w:cs="Times New Roman"/>
                <w:snapToGrid w:val="0"/>
                <w:color w:val="auto"/>
                <w:kern w:val="21"/>
                <w:szCs w:val="21"/>
                <w:lang w:val="en-US" w:eastAsia="zh-CN"/>
              </w:rPr>
              <w:t>1.67t/a</w:t>
            </w:r>
          </w:p>
        </w:tc>
        <w:tc>
          <w:tcPr>
            <w:tcW w:w="1123" w:type="dxa"/>
            <w:noWrap w:val="0"/>
            <w:vAlign w:val="center"/>
          </w:tcPr>
          <w:p w14:paraId="5FF18F10">
            <w:pPr>
              <w:spacing w:beforeLines="0" w:afterLines="0" w:line="240" w:lineRule="auto"/>
              <w:jc w:val="center"/>
              <w:rPr>
                <w:rFonts w:hint="eastAsia"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3391CD76">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5ED45A49">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6.7</w:t>
            </w:r>
            <w:r>
              <w:rPr>
                <w:rFonts w:hint="eastAsia" w:cs="Times New Roman"/>
                <w:snapToGrid w:val="0"/>
                <w:color w:val="auto"/>
                <w:kern w:val="21"/>
                <w:szCs w:val="21"/>
                <w:lang w:val="en-US" w:eastAsia="zh-CN"/>
              </w:rPr>
              <w:t>t/a</w:t>
            </w:r>
          </w:p>
        </w:tc>
        <w:tc>
          <w:tcPr>
            <w:tcW w:w="1722" w:type="dxa"/>
            <w:noWrap w:val="0"/>
            <w:vAlign w:val="center"/>
          </w:tcPr>
          <w:p w14:paraId="5EE9B915">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75ED0C85">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8.37</w:t>
            </w:r>
            <w:r>
              <w:rPr>
                <w:rFonts w:hint="eastAsia" w:cs="Times New Roman"/>
                <w:snapToGrid w:val="0"/>
                <w:color w:val="auto"/>
                <w:kern w:val="21"/>
                <w:szCs w:val="21"/>
                <w:lang w:val="en-US" w:eastAsia="zh-CN"/>
              </w:rPr>
              <w:t>t/a</w:t>
            </w:r>
          </w:p>
        </w:tc>
        <w:tc>
          <w:tcPr>
            <w:tcW w:w="1128" w:type="dxa"/>
            <w:noWrap w:val="0"/>
            <w:vAlign w:val="center"/>
          </w:tcPr>
          <w:p w14:paraId="50F6A863">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r>
              <w:rPr>
                <w:rFonts w:hint="eastAsia" w:ascii="Times New Roman" w:cs="Times New Roman"/>
                <w:snapToGrid w:val="0"/>
                <w:color w:val="auto"/>
                <w:kern w:val="21"/>
                <w:szCs w:val="21"/>
                <w:lang w:val="en-US" w:eastAsia="zh-CN"/>
              </w:rPr>
              <w:t>6.7</w:t>
            </w:r>
            <w:r>
              <w:rPr>
                <w:rFonts w:hint="eastAsia" w:cs="Times New Roman"/>
                <w:snapToGrid w:val="0"/>
                <w:color w:val="auto"/>
                <w:kern w:val="21"/>
                <w:szCs w:val="21"/>
                <w:lang w:val="en-US" w:eastAsia="zh-CN"/>
              </w:rPr>
              <w:t>t/a</w:t>
            </w:r>
          </w:p>
        </w:tc>
      </w:tr>
      <w:tr w14:paraId="47DB2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736F48D6">
            <w:pPr>
              <w:pStyle w:val="71"/>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3EE81FF8">
            <w:pPr>
              <w:pStyle w:val="71"/>
              <w:spacing w:beforeLines="0" w:afterLines="0" w:line="240" w:lineRule="auto"/>
              <w:rPr>
                <w:rFonts w:hint="eastAsia" w:ascii="Times New Roman" w:hAnsi="Times New Roman" w:cs="Times New Roman"/>
                <w:snapToGrid w:val="0"/>
                <w:color w:val="auto"/>
                <w:kern w:val="21"/>
                <w:szCs w:val="21"/>
                <w:lang w:eastAsia="zh-CN"/>
              </w:rPr>
            </w:pPr>
            <w:r>
              <w:rPr>
                <w:rFonts w:hint="eastAsia" w:ascii="Times New Roman" w:cs="Times New Roman"/>
                <w:snapToGrid w:val="0"/>
                <w:color w:val="auto"/>
                <w:kern w:val="21"/>
                <w:szCs w:val="21"/>
                <w:lang w:val="en-US" w:eastAsia="zh-CN"/>
              </w:rPr>
              <w:t>废粉</w:t>
            </w:r>
          </w:p>
        </w:tc>
        <w:tc>
          <w:tcPr>
            <w:tcW w:w="1422" w:type="dxa"/>
            <w:noWrap w:val="0"/>
            <w:vAlign w:val="center"/>
          </w:tcPr>
          <w:p w14:paraId="5DD6CF4F">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123" w:type="dxa"/>
            <w:noWrap w:val="0"/>
            <w:vAlign w:val="center"/>
          </w:tcPr>
          <w:p w14:paraId="59B0B08B">
            <w:pPr>
              <w:spacing w:beforeLines="0" w:afterLines="0" w:line="240" w:lineRule="auto"/>
              <w:jc w:val="center"/>
              <w:rPr>
                <w:rFonts w:hint="eastAsia"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6891CC93">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3733FCB7">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0.12</w:t>
            </w:r>
            <w:r>
              <w:rPr>
                <w:rFonts w:hint="eastAsia" w:cs="Times New Roman"/>
                <w:snapToGrid w:val="0"/>
                <w:color w:val="auto"/>
                <w:kern w:val="21"/>
                <w:szCs w:val="21"/>
                <w:lang w:val="en-US" w:eastAsia="zh-CN"/>
              </w:rPr>
              <w:t>t/a</w:t>
            </w:r>
          </w:p>
        </w:tc>
        <w:tc>
          <w:tcPr>
            <w:tcW w:w="1722" w:type="dxa"/>
            <w:noWrap w:val="0"/>
            <w:vAlign w:val="center"/>
          </w:tcPr>
          <w:p w14:paraId="2D708992">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6DCCBA5B">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0.12</w:t>
            </w:r>
            <w:r>
              <w:rPr>
                <w:rFonts w:hint="eastAsia" w:cs="Times New Roman"/>
                <w:snapToGrid w:val="0"/>
                <w:color w:val="auto"/>
                <w:kern w:val="21"/>
                <w:szCs w:val="21"/>
                <w:lang w:val="en-US" w:eastAsia="zh-CN"/>
              </w:rPr>
              <w:t>t/a</w:t>
            </w:r>
          </w:p>
        </w:tc>
        <w:tc>
          <w:tcPr>
            <w:tcW w:w="1128" w:type="dxa"/>
            <w:noWrap w:val="0"/>
            <w:vAlign w:val="center"/>
          </w:tcPr>
          <w:p w14:paraId="05064E0B">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w:t>
            </w:r>
            <w:r>
              <w:rPr>
                <w:rFonts w:hint="eastAsia" w:ascii="Times New Roman" w:cs="Times New Roman"/>
                <w:snapToGrid w:val="0"/>
                <w:color w:val="auto"/>
                <w:kern w:val="21"/>
                <w:szCs w:val="21"/>
                <w:lang w:val="en-US" w:eastAsia="zh-CN"/>
              </w:rPr>
              <w:t>.12</w:t>
            </w:r>
            <w:r>
              <w:rPr>
                <w:rFonts w:hint="eastAsia" w:cs="Times New Roman"/>
                <w:snapToGrid w:val="0"/>
                <w:color w:val="auto"/>
                <w:kern w:val="21"/>
                <w:szCs w:val="21"/>
                <w:lang w:val="en-US" w:eastAsia="zh-CN"/>
              </w:rPr>
              <w:t>t/a</w:t>
            </w:r>
          </w:p>
        </w:tc>
      </w:tr>
      <w:tr w14:paraId="524BB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23A90DA5">
            <w:pPr>
              <w:pStyle w:val="71"/>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0FCF7DCC">
            <w:pPr>
              <w:pStyle w:val="71"/>
              <w:spacing w:beforeLines="0" w:afterLines="0" w:line="240" w:lineRule="auto"/>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废石英砂</w:t>
            </w:r>
          </w:p>
        </w:tc>
        <w:tc>
          <w:tcPr>
            <w:tcW w:w="1422" w:type="dxa"/>
            <w:noWrap w:val="0"/>
            <w:vAlign w:val="center"/>
          </w:tcPr>
          <w:p w14:paraId="1AECF2B3">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w:t>
            </w:r>
          </w:p>
        </w:tc>
        <w:tc>
          <w:tcPr>
            <w:tcW w:w="1123" w:type="dxa"/>
            <w:noWrap w:val="0"/>
            <w:vAlign w:val="center"/>
          </w:tcPr>
          <w:p w14:paraId="4316DEF4">
            <w:pPr>
              <w:spacing w:beforeLines="0" w:afterLines="0" w:line="240" w:lineRule="auto"/>
              <w:jc w:val="center"/>
              <w:rPr>
                <w:rFonts w:hint="eastAsia"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w:t>
            </w:r>
          </w:p>
        </w:tc>
        <w:tc>
          <w:tcPr>
            <w:tcW w:w="1663" w:type="dxa"/>
            <w:noWrap w:val="0"/>
            <w:vAlign w:val="center"/>
          </w:tcPr>
          <w:p w14:paraId="5D76FB11">
            <w:pPr>
              <w:spacing w:beforeLines="0" w:afterLines="0" w:line="240" w:lineRule="auto"/>
              <w:jc w:val="center"/>
              <w:rPr>
                <w:rFonts w:hint="default" w:ascii="Times New Roman" w:hAnsi="Times New Roman" w:cs="Times New Roman"/>
                <w:snapToGrid w:val="0"/>
                <w:color w:val="auto"/>
                <w:kern w:val="21"/>
                <w:szCs w:val="21"/>
              </w:rPr>
            </w:pPr>
          </w:p>
        </w:tc>
        <w:tc>
          <w:tcPr>
            <w:tcW w:w="1524" w:type="dxa"/>
            <w:noWrap w:val="0"/>
            <w:vAlign w:val="center"/>
          </w:tcPr>
          <w:p w14:paraId="22C63E46">
            <w:pPr>
              <w:pStyle w:val="71"/>
              <w:spacing w:beforeLines="0" w:afterLines="0" w:line="240" w:lineRule="auto"/>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0.06t/a</w:t>
            </w:r>
          </w:p>
        </w:tc>
        <w:tc>
          <w:tcPr>
            <w:tcW w:w="1722" w:type="dxa"/>
            <w:noWrap w:val="0"/>
            <w:vAlign w:val="center"/>
          </w:tcPr>
          <w:p w14:paraId="520FF3AF">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w:t>
            </w:r>
          </w:p>
        </w:tc>
        <w:tc>
          <w:tcPr>
            <w:tcW w:w="1593" w:type="dxa"/>
            <w:noWrap w:val="0"/>
            <w:vAlign w:val="center"/>
          </w:tcPr>
          <w:p w14:paraId="1B36BEA2">
            <w:pPr>
              <w:pStyle w:val="71"/>
              <w:spacing w:beforeLines="0" w:afterLines="0" w:line="240" w:lineRule="auto"/>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0.06t/a</w:t>
            </w:r>
          </w:p>
        </w:tc>
        <w:tc>
          <w:tcPr>
            <w:tcW w:w="1128" w:type="dxa"/>
            <w:noWrap w:val="0"/>
            <w:vAlign w:val="center"/>
          </w:tcPr>
          <w:p w14:paraId="2C8FF7E5">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+0.06t/a</w:t>
            </w:r>
          </w:p>
        </w:tc>
      </w:tr>
      <w:tr w14:paraId="6CFF7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restart"/>
            <w:noWrap w:val="0"/>
            <w:vAlign w:val="center"/>
          </w:tcPr>
          <w:p w14:paraId="0D8B8F42">
            <w:pPr>
              <w:pStyle w:val="7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1807" w:type="dxa"/>
            <w:noWrap w:val="0"/>
            <w:vAlign w:val="center"/>
          </w:tcPr>
          <w:p w14:paraId="757D93D5">
            <w:pPr>
              <w:pStyle w:val="71"/>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废润滑油</w:t>
            </w:r>
          </w:p>
        </w:tc>
        <w:tc>
          <w:tcPr>
            <w:tcW w:w="1422" w:type="dxa"/>
            <w:noWrap w:val="0"/>
            <w:vAlign w:val="center"/>
          </w:tcPr>
          <w:p w14:paraId="3977AA94">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0.018</w:t>
            </w:r>
            <w:r>
              <w:rPr>
                <w:rFonts w:hint="eastAsia" w:cs="Times New Roman"/>
                <w:snapToGrid w:val="0"/>
                <w:color w:val="auto"/>
                <w:kern w:val="21"/>
                <w:szCs w:val="21"/>
                <w:lang w:val="en-US" w:eastAsia="zh-CN"/>
              </w:rPr>
              <w:t>t/a</w:t>
            </w:r>
          </w:p>
        </w:tc>
        <w:tc>
          <w:tcPr>
            <w:tcW w:w="1123" w:type="dxa"/>
            <w:noWrap w:val="0"/>
            <w:vAlign w:val="center"/>
          </w:tcPr>
          <w:p w14:paraId="225C7594">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534D4B48">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4DF3E2F5">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r>
              <w:rPr>
                <w:rFonts w:hint="eastAsia" w:cs="Times New Roman"/>
                <w:snapToGrid w:val="0"/>
                <w:color w:val="auto"/>
                <w:kern w:val="21"/>
                <w:szCs w:val="21"/>
                <w:lang w:val="en-US" w:eastAsia="zh-CN"/>
              </w:rPr>
              <w:t>t/a</w:t>
            </w:r>
          </w:p>
        </w:tc>
        <w:tc>
          <w:tcPr>
            <w:tcW w:w="1722" w:type="dxa"/>
            <w:noWrap w:val="0"/>
            <w:vAlign w:val="center"/>
          </w:tcPr>
          <w:p w14:paraId="46C23B39">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1F1F7372">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0.018</w:t>
            </w:r>
            <w:r>
              <w:rPr>
                <w:rFonts w:hint="eastAsia" w:cs="Times New Roman"/>
                <w:snapToGrid w:val="0"/>
                <w:color w:val="auto"/>
                <w:kern w:val="21"/>
                <w:szCs w:val="21"/>
                <w:lang w:val="en-US" w:eastAsia="zh-CN"/>
              </w:rPr>
              <w:t>t/a</w:t>
            </w:r>
          </w:p>
        </w:tc>
        <w:tc>
          <w:tcPr>
            <w:tcW w:w="1128" w:type="dxa"/>
            <w:noWrap w:val="0"/>
            <w:vAlign w:val="center"/>
          </w:tcPr>
          <w:p w14:paraId="19935181">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r>
              <w:rPr>
                <w:rFonts w:hint="eastAsia" w:cs="Times New Roman"/>
                <w:snapToGrid w:val="0"/>
                <w:color w:val="auto"/>
                <w:kern w:val="21"/>
                <w:szCs w:val="21"/>
                <w:lang w:val="en-US" w:eastAsia="zh-CN"/>
              </w:rPr>
              <w:t>t/a</w:t>
            </w:r>
          </w:p>
        </w:tc>
      </w:tr>
      <w:tr w14:paraId="70320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4E151BB8">
            <w:pPr>
              <w:pStyle w:val="71"/>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1036AB4A">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废液压油</w:t>
            </w:r>
          </w:p>
        </w:tc>
        <w:tc>
          <w:tcPr>
            <w:tcW w:w="1422" w:type="dxa"/>
            <w:noWrap w:val="0"/>
            <w:vAlign w:val="center"/>
          </w:tcPr>
          <w:p w14:paraId="565C4633">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0.008</w:t>
            </w:r>
          </w:p>
        </w:tc>
        <w:tc>
          <w:tcPr>
            <w:tcW w:w="1123" w:type="dxa"/>
            <w:noWrap w:val="0"/>
            <w:vAlign w:val="center"/>
          </w:tcPr>
          <w:p w14:paraId="69DB9687">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663" w:type="dxa"/>
            <w:noWrap w:val="0"/>
            <w:vAlign w:val="center"/>
          </w:tcPr>
          <w:p w14:paraId="1C9B3D81">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24" w:type="dxa"/>
            <w:noWrap w:val="0"/>
            <w:vAlign w:val="center"/>
          </w:tcPr>
          <w:p w14:paraId="01BEFD47">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0.02</w:t>
            </w:r>
            <w:r>
              <w:rPr>
                <w:rFonts w:hint="eastAsia" w:cs="Times New Roman"/>
                <w:snapToGrid w:val="0"/>
                <w:color w:val="auto"/>
                <w:kern w:val="21"/>
                <w:szCs w:val="21"/>
                <w:lang w:val="en-US" w:eastAsia="zh-CN"/>
              </w:rPr>
              <w:t>t/a</w:t>
            </w:r>
          </w:p>
        </w:tc>
        <w:tc>
          <w:tcPr>
            <w:tcW w:w="1722" w:type="dxa"/>
            <w:noWrap w:val="0"/>
            <w:vAlign w:val="center"/>
          </w:tcPr>
          <w:p w14:paraId="48CD30A3">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15BB3C0C">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0.028</w:t>
            </w:r>
            <w:r>
              <w:rPr>
                <w:rFonts w:hint="eastAsia" w:cs="Times New Roman"/>
                <w:snapToGrid w:val="0"/>
                <w:color w:val="auto"/>
                <w:kern w:val="21"/>
                <w:szCs w:val="21"/>
                <w:lang w:val="en-US" w:eastAsia="zh-CN"/>
              </w:rPr>
              <w:t>t/a</w:t>
            </w:r>
          </w:p>
        </w:tc>
        <w:tc>
          <w:tcPr>
            <w:tcW w:w="1128" w:type="dxa"/>
            <w:noWrap w:val="0"/>
            <w:vAlign w:val="center"/>
          </w:tcPr>
          <w:p w14:paraId="1972E1D7">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+0.02</w:t>
            </w:r>
            <w:r>
              <w:rPr>
                <w:rFonts w:hint="eastAsia" w:cs="Times New Roman"/>
                <w:snapToGrid w:val="0"/>
                <w:color w:val="auto"/>
                <w:kern w:val="21"/>
                <w:szCs w:val="21"/>
                <w:lang w:val="en-US" w:eastAsia="zh-CN"/>
              </w:rPr>
              <w:t>t/a</w:t>
            </w:r>
          </w:p>
        </w:tc>
      </w:tr>
      <w:tr w14:paraId="4E110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6AE40172">
            <w:pPr>
              <w:pStyle w:val="71"/>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1B71B2EB">
            <w:pPr>
              <w:pStyle w:val="71"/>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rPr>
              <w:t>废</w:t>
            </w:r>
            <w:r>
              <w:rPr>
                <w:rFonts w:hint="default" w:ascii="Times New Roman" w:hAnsi="Times New Roman" w:cs="Times New Roman"/>
                <w:snapToGrid w:val="0"/>
                <w:color w:val="auto"/>
                <w:kern w:val="21"/>
                <w:szCs w:val="21"/>
                <w:lang w:eastAsia="zh-CN"/>
              </w:rPr>
              <w:t>切削液</w:t>
            </w:r>
          </w:p>
        </w:tc>
        <w:tc>
          <w:tcPr>
            <w:tcW w:w="1422" w:type="dxa"/>
            <w:noWrap w:val="0"/>
            <w:vAlign w:val="center"/>
          </w:tcPr>
          <w:p w14:paraId="24D05528">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0.002t/a</w:t>
            </w:r>
          </w:p>
        </w:tc>
        <w:tc>
          <w:tcPr>
            <w:tcW w:w="1123" w:type="dxa"/>
            <w:noWrap w:val="0"/>
            <w:vAlign w:val="center"/>
          </w:tcPr>
          <w:p w14:paraId="072347DD">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6A7BA014">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3F94DD76">
            <w:pPr>
              <w:pStyle w:val="7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r>
              <w:rPr>
                <w:rFonts w:hint="eastAsia" w:cs="Times New Roman"/>
                <w:snapToGrid w:val="0"/>
                <w:color w:val="auto"/>
                <w:kern w:val="21"/>
                <w:szCs w:val="21"/>
                <w:lang w:val="en-US" w:eastAsia="zh-CN"/>
              </w:rPr>
              <w:t>t/a</w:t>
            </w:r>
          </w:p>
        </w:tc>
        <w:tc>
          <w:tcPr>
            <w:tcW w:w="1722" w:type="dxa"/>
            <w:noWrap w:val="0"/>
            <w:vAlign w:val="center"/>
          </w:tcPr>
          <w:p w14:paraId="49B1452D">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51CBE7E0">
            <w:pPr>
              <w:pStyle w:val="7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0.002</w:t>
            </w:r>
            <w:r>
              <w:rPr>
                <w:rFonts w:hint="eastAsia" w:cs="Times New Roman"/>
                <w:snapToGrid w:val="0"/>
                <w:color w:val="auto"/>
                <w:kern w:val="21"/>
                <w:szCs w:val="21"/>
                <w:lang w:val="en-US" w:eastAsia="zh-CN"/>
              </w:rPr>
              <w:t>t/a</w:t>
            </w:r>
          </w:p>
        </w:tc>
        <w:tc>
          <w:tcPr>
            <w:tcW w:w="1128" w:type="dxa"/>
            <w:noWrap w:val="0"/>
            <w:vAlign w:val="center"/>
          </w:tcPr>
          <w:p w14:paraId="02DABD08">
            <w:pPr>
              <w:pStyle w:val="71"/>
              <w:spacing w:beforeLines="0" w:afterLines="0" w:line="240" w:lineRule="auto"/>
              <w:rPr>
                <w:rFonts w:hint="default" w:ascii="Times New Roman" w:hAnsi="Times New Roman" w:cs="Times New Roman"/>
                <w:snapToGrid w:val="0"/>
                <w:color w:val="auto"/>
                <w:kern w:val="21"/>
                <w:szCs w:val="21"/>
                <w:lang w:val="en-US"/>
              </w:rPr>
            </w:pPr>
            <w:r>
              <w:rPr>
                <w:rFonts w:hint="eastAsia" w:ascii="Times New Roman" w:cs="Times New Roman"/>
                <w:snapToGrid w:val="0"/>
                <w:color w:val="auto"/>
                <w:kern w:val="21"/>
                <w:szCs w:val="21"/>
                <w:lang w:val="en-US" w:eastAsia="zh-CN"/>
              </w:rPr>
              <w:t>0</w:t>
            </w:r>
            <w:r>
              <w:rPr>
                <w:rFonts w:hint="eastAsia" w:cs="Times New Roman"/>
                <w:snapToGrid w:val="0"/>
                <w:color w:val="auto"/>
                <w:kern w:val="21"/>
                <w:szCs w:val="21"/>
                <w:lang w:val="en-US" w:eastAsia="zh-CN"/>
              </w:rPr>
              <w:t>t/a</w:t>
            </w:r>
          </w:p>
        </w:tc>
      </w:tr>
      <w:tr w14:paraId="692F1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13E1A32C">
            <w:pPr>
              <w:pStyle w:val="71"/>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78D6EEC5">
            <w:pPr>
              <w:pStyle w:val="71"/>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废油桶</w:t>
            </w:r>
          </w:p>
        </w:tc>
        <w:tc>
          <w:tcPr>
            <w:tcW w:w="1422" w:type="dxa"/>
            <w:noWrap w:val="0"/>
            <w:vAlign w:val="center"/>
          </w:tcPr>
          <w:p w14:paraId="55AC6047">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0.0006</w:t>
            </w:r>
            <w:r>
              <w:rPr>
                <w:rFonts w:hint="eastAsia" w:cs="Times New Roman"/>
                <w:snapToGrid w:val="0"/>
                <w:color w:val="auto"/>
                <w:kern w:val="21"/>
                <w:szCs w:val="21"/>
                <w:lang w:val="en-US" w:eastAsia="zh-CN"/>
              </w:rPr>
              <w:t>t/a</w:t>
            </w:r>
          </w:p>
        </w:tc>
        <w:tc>
          <w:tcPr>
            <w:tcW w:w="1123" w:type="dxa"/>
            <w:noWrap w:val="0"/>
            <w:vAlign w:val="center"/>
          </w:tcPr>
          <w:p w14:paraId="72A3791B">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718E1549">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5CBF59CE">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0.0012</w:t>
            </w:r>
            <w:r>
              <w:rPr>
                <w:rFonts w:hint="eastAsia" w:cs="Times New Roman"/>
                <w:snapToGrid w:val="0"/>
                <w:color w:val="auto"/>
                <w:kern w:val="21"/>
                <w:szCs w:val="21"/>
                <w:lang w:val="en-US" w:eastAsia="zh-CN"/>
              </w:rPr>
              <w:t>t/a</w:t>
            </w:r>
          </w:p>
        </w:tc>
        <w:tc>
          <w:tcPr>
            <w:tcW w:w="1722" w:type="dxa"/>
            <w:noWrap w:val="0"/>
            <w:vAlign w:val="center"/>
          </w:tcPr>
          <w:p w14:paraId="243AB5B5">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5B169E0D">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0.0018</w:t>
            </w:r>
            <w:r>
              <w:rPr>
                <w:rFonts w:hint="eastAsia" w:cs="Times New Roman"/>
                <w:snapToGrid w:val="0"/>
                <w:color w:val="auto"/>
                <w:kern w:val="21"/>
                <w:szCs w:val="21"/>
                <w:lang w:val="en-US" w:eastAsia="zh-CN"/>
              </w:rPr>
              <w:t>t/a</w:t>
            </w:r>
          </w:p>
        </w:tc>
        <w:tc>
          <w:tcPr>
            <w:tcW w:w="1128" w:type="dxa"/>
            <w:noWrap w:val="0"/>
            <w:vAlign w:val="center"/>
          </w:tcPr>
          <w:p w14:paraId="285AD051">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+0.0012</w:t>
            </w:r>
            <w:r>
              <w:rPr>
                <w:rFonts w:hint="eastAsia" w:cs="Times New Roman"/>
                <w:snapToGrid w:val="0"/>
                <w:color w:val="auto"/>
                <w:kern w:val="21"/>
                <w:szCs w:val="21"/>
                <w:lang w:val="en-US" w:eastAsia="zh-CN"/>
              </w:rPr>
              <w:t>t/a</w:t>
            </w:r>
          </w:p>
        </w:tc>
      </w:tr>
      <w:tr w14:paraId="4D1A23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3F39E42B">
            <w:pPr>
              <w:pStyle w:val="71"/>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1B33AE47">
            <w:pPr>
              <w:pStyle w:val="71"/>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废切削液桶</w:t>
            </w:r>
          </w:p>
        </w:tc>
        <w:tc>
          <w:tcPr>
            <w:tcW w:w="1422" w:type="dxa"/>
            <w:noWrap w:val="0"/>
            <w:vAlign w:val="center"/>
          </w:tcPr>
          <w:p w14:paraId="6F6123A2">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0.002</w:t>
            </w:r>
            <w:r>
              <w:rPr>
                <w:rFonts w:hint="eastAsia" w:cs="Times New Roman"/>
                <w:snapToGrid w:val="0"/>
                <w:color w:val="auto"/>
                <w:kern w:val="21"/>
                <w:szCs w:val="21"/>
                <w:lang w:val="en-US" w:eastAsia="zh-CN"/>
              </w:rPr>
              <w:t>t/a</w:t>
            </w:r>
          </w:p>
        </w:tc>
        <w:tc>
          <w:tcPr>
            <w:tcW w:w="1123" w:type="dxa"/>
            <w:noWrap w:val="0"/>
            <w:vAlign w:val="center"/>
          </w:tcPr>
          <w:p w14:paraId="38C80610">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1836815E">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5328BA6A">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r>
              <w:rPr>
                <w:rFonts w:hint="eastAsia" w:cs="Times New Roman"/>
                <w:snapToGrid w:val="0"/>
                <w:color w:val="auto"/>
                <w:kern w:val="21"/>
                <w:szCs w:val="21"/>
                <w:lang w:val="en-US" w:eastAsia="zh-CN"/>
              </w:rPr>
              <w:t>t/a</w:t>
            </w:r>
          </w:p>
        </w:tc>
        <w:tc>
          <w:tcPr>
            <w:tcW w:w="1722" w:type="dxa"/>
            <w:noWrap w:val="0"/>
            <w:vAlign w:val="center"/>
          </w:tcPr>
          <w:p w14:paraId="7345AE10">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77E0A507">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0.002</w:t>
            </w:r>
            <w:r>
              <w:rPr>
                <w:rFonts w:hint="eastAsia" w:cs="Times New Roman"/>
                <w:snapToGrid w:val="0"/>
                <w:color w:val="auto"/>
                <w:kern w:val="21"/>
                <w:szCs w:val="21"/>
                <w:lang w:val="en-US" w:eastAsia="zh-CN"/>
              </w:rPr>
              <w:t>t/a</w:t>
            </w:r>
          </w:p>
        </w:tc>
        <w:tc>
          <w:tcPr>
            <w:tcW w:w="1128" w:type="dxa"/>
            <w:noWrap w:val="0"/>
            <w:vAlign w:val="center"/>
          </w:tcPr>
          <w:p w14:paraId="0D1E50C6">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r>
              <w:rPr>
                <w:rFonts w:hint="eastAsia" w:cs="Times New Roman"/>
                <w:snapToGrid w:val="0"/>
                <w:color w:val="auto"/>
                <w:kern w:val="21"/>
                <w:szCs w:val="21"/>
                <w:lang w:val="en-US" w:eastAsia="zh-CN"/>
              </w:rPr>
              <w:t>t/a</w:t>
            </w:r>
          </w:p>
        </w:tc>
      </w:tr>
      <w:tr w14:paraId="7F02D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6C63C335">
            <w:pPr>
              <w:pStyle w:val="71"/>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41B355E4">
            <w:pPr>
              <w:pStyle w:val="7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废含油抹布手套</w:t>
            </w:r>
          </w:p>
        </w:tc>
        <w:tc>
          <w:tcPr>
            <w:tcW w:w="1422" w:type="dxa"/>
            <w:noWrap w:val="0"/>
            <w:vAlign w:val="center"/>
          </w:tcPr>
          <w:p w14:paraId="21D43652">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0.001</w:t>
            </w:r>
            <w:r>
              <w:rPr>
                <w:rFonts w:hint="eastAsia" w:cs="Times New Roman"/>
                <w:snapToGrid w:val="0"/>
                <w:color w:val="auto"/>
                <w:kern w:val="21"/>
                <w:szCs w:val="21"/>
                <w:lang w:val="en-US" w:eastAsia="zh-CN"/>
              </w:rPr>
              <w:t>t/a</w:t>
            </w:r>
          </w:p>
        </w:tc>
        <w:tc>
          <w:tcPr>
            <w:tcW w:w="1123" w:type="dxa"/>
            <w:noWrap w:val="0"/>
            <w:vAlign w:val="center"/>
          </w:tcPr>
          <w:p w14:paraId="4F994DE8">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200103AC">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1CB132E2">
            <w:pPr>
              <w:pStyle w:val="7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0.0002</w:t>
            </w:r>
            <w:r>
              <w:rPr>
                <w:rFonts w:hint="eastAsia" w:cs="Times New Roman"/>
                <w:snapToGrid w:val="0"/>
                <w:color w:val="auto"/>
                <w:kern w:val="21"/>
                <w:szCs w:val="21"/>
                <w:lang w:val="en-US" w:eastAsia="zh-CN"/>
              </w:rPr>
              <w:t>t/a</w:t>
            </w:r>
          </w:p>
        </w:tc>
        <w:tc>
          <w:tcPr>
            <w:tcW w:w="1722" w:type="dxa"/>
            <w:noWrap w:val="0"/>
            <w:vAlign w:val="center"/>
          </w:tcPr>
          <w:p w14:paraId="592DAB40">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5FC00710">
            <w:pPr>
              <w:pStyle w:val="7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0.001</w:t>
            </w:r>
            <w:r>
              <w:rPr>
                <w:rFonts w:hint="eastAsia" w:ascii="Times New Roman" w:hAnsi="Times New Roman" w:cs="Times New Roman"/>
                <w:snapToGrid w:val="0"/>
                <w:color w:val="auto"/>
                <w:kern w:val="21"/>
                <w:szCs w:val="21"/>
                <w:lang w:val="en-US" w:eastAsia="zh-CN"/>
              </w:rPr>
              <w:t>2</w:t>
            </w:r>
            <w:r>
              <w:rPr>
                <w:rFonts w:hint="eastAsia" w:cs="Times New Roman"/>
                <w:snapToGrid w:val="0"/>
                <w:color w:val="auto"/>
                <w:kern w:val="21"/>
                <w:szCs w:val="21"/>
                <w:lang w:val="en-US" w:eastAsia="zh-CN"/>
              </w:rPr>
              <w:t>t/a</w:t>
            </w:r>
          </w:p>
        </w:tc>
        <w:tc>
          <w:tcPr>
            <w:tcW w:w="1128" w:type="dxa"/>
            <w:noWrap w:val="0"/>
            <w:vAlign w:val="center"/>
          </w:tcPr>
          <w:p w14:paraId="5B50009C">
            <w:pPr>
              <w:pStyle w:val="71"/>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+0.00</w:t>
            </w:r>
            <w:r>
              <w:rPr>
                <w:rFonts w:hint="eastAsia" w:ascii="Times New Roman" w:hAnsi="Times New Roman" w:cs="Times New Roman"/>
                <w:snapToGrid w:val="0"/>
                <w:color w:val="auto"/>
                <w:kern w:val="21"/>
                <w:szCs w:val="21"/>
                <w:lang w:val="en-US" w:eastAsia="zh-CN"/>
              </w:rPr>
              <w:t>02</w:t>
            </w:r>
            <w:r>
              <w:rPr>
                <w:rFonts w:hint="eastAsia" w:cs="Times New Roman"/>
                <w:snapToGrid w:val="0"/>
                <w:color w:val="auto"/>
                <w:kern w:val="21"/>
                <w:szCs w:val="21"/>
                <w:lang w:val="en-US" w:eastAsia="zh-CN"/>
              </w:rPr>
              <w:t>t/a</w:t>
            </w:r>
          </w:p>
        </w:tc>
      </w:tr>
      <w:tr w14:paraId="102742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557BB90F">
            <w:pPr>
              <w:pStyle w:val="71"/>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7260AD2D">
            <w:pPr>
              <w:pStyle w:val="71"/>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污泥</w:t>
            </w:r>
          </w:p>
        </w:tc>
        <w:tc>
          <w:tcPr>
            <w:tcW w:w="1422" w:type="dxa"/>
            <w:noWrap w:val="0"/>
            <w:vAlign w:val="center"/>
          </w:tcPr>
          <w:p w14:paraId="597F213A">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w:t>
            </w:r>
          </w:p>
        </w:tc>
        <w:tc>
          <w:tcPr>
            <w:tcW w:w="1123" w:type="dxa"/>
            <w:noWrap w:val="0"/>
            <w:vAlign w:val="center"/>
          </w:tcPr>
          <w:p w14:paraId="3E923CED">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663" w:type="dxa"/>
            <w:noWrap w:val="0"/>
            <w:vAlign w:val="center"/>
          </w:tcPr>
          <w:p w14:paraId="5582F7BF">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24" w:type="dxa"/>
            <w:noWrap w:val="0"/>
            <w:vAlign w:val="center"/>
          </w:tcPr>
          <w:p w14:paraId="2E42E4FB">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2.18</w:t>
            </w:r>
            <w:r>
              <w:rPr>
                <w:rFonts w:hint="eastAsia" w:cs="Times New Roman"/>
                <w:snapToGrid w:val="0"/>
                <w:color w:val="auto"/>
                <w:kern w:val="21"/>
                <w:szCs w:val="21"/>
                <w:lang w:val="en-US" w:eastAsia="zh-CN"/>
              </w:rPr>
              <w:t>t/a</w:t>
            </w:r>
          </w:p>
        </w:tc>
        <w:tc>
          <w:tcPr>
            <w:tcW w:w="1722" w:type="dxa"/>
            <w:noWrap w:val="0"/>
            <w:vAlign w:val="center"/>
          </w:tcPr>
          <w:p w14:paraId="17F9C306">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4FB81747">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2.18</w:t>
            </w:r>
            <w:r>
              <w:rPr>
                <w:rFonts w:hint="eastAsia" w:cs="Times New Roman"/>
                <w:snapToGrid w:val="0"/>
                <w:color w:val="auto"/>
                <w:kern w:val="21"/>
                <w:szCs w:val="21"/>
                <w:lang w:val="en-US" w:eastAsia="zh-CN"/>
              </w:rPr>
              <w:t>t/a</w:t>
            </w:r>
          </w:p>
        </w:tc>
        <w:tc>
          <w:tcPr>
            <w:tcW w:w="1128" w:type="dxa"/>
            <w:noWrap w:val="0"/>
            <w:vAlign w:val="center"/>
          </w:tcPr>
          <w:p w14:paraId="6194D621">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+2.18</w:t>
            </w:r>
            <w:r>
              <w:rPr>
                <w:rFonts w:hint="eastAsia" w:cs="Times New Roman"/>
                <w:snapToGrid w:val="0"/>
                <w:color w:val="auto"/>
                <w:kern w:val="21"/>
                <w:szCs w:val="21"/>
                <w:lang w:val="en-US" w:eastAsia="zh-CN"/>
              </w:rPr>
              <w:t>t/a</w:t>
            </w:r>
          </w:p>
        </w:tc>
      </w:tr>
      <w:tr w14:paraId="629DA6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19A72C6E">
            <w:pPr>
              <w:pStyle w:val="71"/>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7082A7EF">
            <w:pPr>
              <w:pStyle w:val="7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废活性炭</w:t>
            </w:r>
          </w:p>
        </w:tc>
        <w:tc>
          <w:tcPr>
            <w:tcW w:w="1422" w:type="dxa"/>
            <w:noWrap w:val="0"/>
            <w:vAlign w:val="center"/>
          </w:tcPr>
          <w:p w14:paraId="71B9BACF">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w:t>
            </w:r>
          </w:p>
        </w:tc>
        <w:tc>
          <w:tcPr>
            <w:tcW w:w="1123" w:type="dxa"/>
            <w:noWrap w:val="0"/>
            <w:vAlign w:val="center"/>
          </w:tcPr>
          <w:p w14:paraId="4EAD14B2">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663" w:type="dxa"/>
            <w:noWrap w:val="0"/>
            <w:vAlign w:val="center"/>
          </w:tcPr>
          <w:p w14:paraId="546B9BA7">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24" w:type="dxa"/>
            <w:noWrap w:val="0"/>
            <w:vAlign w:val="center"/>
          </w:tcPr>
          <w:p w14:paraId="22FC6B68">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7.64</w:t>
            </w:r>
            <w:r>
              <w:rPr>
                <w:rFonts w:hint="eastAsia" w:cs="Times New Roman"/>
                <w:snapToGrid w:val="0"/>
                <w:color w:val="auto"/>
                <w:kern w:val="21"/>
                <w:szCs w:val="21"/>
                <w:lang w:val="en-US" w:eastAsia="zh-CN"/>
              </w:rPr>
              <w:t>t/a</w:t>
            </w:r>
          </w:p>
        </w:tc>
        <w:tc>
          <w:tcPr>
            <w:tcW w:w="1722" w:type="dxa"/>
            <w:noWrap w:val="0"/>
            <w:vAlign w:val="center"/>
          </w:tcPr>
          <w:p w14:paraId="29AD4ECF">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5655A1B7">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7.64</w:t>
            </w:r>
            <w:r>
              <w:rPr>
                <w:rFonts w:hint="eastAsia" w:cs="Times New Roman"/>
                <w:snapToGrid w:val="0"/>
                <w:color w:val="auto"/>
                <w:kern w:val="21"/>
                <w:szCs w:val="21"/>
                <w:lang w:val="en-US" w:eastAsia="zh-CN"/>
              </w:rPr>
              <w:t>t/a</w:t>
            </w:r>
          </w:p>
        </w:tc>
        <w:tc>
          <w:tcPr>
            <w:tcW w:w="1128" w:type="dxa"/>
            <w:noWrap w:val="0"/>
            <w:vAlign w:val="center"/>
          </w:tcPr>
          <w:p w14:paraId="266CB119">
            <w:pPr>
              <w:pStyle w:val="71"/>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+7.64</w:t>
            </w:r>
            <w:r>
              <w:rPr>
                <w:rFonts w:hint="eastAsia" w:cs="Times New Roman"/>
                <w:snapToGrid w:val="0"/>
                <w:color w:val="auto"/>
                <w:kern w:val="21"/>
                <w:szCs w:val="21"/>
                <w:lang w:val="en-US" w:eastAsia="zh-CN"/>
              </w:rPr>
              <w:t>t/a</w:t>
            </w:r>
          </w:p>
        </w:tc>
      </w:tr>
      <w:tr w14:paraId="09157E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67EBE460">
            <w:pPr>
              <w:pStyle w:val="71"/>
              <w:spacing w:beforeLines="0" w:afterLines="0" w:line="240" w:lineRule="auto"/>
              <w:rPr>
                <w:rFonts w:hint="default" w:ascii="Times New Roman" w:hAnsi="Times New Roman" w:cs="Times New Roman"/>
                <w:snapToGrid w:val="0"/>
                <w:color w:val="auto"/>
                <w:kern w:val="21"/>
                <w:szCs w:val="21"/>
              </w:rPr>
            </w:pPr>
          </w:p>
        </w:tc>
        <w:tc>
          <w:tcPr>
            <w:tcW w:w="1807" w:type="dxa"/>
            <w:shd w:val="clear" w:color="auto" w:fill="auto"/>
            <w:noWrap w:val="0"/>
            <w:vAlign w:val="center"/>
          </w:tcPr>
          <w:p w14:paraId="3489D47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废滤袋、超滤膜</w:t>
            </w:r>
          </w:p>
        </w:tc>
        <w:tc>
          <w:tcPr>
            <w:tcW w:w="1422" w:type="dxa"/>
            <w:noWrap w:val="0"/>
            <w:vAlign w:val="center"/>
          </w:tcPr>
          <w:p w14:paraId="2AD3657F">
            <w:pPr>
              <w:spacing w:beforeLines="0" w:afterLines="0" w:line="240" w:lineRule="auto"/>
              <w:jc w:val="center"/>
              <w:rPr>
                <w:rFonts w:hint="default" w:cs="Times New Roman"/>
                <w:snapToGrid w:val="0"/>
                <w:color w:val="auto"/>
                <w:kern w:val="21"/>
                <w:szCs w:val="21"/>
                <w:lang w:val="en-US" w:eastAsia="zh-CN"/>
              </w:rPr>
            </w:pPr>
            <w:r>
              <w:rPr>
                <w:rFonts w:hint="eastAsia" w:cs="Times New Roman"/>
                <w:snapToGrid w:val="0"/>
                <w:color w:val="auto"/>
                <w:kern w:val="21"/>
                <w:szCs w:val="21"/>
                <w:lang w:val="en-US" w:eastAsia="zh-CN"/>
              </w:rPr>
              <w:t>/</w:t>
            </w:r>
          </w:p>
        </w:tc>
        <w:tc>
          <w:tcPr>
            <w:tcW w:w="1123" w:type="dxa"/>
            <w:noWrap w:val="0"/>
            <w:vAlign w:val="center"/>
          </w:tcPr>
          <w:p w14:paraId="39E001B3">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663" w:type="dxa"/>
            <w:noWrap w:val="0"/>
            <w:vAlign w:val="center"/>
          </w:tcPr>
          <w:p w14:paraId="1464A995">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524" w:type="dxa"/>
            <w:noWrap w:val="0"/>
            <w:vAlign w:val="center"/>
          </w:tcPr>
          <w:p w14:paraId="14125BFB">
            <w:pPr>
              <w:pStyle w:val="71"/>
              <w:spacing w:beforeLines="0" w:afterLines="0" w:line="240" w:lineRule="auto"/>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0.012t/a</w:t>
            </w:r>
          </w:p>
        </w:tc>
        <w:tc>
          <w:tcPr>
            <w:tcW w:w="1722" w:type="dxa"/>
            <w:noWrap w:val="0"/>
            <w:vAlign w:val="center"/>
          </w:tcPr>
          <w:p w14:paraId="7D5D82DD">
            <w:pPr>
              <w:spacing w:beforeLines="0" w:afterLines="0" w:line="240" w:lineRule="auto"/>
              <w:jc w:val="center"/>
              <w:rPr>
                <w:rFonts w:hint="eastAsia" w:ascii="Times New Roman" w:hAnsi="Times New Roman" w:cs="Times New Roman"/>
                <w:snapToGrid w:val="0"/>
                <w:color w:val="auto"/>
                <w:kern w:val="21"/>
                <w:szCs w:val="21"/>
                <w:lang w:val="en-US" w:eastAsia="zh-CN"/>
              </w:rPr>
            </w:pPr>
          </w:p>
        </w:tc>
        <w:tc>
          <w:tcPr>
            <w:tcW w:w="1593" w:type="dxa"/>
            <w:noWrap w:val="0"/>
            <w:vAlign w:val="center"/>
          </w:tcPr>
          <w:p w14:paraId="64468009">
            <w:pPr>
              <w:pStyle w:val="71"/>
              <w:spacing w:beforeLines="0" w:afterLines="0" w:line="240" w:lineRule="auto"/>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0.012t/a</w:t>
            </w:r>
          </w:p>
        </w:tc>
        <w:tc>
          <w:tcPr>
            <w:tcW w:w="1128" w:type="dxa"/>
            <w:noWrap w:val="0"/>
            <w:vAlign w:val="center"/>
          </w:tcPr>
          <w:p w14:paraId="7646FEA8">
            <w:pPr>
              <w:pStyle w:val="71"/>
              <w:spacing w:beforeLines="0" w:afterLines="0" w:line="240" w:lineRule="auto"/>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+0.012t/a</w:t>
            </w:r>
          </w:p>
        </w:tc>
      </w:tr>
      <w:tr w14:paraId="502D9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6EB0E6AC">
            <w:pPr>
              <w:pStyle w:val="71"/>
              <w:spacing w:beforeLines="0" w:afterLines="0" w:line="240" w:lineRule="auto"/>
              <w:rPr>
                <w:rFonts w:hint="default" w:ascii="Times New Roman" w:hAnsi="Times New Roman" w:cs="Times New Roman"/>
                <w:snapToGrid w:val="0"/>
                <w:color w:val="auto"/>
                <w:kern w:val="21"/>
                <w:szCs w:val="21"/>
              </w:rPr>
            </w:pPr>
          </w:p>
        </w:tc>
        <w:tc>
          <w:tcPr>
            <w:tcW w:w="1807" w:type="dxa"/>
            <w:shd w:val="clear" w:color="auto" w:fill="auto"/>
            <w:noWrap w:val="0"/>
            <w:vAlign w:val="center"/>
          </w:tcPr>
          <w:p w14:paraId="7350DC4C">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废槽液</w:t>
            </w:r>
          </w:p>
        </w:tc>
        <w:tc>
          <w:tcPr>
            <w:tcW w:w="1422" w:type="dxa"/>
            <w:noWrap w:val="0"/>
            <w:vAlign w:val="center"/>
          </w:tcPr>
          <w:p w14:paraId="7CF357FA">
            <w:pPr>
              <w:spacing w:beforeLines="0" w:afterLines="0" w:line="240" w:lineRule="auto"/>
              <w:jc w:val="center"/>
              <w:rPr>
                <w:rFonts w:hint="default" w:cs="Times New Roman"/>
                <w:snapToGrid w:val="0"/>
                <w:color w:val="auto"/>
                <w:kern w:val="21"/>
                <w:szCs w:val="21"/>
                <w:lang w:val="en-US" w:eastAsia="zh-CN"/>
              </w:rPr>
            </w:pPr>
            <w:r>
              <w:rPr>
                <w:rFonts w:hint="eastAsia" w:cs="Times New Roman"/>
                <w:snapToGrid w:val="0"/>
                <w:color w:val="auto"/>
                <w:kern w:val="21"/>
                <w:szCs w:val="21"/>
                <w:lang w:val="en-US" w:eastAsia="zh-CN"/>
              </w:rPr>
              <w:t>/</w:t>
            </w:r>
          </w:p>
        </w:tc>
        <w:tc>
          <w:tcPr>
            <w:tcW w:w="1123" w:type="dxa"/>
            <w:noWrap w:val="0"/>
            <w:vAlign w:val="center"/>
          </w:tcPr>
          <w:p w14:paraId="1AD1D25D">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663" w:type="dxa"/>
            <w:noWrap w:val="0"/>
            <w:vAlign w:val="center"/>
          </w:tcPr>
          <w:p w14:paraId="13710992">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524" w:type="dxa"/>
            <w:noWrap w:val="0"/>
            <w:vAlign w:val="center"/>
          </w:tcPr>
          <w:p w14:paraId="171AFFB0">
            <w:pPr>
              <w:pStyle w:val="71"/>
              <w:spacing w:beforeLines="0" w:afterLines="0" w:line="240" w:lineRule="auto"/>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35.44t/a</w:t>
            </w:r>
          </w:p>
        </w:tc>
        <w:tc>
          <w:tcPr>
            <w:tcW w:w="1722" w:type="dxa"/>
            <w:noWrap w:val="0"/>
            <w:vAlign w:val="center"/>
          </w:tcPr>
          <w:p w14:paraId="18D62DE1">
            <w:pPr>
              <w:spacing w:beforeLines="0" w:afterLines="0" w:line="240" w:lineRule="auto"/>
              <w:jc w:val="center"/>
              <w:rPr>
                <w:rFonts w:hint="eastAsia" w:ascii="Times New Roman" w:hAnsi="Times New Roman" w:cs="Times New Roman"/>
                <w:snapToGrid w:val="0"/>
                <w:color w:val="auto"/>
                <w:kern w:val="21"/>
                <w:szCs w:val="21"/>
                <w:lang w:val="en-US" w:eastAsia="zh-CN"/>
              </w:rPr>
            </w:pPr>
          </w:p>
        </w:tc>
        <w:tc>
          <w:tcPr>
            <w:tcW w:w="1593" w:type="dxa"/>
            <w:shd w:val="clear" w:color="auto" w:fill="auto"/>
            <w:noWrap w:val="0"/>
            <w:vAlign w:val="center"/>
          </w:tcPr>
          <w:p w14:paraId="2A7F8C61">
            <w:pPr>
              <w:pStyle w:val="7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35.44t/a</w:t>
            </w:r>
          </w:p>
        </w:tc>
        <w:tc>
          <w:tcPr>
            <w:tcW w:w="1128" w:type="dxa"/>
            <w:shd w:val="clear" w:color="auto" w:fill="auto"/>
            <w:noWrap w:val="0"/>
            <w:vAlign w:val="center"/>
          </w:tcPr>
          <w:p w14:paraId="25E69903">
            <w:pPr>
              <w:pStyle w:val="7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+35.44t/a</w:t>
            </w:r>
          </w:p>
        </w:tc>
      </w:tr>
      <w:tr w14:paraId="52F827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497222C6">
            <w:pPr>
              <w:pStyle w:val="71"/>
              <w:spacing w:beforeLines="0" w:afterLines="0" w:line="240" w:lineRule="auto"/>
              <w:rPr>
                <w:rFonts w:hint="default" w:ascii="Times New Roman" w:hAnsi="Times New Roman" w:cs="Times New Roman"/>
                <w:snapToGrid w:val="0"/>
                <w:color w:val="auto"/>
                <w:kern w:val="21"/>
                <w:szCs w:val="21"/>
              </w:rPr>
            </w:pPr>
          </w:p>
        </w:tc>
        <w:tc>
          <w:tcPr>
            <w:tcW w:w="1807" w:type="dxa"/>
            <w:shd w:val="clear" w:color="auto" w:fill="auto"/>
            <w:noWrap w:val="0"/>
            <w:vAlign w:val="center"/>
          </w:tcPr>
          <w:p w14:paraId="39C1814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浓水</w:t>
            </w:r>
          </w:p>
        </w:tc>
        <w:tc>
          <w:tcPr>
            <w:tcW w:w="1422" w:type="dxa"/>
            <w:noWrap w:val="0"/>
            <w:vAlign w:val="center"/>
          </w:tcPr>
          <w:p w14:paraId="65114C15">
            <w:pPr>
              <w:spacing w:beforeLines="0" w:afterLines="0" w:line="240" w:lineRule="auto"/>
              <w:jc w:val="center"/>
              <w:rPr>
                <w:rFonts w:hint="default" w:cs="Times New Roman"/>
                <w:snapToGrid w:val="0"/>
                <w:color w:val="auto"/>
                <w:kern w:val="21"/>
                <w:szCs w:val="21"/>
                <w:lang w:val="en-US" w:eastAsia="zh-CN"/>
              </w:rPr>
            </w:pPr>
            <w:r>
              <w:rPr>
                <w:rFonts w:hint="eastAsia" w:cs="Times New Roman"/>
                <w:snapToGrid w:val="0"/>
                <w:color w:val="auto"/>
                <w:kern w:val="21"/>
                <w:szCs w:val="21"/>
                <w:lang w:val="en-US" w:eastAsia="zh-CN"/>
              </w:rPr>
              <w:t>/</w:t>
            </w:r>
          </w:p>
        </w:tc>
        <w:tc>
          <w:tcPr>
            <w:tcW w:w="1123" w:type="dxa"/>
            <w:noWrap w:val="0"/>
            <w:vAlign w:val="center"/>
          </w:tcPr>
          <w:p w14:paraId="6FEB04D7">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663" w:type="dxa"/>
            <w:noWrap w:val="0"/>
            <w:vAlign w:val="center"/>
          </w:tcPr>
          <w:p w14:paraId="1CB79F1C">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524" w:type="dxa"/>
            <w:noWrap w:val="0"/>
            <w:vAlign w:val="center"/>
          </w:tcPr>
          <w:p w14:paraId="5A159825">
            <w:pPr>
              <w:pStyle w:val="71"/>
              <w:spacing w:beforeLines="0" w:afterLines="0" w:line="240" w:lineRule="auto"/>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30t/a</w:t>
            </w:r>
          </w:p>
        </w:tc>
        <w:tc>
          <w:tcPr>
            <w:tcW w:w="1722" w:type="dxa"/>
            <w:noWrap w:val="0"/>
            <w:vAlign w:val="center"/>
          </w:tcPr>
          <w:p w14:paraId="5C696196">
            <w:pPr>
              <w:spacing w:beforeLines="0" w:afterLines="0" w:line="240" w:lineRule="auto"/>
              <w:jc w:val="center"/>
              <w:rPr>
                <w:rFonts w:hint="eastAsia" w:ascii="Times New Roman" w:hAnsi="Times New Roman" w:cs="Times New Roman"/>
                <w:snapToGrid w:val="0"/>
                <w:color w:val="auto"/>
                <w:kern w:val="21"/>
                <w:szCs w:val="21"/>
                <w:lang w:val="en-US" w:eastAsia="zh-CN"/>
              </w:rPr>
            </w:pPr>
          </w:p>
        </w:tc>
        <w:tc>
          <w:tcPr>
            <w:tcW w:w="1593" w:type="dxa"/>
            <w:shd w:val="clear" w:color="auto" w:fill="auto"/>
            <w:noWrap w:val="0"/>
            <w:vAlign w:val="center"/>
          </w:tcPr>
          <w:p w14:paraId="67CA93FC">
            <w:pPr>
              <w:pStyle w:val="7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30t/a</w:t>
            </w:r>
          </w:p>
        </w:tc>
        <w:tc>
          <w:tcPr>
            <w:tcW w:w="1128" w:type="dxa"/>
            <w:shd w:val="clear" w:color="auto" w:fill="auto"/>
            <w:noWrap w:val="0"/>
            <w:vAlign w:val="center"/>
          </w:tcPr>
          <w:p w14:paraId="594571AE">
            <w:pPr>
              <w:pStyle w:val="71"/>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+30t/a</w:t>
            </w:r>
          </w:p>
        </w:tc>
      </w:tr>
      <w:tr w14:paraId="1AC03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gridSpan w:val="2"/>
            <w:noWrap w:val="0"/>
            <w:vAlign w:val="center"/>
          </w:tcPr>
          <w:p w14:paraId="43E03AA8">
            <w:pPr>
              <w:pStyle w:val="7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生活垃圾</w:t>
            </w:r>
          </w:p>
        </w:tc>
        <w:tc>
          <w:tcPr>
            <w:tcW w:w="1422" w:type="dxa"/>
            <w:noWrap w:val="0"/>
            <w:vAlign w:val="center"/>
          </w:tcPr>
          <w:p w14:paraId="19A4CEC7">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5.4</w:t>
            </w:r>
            <w:r>
              <w:rPr>
                <w:rFonts w:hint="eastAsia" w:cs="Times New Roman"/>
                <w:snapToGrid w:val="0"/>
                <w:color w:val="auto"/>
                <w:kern w:val="21"/>
                <w:szCs w:val="21"/>
                <w:lang w:val="en-US" w:eastAsia="zh-CN"/>
              </w:rPr>
              <w:t>t/a</w:t>
            </w:r>
          </w:p>
        </w:tc>
        <w:tc>
          <w:tcPr>
            <w:tcW w:w="1123" w:type="dxa"/>
            <w:noWrap w:val="0"/>
            <w:vAlign w:val="center"/>
          </w:tcPr>
          <w:p w14:paraId="5DDEFEE4">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663" w:type="dxa"/>
            <w:noWrap w:val="0"/>
            <w:vAlign w:val="center"/>
          </w:tcPr>
          <w:p w14:paraId="29AC7E0E">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05029BE3">
            <w:pPr>
              <w:pStyle w:val="7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722" w:type="dxa"/>
            <w:noWrap w:val="0"/>
            <w:vAlign w:val="center"/>
          </w:tcPr>
          <w:p w14:paraId="61868BDC">
            <w:pPr>
              <w:pStyle w:val="71"/>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93" w:type="dxa"/>
            <w:noWrap w:val="0"/>
            <w:vAlign w:val="center"/>
          </w:tcPr>
          <w:p w14:paraId="335E4A89">
            <w:pPr>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128" w:type="dxa"/>
            <w:noWrap w:val="0"/>
            <w:vAlign w:val="center"/>
          </w:tcPr>
          <w:p w14:paraId="48D81BB4">
            <w:pPr>
              <w:pStyle w:val="71"/>
              <w:spacing w:beforeLines="0" w:afterLines="0" w:line="240" w:lineRule="auto"/>
              <w:rPr>
                <w:rFonts w:hint="default" w:ascii="Times New Roman" w:hAnsi="Times New Roman" w:cs="Times New Roman"/>
                <w:snapToGrid w:val="0"/>
                <w:color w:val="auto"/>
                <w:kern w:val="21"/>
                <w:szCs w:val="21"/>
                <w:lang w:val="en-US"/>
              </w:rPr>
            </w:pPr>
            <w:r>
              <w:rPr>
                <w:rFonts w:hint="eastAsia" w:ascii="Times New Roman" w:hAnsi="Times New Roman" w:cs="Times New Roman"/>
                <w:snapToGrid w:val="0"/>
                <w:color w:val="auto"/>
                <w:kern w:val="21"/>
                <w:szCs w:val="21"/>
                <w:lang w:val="en-US" w:eastAsia="zh-CN"/>
              </w:rPr>
              <w:t>0</w:t>
            </w:r>
            <w:r>
              <w:rPr>
                <w:rFonts w:hint="eastAsia" w:cs="Times New Roman"/>
                <w:snapToGrid w:val="0"/>
                <w:color w:val="auto"/>
                <w:kern w:val="21"/>
                <w:szCs w:val="21"/>
                <w:lang w:val="en-US" w:eastAsia="zh-CN"/>
              </w:rPr>
              <w:t>t/a</w:t>
            </w:r>
          </w:p>
        </w:tc>
      </w:tr>
    </w:tbl>
    <w:p w14:paraId="6C2D5F68">
      <w:pPr>
        <w:pStyle w:val="71"/>
        <w:spacing w:before="192" w:beforeLines="80" w:after="24"/>
        <w:jc w:val="left"/>
        <w:rPr>
          <w:rFonts w:hint="default" w:ascii="Times New Roman" w:hAnsi="Times New Roman" w:cs="Times New Roman"/>
          <w:snapToGrid w:val="0"/>
          <w:color w:val="auto"/>
          <w:spacing w:val="-6"/>
          <w:kern w:val="21"/>
          <w:szCs w:val="21"/>
        </w:rPr>
        <w:sectPr>
          <w:pgSz w:w="16838" w:h="11906" w:orient="landscape"/>
          <w:pgMar w:top="1417"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14:paraId="2F7FD2F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643" w:firstLineChars="200"/>
        <w:jc w:val="center"/>
        <w:textAlignment w:val="auto"/>
        <w:rPr>
          <w:rFonts w:hint="default" w:ascii="Times New Roman" w:hAnsi="Times New Roman" w:cs="Times New Roman"/>
          <w:b/>
          <w:bCs/>
          <w:color w:val="auto"/>
          <w:sz w:val="32"/>
          <w:szCs w:val="32"/>
          <w:highlight w:val="none"/>
          <w:lang w:val="en-US" w:eastAsia="zh-CN"/>
        </w:rPr>
      </w:pPr>
      <w:r>
        <w:rPr>
          <w:rFonts w:hint="default" w:ascii="Times New Roman" w:hAnsi="Times New Roman" w:cs="Times New Roman"/>
          <w:b/>
          <w:bCs/>
          <w:color w:val="auto"/>
          <w:sz w:val="32"/>
          <w:szCs w:val="32"/>
          <w:highlight w:val="none"/>
          <w:lang w:val="en-US" w:eastAsia="zh-CN"/>
        </w:rPr>
        <w:t>《宝鸡市文达机械制造有限公司文达机械制造技改项目》</w:t>
      </w:r>
    </w:p>
    <w:p w14:paraId="58A85C4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643" w:firstLineChars="200"/>
        <w:jc w:val="center"/>
        <w:textAlignment w:val="auto"/>
        <w:rPr>
          <w:rFonts w:hint="default" w:ascii="Times New Roman" w:hAnsi="Times New Roman" w:cs="Times New Roman"/>
          <w:b/>
          <w:bCs/>
          <w:color w:val="auto"/>
          <w:sz w:val="32"/>
          <w:szCs w:val="32"/>
          <w:highlight w:val="none"/>
          <w:lang w:val="en-US" w:eastAsia="zh-CN"/>
        </w:rPr>
      </w:pPr>
      <w:r>
        <w:rPr>
          <w:rFonts w:hint="default" w:ascii="Times New Roman" w:hAnsi="Times New Roman" w:cs="Times New Roman"/>
          <w:b/>
          <w:bCs/>
          <w:color w:val="auto"/>
          <w:sz w:val="32"/>
          <w:szCs w:val="32"/>
          <w:highlight w:val="none"/>
          <w:lang w:val="en-US" w:eastAsia="zh-CN"/>
        </w:rPr>
        <w:t>环保绩效管理篇章</w:t>
      </w:r>
    </w:p>
    <w:p w14:paraId="4A0079C4">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SA"/>
        </w:rPr>
        <w:sectPr>
          <w:pgSz w:w="11906" w:h="16838"/>
          <w:pgMar w:top="1701" w:right="1531" w:bottom="1701" w:left="1417"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b w:val="0"/>
          <w:bCs w:val="0"/>
          <w:color w:val="auto"/>
          <w:kern w:val="2"/>
          <w:sz w:val="24"/>
          <w:szCs w:val="24"/>
          <w:lang w:val="en-US" w:eastAsia="zh-CN" w:bidi="ar-SA"/>
        </w:rPr>
        <w:t>宝鸡市文达机械制造有限公司文达机械制造技改项目位于陈仓区</w:t>
      </w:r>
      <w:r>
        <w:rPr>
          <w:rFonts w:hint="eastAsia" w:ascii="Times New Roman" w:hAnsi="Times New Roman" w:cs="Times New Roman"/>
          <w:b w:val="0"/>
          <w:bCs w:val="0"/>
          <w:color w:val="auto"/>
          <w:kern w:val="2"/>
          <w:sz w:val="24"/>
          <w:szCs w:val="24"/>
          <w:lang w:val="en-US" w:eastAsia="zh-CN" w:bidi="ar-SA"/>
        </w:rPr>
        <w:t>科技工业园</w:t>
      </w:r>
      <w:r>
        <w:rPr>
          <w:rFonts w:hint="default" w:ascii="Times New Roman" w:hAnsi="Times New Roman" w:eastAsia="宋体" w:cs="Times New Roman"/>
          <w:b w:val="0"/>
          <w:bCs w:val="0"/>
          <w:color w:val="auto"/>
          <w:kern w:val="2"/>
          <w:sz w:val="24"/>
          <w:szCs w:val="24"/>
          <w:lang w:val="en-US" w:eastAsia="zh-CN" w:bidi="ar-SA"/>
        </w:rPr>
        <w:t>，本项目</w:t>
      </w:r>
      <w:r>
        <w:rPr>
          <w:rFonts w:hint="eastAsia" w:ascii="Times New Roman" w:hAnsi="Times New Roman" w:cs="Times New Roman"/>
          <w:b w:val="0"/>
          <w:bCs w:val="0"/>
          <w:color w:val="auto"/>
          <w:kern w:val="2"/>
          <w:sz w:val="24"/>
          <w:szCs w:val="24"/>
          <w:lang w:val="en-US" w:eastAsia="zh-CN" w:bidi="ar-SA"/>
        </w:rPr>
        <w:t>生产工序涉及喷塑、固化，故</w:t>
      </w:r>
      <w:r>
        <w:rPr>
          <w:rFonts w:hint="default" w:ascii="Times New Roman" w:hAnsi="Times New Roman" w:eastAsia="宋体" w:cs="Times New Roman"/>
          <w:b w:val="0"/>
          <w:bCs w:val="0"/>
          <w:color w:val="auto"/>
          <w:kern w:val="0"/>
          <w:sz w:val="24"/>
          <w:szCs w:val="24"/>
          <w:highlight w:val="none"/>
          <w:lang w:val="en-US" w:eastAsia="zh-CN"/>
        </w:rPr>
        <w:t>涉及“工业涂装”工序，属于生态环境部确定的39个重点行业清单—“三十九、工业涂装”，</w:t>
      </w:r>
      <w:r>
        <w:rPr>
          <w:rFonts w:hint="default" w:ascii="Times New Roman" w:hAnsi="Times New Roman" w:eastAsia="宋体" w:cs="Times New Roman"/>
          <w:b w:val="0"/>
          <w:bCs w:val="0"/>
          <w:color w:val="auto"/>
          <w:kern w:val="2"/>
          <w:sz w:val="24"/>
          <w:szCs w:val="24"/>
          <w:lang w:val="en-US" w:eastAsia="zh-CN" w:bidi="ar-SA"/>
        </w:rPr>
        <w:t>根据陕西省生态环境厅文件陕环环评函〔2023〕76号文件，《关于进一步加强关中地区涉气重点行业环评管理的通知》及</w:t>
      </w:r>
      <w:r>
        <w:rPr>
          <w:rFonts w:hint="default" w:ascii="Times New Roman" w:hAnsi="Times New Roman" w:eastAsia="宋体" w:cs="Times New Roman"/>
          <w:b w:val="0"/>
          <w:bCs w:val="0"/>
          <w:color w:val="auto"/>
          <w:kern w:val="0"/>
          <w:sz w:val="24"/>
          <w:szCs w:val="24"/>
          <w:highlight w:val="none"/>
          <w:lang w:val="en-US" w:eastAsia="zh-CN"/>
        </w:rPr>
        <w:t>中共宝鸡市委宝鸡市人民政府《关于印发宝鸡市大气污染治理专项行动方案（2023年</w:t>
      </w:r>
      <w:r>
        <w:rPr>
          <w:rFonts w:hint="default" w:ascii="Times New Roman" w:hAnsi="Times New Roman"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2027年）的通知》</w:t>
      </w:r>
      <w:r>
        <w:rPr>
          <w:rFonts w:hint="default" w:ascii="Times New Roman" w:hAnsi="Times New Roman" w:eastAsia="宋体" w:cs="Times New Roman"/>
          <w:b w:val="0"/>
          <w:bCs w:val="0"/>
          <w:color w:val="auto"/>
          <w:kern w:val="2"/>
          <w:sz w:val="24"/>
          <w:szCs w:val="24"/>
          <w:lang w:val="en-US" w:eastAsia="zh-CN" w:bidi="ar-SA"/>
        </w:rPr>
        <w:t>的有关要求：</w:t>
      </w:r>
      <w:r>
        <w:rPr>
          <w:rFonts w:hint="default" w:ascii="Times New Roman" w:hAnsi="Times New Roman" w:eastAsia="宋体" w:cs="Times New Roman"/>
          <w:b w:val="0"/>
          <w:bCs w:val="0"/>
          <w:color w:val="auto"/>
          <w:kern w:val="0"/>
          <w:sz w:val="24"/>
          <w:szCs w:val="24"/>
          <w:highlight w:val="none"/>
          <w:lang w:val="en-US" w:eastAsia="zh-CN"/>
        </w:rPr>
        <w:t>市辖区及开发区新、改、扩建涉气重点行业企业应达到环保绩效A级绩效引领性水平。</w:t>
      </w:r>
      <w:r>
        <w:rPr>
          <w:rFonts w:hint="default" w:ascii="Times New Roman" w:hAnsi="Times New Roman" w:eastAsia="宋体" w:cs="Times New Roman"/>
          <w:b w:val="0"/>
          <w:bCs w:val="0"/>
          <w:color w:val="auto"/>
          <w:kern w:val="2"/>
          <w:sz w:val="24"/>
          <w:szCs w:val="24"/>
          <w:lang w:val="en-US" w:eastAsia="zh-CN" w:bidi="ar-SA"/>
        </w:rPr>
        <w:t>因此，本项目按照《重污染天气重点行业应急减排措施制定技术指南》中表39-1 工业涂装绩效分级指标中“A级”指标要求符合性分析见下表：</w:t>
      </w:r>
    </w:p>
    <w:p w14:paraId="77175DC5">
      <w:pPr>
        <w:keepNext/>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 xml:space="preserve">  项目环保绩效管理篇章分析表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3888"/>
        <w:gridCol w:w="3969"/>
        <w:gridCol w:w="3975"/>
      </w:tblGrid>
      <w:tr w14:paraId="7E67B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l2br w:val="nil"/>
              <w:tr2bl w:val="nil"/>
            </w:tcBorders>
            <w:noWrap w:val="0"/>
            <w:vAlign w:val="center"/>
          </w:tcPr>
          <w:p w14:paraId="264CB383">
            <w:pPr>
              <w:pStyle w:val="4"/>
              <w:keepNext/>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指标要求</w:t>
            </w:r>
          </w:p>
        </w:tc>
        <w:tc>
          <w:tcPr>
            <w:tcW w:w="1424" w:type="pct"/>
            <w:tcBorders>
              <w:tl2br w:val="nil"/>
              <w:tr2bl w:val="nil"/>
            </w:tcBorders>
            <w:noWrap w:val="0"/>
            <w:vAlign w:val="center"/>
          </w:tcPr>
          <w:p w14:paraId="031F2C30">
            <w:pPr>
              <w:pStyle w:val="4"/>
              <w:keepNext/>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A级企业</w:t>
            </w:r>
          </w:p>
        </w:tc>
        <w:tc>
          <w:tcPr>
            <w:tcW w:w="1454" w:type="pct"/>
            <w:tcBorders>
              <w:tl2br w:val="nil"/>
              <w:tr2bl w:val="nil"/>
            </w:tcBorders>
            <w:noWrap w:val="0"/>
            <w:vAlign w:val="center"/>
          </w:tcPr>
          <w:p w14:paraId="173311B6">
            <w:pPr>
              <w:pStyle w:val="4"/>
              <w:keepNext/>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本项目实际建设情况</w:t>
            </w:r>
          </w:p>
        </w:tc>
        <w:tc>
          <w:tcPr>
            <w:tcW w:w="1456" w:type="pct"/>
            <w:tcBorders>
              <w:tl2br w:val="nil"/>
              <w:tr2bl w:val="nil"/>
            </w:tcBorders>
            <w:noWrap w:val="0"/>
            <w:vAlign w:val="center"/>
          </w:tcPr>
          <w:p w14:paraId="3053AD7A">
            <w:pPr>
              <w:pStyle w:val="4"/>
              <w:keepNext/>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整改措施</w:t>
            </w:r>
          </w:p>
        </w:tc>
      </w:tr>
      <w:tr w14:paraId="49BDB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l2br w:val="nil"/>
              <w:tr2bl w:val="nil"/>
            </w:tcBorders>
            <w:noWrap w:val="0"/>
            <w:vAlign w:val="center"/>
          </w:tcPr>
          <w:p w14:paraId="69BF5C45">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原辅材料</w:t>
            </w:r>
          </w:p>
        </w:tc>
        <w:tc>
          <w:tcPr>
            <w:tcW w:w="1424" w:type="pct"/>
            <w:tcBorders>
              <w:tl2br w:val="nil"/>
              <w:tr2bl w:val="nil"/>
            </w:tcBorders>
            <w:noWrap w:val="0"/>
            <w:vAlign w:val="center"/>
          </w:tcPr>
          <w:p w14:paraId="5EA87C5E">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1.使用粉末涂料；</w:t>
            </w:r>
          </w:p>
          <w:p w14:paraId="39616D8A">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2.使用符合《低挥发性有机化合物含量涂料产品技术要求》（GB/T38597-2020规定的低VOCS含量涂料产品）</w:t>
            </w:r>
          </w:p>
        </w:tc>
        <w:tc>
          <w:tcPr>
            <w:tcW w:w="1454" w:type="pct"/>
            <w:tcBorders>
              <w:tl2br w:val="nil"/>
              <w:tr2bl w:val="nil"/>
            </w:tcBorders>
            <w:noWrap w:val="0"/>
            <w:vAlign w:val="center"/>
          </w:tcPr>
          <w:p w14:paraId="7F66884B">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本项目使用的涂料为粉末涂料；属于低VOCs含量涂料产品，具体见附件。</w:t>
            </w:r>
          </w:p>
        </w:tc>
        <w:tc>
          <w:tcPr>
            <w:tcW w:w="1456" w:type="pct"/>
            <w:tcBorders>
              <w:tl2br w:val="nil"/>
              <w:tr2bl w:val="nil"/>
            </w:tcBorders>
            <w:noWrap w:val="0"/>
            <w:vAlign w:val="center"/>
          </w:tcPr>
          <w:p w14:paraId="2CC41299">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否</w:t>
            </w:r>
          </w:p>
        </w:tc>
      </w:tr>
      <w:tr w14:paraId="10891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l2br w:val="nil"/>
              <w:tr2bl w:val="nil"/>
            </w:tcBorders>
            <w:noWrap w:val="0"/>
            <w:vAlign w:val="center"/>
          </w:tcPr>
          <w:p w14:paraId="47CC4C90">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无组织排放</w:t>
            </w:r>
          </w:p>
        </w:tc>
        <w:tc>
          <w:tcPr>
            <w:tcW w:w="1424" w:type="pct"/>
            <w:tcBorders>
              <w:tl2br w:val="nil"/>
              <w:tr2bl w:val="nil"/>
            </w:tcBorders>
            <w:noWrap w:val="0"/>
            <w:vAlign w:val="center"/>
          </w:tcPr>
          <w:p w14:paraId="2BC6BFCB">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1.满足《挥发性有机物无组织排放控制标准》（GB37822-2019）特别控制要求；</w:t>
            </w:r>
          </w:p>
          <w:p w14:paraId="0A586270">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2.VOCS物料存储于密闭容器或包装袋中，盛装VOCS物料的容器或包装袋存放于密闭负压的储库、料仓内；</w:t>
            </w:r>
          </w:p>
          <w:p w14:paraId="24C80059">
            <w:pPr>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3.</w:t>
            </w:r>
            <w:r>
              <w:rPr>
                <w:rFonts w:hint="eastAsia" w:ascii="Times New Roman" w:hAnsi="Times New Roman" w:eastAsia="宋体" w:cs="Times New Roman"/>
                <w:b w:val="0"/>
                <w:bCs w:val="0"/>
                <w:color w:val="auto"/>
                <w:kern w:val="2"/>
                <w:sz w:val="21"/>
                <w:szCs w:val="21"/>
                <w:highlight w:val="none"/>
                <w:vertAlign w:val="baseline"/>
                <w:lang w:val="en-US" w:eastAsia="zh-CN" w:bidi="ar-SA"/>
              </w:rPr>
              <w:t>除大型工件特殊作业（例如，船舶制造行业的分段总组、船台、船坞、造船码头等涂装工序）外，调漆、喷漆、流平、烘干、清洗等工序在密闭设备或密闭负压空间内操作；</w:t>
            </w:r>
          </w:p>
          <w:p w14:paraId="16D5D179">
            <w:pPr>
              <w:pStyle w:val="2"/>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color w:val="auto"/>
                <w:sz w:val="21"/>
                <w:szCs w:val="21"/>
                <w:lang w:val="en-US" w:eastAsia="zh-CN"/>
              </w:rPr>
            </w:pPr>
            <w:r>
              <w:rPr>
                <w:rFonts w:hint="eastAsia"/>
                <w:color w:val="auto"/>
                <w:sz w:val="21"/>
                <w:szCs w:val="21"/>
                <w:lang w:val="en-US" w:eastAsia="zh-CN"/>
              </w:rPr>
              <w:t>4.密闭回收废清洗剂；</w:t>
            </w:r>
          </w:p>
          <w:p w14:paraId="0F4AEB77">
            <w:pPr>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olor w:val="auto"/>
                <w:sz w:val="21"/>
                <w:szCs w:val="21"/>
                <w:lang w:val="en-US" w:eastAsia="zh-CN"/>
              </w:rPr>
            </w:pPr>
            <w:r>
              <w:rPr>
                <w:rFonts w:hint="eastAsia"/>
                <w:color w:val="auto"/>
                <w:sz w:val="21"/>
                <w:szCs w:val="21"/>
                <w:lang w:val="en-US" w:eastAsia="zh-CN"/>
              </w:rPr>
              <w:t>5.建设干式喷漆房；使用湿式喷漆房时，循环水泵间和刮渣间应密闭，安装废气收集设施；</w:t>
            </w:r>
          </w:p>
          <w:p w14:paraId="4BAA870E">
            <w:pPr>
              <w:pStyle w:val="2"/>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color w:val="auto"/>
                <w:sz w:val="21"/>
                <w:szCs w:val="21"/>
                <w:lang w:val="en-US" w:eastAsia="zh-CN"/>
              </w:rPr>
            </w:pPr>
            <w:r>
              <w:rPr>
                <w:rFonts w:hint="eastAsia"/>
                <w:color w:val="auto"/>
                <w:sz w:val="21"/>
                <w:szCs w:val="21"/>
                <w:lang w:val="en-US" w:eastAsia="zh-CN"/>
              </w:rPr>
              <w:t>6.采用静电喷涂、自动喷涂、高压无气喷涂或高流低压（HVLP）喷枪等高效涂装技术，不可使用手动空气喷涂技术。</w:t>
            </w:r>
          </w:p>
        </w:tc>
        <w:tc>
          <w:tcPr>
            <w:tcW w:w="1454" w:type="pct"/>
            <w:tcBorders>
              <w:tl2br w:val="nil"/>
              <w:tr2bl w:val="nil"/>
            </w:tcBorders>
            <w:noWrap w:val="0"/>
            <w:vAlign w:val="center"/>
          </w:tcPr>
          <w:p w14:paraId="6FC7D417">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1.本项目挥发性有机废气无组织排放需满足《挥发性有机物无组织排放控制标准》（GB37822-2019）中相应标准限值要求。</w:t>
            </w:r>
          </w:p>
          <w:p w14:paraId="4881D6F2">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2.本项目使用喷涂的粉末储存于密闭包装袋中并存放于密闭负压的储库内；</w:t>
            </w:r>
          </w:p>
          <w:p w14:paraId="11C5A96A">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3.本项目烘干、清洗均不涉及含VOC</w:t>
            </w:r>
            <w:r>
              <w:rPr>
                <w:rFonts w:hint="eastAsia" w:ascii="Times New Roman" w:hAnsi="Times New Roman" w:eastAsia="宋体" w:cs="Times New Roman"/>
                <w:b w:val="0"/>
                <w:bCs w:val="0"/>
                <w:color w:val="auto"/>
                <w:kern w:val="2"/>
                <w:sz w:val="21"/>
                <w:szCs w:val="21"/>
                <w:highlight w:val="none"/>
                <w:vertAlign w:val="subscript"/>
                <w:lang w:val="en-US" w:eastAsia="zh-CN" w:bidi="ar-SA"/>
              </w:rPr>
              <w:t>S</w:t>
            </w:r>
            <w:r>
              <w:rPr>
                <w:rFonts w:hint="eastAsia" w:ascii="Times New Roman" w:hAnsi="Times New Roman" w:eastAsia="宋体" w:cs="Times New Roman"/>
                <w:b w:val="0"/>
                <w:bCs w:val="0"/>
                <w:color w:val="auto"/>
                <w:kern w:val="2"/>
                <w:sz w:val="21"/>
                <w:szCs w:val="21"/>
                <w:highlight w:val="none"/>
                <w:vertAlign w:val="baseline"/>
                <w:lang w:val="en-US" w:eastAsia="zh-CN" w:bidi="ar-SA"/>
              </w:rPr>
              <w:t>原辅材料，故无需设密闭负压空间，但清洗和烘干均在设备内进行。</w:t>
            </w:r>
          </w:p>
          <w:p w14:paraId="6936CA5F">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4.本项目活性剂及脱脂剂直接加入设备中，溶化在水中对工件进行脱油脱脂，废水会统一经配套污水处理设施处理，无废清洗剂产生。5.本项目不涉及喷漆。</w:t>
            </w:r>
          </w:p>
          <w:p w14:paraId="4139AA84">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6.本项目采取静电喷涂并设在密闭喷粉房内。</w:t>
            </w:r>
          </w:p>
          <w:p w14:paraId="18B6EF07">
            <w:pPr>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eastAsia="zh-CN"/>
              </w:rPr>
            </w:pPr>
          </w:p>
        </w:tc>
        <w:tc>
          <w:tcPr>
            <w:tcW w:w="1456" w:type="pct"/>
            <w:tcBorders>
              <w:tl2br w:val="nil"/>
              <w:tr2bl w:val="nil"/>
            </w:tcBorders>
            <w:noWrap w:val="0"/>
            <w:vAlign w:val="center"/>
          </w:tcPr>
          <w:p w14:paraId="0DC3627E">
            <w:pPr>
              <w:keepLines w:val="0"/>
              <w:pageBreakBefore w:val="0"/>
              <w:widowControl w:val="0"/>
              <w:kinsoku/>
              <w:wordWrap/>
              <w:overflowPunct/>
              <w:topLinePunct w:val="0"/>
              <w:autoSpaceDE/>
              <w:autoSpaceDN/>
              <w:bidi w:val="0"/>
              <w:adjustRightInd/>
              <w:snapToGrid/>
              <w:textAlignment w:val="auto"/>
              <w:rPr>
                <w:rFonts w:hint="eastAsia"/>
                <w:color w:val="auto"/>
                <w:sz w:val="21"/>
                <w:szCs w:val="21"/>
                <w:lang w:val="en-US" w:eastAsia="zh-CN"/>
              </w:rPr>
            </w:pPr>
            <w:r>
              <w:rPr>
                <w:rFonts w:hint="eastAsia"/>
                <w:color w:val="auto"/>
                <w:sz w:val="21"/>
                <w:szCs w:val="21"/>
                <w:lang w:val="en-US" w:eastAsia="zh-CN"/>
              </w:rPr>
              <w:t>针对现场对已建成设施部分进行整改，可更好地提高废气收集效率，具体整改如下：1.激光切割、焊接设备废气收集管道与主管道连接处应增加阀门，可避免其中一个工序未运行时将空气吸进；</w:t>
            </w:r>
          </w:p>
          <w:p w14:paraId="72F9B272">
            <w:pPr>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eastAsia="zh-CN"/>
              </w:rPr>
            </w:pPr>
            <w:r>
              <w:rPr>
                <w:rFonts w:hint="eastAsia"/>
                <w:color w:val="auto"/>
                <w:sz w:val="21"/>
                <w:szCs w:val="21"/>
                <w:lang w:val="en-US" w:eastAsia="zh-CN"/>
              </w:rPr>
              <w:t>2.固化廊道收集口距离廊道出入口太近，建议将固化廊道出入口进行延长，并半封闭出入口，只留工件大小，可有效避免吸入空气，提高废气收集效率；</w:t>
            </w:r>
          </w:p>
        </w:tc>
      </w:tr>
      <w:tr w14:paraId="75E4D0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l2br w:val="nil"/>
              <w:tr2bl w:val="nil"/>
            </w:tcBorders>
            <w:noWrap w:val="0"/>
            <w:vAlign w:val="center"/>
          </w:tcPr>
          <w:p w14:paraId="741EC6DF">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VOCS治理设施</w:t>
            </w:r>
          </w:p>
        </w:tc>
        <w:tc>
          <w:tcPr>
            <w:tcW w:w="1424" w:type="pct"/>
            <w:tcBorders>
              <w:tl2br w:val="nil"/>
              <w:tr2bl w:val="nil"/>
            </w:tcBorders>
            <w:noWrap w:val="0"/>
            <w:vAlign w:val="center"/>
          </w:tcPr>
          <w:p w14:paraId="5E8F7777">
            <w:pPr>
              <w:pStyle w:val="2"/>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olor w:val="auto"/>
                <w:sz w:val="21"/>
                <w:szCs w:val="21"/>
                <w:lang w:val="en-US" w:eastAsia="zh-CN"/>
              </w:rPr>
            </w:pPr>
            <w:r>
              <w:rPr>
                <w:rFonts w:hint="eastAsia"/>
                <w:color w:val="auto"/>
                <w:sz w:val="21"/>
                <w:szCs w:val="21"/>
                <w:lang w:val="en-US" w:eastAsia="zh-CN"/>
              </w:rPr>
              <w:t>1.喷涂废气设置干式的石灰石、纸盒等高效漆雾处理装置；</w:t>
            </w:r>
          </w:p>
          <w:p w14:paraId="65A55A77">
            <w:pPr>
              <w:pStyle w:val="2"/>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olor w:val="auto"/>
                <w:sz w:val="21"/>
                <w:szCs w:val="21"/>
                <w:lang w:val="en-US" w:eastAsia="zh-CN"/>
              </w:rPr>
            </w:pPr>
            <w:r>
              <w:rPr>
                <w:rFonts w:hint="eastAsia"/>
                <w:color w:val="auto"/>
                <w:sz w:val="21"/>
                <w:szCs w:val="21"/>
                <w:lang w:val="en-US" w:eastAsia="zh-CN"/>
              </w:rPr>
              <w:t>2.使用溶剂型涂料时，调漆、喷漆、流平、烘干、清洗等工序含VOCS废气采用吸附浓缩+燃烧、燃烧等治理技术，处理效率≥95%；</w:t>
            </w:r>
          </w:p>
          <w:p w14:paraId="083516AD">
            <w:pPr>
              <w:pStyle w:val="2"/>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olor w:val="auto"/>
                <w:sz w:val="21"/>
                <w:szCs w:val="21"/>
                <w:lang w:val="en-US" w:eastAsia="zh-CN"/>
              </w:rPr>
            </w:pPr>
            <w:r>
              <w:rPr>
                <w:rFonts w:hint="eastAsia"/>
                <w:color w:val="auto"/>
                <w:sz w:val="21"/>
                <w:szCs w:val="21"/>
                <w:lang w:val="en-US" w:eastAsia="zh-CN"/>
              </w:rPr>
              <w:t>3.使用水性涂料（含水性UV）时，当车间或生产设施排气中非甲烷总烃（NMHC）初始排放速率≥2kg/h时，建设末端治理设施。</w:t>
            </w:r>
          </w:p>
          <w:p w14:paraId="750A2A2B">
            <w:pPr>
              <w:pStyle w:val="2"/>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color w:val="auto"/>
                <w:sz w:val="21"/>
                <w:szCs w:val="21"/>
                <w:lang w:val="en-US" w:eastAsia="zh-CN"/>
              </w:rPr>
            </w:pPr>
            <w:r>
              <w:rPr>
                <w:rFonts w:hint="eastAsia"/>
                <w:b/>
                <w:bCs/>
                <w:color w:val="auto"/>
                <w:sz w:val="21"/>
                <w:szCs w:val="21"/>
                <w:lang w:val="en-US" w:eastAsia="zh-CN"/>
              </w:rPr>
              <w:t>备注：</w:t>
            </w:r>
            <w:r>
              <w:rPr>
                <w:rFonts w:hint="eastAsia"/>
                <w:color w:val="auto"/>
                <w:sz w:val="21"/>
                <w:szCs w:val="21"/>
                <w:lang w:val="en-US" w:eastAsia="zh-CN"/>
              </w:rPr>
              <w:t>采用粉末涂料或VOCS含量≤60g/L的无溶剂涂料时，排放浓度稳定达标且排放速率、排放绩效等满足相关规定的，相应生产工序可不要求建设末端治理设施。</w:t>
            </w:r>
          </w:p>
          <w:p w14:paraId="112E4AB3">
            <w:pPr>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eastAsia="zh-CN"/>
              </w:rPr>
            </w:pPr>
          </w:p>
        </w:tc>
        <w:tc>
          <w:tcPr>
            <w:tcW w:w="1454" w:type="pct"/>
            <w:tcBorders>
              <w:tl2br w:val="nil"/>
              <w:tr2bl w:val="nil"/>
            </w:tcBorders>
            <w:noWrap w:val="0"/>
            <w:vAlign w:val="center"/>
          </w:tcPr>
          <w:p w14:paraId="2E7956D4">
            <w:pPr>
              <w:keepLines w:val="0"/>
              <w:pageBreakBefore w:val="0"/>
              <w:widowControl w:val="0"/>
              <w:numPr>
                <w:ilvl w:val="0"/>
                <w:numId w:val="0"/>
              </w:numPr>
              <w:kinsoku/>
              <w:wordWrap/>
              <w:overflowPunct/>
              <w:topLinePunct w:val="0"/>
              <w:autoSpaceDE/>
              <w:autoSpaceDN/>
              <w:bidi w:val="0"/>
              <w:adjustRightInd/>
              <w:snapToGrid/>
              <w:textAlignment w:val="auto"/>
              <w:rPr>
                <w:rFonts w:hint="eastAsia"/>
                <w:color w:val="auto"/>
                <w:sz w:val="21"/>
                <w:szCs w:val="21"/>
                <w:lang w:val="en-US" w:eastAsia="zh-CN"/>
              </w:rPr>
            </w:pPr>
            <w:r>
              <w:rPr>
                <w:rFonts w:hint="eastAsia"/>
                <w:color w:val="auto"/>
                <w:sz w:val="21"/>
                <w:szCs w:val="21"/>
                <w:lang w:val="en-US" w:eastAsia="zh-CN"/>
              </w:rPr>
              <w:t>1.本项目喷涂料为粉末状，不涉及漆料。</w:t>
            </w:r>
          </w:p>
          <w:p w14:paraId="00F8367C">
            <w:pPr>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olor w:val="auto"/>
                <w:sz w:val="21"/>
                <w:szCs w:val="21"/>
                <w:lang w:val="en-US" w:eastAsia="zh-CN"/>
              </w:rPr>
            </w:pPr>
            <w:r>
              <w:rPr>
                <w:rFonts w:hint="eastAsia"/>
                <w:color w:val="auto"/>
                <w:sz w:val="21"/>
                <w:szCs w:val="21"/>
                <w:lang w:val="en-US" w:eastAsia="zh-CN"/>
              </w:rPr>
              <w:t>2.本项目使用涂料为水性粉末涂料，不涉及溶剂型涂料。</w:t>
            </w:r>
          </w:p>
          <w:p w14:paraId="1E82E926">
            <w:pPr>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color w:val="auto"/>
                <w:sz w:val="21"/>
                <w:szCs w:val="21"/>
                <w:lang w:val="en-US" w:eastAsia="zh-CN"/>
              </w:rPr>
            </w:pPr>
            <w:r>
              <w:rPr>
                <w:rFonts w:hint="eastAsia"/>
                <w:color w:val="auto"/>
                <w:sz w:val="21"/>
                <w:szCs w:val="21"/>
                <w:lang w:val="en-US" w:eastAsia="zh-CN"/>
              </w:rPr>
              <w:t>3.本项目使用水性粉末涂料，经源强核算废气（非甲烷总烃）初始排放速率小于2kg/h，但考虑废气能有效治理，故建设二级活性炭吸附处理并由15米排气筒高空排放。</w:t>
            </w:r>
          </w:p>
        </w:tc>
        <w:tc>
          <w:tcPr>
            <w:tcW w:w="1456" w:type="pct"/>
            <w:tcBorders>
              <w:tl2br w:val="nil"/>
              <w:tr2bl w:val="nil"/>
            </w:tcBorders>
            <w:noWrap w:val="0"/>
            <w:vAlign w:val="center"/>
          </w:tcPr>
          <w:p w14:paraId="7BA3ECCA">
            <w:pPr>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color w:val="auto"/>
                <w:sz w:val="21"/>
                <w:szCs w:val="21"/>
                <w:lang w:val="en-US" w:eastAsia="zh-CN"/>
              </w:rPr>
            </w:pPr>
            <w:r>
              <w:rPr>
                <w:rFonts w:hint="eastAsia"/>
                <w:color w:val="auto"/>
                <w:sz w:val="21"/>
                <w:szCs w:val="21"/>
                <w:lang w:val="en-US" w:eastAsia="zh-CN"/>
              </w:rPr>
              <w:t>无</w:t>
            </w:r>
          </w:p>
        </w:tc>
      </w:tr>
      <w:tr w14:paraId="7F481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l2br w:val="nil"/>
              <w:tr2bl w:val="nil"/>
            </w:tcBorders>
            <w:noWrap w:val="0"/>
            <w:vAlign w:val="center"/>
          </w:tcPr>
          <w:p w14:paraId="4CC9F45C">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排放限值</w:t>
            </w:r>
          </w:p>
        </w:tc>
        <w:tc>
          <w:tcPr>
            <w:tcW w:w="1424" w:type="pct"/>
            <w:tcBorders>
              <w:tl2br w:val="nil"/>
              <w:tr2bl w:val="nil"/>
            </w:tcBorders>
            <w:noWrap w:val="0"/>
            <w:vAlign w:val="center"/>
          </w:tcPr>
          <w:p w14:paraId="061F2B04">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1.在连续一年的监测数据中，车间或生产设施排气筒排放的NMHC为20—30mg/m³、TVOC为40—50mg/m³；</w:t>
            </w:r>
          </w:p>
          <w:p w14:paraId="4CAE6B00">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2.厂区内无组织排放监控点NMHC的小时平均浓度值不超过6mg/m³、任意一次浓度值不超过20mg/m³；</w:t>
            </w:r>
          </w:p>
          <w:p w14:paraId="1175AEA8">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3.其他各项污染物稳定达到现行排放控制要求，并从严地方要求。</w:t>
            </w:r>
          </w:p>
        </w:tc>
        <w:tc>
          <w:tcPr>
            <w:tcW w:w="1454" w:type="pct"/>
            <w:tcBorders>
              <w:tl2br w:val="nil"/>
              <w:tr2bl w:val="nil"/>
            </w:tcBorders>
            <w:noWrap w:val="0"/>
            <w:vAlign w:val="center"/>
          </w:tcPr>
          <w:p w14:paraId="052A56A2">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1.本项目建成后在后续自行监测中排气筒排放废气浓度需满足NMHC为20—30mg/m³、TVOC为40—50mg/m³；</w:t>
            </w:r>
          </w:p>
          <w:p w14:paraId="7FBB0E88">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2.厂区内无组织排放监控点NMHC的小时平均浓度值不超过6mg/m³、任意一次浓度值不超过20mg/m³；</w:t>
            </w:r>
          </w:p>
          <w:p w14:paraId="5598A5D3">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3.严格按照本地相关政策要求建设并执行。</w:t>
            </w:r>
          </w:p>
        </w:tc>
        <w:tc>
          <w:tcPr>
            <w:tcW w:w="1456" w:type="pct"/>
            <w:tcBorders>
              <w:tl2br w:val="nil"/>
              <w:tr2bl w:val="nil"/>
            </w:tcBorders>
            <w:noWrap w:val="0"/>
            <w:vAlign w:val="center"/>
          </w:tcPr>
          <w:p w14:paraId="14D69D49">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否</w:t>
            </w:r>
          </w:p>
        </w:tc>
      </w:tr>
      <w:tr w14:paraId="4159B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l2br w:val="nil"/>
              <w:tr2bl w:val="nil"/>
            </w:tcBorders>
            <w:noWrap w:val="0"/>
            <w:vAlign w:val="center"/>
          </w:tcPr>
          <w:p w14:paraId="37B8BEDF">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监测监控水平</w:t>
            </w:r>
          </w:p>
        </w:tc>
        <w:tc>
          <w:tcPr>
            <w:tcW w:w="1424" w:type="pct"/>
            <w:tcBorders>
              <w:tl2br w:val="nil"/>
              <w:tr2bl w:val="nil"/>
            </w:tcBorders>
            <w:noWrap w:val="0"/>
            <w:vAlign w:val="center"/>
          </w:tcPr>
          <w:p w14:paraId="063E5C3F">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1.严格执行《排污许可证申请与核发技术规范 总则》（HJ942-2018）以及相关行业排污许可证申请与核发技术规范规定的自行监测管理要求；</w:t>
            </w:r>
          </w:p>
          <w:p w14:paraId="14F0AB3C">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2.重点排污企业风量大于10000m³/h的主要排放口，有机废气排放口安装NMHC在线监测设施（FID检测器），自动监控数据保存一年以上；</w:t>
            </w:r>
          </w:p>
          <w:p w14:paraId="6BDFA73F">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3.安装DCS系统、仪器仪表等装置，连续测量并记录治理设施控制指标温度、压力（压差）、时间和频率值。再生式活性炭连续自动测量并记录温度、再生时间和更换周期；更换式活性炭记录温度、更换周期及更换量；数据保存一年以上。</w:t>
            </w:r>
          </w:p>
        </w:tc>
        <w:tc>
          <w:tcPr>
            <w:tcW w:w="1454" w:type="pct"/>
            <w:tcBorders>
              <w:tl2br w:val="nil"/>
              <w:tr2bl w:val="nil"/>
            </w:tcBorders>
            <w:noWrap w:val="0"/>
            <w:vAlign w:val="center"/>
          </w:tcPr>
          <w:p w14:paraId="78505BF0">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1.严格按照相关核发技术规范要求进行自行监测；</w:t>
            </w:r>
          </w:p>
          <w:p w14:paraId="256CF560">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2.本项目不涉及重点排污企业及主要排放口；</w:t>
            </w:r>
          </w:p>
          <w:p w14:paraId="55D71314">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3.本项目需要安装DCS系统、仪器仪表等装置，但现场暂时未进行安装。</w:t>
            </w:r>
          </w:p>
        </w:tc>
        <w:tc>
          <w:tcPr>
            <w:tcW w:w="1456" w:type="pct"/>
            <w:tcBorders>
              <w:tl2br w:val="nil"/>
              <w:tr2bl w:val="nil"/>
            </w:tcBorders>
            <w:noWrap w:val="0"/>
            <w:vAlign w:val="center"/>
          </w:tcPr>
          <w:p w14:paraId="0B2246F8">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按照要求安装DCS系统、仪器仪表等装置，连续测量并记录治理设施控制指标温度、压力（压差）、时间和频率值。更换活性炭记录温度、更换周期及更换量，数据按照要求保存一年以上。</w:t>
            </w:r>
          </w:p>
        </w:tc>
      </w:tr>
      <w:tr w14:paraId="6D2AC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vMerge w:val="restart"/>
            <w:tcBorders>
              <w:tl2br w:val="nil"/>
              <w:tr2bl w:val="nil"/>
            </w:tcBorders>
            <w:noWrap w:val="0"/>
            <w:vAlign w:val="center"/>
          </w:tcPr>
          <w:p w14:paraId="68EFC8AC">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环境管理水平</w:t>
            </w:r>
          </w:p>
        </w:tc>
        <w:tc>
          <w:tcPr>
            <w:tcW w:w="1424" w:type="pct"/>
            <w:tcBorders>
              <w:tl2br w:val="nil"/>
              <w:tr2bl w:val="nil"/>
            </w:tcBorders>
            <w:noWrap w:val="0"/>
            <w:vAlign w:val="center"/>
          </w:tcPr>
          <w:p w14:paraId="180D91F4">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环保档案齐全：1.环评批复文件；2.排污许可证及季度、年度执行报告；3.竣工验收文件；4.废气治理设施运行管理规程；5.一年内废气监测报告</w:t>
            </w:r>
          </w:p>
        </w:tc>
        <w:tc>
          <w:tcPr>
            <w:tcW w:w="1454" w:type="pct"/>
            <w:tcBorders>
              <w:tl2br w:val="nil"/>
              <w:tr2bl w:val="nil"/>
            </w:tcBorders>
            <w:noWrap w:val="0"/>
            <w:vAlign w:val="center"/>
          </w:tcPr>
          <w:p w14:paraId="1FD6BBD2">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项目环评手续正在办理中，相关文件、报告暂未生成。</w:t>
            </w:r>
          </w:p>
        </w:tc>
        <w:tc>
          <w:tcPr>
            <w:tcW w:w="1456" w:type="pct"/>
            <w:tcBorders>
              <w:tl2br w:val="nil"/>
              <w:tr2bl w:val="nil"/>
            </w:tcBorders>
            <w:noWrap w:val="0"/>
            <w:vAlign w:val="center"/>
          </w:tcPr>
          <w:p w14:paraId="0B2A29E7">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本项目建成后需收集整理归档环保档案资料，包括环评批复文件、排污许可证年度执行报告、验收竣工文件、废气治理设施管理规程、废气监测报告。</w:t>
            </w:r>
          </w:p>
        </w:tc>
      </w:tr>
      <w:tr w14:paraId="6A13DF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vMerge w:val="continue"/>
            <w:tcBorders>
              <w:tl2br w:val="nil"/>
              <w:tr2bl w:val="nil"/>
            </w:tcBorders>
            <w:noWrap w:val="0"/>
            <w:vAlign w:val="center"/>
          </w:tcPr>
          <w:p w14:paraId="38CE0EAA">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p>
        </w:tc>
        <w:tc>
          <w:tcPr>
            <w:tcW w:w="1424" w:type="pct"/>
            <w:tcBorders>
              <w:tl2br w:val="nil"/>
              <w:tr2bl w:val="nil"/>
            </w:tcBorders>
            <w:noWrap w:val="0"/>
            <w:vAlign w:val="center"/>
          </w:tcPr>
          <w:p w14:paraId="79067E42">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台账记录：1.生产设施运行管理信息（生产时间、运行符合、产品产量等，必须具备近一年及以上所用涂料的密度、扣水后VOCS含量、含水量（水性涂料）等信息的检测报告）；</w:t>
            </w:r>
          </w:p>
          <w:p w14:paraId="0D822738">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2.废气污染治理设施运行管理信息（燃烧室温度、冷凝温度、过滤材料更换频次、吸附剂更换频次、催化剂更换频次）；</w:t>
            </w:r>
          </w:p>
          <w:p w14:paraId="581C8235">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3.监测记录信息（主要污染排放口废气排放记录（手工监测或在线监测）等）；</w:t>
            </w:r>
          </w:p>
          <w:p w14:paraId="32C4CEF8">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4.主要原辅材料消耗记录；</w:t>
            </w:r>
          </w:p>
          <w:p w14:paraId="1FFC6F0F">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5.燃料（天然气）消耗记录</w:t>
            </w:r>
          </w:p>
        </w:tc>
        <w:tc>
          <w:tcPr>
            <w:tcW w:w="1454" w:type="pct"/>
            <w:tcBorders>
              <w:tl2br w:val="nil"/>
              <w:tr2bl w:val="nil"/>
            </w:tcBorders>
            <w:shd w:val="clear" w:color="auto" w:fill="auto"/>
            <w:noWrap w:val="0"/>
            <w:vAlign w:val="center"/>
          </w:tcPr>
          <w:p w14:paraId="1D10FA99">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项目环评手续正在办理中，相关文件、报告暂未生成。</w:t>
            </w:r>
          </w:p>
        </w:tc>
        <w:tc>
          <w:tcPr>
            <w:tcW w:w="1456" w:type="pct"/>
            <w:tcBorders>
              <w:tl2br w:val="nil"/>
              <w:tr2bl w:val="nil"/>
            </w:tcBorders>
            <w:noWrap w:val="0"/>
            <w:vAlign w:val="center"/>
          </w:tcPr>
          <w:p w14:paraId="34578851">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本项目建成投产运行后，需记录台账，按照要求记录生产设施运行管理台账、大气污染治理设施运行台账、监测记录信息台账、主要原辅料消耗台账、天然气消耗台账。</w:t>
            </w:r>
          </w:p>
        </w:tc>
      </w:tr>
      <w:tr w14:paraId="686A9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vMerge w:val="continue"/>
            <w:tcBorders>
              <w:tl2br w:val="nil"/>
              <w:tr2bl w:val="nil"/>
            </w:tcBorders>
            <w:noWrap w:val="0"/>
            <w:vAlign w:val="center"/>
          </w:tcPr>
          <w:p w14:paraId="6CD29AA0">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p>
        </w:tc>
        <w:tc>
          <w:tcPr>
            <w:tcW w:w="1424" w:type="pct"/>
            <w:tcBorders>
              <w:tl2br w:val="nil"/>
              <w:tr2bl w:val="nil"/>
            </w:tcBorders>
            <w:noWrap w:val="0"/>
            <w:vAlign w:val="center"/>
          </w:tcPr>
          <w:p w14:paraId="75B2CE5E">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人员配置：设置环保部门，配备专职环保人员，并具备相应的环境管理能力</w:t>
            </w:r>
          </w:p>
        </w:tc>
        <w:tc>
          <w:tcPr>
            <w:tcW w:w="1454" w:type="pct"/>
            <w:tcBorders>
              <w:tl2br w:val="nil"/>
              <w:tr2bl w:val="nil"/>
            </w:tcBorders>
            <w:noWrap w:val="0"/>
            <w:vAlign w:val="center"/>
          </w:tcPr>
          <w:p w14:paraId="3D4FA321">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暂未设置</w:t>
            </w:r>
          </w:p>
        </w:tc>
        <w:tc>
          <w:tcPr>
            <w:tcW w:w="1456" w:type="pct"/>
            <w:tcBorders>
              <w:tl2br w:val="nil"/>
              <w:tr2bl w:val="nil"/>
            </w:tcBorders>
            <w:noWrap w:val="0"/>
            <w:vAlign w:val="center"/>
          </w:tcPr>
          <w:p w14:paraId="198A0BAD">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本项目建成投产运行后，需按要求设置环保部门，配备专职环保人员。</w:t>
            </w:r>
          </w:p>
        </w:tc>
      </w:tr>
      <w:tr w14:paraId="0A839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l2br w:val="nil"/>
              <w:tr2bl w:val="nil"/>
            </w:tcBorders>
            <w:noWrap w:val="0"/>
            <w:vAlign w:val="center"/>
          </w:tcPr>
          <w:p w14:paraId="0EDAF9AC">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运输方式</w:t>
            </w:r>
          </w:p>
        </w:tc>
        <w:tc>
          <w:tcPr>
            <w:tcW w:w="1424" w:type="pct"/>
            <w:tcBorders>
              <w:tl2br w:val="nil"/>
              <w:tr2bl w:val="nil"/>
            </w:tcBorders>
            <w:noWrap w:val="0"/>
            <w:vAlign w:val="center"/>
          </w:tcPr>
          <w:p w14:paraId="2740C77E">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1.物料公路运输全部使用达到国五及以上排放标准重型载货车辆（含燃气）或新能源车辆；</w:t>
            </w:r>
          </w:p>
          <w:p w14:paraId="6D1687FE">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2.厂内运输车辆全部达到国五及以上排放标准（含燃气）或使用新能源车辆；</w:t>
            </w:r>
          </w:p>
          <w:p w14:paraId="5E52D49E">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3.厂内非道路移动机械全部达到国三及以上排放标准或使用新能源机械</w:t>
            </w:r>
          </w:p>
        </w:tc>
        <w:tc>
          <w:tcPr>
            <w:tcW w:w="1454" w:type="pct"/>
            <w:tcBorders>
              <w:tl2br w:val="nil"/>
              <w:tr2bl w:val="nil"/>
            </w:tcBorders>
            <w:noWrap w:val="0"/>
            <w:vAlign w:val="center"/>
          </w:tcPr>
          <w:p w14:paraId="73FEC5A8">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车辆配置不全</w:t>
            </w:r>
          </w:p>
        </w:tc>
        <w:tc>
          <w:tcPr>
            <w:tcW w:w="1456" w:type="pct"/>
            <w:tcBorders>
              <w:tl2br w:val="nil"/>
              <w:tr2bl w:val="nil"/>
            </w:tcBorders>
            <w:noWrap w:val="0"/>
            <w:vAlign w:val="center"/>
          </w:tcPr>
          <w:p w14:paraId="2CD0B0BF">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 xml:space="preserve">本项目建成投产运行后，运输车辆均需满足相关要求。 </w:t>
            </w:r>
          </w:p>
        </w:tc>
      </w:tr>
      <w:tr w14:paraId="6D09C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pct"/>
            <w:tcBorders>
              <w:tl2br w:val="nil"/>
              <w:tr2bl w:val="nil"/>
            </w:tcBorders>
            <w:noWrap w:val="0"/>
            <w:vAlign w:val="center"/>
          </w:tcPr>
          <w:p w14:paraId="7D25621F">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运输监管</w:t>
            </w:r>
          </w:p>
        </w:tc>
        <w:tc>
          <w:tcPr>
            <w:tcW w:w="1424" w:type="pct"/>
            <w:tcBorders>
              <w:tl2br w:val="nil"/>
              <w:tr2bl w:val="nil"/>
            </w:tcBorders>
            <w:noWrap w:val="0"/>
            <w:vAlign w:val="center"/>
          </w:tcPr>
          <w:p w14:paraId="6D2A2F46">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参照《重污染天气重点行业移动源应急管理技术指南》建立门禁系统和电子台账</w:t>
            </w:r>
          </w:p>
        </w:tc>
        <w:tc>
          <w:tcPr>
            <w:tcW w:w="1454" w:type="pct"/>
            <w:tcBorders>
              <w:tl2br w:val="nil"/>
              <w:tr2bl w:val="nil"/>
            </w:tcBorders>
            <w:noWrap w:val="0"/>
            <w:vAlign w:val="center"/>
          </w:tcPr>
          <w:p w14:paraId="2F6376FB">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暂未建设</w:t>
            </w:r>
          </w:p>
        </w:tc>
        <w:tc>
          <w:tcPr>
            <w:tcW w:w="1456" w:type="pct"/>
            <w:tcBorders>
              <w:tl2br w:val="nil"/>
              <w:tr2bl w:val="nil"/>
            </w:tcBorders>
            <w:noWrap w:val="0"/>
            <w:vAlign w:val="center"/>
          </w:tcPr>
          <w:p w14:paraId="0B48AA8F">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本项目暂未建设门禁系统和电子台账，本项目建成投产运行后，需参照《重污染天气重点行业移动源应急管理技术指南》建立门禁系统和电子台账，门禁系统建设于项目东南侧厂区出入口位置。</w:t>
            </w:r>
          </w:p>
        </w:tc>
      </w:tr>
    </w:tbl>
    <w:p w14:paraId="12BDFD55">
      <w:pPr>
        <w:pStyle w:val="16"/>
        <w:rPr>
          <w:rFonts w:hint="default"/>
          <w:color w:val="auto"/>
          <w:lang w:val="en-US" w:eastAsia="zh-CN"/>
        </w:rPr>
      </w:pPr>
    </w:p>
    <w:sectPr>
      <w:pgSz w:w="16838" w:h="11906" w:orient="landscape"/>
      <w:pgMar w:top="1417"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00905B0-11AC-432F-B63B-6ED9B7D2741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2" w:fontKey="{71D97B4A-FE8B-4EB6-9498-DABA6CFA3C45}"/>
  </w:font>
  <w:font w:name="MingLiU">
    <w:altName w:val="PMingLiU-ExtB"/>
    <w:panose1 w:val="020203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体">
    <w:altName w:val="仿宋"/>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3" w:fontKey="{B6BD365F-AFC1-4096-B0C8-2A3947B58839}"/>
  </w:font>
  <w:font w:name="Microsoft YaHei UI">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4" w:fontKey="{28187149-F48F-4FBC-B9EE-F1800E8594A9}"/>
  </w:font>
  <w:font w:name="Tahoma">
    <w:panose1 w:val="020B0604030504040204"/>
    <w:charset w:val="00"/>
    <w:family w:val="swiss"/>
    <w:pitch w:val="default"/>
    <w:sig w:usb0="E1002EFF" w:usb1="C000605B" w:usb2="00000029" w:usb3="00000000" w:csb0="200101FF" w:csb1="20280000"/>
  </w:font>
  <w:font w:name="方正小标宋_GBK">
    <w:panose1 w:val="02000000000000000000"/>
    <w:charset w:val="86"/>
    <w:family w:val="script"/>
    <w:pitch w:val="default"/>
    <w:sig w:usb0="A00002BF" w:usb1="38CF7CFA" w:usb2="00082016" w:usb3="00000000" w:csb0="00040001" w:csb1="00000000"/>
    <w:embedRegular r:id="rId5" w:fontKey="{708ED5F4-585B-40BC-869C-5ACEC8B5786C}"/>
  </w:font>
  <w:font w:name="华文仿宋">
    <w:panose1 w:val="02010600040101010101"/>
    <w:charset w:val="86"/>
    <w:family w:val="auto"/>
    <w:pitch w:val="default"/>
    <w:sig w:usb0="00000287" w:usb1="080F0000" w:usb2="00000000" w:usb3="00000000" w:csb0="0004009F" w:csb1="DFD70000"/>
    <w:embedRegular r:id="rId6" w:fontKey="{9E3DBC3B-7756-4082-A849-07BE91F06D4B}"/>
  </w:font>
  <w:font w:name="Wingdings 2">
    <w:panose1 w:val="05020102010507070707"/>
    <w:charset w:val="02"/>
    <w:family w:val="auto"/>
    <w:pitch w:val="default"/>
    <w:sig w:usb0="00000000" w:usb1="00000000" w:usb2="00000000" w:usb3="00000000" w:csb0="80000000" w:csb1="00000000"/>
    <w:embedRegular r:id="rId7" w:fontKey="{B99B6165-BA0E-4778-ADA5-8E9FAFE5F0A9}"/>
  </w:font>
  <w:font w:name="Levenim MT">
    <w:altName w:val="Segoe UI Light"/>
    <w:panose1 w:val="02010502060101010101"/>
    <w:charset w:val="00"/>
    <w:family w:val="auto"/>
    <w:pitch w:val="default"/>
    <w:sig w:usb0="00000000" w:usb1="00000000" w:usb2="00000000" w:usb3="00000000" w:csb0="00000020" w:csb1="00200000"/>
    <w:embedRegular r:id="rId8" w:fontKey="{B6D86386-4590-4683-A76B-71D03A70D5BB}"/>
  </w:font>
  <w:font w:name="Segoe UI Light">
    <w:panose1 w:val="020B0502040204020203"/>
    <w:charset w:val="00"/>
    <w:family w:val="auto"/>
    <w:pitch w:val="default"/>
    <w:sig w:usb0="E4002EFF" w:usb1="C000E47F" w:usb2="00000009" w:usb3="00000000" w:csb0="200001FF" w:csb1="00000000"/>
  </w:font>
  <w:font w:name="Times New Roman Regular">
    <w:altName w:val="Times New Roman"/>
    <w:panose1 w:val="02020503050405090304"/>
    <w:charset w:val="00"/>
    <w:family w:val="auto"/>
    <w:pitch w:val="default"/>
    <w:sig w:usb0="00000000" w:usb1="00000000" w:usb2="00000001" w:usb3="00000000" w:csb0="400001BF" w:csb1="DFF70000"/>
    <w:embedRegular r:id="rId9" w:fontKey="{67954406-8878-4DF6-953E-1118FEDC78F2}"/>
  </w:font>
  <w:font w:name="TimesNewRomanPSMT">
    <w:altName w:val="Times New Roman"/>
    <w:panose1 w:val="00000000000000000000"/>
    <w:charset w:val="00"/>
    <w:family w:val="auto"/>
    <w:pitch w:val="default"/>
    <w:sig w:usb0="00000000" w:usb1="00000000" w:usb2="00000000" w:usb3="00000000" w:csb0="00040001" w:csb1="00000000"/>
    <w:embedRegular r:id="rId10" w:fontKey="{7567EA14-149B-4F47-9C09-13965F922F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A6F0C">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F7283">
    <w:pPr>
      <w:pStyle w:val="21"/>
      <w:framePr w:wrap="around" w:vAnchor="text" w:hAnchor="margin" w:xAlign="center" w:y="1"/>
      <w:rPr>
        <w:rStyle w:val="34"/>
      </w:rPr>
    </w:pPr>
    <w:r>
      <w:fldChar w:fldCharType="begin"/>
    </w:r>
    <w:r>
      <w:rPr>
        <w:rStyle w:val="34"/>
      </w:rPr>
      <w:instrText xml:space="preserve">PAGE  </w:instrText>
    </w:r>
    <w:r>
      <w:fldChar w:fldCharType="end"/>
    </w:r>
  </w:p>
  <w:p w14:paraId="4762F99F">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E3083">
    <w:pPr>
      <w:pStyle w:val="21"/>
      <w:framePr w:wrap="around" w:vAnchor="text" w:hAnchor="margin" w:xAlign="outside" w:y="1"/>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9</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p w14:paraId="7A4EE263">
    <w:pPr>
      <w:pStyle w:val="21"/>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B9D86">
    <w:pPr>
      <w:pStyle w:val="21"/>
      <w:framePr w:wrap="around" w:vAnchor="text" w:hAnchor="margin" w:xAlign="outside" w:y="1"/>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11</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p w14:paraId="5D66890A">
    <w:pPr>
      <w:pStyle w:val="21"/>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3E8AF"/>
    <w:multiLevelType w:val="singleLevel"/>
    <w:tmpl w:val="8913E8AF"/>
    <w:lvl w:ilvl="0" w:tentative="0">
      <w:start w:val="1"/>
      <w:numFmt w:val="decimal"/>
      <w:lvlText w:val="%1."/>
      <w:lvlJc w:val="left"/>
      <w:pPr>
        <w:tabs>
          <w:tab w:val="left" w:pos="312"/>
        </w:tabs>
      </w:pPr>
    </w:lvl>
  </w:abstractNum>
  <w:abstractNum w:abstractNumId="1">
    <w:nsid w:val="BCF2BB88"/>
    <w:multiLevelType w:val="singleLevel"/>
    <w:tmpl w:val="BCF2BB88"/>
    <w:lvl w:ilvl="0" w:tentative="0">
      <w:start w:val="2"/>
      <w:numFmt w:val="decimal"/>
      <w:lvlText w:val="%1."/>
      <w:lvlJc w:val="left"/>
      <w:pPr>
        <w:tabs>
          <w:tab w:val="left" w:pos="312"/>
        </w:tabs>
      </w:pPr>
    </w:lvl>
  </w:abstractNum>
  <w:abstractNum w:abstractNumId="2">
    <w:nsid w:val="D69187DF"/>
    <w:multiLevelType w:val="singleLevel"/>
    <w:tmpl w:val="D69187DF"/>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3">
    <w:nsid w:val="3C685D07"/>
    <w:multiLevelType w:val="singleLevel"/>
    <w:tmpl w:val="3C685D07"/>
    <w:lvl w:ilvl="0" w:tentative="0">
      <w:start w:val="77"/>
      <w:numFmt w:val="decimal"/>
      <w:lvlText w:val="%1."/>
      <w:lvlJc w:val="left"/>
      <w:pPr>
        <w:tabs>
          <w:tab w:val="left" w:pos="312"/>
        </w:tabs>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JkNTgzMzNiZWFlOGNkNDQ1ZDYxM2FjN2JhNjhiZDYifQ=="/>
    <w:docVar w:name="KSO_WPS_MARK_KEY" w:val="5045ee9b-cb94-4ae9-aa46-808226a9b1dd"/>
  </w:docVars>
  <w:rsids>
    <w:rsidRoot w:val="00A14947"/>
    <w:rsid w:val="000024CA"/>
    <w:rsid w:val="00003A56"/>
    <w:rsid w:val="000042CF"/>
    <w:rsid w:val="000060B3"/>
    <w:rsid w:val="0000692E"/>
    <w:rsid w:val="00006DD7"/>
    <w:rsid w:val="0000720D"/>
    <w:rsid w:val="000104F5"/>
    <w:rsid w:val="00014BFF"/>
    <w:rsid w:val="000179DA"/>
    <w:rsid w:val="0002062A"/>
    <w:rsid w:val="000210C9"/>
    <w:rsid w:val="00022A20"/>
    <w:rsid w:val="000234DA"/>
    <w:rsid w:val="00023B6E"/>
    <w:rsid w:val="00024475"/>
    <w:rsid w:val="00024952"/>
    <w:rsid w:val="00024A08"/>
    <w:rsid w:val="00024C9A"/>
    <w:rsid w:val="0002508B"/>
    <w:rsid w:val="00025EE5"/>
    <w:rsid w:val="00036091"/>
    <w:rsid w:val="000362B7"/>
    <w:rsid w:val="000372F3"/>
    <w:rsid w:val="00040326"/>
    <w:rsid w:val="00041DE2"/>
    <w:rsid w:val="00042DAF"/>
    <w:rsid w:val="0004364B"/>
    <w:rsid w:val="0004437C"/>
    <w:rsid w:val="000448D5"/>
    <w:rsid w:val="00044CBB"/>
    <w:rsid w:val="00044DBF"/>
    <w:rsid w:val="00044DF7"/>
    <w:rsid w:val="00046198"/>
    <w:rsid w:val="00051598"/>
    <w:rsid w:val="0005449A"/>
    <w:rsid w:val="00054E77"/>
    <w:rsid w:val="000550AF"/>
    <w:rsid w:val="00055E4D"/>
    <w:rsid w:val="000607AF"/>
    <w:rsid w:val="00061B1F"/>
    <w:rsid w:val="00064763"/>
    <w:rsid w:val="000650C3"/>
    <w:rsid w:val="00066C2F"/>
    <w:rsid w:val="00066CCC"/>
    <w:rsid w:val="0006731D"/>
    <w:rsid w:val="00067A5B"/>
    <w:rsid w:val="00070862"/>
    <w:rsid w:val="000712FA"/>
    <w:rsid w:val="00072144"/>
    <w:rsid w:val="000729D7"/>
    <w:rsid w:val="000733C4"/>
    <w:rsid w:val="0007367F"/>
    <w:rsid w:val="00074339"/>
    <w:rsid w:val="00074783"/>
    <w:rsid w:val="000750FB"/>
    <w:rsid w:val="00076777"/>
    <w:rsid w:val="00077D4F"/>
    <w:rsid w:val="0008070B"/>
    <w:rsid w:val="000810AC"/>
    <w:rsid w:val="00081A02"/>
    <w:rsid w:val="00082231"/>
    <w:rsid w:val="00082F99"/>
    <w:rsid w:val="0008385E"/>
    <w:rsid w:val="00084414"/>
    <w:rsid w:val="000855A8"/>
    <w:rsid w:val="000855C9"/>
    <w:rsid w:val="00085A2B"/>
    <w:rsid w:val="00086746"/>
    <w:rsid w:val="000868D4"/>
    <w:rsid w:val="00087700"/>
    <w:rsid w:val="0009272D"/>
    <w:rsid w:val="00092D38"/>
    <w:rsid w:val="0009377B"/>
    <w:rsid w:val="00095637"/>
    <w:rsid w:val="00096B18"/>
    <w:rsid w:val="00097992"/>
    <w:rsid w:val="000979D7"/>
    <w:rsid w:val="00097B04"/>
    <w:rsid w:val="00097ECA"/>
    <w:rsid w:val="000A137B"/>
    <w:rsid w:val="000A16F7"/>
    <w:rsid w:val="000A20C9"/>
    <w:rsid w:val="000A3DB5"/>
    <w:rsid w:val="000A4D25"/>
    <w:rsid w:val="000A6D7E"/>
    <w:rsid w:val="000A71C6"/>
    <w:rsid w:val="000B058F"/>
    <w:rsid w:val="000B0B45"/>
    <w:rsid w:val="000B1E8C"/>
    <w:rsid w:val="000B23B3"/>
    <w:rsid w:val="000B404D"/>
    <w:rsid w:val="000B4467"/>
    <w:rsid w:val="000B464C"/>
    <w:rsid w:val="000B46F2"/>
    <w:rsid w:val="000B4DB9"/>
    <w:rsid w:val="000B5742"/>
    <w:rsid w:val="000B6934"/>
    <w:rsid w:val="000B75FF"/>
    <w:rsid w:val="000B7C53"/>
    <w:rsid w:val="000C09AC"/>
    <w:rsid w:val="000C104F"/>
    <w:rsid w:val="000C1BD7"/>
    <w:rsid w:val="000C27CF"/>
    <w:rsid w:val="000C572F"/>
    <w:rsid w:val="000C5880"/>
    <w:rsid w:val="000C767F"/>
    <w:rsid w:val="000C778A"/>
    <w:rsid w:val="000C7BA6"/>
    <w:rsid w:val="000D0407"/>
    <w:rsid w:val="000D0D23"/>
    <w:rsid w:val="000D1D65"/>
    <w:rsid w:val="000D4DC6"/>
    <w:rsid w:val="000D527D"/>
    <w:rsid w:val="000D5A44"/>
    <w:rsid w:val="000D7239"/>
    <w:rsid w:val="000D7C14"/>
    <w:rsid w:val="000E0454"/>
    <w:rsid w:val="000E06B1"/>
    <w:rsid w:val="000E0C50"/>
    <w:rsid w:val="000E20DC"/>
    <w:rsid w:val="000E2A9B"/>
    <w:rsid w:val="000E2B27"/>
    <w:rsid w:val="000E3ED2"/>
    <w:rsid w:val="000E46D8"/>
    <w:rsid w:val="000E7207"/>
    <w:rsid w:val="000E7954"/>
    <w:rsid w:val="000E7A6D"/>
    <w:rsid w:val="000E7ADA"/>
    <w:rsid w:val="000F1F73"/>
    <w:rsid w:val="000F4AD6"/>
    <w:rsid w:val="00100C6D"/>
    <w:rsid w:val="00100E31"/>
    <w:rsid w:val="001010ED"/>
    <w:rsid w:val="001011A5"/>
    <w:rsid w:val="00101524"/>
    <w:rsid w:val="00102278"/>
    <w:rsid w:val="00103567"/>
    <w:rsid w:val="0010475F"/>
    <w:rsid w:val="001049E0"/>
    <w:rsid w:val="00105558"/>
    <w:rsid w:val="001059C2"/>
    <w:rsid w:val="00110552"/>
    <w:rsid w:val="00115E11"/>
    <w:rsid w:val="00116A47"/>
    <w:rsid w:val="001221D8"/>
    <w:rsid w:val="00123D41"/>
    <w:rsid w:val="00124058"/>
    <w:rsid w:val="00124C4B"/>
    <w:rsid w:val="00131EF2"/>
    <w:rsid w:val="00131F42"/>
    <w:rsid w:val="00132D25"/>
    <w:rsid w:val="001342A4"/>
    <w:rsid w:val="0013473A"/>
    <w:rsid w:val="0013476E"/>
    <w:rsid w:val="001357F1"/>
    <w:rsid w:val="00137FD6"/>
    <w:rsid w:val="00140461"/>
    <w:rsid w:val="0014073E"/>
    <w:rsid w:val="00140B46"/>
    <w:rsid w:val="00140FA8"/>
    <w:rsid w:val="00141E24"/>
    <w:rsid w:val="0014231F"/>
    <w:rsid w:val="00142FEB"/>
    <w:rsid w:val="00143A2D"/>
    <w:rsid w:val="00144B14"/>
    <w:rsid w:val="0014577A"/>
    <w:rsid w:val="00145A41"/>
    <w:rsid w:val="00146A7D"/>
    <w:rsid w:val="00146B26"/>
    <w:rsid w:val="00147B88"/>
    <w:rsid w:val="0015042F"/>
    <w:rsid w:val="00151134"/>
    <w:rsid w:val="00151675"/>
    <w:rsid w:val="00151E25"/>
    <w:rsid w:val="00151EAD"/>
    <w:rsid w:val="001531C5"/>
    <w:rsid w:val="00153273"/>
    <w:rsid w:val="00157435"/>
    <w:rsid w:val="0015762C"/>
    <w:rsid w:val="0016186F"/>
    <w:rsid w:val="00161BFF"/>
    <w:rsid w:val="00165172"/>
    <w:rsid w:val="001669EA"/>
    <w:rsid w:val="00166DA0"/>
    <w:rsid w:val="00167101"/>
    <w:rsid w:val="00171B60"/>
    <w:rsid w:val="00172A69"/>
    <w:rsid w:val="00173398"/>
    <w:rsid w:val="00174EFB"/>
    <w:rsid w:val="0017504D"/>
    <w:rsid w:val="001753DD"/>
    <w:rsid w:val="00176017"/>
    <w:rsid w:val="0017671A"/>
    <w:rsid w:val="00177422"/>
    <w:rsid w:val="00177838"/>
    <w:rsid w:val="001803C2"/>
    <w:rsid w:val="00180895"/>
    <w:rsid w:val="00183C6C"/>
    <w:rsid w:val="00184590"/>
    <w:rsid w:val="001856C3"/>
    <w:rsid w:val="001870D1"/>
    <w:rsid w:val="0018781E"/>
    <w:rsid w:val="00187D1C"/>
    <w:rsid w:val="001900B1"/>
    <w:rsid w:val="001901CC"/>
    <w:rsid w:val="00190711"/>
    <w:rsid w:val="00190CB7"/>
    <w:rsid w:val="001913F5"/>
    <w:rsid w:val="0019262D"/>
    <w:rsid w:val="001941E5"/>
    <w:rsid w:val="00194275"/>
    <w:rsid w:val="00194CAF"/>
    <w:rsid w:val="001950DD"/>
    <w:rsid w:val="00195607"/>
    <w:rsid w:val="00196349"/>
    <w:rsid w:val="0019651E"/>
    <w:rsid w:val="001976F9"/>
    <w:rsid w:val="00197AF4"/>
    <w:rsid w:val="001A0B11"/>
    <w:rsid w:val="001A0D0C"/>
    <w:rsid w:val="001A10FD"/>
    <w:rsid w:val="001A19F5"/>
    <w:rsid w:val="001A1B35"/>
    <w:rsid w:val="001A2C2D"/>
    <w:rsid w:val="001A3334"/>
    <w:rsid w:val="001A342B"/>
    <w:rsid w:val="001A48A2"/>
    <w:rsid w:val="001A4E6A"/>
    <w:rsid w:val="001A6BCB"/>
    <w:rsid w:val="001A6F61"/>
    <w:rsid w:val="001A7B46"/>
    <w:rsid w:val="001B0FA6"/>
    <w:rsid w:val="001B1589"/>
    <w:rsid w:val="001B3676"/>
    <w:rsid w:val="001B4027"/>
    <w:rsid w:val="001B47CF"/>
    <w:rsid w:val="001B54D2"/>
    <w:rsid w:val="001B5688"/>
    <w:rsid w:val="001B5E58"/>
    <w:rsid w:val="001B72B8"/>
    <w:rsid w:val="001C02FE"/>
    <w:rsid w:val="001C10B3"/>
    <w:rsid w:val="001C66CD"/>
    <w:rsid w:val="001C69B3"/>
    <w:rsid w:val="001C7448"/>
    <w:rsid w:val="001D23B8"/>
    <w:rsid w:val="001D37C1"/>
    <w:rsid w:val="001D427E"/>
    <w:rsid w:val="001D4C2A"/>
    <w:rsid w:val="001D5198"/>
    <w:rsid w:val="001D5595"/>
    <w:rsid w:val="001D6534"/>
    <w:rsid w:val="001D671A"/>
    <w:rsid w:val="001D7874"/>
    <w:rsid w:val="001D7F22"/>
    <w:rsid w:val="001E0941"/>
    <w:rsid w:val="001E13F9"/>
    <w:rsid w:val="001E15CC"/>
    <w:rsid w:val="001E1EE9"/>
    <w:rsid w:val="001E2D1B"/>
    <w:rsid w:val="001E2E98"/>
    <w:rsid w:val="001E55BC"/>
    <w:rsid w:val="001E7727"/>
    <w:rsid w:val="001F0F17"/>
    <w:rsid w:val="001F235A"/>
    <w:rsid w:val="001F2DDA"/>
    <w:rsid w:val="001F3347"/>
    <w:rsid w:val="001F3682"/>
    <w:rsid w:val="001F40B3"/>
    <w:rsid w:val="001F59C0"/>
    <w:rsid w:val="001F6747"/>
    <w:rsid w:val="001F69E4"/>
    <w:rsid w:val="00200C06"/>
    <w:rsid w:val="00201EEC"/>
    <w:rsid w:val="002041DA"/>
    <w:rsid w:val="00204363"/>
    <w:rsid w:val="00212251"/>
    <w:rsid w:val="002125B4"/>
    <w:rsid w:val="00213D81"/>
    <w:rsid w:val="0021498F"/>
    <w:rsid w:val="002155B8"/>
    <w:rsid w:val="00215A52"/>
    <w:rsid w:val="00215C87"/>
    <w:rsid w:val="00220204"/>
    <w:rsid w:val="002202C1"/>
    <w:rsid w:val="00220361"/>
    <w:rsid w:val="00220ED0"/>
    <w:rsid w:val="002212DF"/>
    <w:rsid w:val="00221DDC"/>
    <w:rsid w:val="00222917"/>
    <w:rsid w:val="00224839"/>
    <w:rsid w:val="002249B2"/>
    <w:rsid w:val="00224DE2"/>
    <w:rsid w:val="00224EFB"/>
    <w:rsid w:val="00225218"/>
    <w:rsid w:val="00226574"/>
    <w:rsid w:val="002266F6"/>
    <w:rsid w:val="002278EC"/>
    <w:rsid w:val="00230234"/>
    <w:rsid w:val="0023280E"/>
    <w:rsid w:val="0023362E"/>
    <w:rsid w:val="00233C56"/>
    <w:rsid w:val="0023499C"/>
    <w:rsid w:val="00234CD7"/>
    <w:rsid w:val="00234D1E"/>
    <w:rsid w:val="0023649C"/>
    <w:rsid w:val="002377D1"/>
    <w:rsid w:val="0024066D"/>
    <w:rsid w:val="00241A1A"/>
    <w:rsid w:val="00242F53"/>
    <w:rsid w:val="002438EF"/>
    <w:rsid w:val="00243AC5"/>
    <w:rsid w:val="00244E74"/>
    <w:rsid w:val="00245FBE"/>
    <w:rsid w:val="002506BC"/>
    <w:rsid w:val="002526BE"/>
    <w:rsid w:val="00253243"/>
    <w:rsid w:val="0025415B"/>
    <w:rsid w:val="00254345"/>
    <w:rsid w:val="0025557A"/>
    <w:rsid w:val="002559A6"/>
    <w:rsid w:val="00260630"/>
    <w:rsid w:val="0026348D"/>
    <w:rsid w:val="00264557"/>
    <w:rsid w:val="00264A67"/>
    <w:rsid w:val="00266913"/>
    <w:rsid w:val="00270066"/>
    <w:rsid w:val="00270E4B"/>
    <w:rsid w:val="00274FA1"/>
    <w:rsid w:val="0027535D"/>
    <w:rsid w:val="00275558"/>
    <w:rsid w:val="00275CDA"/>
    <w:rsid w:val="00276052"/>
    <w:rsid w:val="002805AB"/>
    <w:rsid w:val="0028097C"/>
    <w:rsid w:val="0028214C"/>
    <w:rsid w:val="002836D4"/>
    <w:rsid w:val="00284204"/>
    <w:rsid w:val="00284EAE"/>
    <w:rsid w:val="002861E9"/>
    <w:rsid w:val="00287111"/>
    <w:rsid w:val="00287534"/>
    <w:rsid w:val="00287936"/>
    <w:rsid w:val="00291773"/>
    <w:rsid w:val="00292362"/>
    <w:rsid w:val="00293EAB"/>
    <w:rsid w:val="00293F59"/>
    <w:rsid w:val="00295DAE"/>
    <w:rsid w:val="00296403"/>
    <w:rsid w:val="002A1034"/>
    <w:rsid w:val="002A1606"/>
    <w:rsid w:val="002A168C"/>
    <w:rsid w:val="002A36C6"/>
    <w:rsid w:val="002A3DC7"/>
    <w:rsid w:val="002A4E08"/>
    <w:rsid w:val="002A5864"/>
    <w:rsid w:val="002A5981"/>
    <w:rsid w:val="002B2ED7"/>
    <w:rsid w:val="002B40B9"/>
    <w:rsid w:val="002B49E2"/>
    <w:rsid w:val="002B4B61"/>
    <w:rsid w:val="002B5464"/>
    <w:rsid w:val="002B7B00"/>
    <w:rsid w:val="002B7C44"/>
    <w:rsid w:val="002C0E46"/>
    <w:rsid w:val="002C0F2D"/>
    <w:rsid w:val="002C2B17"/>
    <w:rsid w:val="002C4268"/>
    <w:rsid w:val="002C544A"/>
    <w:rsid w:val="002C5F55"/>
    <w:rsid w:val="002C63CF"/>
    <w:rsid w:val="002C7083"/>
    <w:rsid w:val="002D0889"/>
    <w:rsid w:val="002D175F"/>
    <w:rsid w:val="002D2D01"/>
    <w:rsid w:val="002D37B1"/>
    <w:rsid w:val="002D3DD0"/>
    <w:rsid w:val="002D408E"/>
    <w:rsid w:val="002D41E3"/>
    <w:rsid w:val="002D5337"/>
    <w:rsid w:val="002D6185"/>
    <w:rsid w:val="002D6A7C"/>
    <w:rsid w:val="002E1F3A"/>
    <w:rsid w:val="002E298A"/>
    <w:rsid w:val="002E2B38"/>
    <w:rsid w:val="002E2DC2"/>
    <w:rsid w:val="002E51A9"/>
    <w:rsid w:val="002E754C"/>
    <w:rsid w:val="002E7736"/>
    <w:rsid w:val="002F18E4"/>
    <w:rsid w:val="002F1DD7"/>
    <w:rsid w:val="002F21A1"/>
    <w:rsid w:val="002F3BF8"/>
    <w:rsid w:val="002F6924"/>
    <w:rsid w:val="002F75F3"/>
    <w:rsid w:val="00301978"/>
    <w:rsid w:val="00302058"/>
    <w:rsid w:val="00302206"/>
    <w:rsid w:val="0030332C"/>
    <w:rsid w:val="003051C2"/>
    <w:rsid w:val="00306697"/>
    <w:rsid w:val="00306B08"/>
    <w:rsid w:val="003079BA"/>
    <w:rsid w:val="003106B4"/>
    <w:rsid w:val="00310799"/>
    <w:rsid w:val="00311EA8"/>
    <w:rsid w:val="003121AC"/>
    <w:rsid w:val="00312296"/>
    <w:rsid w:val="00313FB3"/>
    <w:rsid w:val="00314F0E"/>
    <w:rsid w:val="00315238"/>
    <w:rsid w:val="003169EE"/>
    <w:rsid w:val="00321D8E"/>
    <w:rsid w:val="00322F97"/>
    <w:rsid w:val="00323999"/>
    <w:rsid w:val="00325684"/>
    <w:rsid w:val="003256D5"/>
    <w:rsid w:val="0032579C"/>
    <w:rsid w:val="00325928"/>
    <w:rsid w:val="00325B1A"/>
    <w:rsid w:val="00325F44"/>
    <w:rsid w:val="0033014A"/>
    <w:rsid w:val="003313DA"/>
    <w:rsid w:val="00332863"/>
    <w:rsid w:val="00335235"/>
    <w:rsid w:val="003360D8"/>
    <w:rsid w:val="0033677A"/>
    <w:rsid w:val="0033684D"/>
    <w:rsid w:val="00337B42"/>
    <w:rsid w:val="00341B42"/>
    <w:rsid w:val="003420EB"/>
    <w:rsid w:val="00342DD7"/>
    <w:rsid w:val="0034348F"/>
    <w:rsid w:val="00344C13"/>
    <w:rsid w:val="0035163A"/>
    <w:rsid w:val="00356653"/>
    <w:rsid w:val="0035743F"/>
    <w:rsid w:val="003574B8"/>
    <w:rsid w:val="00357BE2"/>
    <w:rsid w:val="0036130F"/>
    <w:rsid w:val="0036170C"/>
    <w:rsid w:val="00361BD8"/>
    <w:rsid w:val="00362414"/>
    <w:rsid w:val="0036278F"/>
    <w:rsid w:val="00363B32"/>
    <w:rsid w:val="00363E49"/>
    <w:rsid w:val="0036636F"/>
    <w:rsid w:val="0036649C"/>
    <w:rsid w:val="00366E0F"/>
    <w:rsid w:val="0036717A"/>
    <w:rsid w:val="00370B8C"/>
    <w:rsid w:val="00372822"/>
    <w:rsid w:val="0037353B"/>
    <w:rsid w:val="003745AB"/>
    <w:rsid w:val="0037568E"/>
    <w:rsid w:val="00375E8F"/>
    <w:rsid w:val="00376247"/>
    <w:rsid w:val="00376682"/>
    <w:rsid w:val="00376D26"/>
    <w:rsid w:val="00381A72"/>
    <w:rsid w:val="00382D0F"/>
    <w:rsid w:val="00384676"/>
    <w:rsid w:val="0038505D"/>
    <w:rsid w:val="00385CA8"/>
    <w:rsid w:val="00386300"/>
    <w:rsid w:val="00386463"/>
    <w:rsid w:val="00386C28"/>
    <w:rsid w:val="00390857"/>
    <w:rsid w:val="00391329"/>
    <w:rsid w:val="00391947"/>
    <w:rsid w:val="003946CF"/>
    <w:rsid w:val="003946E0"/>
    <w:rsid w:val="003A111F"/>
    <w:rsid w:val="003A1449"/>
    <w:rsid w:val="003A2D66"/>
    <w:rsid w:val="003A4875"/>
    <w:rsid w:val="003A4BF3"/>
    <w:rsid w:val="003B020A"/>
    <w:rsid w:val="003B0E60"/>
    <w:rsid w:val="003B1814"/>
    <w:rsid w:val="003B26C0"/>
    <w:rsid w:val="003B2C17"/>
    <w:rsid w:val="003B3D15"/>
    <w:rsid w:val="003B3F78"/>
    <w:rsid w:val="003B420D"/>
    <w:rsid w:val="003B666A"/>
    <w:rsid w:val="003B6746"/>
    <w:rsid w:val="003B761F"/>
    <w:rsid w:val="003B7639"/>
    <w:rsid w:val="003C11D2"/>
    <w:rsid w:val="003C19B5"/>
    <w:rsid w:val="003C244B"/>
    <w:rsid w:val="003C24B7"/>
    <w:rsid w:val="003C25CA"/>
    <w:rsid w:val="003C2E7E"/>
    <w:rsid w:val="003C4893"/>
    <w:rsid w:val="003C52F9"/>
    <w:rsid w:val="003C6C16"/>
    <w:rsid w:val="003C6E24"/>
    <w:rsid w:val="003C7823"/>
    <w:rsid w:val="003D0A19"/>
    <w:rsid w:val="003D222C"/>
    <w:rsid w:val="003D387C"/>
    <w:rsid w:val="003D5269"/>
    <w:rsid w:val="003D746A"/>
    <w:rsid w:val="003D794D"/>
    <w:rsid w:val="003E098E"/>
    <w:rsid w:val="003E1673"/>
    <w:rsid w:val="003E21C4"/>
    <w:rsid w:val="003E3058"/>
    <w:rsid w:val="003E3260"/>
    <w:rsid w:val="003E342C"/>
    <w:rsid w:val="003E37E5"/>
    <w:rsid w:val="003E3F62"/>
    <w:rsid w:val="003E63B1"/>
    <w:rsid w:val="003E6CF8"/>
    <w:rsid w:val="003E732C"/>
    <w:rsid w:val="003E76A9"/>
    <w:rsid w:val="003F0809"/>
    <w:rsid w:val="003F0BAA"/>
    <w:rsid w:val="003F1CB5"/>
    <w:rsid w:val="003F1F09"/>
    <w:rsid w:val="003F20A3"/>
    <w:rsid w:val="003F42AE"/>
    <w:rsid w:val="003F6A8C"/>
    <w:rsid w:val="003F6F54"/>
    <w:rsid w:val="003F755C"/>
    <w:rsid w:val="004029D2"/>
    <w:rsid w:val="00404516"/>
    <w:rsid w:val="00404A99"/>
    <w:rsid w:val="00406752"/>
    <w:rsid w:val="0040696C"/>
    <w:rsid w:val="00406F01"/>
    <w:rsid w:val="00410BCC"/>
    <w:rsid w:val="00410D19"/>
    <w:rsid w:val="00415140"/>
    <w:rsid w:val="00415A06"/>
    <w:rsid w:val="00415EC9"/>
    <w:rsid w:val="00416D50"/>
    <w:rsid w:val="00416FD5"/>
    <w:rsid w:val="004172B1"/>
    <w:rsid w:val="00417772"/>
    <w:rsid w:val="00420053"/>
    <w:rsid w:val="004208C9"/>
    <w:rsid w:val="00420E6A"/>
    <w:rsid w:val="00420F68"/>
    <w:rsid w:val="00422E59"/>
    <w:rsid w:val="004233FA"/>
    <w:rsid w:val="00425210"/>
    <w:rsid w:val="00425A9E"/>
    <w:rsid w:val="00426D6B"/>
    <w:rsid w:val="004273D0"/>
    <w:rsid w:val="00431BBF"/>
    <w:rsid w:val="00431E6C"/>
    <w:rsid w:val="00433717"/>
    <w:rsid w:val="00433CE7"/>
    <w:rsid w:val="0043455C"/>
    <w:rsid w:val="00434E07"/>
    <w:rsid w:val="004368A9"/>
    <w:rsid w:val="004378E7"/>
    <w:rsid w:val="004428A9"/>
    <w:rsid w:val="004433F7"/>
    <w:rsid w:val="00445AD8"/>
    <w:rsid w:val="004462D9"/>
    <w:rsid w:val="00447570"/>
    <w:rsid w:val="004500EC"/>
    <w:rsid w:val="00451027"/>
    <w:rsid w:val="0045105D"/>
    <w:rsid w:val="00452738"/>
    <w:rsid w:val="00452ED5"/>
    <w:rsid w:val="00456091"/>
    <w:rsid w:val="00460966"/>
    <w:rsid w:val="004640E3"/>
    <w:rsid w:val="00465751"/>
    <w:rsid w:val="00465E7A"/>
    <w:rsid w:val="00466031"/>
    <w:rsid w:val="00466321"/>
    <w:rsid w:val="00470059"/>
    <w:rsid w:val="00470952"/>
    <w:rsid w:val="00472C41"/>
    <w:rsid w:val="00477E90"/>
    <w:rsid w:val="00480A1E"/>
    <w:rsid w:val="0048103E"/>
    <w:rsid w:val="00482028"/>
    <w:rsid w:val="00483FAC"/>
    <w:rsid w:val="00484B9B"/>
    <w:rsid w:val="00484BA5"/>
    <w:rsid w:val="00485460"/>
    <w:rsid w:val="004855F6"/>
    <w:rsid w:val="0048661E"/>
    <w:rsid w:val="004874F0"/>
    <w:rsid w:val="004933A4"/>
    <w:rsid w:val="00493B61"/>
    <w:rsid w:val="004942D8"/>
    <w:rsid w:val="004945A5"/>
    <w:rsid w:val="00494670"/>
    <w:rsid w:val="00494C40"/>
    <w:rsid w:val="00495C81"/>
    <w:rsid w:val="00496240"/>
    <w:rsid w:val="004A3823"/>
    <w:rsid w:val="004A5172"/>
    <w:rsid w:val="004A59B8"/>
    <w:rsid w:val="004B02A4"/>
    <w:rsid w:val="004B0CC2"/>
    <w:rsid w:val="004B1688"/>
    <w:rsid w:val="004B4836"/>
    <w:rsid w:val="004B5A13"/>
    <w:rsid w:val="004B5A4C"/>
    <w:rsid w:val="004B626E"/>
    <w:rsid w:val="004B732E"/>
    <w:rsid w:val="004C0B1D"/>
    <w:rsid w:val="004C189F"/>
    <w:rsid w:val="004C2490"/>
    <w:rsid w:val="004C27AA"/>
    <w:rsid w:val="004C30A0"/>
    <w:rsid w:val="004C37A2"/>
    <w:rsid w:val="004C57B2"/>
    <w:rsid w:val="004C64A6"/>
    <w:rsid w:val="004C6BA4"/>
    <w:rsid w:val="004D17D7"/>
    <w:rsid w:val="004D2717"/>
    <w:rsid w:val="004D39A8"/>
    <w:rsid w:val="004D5E01"/>
    <w:rsid w:val="004D5F2D"/>
    <w:rsid w:val="004D747E"/>
    <w:rsid w:val="004E2E5F"/>
    <w:rsid w:val="004E5622"/>
    <w:rsid w:val="004E620A"/>
    <w:rsid w:val="004E6946"/>
    <w:rsid w:val="004F0CF3"/>
    <w:rsid w:val="004F1A71"/>
    <w:rsid w:val="004F1AD8"/>
    <w:rsid w:val="004F2B58"/>
    <w:rsid w:val="004F3C84"/>
    <w:rsid w:val="004F3F5A"/>
    <w:rsid w:val="004F787B"/>
    <w:rsid w:val="005029C4"/>
    <w:rsid w:val="005039CB"/>
    <w:rsid w:val="0050558F"/>
    <w:rsid w:val="00506286"/>
    <w:rsid w:val="00506455"/>
    <w:rsid w:val="00507FA0"/>
    <w:rsid w:val="00510813"/>
    <w:rsid w:val="00510BFB"/>
    <w:rsid w:val="005117F8"/>
    <w:rsid w:val="00511990"/>
    <w:rsid w:val="00511DE0"/>
    <w:rsid w:val="00514870"/>
    <w:rsid w:val="00514B9B"/>
    <w:rsid w:val="005155A7"/>
    <w:rsid w:val="00517F02"/>
    <w:rsid w:val="00520F5C"/>
    <w:rsid w:val="00521C85"/>
    <w:rsid w:val="00522E5E"/>
    <w:rsid w:val="00524303"/>
    <w:rsid w:val="005258A2"/>
    <w:rsid w:val="00525CD7"/>
    <w:rsid w:val="005270C9"/>
    <w:rsid w:val="0052716B"/>
    <w:rsid w:val="00527EA0"/>
    <w:rsid w:val="005303C2"/>
    <w:rsid w:val="0053110E"/>
    <w:rsid w:val="00531B11"/>
    <w:rsid w:val="00532DB4"/>
    <w:rsid w:val="00534229"/>
    <w:rsid w:val="00534B39"/>
    <w:rsid w:val="00535F07"/>
    <w:rsid w:val="00536F3E"/>
    <w:rsid w:val="005401AE"/>
    <w:rsid w:val="0054108F"/>
    <w:rsid w:val="0054159A"/>
    <w:rsid w:val="00542E07"/>
    <w:rsid w:val="00542F96"/>
    <w:rsid w:val="00544562"/>
    <w:rsid w:val="0054501D"/>
    <w:rsid w:val="00545424"/>
    <w:rsid w:val="00546459"/>
    <w:rsid w:val="00546483"/>
    <w:rsid w:val="00546DB1"/>
    <w:rsid w:val="00547170"/>
    <w:rsid w:val="00554A7B"/>
    <w:rsid w:val="0055572C"/>
    <w:rsid w:val="005600E0"/>
    <w:rsid w:val="00560564"/>
    <w:rsid w:val="005609B8"/>
    <w:rsid w:val="0056106A"/>
    <w:rsid w:val="00561733"/>
    <w:rsid w:val="00562EFA"/>
    <w:rsid w:val="005630E6"/>
    <w:rsid w:val="0056445B"/>
    <w:rsid w:val="00564C0C"/>
    <w:rsid w:val="00566847"/>
    <w:rsid w:val="00566C49"/>
    <w:rsid w:val="00567152"/>
    <w:rsid w:val="00567D1D"/>
    <w:rsid w:val="005720AE"/>
    <w:rsid w:val="00574397"/>
    <w:rsid w:val="0057450A"/>
    <w:rsid w:val="00575185"/>
    <w:rsid w:val="00576DBA"/>
    <w:rsid w:val="00577135"/>
    <w:rsid w:val="00581771"/>
    <w:rsid w:val="00582AE4"/>
    <w:rsid w:val="0058365B"/>
    <w:rsid w:val="0058391B"/>
    <w:rsid w:val="00583B02"/>
    <w:rsid w:val="005848C7"/>
    <w:rsid w:val="00585C76"/>
    <w:rsid w:val="00585CAA"/>
    <w:rsid w:val="00585EBB"/>
    <w:rsid w:val="00586B62"/>
    <w:rsid w:val="00586E65"/>
    <w:rsid w:val="005905F5"/>
    <w:rsid w:val="00590B4B"/>
    <w:rsid w:val="005910D5"/>
    <w:rsid w:val="005912A8"/>
    <w:rsid w:val="00594D77"/>
    <w:rsid w:val="005963C3"/>
    <w:rsid w:val="005969E4"/>
    <w:rsid w:val="00597C1B"/>
    <w:rsid w:val="005A0035"/>
    <w:rsid w:val="005A06B7"/>
    <w:rsid w:val="005A07DC"/>
    <w:rsid w:val="005A0FB0"/>
    <w:rsid w:val="005A14D1"/>
    <w:rsid w:val="005A1759"/>
    <w:rsid w:val="005A1CC0"/>
    <w:rsid w:val="005A2846"/>
    <w:rsid w:val="005A2BAA"/>
    <w:rsid w:val="005A2EB4"/>
    <w:rsid w:val="005A68A7"/>
    <w:rsid w:val="005B266E"/>
    <w:rsid w:val="005B5F39"/>
    <w:rsid w:val="005B6035"/>
    <w:rsid w:val="005C0234"/>
    <w:rsid w:val="005C13C8"/>
    <w:rsid w:val="005C1BA4"/>
    <w:rsid w:val="005C40DB"/>
    <w:rsid w:val="005C59AC"/>
    <w:rsid w:val="005C715B"/>
    <w:rsid w:val="005C794F"/>
    <w:rsid w:val="005D1BBD"/>
    <w:rsid w:val="005D25A3"/>
    <w:rsid w:val="005D28E6"/>
    <w:rsid w:val="005D2C69"/>
    <w:rsid w:val="005D36AB"/>
    <w:rsid w:val="005D3B29"/>
    <w:rsid w:val="005D3E54"/>
    <w:rsid w:val="005D53B0"/>
    <w:rsid w:val="005D5D24"/>
    <w:rsid w:val="005D6839"/>
    <w:rsid w:val="005D6F80"/>
    <w:rsid w:val="005E07E3"/>
    <w:rsid w:val="005E12E5"/>
    <w:rsid w:val="005E30E5"/>
    <w:rsid w:val="005E58A0"/>
    <w:rsid w:val="005E6BE1"/>
    <w:rsid w:val="005E7BF9"/>
    <w:rsid w:val="005F037B"/>
    <w:rsid w:val="005F12DC"/>
    <w:rsid w:val="005F1C91"/>
    <w:rsid w:val="005F1D4C"/>
    <w:rsid w:val="005F2AE1"/>
    <w:rsid w:val="005F38F6"/>
    <w:rsid w:val="005F3F0E"/>
    <w:rsid w:val="005F4D16"/>
    <w:rsid w:val="005F4EE3"/>
    <w:rsid w:val="005F53F4"/>
    <w:rsid w:val="005F60A2"/>
    <w:rsid w:val="005F7B9D"/>
    <w:rsid w:val="00601737"/>
    <w:rsid w:val="0060193A"/>
    <w:rsid w:val="00602B06"/>
    <w:rsid w:val="006075C1"/>
    <w:rsid w:val="00607D7C"/>
    <w:rsid w:val="006107C8"/>
    <w:rsid w:val="00610F05"/>
    <w:rsid w:val="00612B09"/>
    <w:rsid w:val="0061342E"/>
    <w:rsid w:val="00614CD4"/>
    <w:rsid w:val="006150DC"/>
    <w:rsid w:val="0061539A"/>
    <w:rsid w:val="00615952"/>
    <w:rsid w:val="00617CC3"/>
    <w:rsid w:val="00623AF7"/>
    <w:rsid w:val="00636753"/>
    <w:rsid w:val="00636807"/>
    <w:rsid w:val="006377A6"/>
    <w:rsid w:val="00637A3D"/>
    <w:rsid w:val="00637DCE"/>
    <w:rsid w:val="006411EF"/>
    <w:rsid w:val="0064470F"/>
    <w:rsid w:val="0064795B"/>
    <w:rsid w:val="006508A9"/>
    <w:rsid w:val="00651452"/>
    <w:rsid w:val="00653BC1"/>
    <w:rsid w:val="00654F08"/>
    <w:rsid w:val="006552F2"/>
    <w:rsid w:val="00657118"/>
    <w:rsid w:val="00657361"/>
    <w:rsid w:val="00661015"/>
    <w:rsid w:val="006635FE"/>
    <w:rsid w:val="00666156"/>
    <w:rsid w:val="006669E5"/>
    <w:rsid w:val="00672FE8"/>
    <w:rsid w:val="00672FF0"/>
    <w:rsid w:val="00673F16"/>
    <w:rsid w:val="006748B8"/>
    <w:rsid w:val="006758FB"/>
    <w:rsid w:val="0067705E"/>
    <w:rsid w:val="006775C3"/>
    <w:rsid w:val="00682A62"/>
    <w:rsid w:val="00685C37"/>
    <w:rsid w:val="00687226"/>
    <w:rsid w:val="00691732"/>
    <w:rsid w:val="006918EF"/>
    <w:rsid w:val="0069290A"/>
    <w:rsid w:val="00692B95"/>
    <w:rsid w:val="00693D55"/>
    <w:rsid w:val="00695F40"/>
    <w:rsid w:val="0069693F"/>
    <w:rsid w:val="0069775A"/>
    <w:rsid w:val="00697813"/>
    <w:rsid w:val="0069794D"/>
    <w:rsid w:val="00697E0F"/>
    <w:rsid w:val="006A0AD8"/>
    <w:rsid w:val="006A0F96"/>
    <w:rsid w:val="006A0FE3"/>
    <w:rsid w:val="006A2B27"/>
    <w:rsid w:val="006A2DE5"/>
    <w:rsid w:val="006A3EE8"/>
    <w:rsid w:val="006A552A"/>
    <w:rsid w:val="006A6348"/>
    <w:rsid w:val="006A688F"/>
    <w:rsid w:val="006A7186"/>
    <w:rsid w:val="006A72BF"/>
    <w:rsid w:val="006A74D9"/>
    <w:rsid w:val="006B03F2"/>
    <w:rsid w:val="006B07CD"/>
    <w:rsid w:val="006B37DC"/>
    <w:rsid w:val="006B4F68"/>
    <w:rsid w:val="006B574E"/>
    <w:rsid w:val="006B77B1"/>
    <w:rsid w:val="006B7BC1"/>
    <w:rsid w:val="006C0592"/>
    <w:rsid w:val="006C1E62"/>
    <w:rsid w:val="006C272E"/>
    <w:rsid w:val="006C320E"/>
    <w:rsid w:val="006C534E"/>
    <w:rsid w:val="006C5479"/>
    <w:rsid w:val="006C5A46"/>
    <w:rsid w:val="006D13B5"/>
    <w:rsid w:val="006D4182"/>
    <w:rsid w:val="006D7B85"/>
    <w:rsid w:val="006E12FF"/>
    <w:rsid w:val="006E607E"/>
    <w:rsid w:val="006E6417"/>
    <w:rsid w:val="006E7312"/>
    <w:rsid w:val="006E7719"/>
    <w:rsid w:val="006F1974"/>
    <w:rsid w:val="006F4333"/>
    <w:rsid w:val="007008A0"/>
    <w:rsid w:val="007017D8"/>
    <w:rsid w:val="007040A1"/>
    <w:rsid w:val="00704634"/>
    <w:rsid w:val="00704CEF"/>
    <w:rsid w:val="00704EB4"/>
    <w:rsid w:val="007053B6"/>
    <w:rsid w:val="007057C5"/>
    <w:rsid w:val="007067A5"/>
    <w:rsid w:val="00706C5D"/>
    <w:rsid w:val="00710CC7"/>
    <w:rsid w:val="00712689"/>
    <w:rsid w:val="00712AF4"/>
    <w:rsid w:val="0071473D"/>
    <w:rsid w:val="00715F2E"/>
    <w:rsid w:val="00715FB3"/>
    <w:rsid w:val="00716612"/>
    <w:rsid w:val="00716BC7"/>
    <w:rsid w:val="00717131"/>
    <w:rsid w:val="00720700"/>
    <w:rsid w:val="0072175A"/>
    <w:rsid w:val="00721935"/>
    <w:rsid w:val="00723349"/>
    <w:rsid w:val="00723A49"/>
    <w:rsid w:val="00724283"/>
    <w:rsid w:val="0072622C"/>
    <w:rsid w:val="007267F5"/>
    <w:rsid w:val="00727F39"/>
    <w:rsid w:val="00730ADD"/>
    <w:rsid w:val="00732922"/>
    <w:rsid w:val="007340AF"/>
    <w:rsid w:val="00734E03"/>
    <w:rsid w:val="0073529F"/>
    <w:rsid w:val="0073554E"/>
    <w:rsid w:val="007417AE"/>
    <w:rsid w:val="00741B84"/>
    <w:rsid w:val="00743592"/>
    <w:rsid w:val="00743D48"/>
    <w:rsid w:val="0074454E"/>
    <w:rsid w:val="00745B6D"/>
    <w:rsid w:val="00745E33"/>
    <w:rsid w:val="00750C6A"/>
    <w:rsid w:val="0075154A"/>
    <w:rsid w:val="0075162E"/>
    <w:rsid w:val="00751729"/>
    <w:rsid w:val="00751C3B"/>
    <w:rsid w:val="00751FF2"/>
    <w:rsid w:val="00754034"/>
    <w:rsid w:val="007556B4"/>
    <w:rsid w:val="00756556"/>
    <w:rsid w:val="007565DA"/>
    <w:rsid w:val="007574CD"/>
    <w:rsid w:val="00757B48"/>
    <w:rsid w:val="00757B9E"/>
    <w:rsid w:val="00757CC1"/>
    <w:rsid w:val="0076010E"/>
    <w:rsid w:val="007618C4"/>
    <w:rsid w:val="007629B1"/>
    <w:rsid w:val="00763BF4"/>
    <w:rsid w:val="0076407D"/>
    <w:rsid w:val="0076469E"/>
    <w:rsid w:val="0076681F"/>
    <w:rsid w:val="00767980"/>
    <w:rsid w:val="00770B19"/>
    <w:rsid w:val="00770BA3"/>
    <w:rsid w:val="00771FB3"/>
    <w:rsid w:val="00772434"/>
    <w:rsid w:val="007737E1"/>
    <w:rsid w:val="0077463F"/>
    <w:rsid w:val="00777529"/>
    <w:rsid w:val="00781CB3"/>
    <w:rsid w:val="0078278A"/>
    <w:rsid w:val="00782BF2"/>
    <w:rsid w:val="007836EA"/>
    <w:rsid w:val="00783F2F"/>
    <w:rsid w:val="00784CDA"/>
    <w:rsid w:val="00785460"/>
    <w:rsid w:val="00785931"/>
    <w:rsid w:val="0078646A"/>
    <w:rsid w:val="00787833"/>
    <w:rsid w:val="00787B94"/>
    <w:rsid w:val="00787BAA"/>
    <w:rsid w:val="007906C4"/>
    <w:rsid w:val="007940EA"/>
    <w:rsid w:val="00795785"/>
    <w:rsid w:val="00796076"/>
    <w:rsid w:val="00796204"/>
    <w:rsid w:val="007967E8"/>
    <w:rsid w:val="007972F4"/>
    <w:rsid w:val="007A0B84"/>
    <w:rsid w:val="007A1967"/>
    <w:rsid w:val="007A1CBB"/>
    <w:rsid w:val="007A2170"/>
    <w:rsid w:val="007A22BF"/>
    <w:rsid w:val="007A3323"/>
    <w:rsid w:val="007A3DA4"/>
    <w:rsid w:val="007A7279"/>
    <w:rsid w:val="007B0BFA"/>
    <w:rsid w:val="007B1F32"/>
    <w:rsid w:val="007B2828"/>
    <w:rsid w:val="007B3E8F"/>
    <w:rsid w:val="007B4224"/>
    <w:rsid w:val="007B480B"/>
    <w:rsid w:val="007B4F77"/>
    <w:rsid w:val="007B52A3"/>
    <w:rsid w:val="007B5BE7"/>
    <w:rsid w:val="007B5FB7"/>
    <w:rsid w:val="007B6163"/>
    <w:rsid w:val="007B6E4D"/>
    <w:rsid w:val="007B72B8"/>
    <w:rsid w:val="007B7A58"/>
    <w:rsid w:val="007C0254"/>
    <w:rsid w:val="007C08D2"/>
    <w:rsid w:val="007C0ECF"/>
    <w:rsid w:val="007C135B"/>
    <w:rsid w:val="007C1C30"/>
    <w:rsid w:val="007C1EB9"/>
    <w:rsid w:val="007C21B5"/>
    <w:rsid w:val="007C4570"/>
    <w:rsid w:val="007C500E"/>
    <w:rsid w:val="007D31A4"/>
    <w:rsid w:val="007E06B2"/>
    <w:rsid w:val="007E0D5B"/>
    <w:rsid w:val="007E1BD6"/>
    <w:rsid w:val="007E1C6B"/>
    <w:rsid w:val="007E36B8"/>
    <w:rsid w:val="007E4BD2"/>
    <w:rsid w:val="007E6C02"/>
    <w:rsid w:val="007F1634"/>
    <w:rsid w:val="007F258A"/>
    <w:rsid w:val="007F4A33"/>
    <w:rsid w:val="007F58DB"/>
    <w:rsid w:val="007F708D"/>
    <w:rsid w:val="007F7090"/>
    <w:rsid w:val="007F7D0A"/>
    <w:rsid w:val="008009B9"/>
    <w:rsid w:val="00801393"/>
    <w:rsid w:val="0080184D"/>
    <w:rsid w:val="008027DD"/>
    <w:rsid w:val="00802B19"/>
    <w:rsid w:val="00802F88"/>
    <w:rsid w:val="00804137"/>
    <w:rsid w:val="0080662F"/>
    <w:rsid w:val="00810304"/>
    <w:rsid w:val="00810BE8"/>
    <w:rsid w:val="0081293E"/>
    <w:rsid w:val="00812C41"/>
    <w:rsid w:val="0081375E"/>
    <w:rsid w:val="008138EB"/>
    <w:rsid w:val="008149F2"/>
    <w:rsid w:val="0081541B"/>
    <w:rsid w:val="00815465"/>
    <w:rsid w:val="00817E9A"/>
    <w:rsid w:val="00821384"/>
    <w:rsid w:val="0082543D"/>
    <w:rsid w:val="00825646"/>
    <w:rsid w:val="00826876"/>
    <w:rsid w:val="00827CA2"/>
    <w:rsid w:val="00827E73"/>
    <w:rsid w:val="0083016D"/>
    <w:rsid w:val="008306BD"/>
    <w:rsid w:val="00830B71"/>
    <w:rsid w:val="008317E1"/>
    <w:rsid w:val="00831A80"/>
    <w:rsid w:val="00833743"/>
    <w:rsid w:val="008340A4"/>
    <w:rsid w:val="00835030"/>
    <w:rsid w:val="00835D32"/>
    <w:rsid w:val="0083631C"/>
    <w:rsid w:val="0083668D"/>
    <w:rsid w:val="0083744F"/>
    <w:rsid w:val="00841684"/>
    <w:rsid w:val="008422E3"/>
    <w:rsid w:val="00842D5F"/>
    <w:rsid w:val="008430BF"/>
    <w:rsid w:val="00843E9F"/>
    <w:rsid w:val="00844E8C"/>
    <w:rsid w:val="008451A8"/>
    <w:rsid w:val="008469F9"/>
    <w:rsid w:val="00846F3E"/>
    <w:rsid w:val="00847D17"/>
    <w:rsid w:val="0085010C"/>
    <w:rsid w:val="00851CED"/>
    <w:rsid w:val="0085312C"/>
    <w:rsid w:val="00855C16"/>
    <w:rsid w:val="00856AD1"/>
    <w:rsid w:val="0086130A"/>
    <w:rsid w:val="008628AF"/>
    <w:rsid w:val="008634B0"/>
    <w:rsid w:val="00864F67"/>
    <w:rsid w:val="00865781"/>
    <w:rsid w:val="0086630A"/>
    <w:rsid w:val="00866DC5"/>
    <w:rsid w:val="0086786D"/>
    <w:rsid w:val="00870791"/>
    <w:rsid w:val="00870FB4"/>
    <w:rsid w:val="0087135F"/>
    <w:rsid w:val="00872D94"/>
    <w:rsid w:val="00874445"/>
    <w:rsid w:val="008762A1"/>
    <w:rsid w:val="00880364"/>
    <w:rsid w:val="0088203D"/>
    <w:rsid w:val="00882966"/>
    <w:rsid w:val="0088312F"/>
    <w:rsid w:val="00883849"/>
    <w:rsid w:val="008841AF"/>
    <w:rsid w:val="00884E95"/>
    <w:rsid w:val="00885180"/>
    <w:rsid w:val="00885E5D"/>
    <w:rsid w:val="00886300"/>
    <w:rsid w:val="00891592"/>
    <w:rsid w:val="00891E9E"/>
    <w:rsid w:val="00892020"/>
    <w:rsid w:val="00896137"/>
    <w:rsid w:val="00896234"/>
    <w:rsid w:val="0089625A"/>
    <w:rsid w:val="0089702C"/>
    <w:rsid w:val="008A1BC1"/>
    <w:rsid w:val="008A2931"/>
    <w:rsid w:val="008A2A99"/>
    <w:rsid w:val="008A2F68"/>
    <w:rsid w:val="008A458A"/>
    <w:rsid w:val="008A5A22"/>
    <w:rsid w:val="008A603C"/>
    <w:rsid w:val="008A616E"/>
    <w:rsid w:val="008A72D9"/>
    <w:rsid w:val="008A73EB"/>
    <w:rsid w:val="008A78F9"/>
    <w:rsid w:val="008B1329"/>
    <w:rsid w:val="008B1BBA"/>
    <w:rsid w:val="008B21A9"/>
    <w:rsid w:val="008B3568"/>
    <w:rsid w:val="008B4FA6"/>
    <w:rsid w:val="008B51A2"/>
    <w:rsid w:val="008B5282"/>
    <w:rsid w:val="008B5566"/>
    <w:rsid w:val="008B7C17"/>
    <w:rsid w:val="008B7D71"/>
    <w:rsid w:val="008C2D01"/>
    <w:rsid w:val="008C40E6"/>
    <w:rsid w:val="008C4DDA"/>
    <w:rsid w:val="008C5390"/>
    <w:rsid w:val="008C72CB"/>
    <w:rsid w:val="008D0F7A"/>
    <w:rsid w:val="008D1B17"/>
    <w:rsid w:val="008D68CF"/>
    <w:rsid w:val="008D68E4"/>
    <w:rsid w:val="008E0506"/>
    <w:rsid w:val="008E0CFF"/>
    <w:rsid w:val="008E3187"/>
    <w:rsid w:val="008E476D"/>
    <w:rsid w:val="008E50D7"/>
    <w:rsid w:val="008E5D6B"/>
    <w:rsid w:val="008E5E30"/>
    <w:rsid w:val="008E65A7"/>
    <w:rsid w:val="008E667F"/>
    <w:rsid w:val="008E66DB"/>
    <w:rsid w:val="008E70FD"/>
    <w:rsid w:val="008E76F0"/>
    <w:rsid w:val="008E7CBE"/>
    <w:rsid w:val="008F15FE"/>
    <w:rsid w:val="008F2D29"/>
    <w:rsid w:val="008F4D1F"/>
    <w:rsid w:val="008F5187"/>
    <w:rsid w:val="008F53F7"/>
    <w:rsid w:val="008F584A"/>
    <w:rsid w:val="008F60D8"/>
    <w:rsid w:val="008F7C0D"/>
    <w:rsid w:val="008F7C8F"/>
    <w:rsid w:val="00900738"/>
    <w:rsid w:val="00901170"/>
    <w:rsid w:val="009023E7"/>
    <w:rsid w:val="00902727"/>
    <w:rsid w:val="0090312B"/>
    <w:rsid w:val="0090454D"/>
    <w:rsid w:val="00904CDA"/>
    <w:rsid w:val="00906021"/>
    <w:rsid w:val="00907678"/>
    <w:rsid w:val="009104B2"/>
    <w:rsid w:val="00910722"/>
    <w:rsid w:val="00910FD2"/>
    <w:rsid w:val="00912665"/>
    <w:rsid w:val="00912D62"/>
    <w:rsid w:val="009139FA"/>
    <w:rsid w:val="00913A35"/>
    <w:rsid w:val="00914179"/>
    <w:rsid w:val="009172FE"/>
    <w:rsid w:val="0091736D"/>
    <w:rsid w:val="009177BB"/>
    <w:rsid w:val="0091787B"/>
    <w:rsid w:val="0092215E"/>
    <w:rsid w:val="009238DE"/>
    <w:rsid w:val="00923AE0"/>
    <w:rsid w:val="009269F5"/>
    <w:rsid w:val="00926D3F"/>
    <w:rsid w:val="0093037A"/>
    <w:rsid w:val="00930F36"/>
    <w:rsid w:val="009329A6"/>
    <w:rsid w:val="009336C5"/>
    <w:rsid w:val="00935F6C"/>
    <w:rsid w:val="00937957"/>
    <w:rsid w:val="00937F20"/>
    <w:rsid w:val="0094154D"/>
    <w:rsid w:val="00942139"/>
    <w:rsid w:val="00944454"/>
    <w:rsid w:val="00945FF6"/>
    <w:rsid w:val="00946BB1"/>
    <w:rsid w:val="0095155F"/>
    <w:rsid w:val="00951983"/>
    <w:rsid w:val="00951DC4"/>
    <w:rsid w:val="00952AD6"/>
    <w:rsid w:val="009539C3"/>
    <w:rsid w:val="00954429"/>
    <w:rsid w:val="009550A0"/>
    <w:rsid w:val="009563CE"/>
    <w:rsid w:val="00956FCE"/>
    <w:rsid w:val="00957E6F"/>
    <w:rsid w:val="009613B2"/>
    <w:rsid w:val="0096396E"/>
    <w:rsid w:val="0096474D"/>
    <w:rsid w:val="009668B6"/>
    <w:rsid w:val="0096757E"/>
    <w:rsid w:val="00967A7F"/>
    <w:rsid w:val="00967B2A"/>
    <w:rsid w:val="00967FC3"/>
    <w:rsid w:val="009759B6"/>
    <w:rsid w:val="009760B7"/>
    <w:rsid w:val="00976328"/>
    <w:rsid w:val="0097680D"/>
    <w:rsid w:val="00977727"/>
    <w:rsid w:val="00980141"/>
    <w:rsid w:val="0098087E"/>
    <w:rsid w:val="00982438"/>
    <w:rsid w:val="00982FE8"/>
    <w:rsid w:val="0098369F"/>
    <w:rsid w:val="0098404C"/>
    <w:rsid w:val="00984260"/>
    <w:rsid w:val="00984AC5"/>
    <w:rsid w:val="00985283"/>
    <w:rsid w:val="009854A7"/>
    <w:rsid w:val="009868CD"/>
    <w:rsid w:val="00991664"/>
    <w:rsid w:val="00991BC4"/>
    <w:rsid w:val="00991CA1"/>
    <w:rsid w:val="0099295B"/>
    <w:rsid w:val="00994374"/>
    <w:rsid w:val="00995992"/>
    <w:rsid w:val="00997451"/>
    <w:rsid w:val="00997863"/>
    <w:rsid w:val="009A03E5"/>
    <w:rsid w:val="009A0F3B"/>
    <w:rsid w:val="009A1AF7"/>
    <w:rsid w:val="009A1BB4"/>
    <w:rsid w:val="009A1C24"/>
    <w:rsid w:val="009A2628"/>
    <w:rsid w:val="009A3200"/>
    <w:rsid w:val="009A4E17"/>
    <w:rsid w:val="009A5572"/>
    <w:rsid w:val="009A60E5"/>
    <w:rsid w:val="009B0671"/>
    <w:rsid w:val="009B0897"/>
    <w:rsid w:val="009B09C0"/>
    <w:rsid w:val="009B0F7E"/>
    <w:rsid w:val="009B596C"/>
    <w:rsid w:val="009B61B6"/>
    <w:rsid w:val="009B7BD9"/>
    <w:rsid w:val="009C0BB3"/>
    <w:rsid w:val="009C15CE"/>
    <w:rsid w:val="009C42BE"/>
    <w:rsid w:val="009C4A80"/>
    <w:rsid w:val="009C5CAB"/>
    <w:rsid w:val="009C68B9"/>
    <w:rsid w:val="009C6E29"/>
    <w:rsid w:val="009C7DD5"/>
    <w:rsid w:val="009D01A7"/>
    <w:rsid w:val="009D1463"/>
    <w:rsid w:val="009D49E1"/>
    <w:rsid w:val="009D5151"/>
    <w:rsid w:val="009D6F82"/>
    <w:rsid w:val="009D7E2E"/>
    <w:rsid w:val="009E227D"/>
    <w:rsid w:val="009E3207"/>
    <w:rsid w:val="009E5019"/>
    <w:rsid w:val="009E552C"/>
    <w:rsid w:val="009E7A10"/>
    <w:rsid w:val="009E7CBB"/>
    <w:rsid w:val="009F0C64"/>
    <w:rsid w:val="009F283A"/>
    <w:rsid w:val="009F30B5"/>
    <w:rsid w:val="009F433D"/>
    <w:rsid w:val="009F47CC"/>
    <w:rsid w:val="009F490C"/>
    <w:rsid w:val="009F4DC7"/>
    <w:rsid w:val="009F4EC1"/>
    <w:rsid w:val="009F7611"/>
    <w:rsid w:val="00A00404"/>
    <w:rsid w:val="00A01A59"/>
    <w:rsid w:val="00A03741"/>
    <w:rsid w:val="00A04F1B"/>
    <w:rsid w:val="00A0501B"/>
    <w:rsid w:val="00A056EF"/>
    <w:rsid w:val="00A06C2C"/>
    <w:rsid w:val="00A06D1D"/>
    <w:rsid w:val="00A07022"/>
    <w:rsid w:val="00A07340"/>
    <w:rsid w:val="00A10C6B"/>
    <w:rsid w:val="00A1286A"/>
    <w:rsid w:val="00A12CCB"/>
    <w:rsid w:val="00A13115"/>
    <w:rsid w:val="00A14947"/>
    <w:rsid w:val="00A161B7"/>
    <w:rsid w:val="00A20718"/>
    <w:rsid w:val="00A21EFA"/>
    <w:rsid w:val="00A221CB"/>
    <w:rsid w:val="00A22EC7"/>
    <w:rsid w:val="00A27D6F"/>
    <w:rsid w:val="00A322C7"/>
    <w:rsid w:val="00A32A83"/>
    <w:rsid w:val="00A32FA0"/>
    <w:rsid w:val="00A332FC"/>
    <w:rsid w:val="00A35011"/>
    <w:rsid w:val="00A368DB"/>
    <w:rsid w:val="00A379BE"/>
    <w:rsid w:val="00A423AA"/>
    <w:rsid w:val="00A42F79"/>
    <w:rsid w:val="00A438B3"/>
    <w:rsid w:val="00A504AA"/>
    <w:rsid w:val="00A50DD2"/>
    <w:rsid w:val="00A5108C"/>
    <w:rsid w:val="00A53214"/>
    <w:rsid w:val="00A53EC6"/>
    <w:rsid w:val="00A54289"/>
    <w:rsid w:val="00A55C0F"/>
    <w:rsid w:val="00A55EBB"/>
    <w:rsid w:val="00A560D3"/>
    <w:rsid w:val="00A57171"/>
    <w:rsid w:val="00A57758"/>
    <w:rsid w:val="00A62E9F"/>
    <w:rsid w:val="00A633F7"/>
    <w:rsid w:val="00A63DF6"/>
    <w:rsid w:val="00A67B80"/>
    <w:rsid w:val="00A71383"/>
    <w:rsid w:val="00A7177B"/>
    <w:rsid w:val="00A75482"/>
    <w:rsid w:val="00A75DC4"/>
    <w:rsid w:val="00A77A44"/>
    <w:rsid w:val="00A8246E"/>
    <w:rsid w:val="00A8348B"/>
    <w:rsid w:val="00A83A57"/>
    <w:rsid w:val="00A845FE"/>
    <w:rsid w:val="00A86002"/>
    <w:rsid w:val="00A8713F"/>
    <w:rsid w:val="00A872EB"/>
    <w:rsid w:val="00A8761C"/>
    <w:rsid w:val="00A90BA1"/>
    <w:rsid w:val="00A922D6"/>
    <w:rsid w:val="00A9354F"/>
    <w:rsid w:val="00A93C2A"/>
    <w:rsid w:val="00A93FCC"/>
    <w:rsid w:val="00A9507D"/>
    <w:rsid w:val="00A9546F"/>
    <w:rsid w:val="00A963BA"/>
    <w:rsid w:val="00A97A9A"/>
    <w:rsid w:val="00AA0671"/>
    <w:rsid w:val="00AA0A9F"/>
    <w:rsid w:val="00AA147F"/>
    <w:rsid w:val="00AA2447"/>
    <w:rsid w:val="00AA2531"/>
    <w:rsid w:val="00AA2A21"/>
    <w:rsid w:val="00AA7273"/>
    <w:rsid w:val="00AA7987"/>
    <w:rsid w:val="00AB0396"/>
    <w:rsid w:val="00AB14A1"/>
    <w:rsid w:val="00AB1E09"/>
    <w:rsid w:val="00AB1F89"/>
    <w:rsid w:val="00AB2D99"/>
    <w:rsid w:val="00AB35F5"/>
    <w:rsid w:val="00AB4A0E"/>
    <w:rsid w:val="00AB5330"/>
    <w:rsid w:val="00AB54C6"/>
    <w:rsid w:val="00AB5B57"/>
    <w:rsid w:val="00AB685D"/>
    <w:rsid w:val="00AB7747"/>
    <w:rsid w:val="00AC0B5B"/>
    <w:rsid w:val="00AC14CE"/>
    <w:rsid w:val="00AC1FF0"/>
    <w:rsid w:val="00AC2A56"/>
    <w:rsid w:val="00AC3D47"/>
    <w:rsid w:val="00AC6B57"/>
    <w:rsid w:val="00AD055E"/>
    <w:rsid w:val="00AD0F96"/>
    <w:rsid w:val="00AD114F"/>
    <w:rsid w:val="00AD1ED8"/>
    <w:rsid w:val="00AD2A21"/>
    <w:rsid w:val="00AD324B"/>
    <w:rsid w:val="00AD35CD"/>
    <w:rsid w:val="00AD47A7"/>
    <w:rsid w:val="00AD57E0"/>
    <w:rsid w:val="00AD61C4"/>
    <w:rsid w:val="00AE1BE3"/>
    <w:rsid w:val="00AE1F49"/>
    <w:rsid w:val="00AE2619"/>
    <w:rsid w:val="00AE28C6"/>
    <w:rsid w:val="00AE2964"/>
    <w:rsid w:val="00AE4783"/>
    <w:rsid w:val="00AE6BB0"/>
    <w:rsid w:val="00AE75B4"/>
    <w:rsid w:val="00AF0CBF"/>
    <w:rsid w:val="00AF1205"/>
    <w:rsid w:val="00AF1E55"/>
    <w:rsid w:val="00AF2438"/>
    <w:rsid w:val="00AF257F"/>
    <w:rsid w:val="00AF33CF"/>
    <w:rsid w:val="00AF46AA"/>
    <w:rsid w:val="00AF46DB"/>
    <w:rsid w:val="00AF4D50"/>
    <w:rsid w:val="00AF6179"/>
    <w:rsid w:val="00AF6D40"/>
    <w:rsid w:val="00AF780B"/>
    <w:rsid w:val="00AF7B72"/>
    <w:rsid w:val="00B003A0"/>
    <w:rsid w:val="00B004E1"/>
    <w:rsid w:val="00B04935"/>
    <w:rsid w:val="00B04F2E"/>
    <w:rsid w:val="00B05B51"/>
    <w:rsid w:val="00B06504"/>
    <w:rsid w:val="00B06732"/>
    <w:rsid w:val="00B102B2"/>
    <w:rsid w:val="00B109BE"/>
    <w:rsid w:val="00B1295A"/>
    <w:rsid w:val="00B1341E"/>
    <w:rsid w:val="00B138F6"/>
    <w:rsid w:val="00B147E8"/>
    <w:rsid w:val="00B14EC8"/>
    <w:rsid w:val="00B15D48"/>
    <w:rsid w:val="00B1775F"/>
    <w:rsid w:val="00B20A26"/>
    <w:rsid w:val="00B20A45"/>
    <w:rsid w:val="00B20D98"/>
    <w:rsid w:val="00B22C5C"/>
    <w:rsid w:val="00B23474"/>
    <w:rsid w:val="00B24F30"/>
    <w:rsid w:val="00B27741"/>
    <w:rsid w:val="00B306ED"/>
    <w:rsid w:val="00B30CBA"/>
    <w:rsid w:val="00B31844"/>
    <w:rsid w:val="00B31ABF"/>
    <w:rsid w:val="00B32039"/>
    <w:rsid w:val="00B33BE3"/>
    <w:rsid w:val="00B42D06"/>
    <w:rsid w:val="00B430C4"/>
    <w:rsid w:val="00B44473"/>
    <w:rsid w:val="00B463FD"/>
    <w:rsid w:val="00B46DF4"/>
    <w:rsid w:val="00B47105"/>
    <w:rsid w:val="00B47B85"/>
    <w:rsid w:val="00B50680"/>
    <w:rsid w:val="00B50A78"/>
    <w:rsid w:val="00B53832"/>
    <w:rsid w:val="00B53B5D"/>
    <w:rsid w:val="00B53D0A"/>
    <w:rsid w:val="00B551C5"/>
    <w:rsid w:val="00B575DA"/>
    <w:rsid w:val="00B57A18"/>
    <w:rsid w:val="00B57AA7"/>
    <w:rsid w:val="00B6038A"/>
    <w:rsid w:val="00B6055E"/>
    <w:rsid w:val="00B61E9C"/>
    <w:rsid w:val="00B620F8"/>
    <w:rsid w:val="00B6317D"/>
    <w:rsid w:val="00B639F5"/>
    <w:rsid w:val="00B63D04"/>
    <w:rsid w:val="00B6457F"/>
    <w:rsid w:val="00B70AA3"/>
    <w:rsid w:val="00B73B86"/>
    <w:rsid w:val="00B7449E"/>
    <w:rsid w:val="00B75B42"/>
    <w:rsid w:val="00B7723F"/>
    <w:rsid w:val="00B7751A"/>
    <w:rsid w:val="00B77F55"/>
    <w:rsid w:val="00B80534"/>
    <w:rsid w:val="00B819EF"/>
    <w:rsid w:val="00B8209C"/>
    <w:rsid w:val="00B823D0"/>
    <w:rsid w:val="00B8361D"/>
    <w:rsid w:val="00B8433C"/>
    <w:rsid w:val="00B84B78"/>
    <w:rsid w:val="00B853C4"/>
    <w:rsid w:val="00B85569"/>
    <w:rsid w:val="00B87491"/>
    <w:rsid w:val="00B87D00"/>
    <w:rsid w:val="00B905E9"/>
    <w:rsid w:val="00B916D7"/>
    <w:rsid w:val="00B93DB9"/>
    <w:rsid w:val="00B94E0F"/>
    <w:rsid w:val="00B94ED5"/>
    <w:rsid w:val="00B95AE7"/>
    <w:rsid w:val="00BA0585"/>
    <w:rsid w:val="00BA29E9"/>
    <w:rsid w:val="00BA29EF"/>
    <w:rsid w:val="00BA3727"/>
    <w:rsid w:val="00BA3E47"/>
    <w:rsid w:val="00BA42EB"/>
    <w:rsid w:val="00BA4ABE"/>
    <w:rsid w:val="00BA4B51"/>
    <w:rsid w:val="00BA5765"/>
    <w:rsid w:val="00BA5C0C"/>
    <w:rsid w:val="00BA6D45"/>
    <w:rsid w:val="00BA7142"/>
    <w:rsid w:val="00BB1545"/>
    <w:rsid w:val="00BB1FA2"/>
    <w:rsid w:val="00BB237C"/>
    <w:rsid w:val="00BB3ECE"/>
    <w:rsid w:val="00BB41A3"/>
    <w:rsid w:val="00BB5239"/>
    <w:rsid w:val="00BB5493"/>
    <w:rsid w:val="00BB5D77"/>
    <w:rsid w:val="00BB6474"/>
    <w:rsid w:val="00BB7199"/>
    <w:rsid w:val="00BB7F80"/>
    <w:rsid w:val="00BC0886"/>
    <w:rsid w:val="00BC11F7"/>
    <w:rsid w:val="00BC3016"/>
    <w:rsid w:val="00BC31F6"/>
    <w:rsid w:val="00BC32DC"/>
    <w:rsid w:val="00BC3342"/>
    <w:rsid w:val="00BC35B6"/>
    <w:rsid w:val="00BC4170"/>
    <w:rsid w:val="00BC5D7F"/>
    <w:rsid w:val="00BC5DF7"/>
    <w:rsid w:val="00BC64F7"/>
    <w:rsid w:val="00BC6C68"/>
    <w:rsid w:val="00BC7078"/>
    <w:rsid w:val="00BC7D3E"/>
    <w:rsid w:val="00BD0852"/>
    <w:rsid w:val="00BD112D"/>
    <w:rsid w:val="00BD1B51"/>
    <w:rsid w:val="00BD35A7"/>
    <w:rsid w:val="00BD4596"/>
    <w:rsid w:val="00BD577D"/>
    <w:rsid w:val="00BD704A"/>
    <w:rsid w:val="00BD7225"/>
    <w:rsid w:val="00BE1405"/>
    <w:rsid w:val="00BE21F5"/>
    <w:rsid w:val="00BE312D"/>
    <w:rsid w:val="00BE4D62"/>
    <w:rsid w:val="00BE5091"/>
    <w:rsid w:val="00BE7628"/>
    <w:rsid w:val="00BF07BB"/>
    <w:rsid w:val="00BF1251"/>
    <w:rsid w:val="00BF1635"/>
    <w:rsid w:val="00BF1C20"/>
    <w:rsid w:val="00BF2C33"/>
    <w:rsid w:val="00BF3DF6"/>
    <w:rsid w:val="00BF440B"/>
    <w:rsid w:val="00BF6116"/>
    <w:rsid w:val="00BF70DA"/>
    <w:rsid w:val="00C0093C"/>
    <w:rsid w:val="00C009C1"/>
    <w:rsid w:val="00C03624"/>
    <w:rsid w:val="00C03B0E"/>
    <w:rsid w:val="00C05844"/>
    <w:rsid w:val="00C10578"/>
    <w:rsid w:val="00C11046"/>
    <w:rsid w:val="00C11DF0"/>
    <w:rsid w:val="00C124B0"/>
    <w:rsid w:val="00C135BC"/>
    <w:rsid w:val="00C1447F"/>
    <w:rsid w:val="00C15C95"/>
    <w:rsid w:val="00C17943"/>
    <w:rsid w:val="00C21028"/>
    <w:rsid w:val="00C2596A"/>
    <w:rsid w:val="00C262A7"/>
    <w:rsid w:val="00C27537"/>
    <w:rsid w:val="00C27A03"/>
    <w:rsid w:val="00C303FD"/>
    <w:rsid w:val="00C30B40"/>
    <w:rsid w:val="00C30C4A"/>
    <w:rsid w:val="00C328FE"/>
    <w:rsid w:val="00C32ACC"/>
    <w:rsid w:val="00C32C11"/>
    <w:rsid w:val="00C33507"/>
    <w:rsid w:val="00C34475"/>
    <w:rsid w:val="00C34FA1"/>
    <w:rsid w:val="00C37F49"/>
    <w:rsid w:val="00C402B6"/>
    <w:rsid w:val="00C43EAE"/>
    <w:rsid w:val="00C4409D"/>
    <w:rsid w:val="00C44E72"/>
    <w:rsid w:val="00C455A5"/>
    <w:rsid w:val="00C45A06"/>
    <w:rsid w:val="00C47B8E"/>
    <w:rsid w:val="00C47E5B"/>
    <w:rsid w:val="00C52C76"/>
    <w:rsid w:val="00C5406A"/>
    <w:rsid w:val="00C568E6"/>
    <w:rsid w:val="00C6003A"/>
    <w:rsid w:val="00C60A0A"/>
    <w:rsid w:val="00C61E4B"/>
    <w:rsid w:val="00C621D4"/>
    <w:rsid w:val="00C6280E"/>
    <w:rsid w:val="00C62DEC"/>
    <w:rsid w:val="00C63745"/>
    <w:rsid w:val="00C64BFF"/>
    <w:rsid w:val="00C663FB"/>
    <w:rsid w:val="00C678A9"/>
    <w:rsid w:val="00C67AFF"/>
    <w:rsid w:val="00C67CA3"/>
    <w:rsid w:val="00C704E9"/>
    <w:rsid w:val="00C728FB"/>
    <w:rsid w:val="00C763C9"/>
    <w:rsid w:val="00C80057"/>
    <w:rsid w:val="00C8080F"/>
    <w:rsid w:val="00C80D73"/>
    <w:rsid w:val="00C82232"/>
    <w:rsid w:val="00C82913"/>
    <w:rsid w:val="00C82D51"/>
    <w:rsid w:val="00C876BF"/>
    <w:rsid w:val="00C90F89"/>
    <w:rsid w:val="00C92D90"/>
    <w:rsid w:val="00C930B4"/>
    <w:rsid w:val="00C9394F"/>
    <w:rsid w:val="00C946B7"/>
    <w:rsid w:val="00C94B73"/>
    <w:rsid w:val="00C972B1"/>
    <w:rsid w:val="00C975F2"/>
    <w:rsid w:val="00CA17B9"/>
    <w:rsid w:val="00CA2CCE"/>
    <w:rsid w:val="00CA43FD"/>
    <w:rsid w:val="00CA5B87"/>
    <w:rsid w:val="00CA6DF8"/>
    <w:rsid w:val="00CA71B2"/>
    <w:rsid w:val="00CA7492"/>
    <w:rsid w:val="00CA7EF8"/>
    <w:rsid w:val="00CB0204"/>
    <w:rsid w:val="00CB30F5"/>
    <w:rsid w:val="00CB657D"/>
    <w:rsid w:val="00CC039C"/>
    <w:rsid w:val="00CC0526"/>
    <w:rsid w:val="00CC1854"/>
    <w:rsid w:val="00CC2B18"/>
    <w:rsid w:val="00CC489B"/>
    <w:rsid w:val="00CC4B44"/>
    <w:rsid w:val="00CC4ED1"/>
    <w:rsid w:val="00CC5962"/>
    <w:rsid w:val="00CD2BCD"/>
    <w:rsid w:val="00CD3A4C"/>
    <w:rsid w:val="00CD488E"/>
    <w:rsid w:val="00CD60BB"/>
    <w:rsid w:val="00CE0072"/>
    <w:rsid w:val="00CE0A05"/>
    <w:rsid w:val="00CE10E9"/>
    <w:rsid w:val="00CE24E4"/>
    <w:rsid w:val="00CE2910"/>
    <w:rsid w:val="00CE5393"/>
    <w:rsid w:val="00CE6CC4"/>
    <w:rsid w:val="00CE6CF8"/>
    <w:rsid w:val="00CE73AC"/>
    <w:rsid w:val="00CE7BF7"/>
    <w:rsid w:val="00CF0A18"/>
    <w:rsid w:val="00CF2DA5"/>
    <w:rsid w:val="00CF2DEA"/>
    <w:rsid w:val="00CF36BE"/>
    <w:rsid w:val="00CF420B"/>
    <w:rsid w:val="00CF6000"/>
    <w:rsid w:val="00CF6B04"/>
    <w:rsid w:val="00CF76EE"/>
    <w:rsid w:val="00CF7A5B"/>
    <w:rsid w:val="00D003F3"/>
    <w:rsid w:val="00D00686"/>
    <w:rsid w:val="00D017DF"/>
    <w:rsid w:val="00D0364F"/>
    <w:rsid w:val="00D03F4B"/>
    <w:rsid w:val="00D04D87"/>
    <w:rsid w:val="00D04DA5"/>
    <w:rsid w:val="00D0500A"/>
    <w:rsid w:val="00D0561C"/>
    <w:rsid w:val="00D057F3"/>
    <w:rsid w:val="00D05CC2"/>
    <w:rsid w:val="00D05D26"/>
    <w:rsid w:val="00D060F9"/>
    <w:rsid w:val="00D06834"/>
    <w:rsid w:val="00D11AEF"/>
    <w:rsid w:val="00D13C84"/>
    <w:rsid w:val="00D147CB"/>
    <w:rsid w:val="00D14E95"/>
    <w:rsid w:val="00D15490"/>
    <w:rsid w:val="00D21514"/>
    <w:rsid w:val="00D22054"/>
    <w:rsid w:val="00D23466"/>
    <w:rsid w:val="00D242EC"/>
    <w:rsid w:val="00D248D7"/>
    <w:rsid w:val="00D24B8B"/>
    <w:rsid w:val="00D24C3A"/>
    <w:rsid w:val="00D25644"/>
    <w:rsid w:val="00D25C1A"/>
    <w:rsid w:val="00D266DA"/>
    <w:rsid w:val="00D27633"/>
    <w:rsid w:val="00D27BD4"/>
    <w:rsid w:val="00D308ED"/>
    <w:rsid w:val="00D309DD"/>
    <w:rsid w:val="00D34719"/>
    <w:rsid w:val="00D35860"/>
    <w:rsid w:val="00D36D86"/>
    <w:rsid w:val="00D40ADC"/>
    <w:rsid w:val="00D416E7"/>
    <w:rsid w:val="00D41D1F"/>
    <w:rsid w:val="00D428AA"/>
    <w:rsid w:val="00D43186"/>
    <w:rsid w:val="00D47796"/>
    <w:rsid w:val="00D47FF7"/>
    <w:rsid w:val="00D50A34"/>
    <w:rsid w:val="00D51954"/>
    <w:rsid w:val="00D5279D"/>
    <w:rsid w:val="00D53EFA"/>
    <w:rsid w:val="00D541E5"/>
    <w:rsid w:val="00D56E5B"/>
    <w:rsid w:val="00D62E49"/>
    <w:rsid w:val="00D630D8"/>
    <w:rsid w:val="00D632B2"/>
    <w:rsid w:val="00D65496"/>
    <w:rsid w:val="00D72336"/>
    <w:rsid w:val="00D76CD7"/>
    <w:rsid w:val="00D816B7"/>
    <w:rsid w:val="00D81AEC"/>
    <w:rsid w:val="00D837D0"/>
    <w:rsid w:val="00D846C9"/>
    <w:rsid w:val="00D85112"/>
    <w:rsid w:val="00D8567B"/>
    <w:rsid w:val="00D863F4"/>
    <w:rsid w:val="00D875D8"/>
    <w:rsid w:val="00D87D06"/>
    <w:rsid w:val="00D905E5"/>
    <w:rsid w:val="00D90DE4"/>
    <w:rsid w:val="00D91B27"/>
    <w:rsid w:val="00D92A40"/>
    <w:rsid w:val="00D93527"/>
    <w:rsid w:val="00D93D3F"/>
    <w:rsid w:val="00D94A7C"/>
    <w:rsid w:val="00D94DE8"/>
    <w:rsid w:val="00D95777"/>
    <w:rsid w:val="00D95896"/>
    <w:rsid w:val="00D9630D"/>
    <w:rsid w:val="00D96633"/>
    <w:rsid w:val="00D96D8F"/>
    <w:rsid w:val="00D96D9E"/>
    <w:rsid w:val="00DA1026"/>
    <w:rsid w:val="00DA179C"/>
    <w:rsid w:val="00DA2FF7"/>
    <w:rsid w:val="00DB0230"/>
    <w:rsid w:val="00DB1CEF"/>
    <w:rsid w:val="00DB1D49"/>
    <w:rsid w:val="00DB2983"/>
    <w:rsid w:val="00DB374A"/>
    <w:rsid w:val="00DB4A52"/>
    <w:rsid w:val="00DB4D5E"/>
    <w:rsid w:val="00DB4E6B"/>
    <w:rsid w:val="00DB5693"/>
    <w:rsid w:val="00DB61FE"/>
    <w:rsid w:val="00DB7513"/>
    <w:rsid w:val="00DC1257"/>
    <w:rsid w:val="00DC146F"/>
    <w:rsid w:val="00DC1CBE"/>
    <w:rsid w:val="00DC3596"/>
    <w:rsid w:val="00DC3DC0"/>
    <w:rsid w:val="00DC435E"/>
    <w:rsid w:val="00DC571D"/>
    <w:rsid w:val="00DC5B2B"/>
    <w:rsid w:val="00DC6F3B"/>
    <w:rsid w:val="00DC7243"/>
    <w:rsid w:val="00DC7A55"/>
    <w:rsid w:val="00DC7D8A"/>
    <w:rsid w:val="00DC7FCB"/>
    <w:rsid w:val="00DD24EF"/>
    <w:rsid w:val="00DD318D"/>
    <w:rsid w:val="00DD3722"/>
    <w:rsid w:val="00DD5F76"/>
    <w:rsid w:val="00DD76DA"/>
    <w:rsid w:val="00DE00A6"/>
    <w:rsid w:val="00DE07B0"/>
    <w:rsid w:val="00DE2AE0"/>
    <w:rsid w:val="00DE3B82"/>
    <w:rsid w:val="00DF2019"/>
    <w:rsid w:val="00DF2E08"/>
    <w:rsid w:val="00DF2E12"/>
    <w:rsid w:val="00DF4937"/>
    <w:rsid w:val="00DF514A"/>
    <w:rsid w:val="00DF5897"/>
    <w:rsid w:val="00DF5C72"/>
    <w:rsid w:val="00DF6690"/>
    <w:rsid w:val="00DF6804"/>
    <w:rsid w:val="00E01425"/>
    <w:rsid w:val="00E01F5A"/>
    <w:rsid w:val="00E0358D"/>
    <w:rsid w:val="00E04323"/>
    <w:rsid w:val="00E05288"/>
    <w:rsid w:val="00E070A2"/>
    <w:rsid w:val="00E1022C"/>
    <w:rsid w:val="00E1089C"/>
    <w:rsid w:val="00E140E3"/>
    <w:rsid w:val="00E15BD9"/>
    <w:rsid w:val="00E16F3E"/>
    <w:rsid w:val="00E17DBB"/>
    <w:rsid w:val="00E17FCD"/>
    <w:rsid w:val="00E20B4D"/>
    <w:rsid w:val="00E2656A"/>
    <w:rsid w:val="00E34BED"/>
    <w:rsid w:val="00E35DB6"/>
    <w:rsid w:val="00E37F0E"/>
    <w:rsid w:val="00E40131"/>
    <w:rsid w:val="00E40449"/>
    <w:rsid w:val="00E404D7"/>
    <w:rsid w:val="00E412D0"/>
    <w:rsid w:val="00E415F9"/>
    <w:rsid w:val="00E416F8"/>
    <w:rsid w:val="00E419DD"/>
    <w:rsid w:val="00E42C35"/>
    <w:rsid w:val="00E45563"/>
    <w:rsid w:val="00E45C91"/>
    <w:rsid w:val="00E50B55"/>
    <w:rsid w:val="00E5128E"/>
    <w:rsid w:val="00E51556"/>
    <w:rsid w:val="00E515B2"/>
    <w:rsid w:val="00E51A40"/>
    <w:rsid w:val="00E5206F"/>
    <w:rsid w:val="00E52B29"/>
    <w:rsid w:val="00E53F88"/>
    <w:rsid w:val="00E54972"/>
    <w:rsid w:val="00E552A8"/>
    <w:rsid w:val="00E55A37"/>
    <w:rsid w:val="00E56255"/>
    <w:rsid w:val="00E56322"/>
    <w:rsid w:val="00E57B2F"/>
    <w:rsid w:val="00E57F20"/>
    <w:rsid w:val="00E60058"/>
    <w:rsid w:val="00E60085"/>
    <w:rsid w:val="00E60417"/>
    <w:rsid w:val="00E6072F"/>
    <w:rsid w:val="00E60982"/>
    <w:rsid w:val="00E614BB"/>
    <w:rsid w:val="00E62BF3"/>
    <w:rsid w:val="00E62C62"/>
    <w:rsid w:val="00E63EE6"/>
    <w:rsid w:val="00E654C1"/>
    <w:rsid w:val="00E65D97"/>
    <w:rsid w:val="00E67932"/>
    <w:rsid w:val="00E716D7"/>
    <w:rsid w:val="00E72A5A"/>
    <w:rsid w:val="00E73315"/>
    <w:rsid w:val="00E73354"/>
    <w:rsid w:val="00E73735"/>
    <w:rsid w:val="00E74206"/>
    <w:rsid w:val="00E75B49"/>
    <w:rsid w:val="00E8035A"/>
    <w:rsid w:val="00E811C7"/>
    <w:rsid w:val="00E8639F"/>
    <w:rsid w:val="00E90D10"/>
    <w:rsid w:val="00E9135E"/>
    <w:rsid w:val="00E91EA3"/>
    <w:rsid w:val="00E9242D"/>
    <w:rsid w:val="00E9500B"/>
    <w:rsid w:val="00E97309"/>
    <w:rsid w:val="00E978DD"/>
    <w:rsid w:val="00E97ABF"/>
    <w:rsid w:val="00EA03CA"/>
    <w:rsid w:val="00EA0BBF"/>
    <w:rsid w:val="00EA1788"/>
    <w:rsid w:val="00EA1A92"/>
    <w:rsid w:val="00EA309E"/>
    <w:rsid w:val="00EA3E56"/>
    <w:rsid w:val="00EA427E"/>
    <w:rsid w:val="00EA5B35"/>
    <w:rsid w:val="00EA5B5E"/>
    <w:rsid w:val="00EB0C5E"/>
    <w:rsid w:val="00EB18AF"/>
    <w:rsid w:val="00EB1992"/>
    <w:rsid w:val="00EB3F9F"/>
    <w:rsid w:val="00EB4A2E"/>
    <w:rsid w:val="00EB4ABB"/>
    <w:rsid w:val="00EB5255"/>
    <w:rsid w:val="00EB5C47"/>
    <w:rsid w:val="00EB667D"/>
    <w:rsid w:val="00EB68AD"/>
    <w:rsid w:val="00EB7E35"/>
    <w:rsid w:val="00EC2FAC"/>
    <w:rsid w:val="00EC346E"/>
    <w:rsid w:val="00EC3B9A"/>
    <w:rsid w:val="00EC3E14"/>
    <w:rsid w:val="00EC3F88"/>
    <w:rsid w:val="00EC4C68"/>
    <w:rsid w:val="00EC5319"/>
    <w:rsid w:val="00EC5FF1"/>
    <w:rsid w:val="00EC6A23"/>
    <w:rsid w:val="00ED0309"/>
    <w:rsid w:val="00ED0639"/>
    <w:rsid w:val="00ED0E8B"/>
    <w:rsid w:val="00ED4FDE"/>
    <w:rsid w:val="00ED5206"/>
    <w:rsid w:val="00ED68C3"/>
    <w:rsid w:val="00ED712C"/>
    <w:rsid w:val="00ED7EEF"/>
    <w:rsid w:val="00EE299A"/>
    <w:rsid w:val="00EE2AEB"/>
    <w:rsid w:val="00EE538A"/>
    <w:rsid w:val="00EE6152"/>
    <w:rsid w:val="00EE64BE"/>
    <w:rsid w:val="00EF0853"/>
    <w:rsid w:val="00EF0D38"/>
    <w:rsid w:val="00EF4755"/>
    <w:rsid w:val="00EF57F7"/>
    <w:rsid w:val="00EF5E39"/>
    <w:rsid w:val="00EF7135"/>
    <w:rsid w:val="00F00810"/>
    <w:rsid w:val="00F00AB1"/>
    <w:rsid w:val="00F01CC8"/>
    <w:rsid w:val="00F027DB"/>
    <w:rsid w:val="00F032C6"/>
    <w:rsid w:val="00F04E6D"/>
    <w:rsid w:val="00F051BF"/>
    <w:rsid w:val="00F054D5"/>
    <w:rsid w:val="00F12313"/>
    <w:rsid w:val="00F139F0"/>
    <w:rsid w:val="00F14A7A"/>
    <w:rsid w:val="00F16D54"/>
    <w:rsid w:val="00F16F07"/>
    <w:rsid w:val="00F17E4B"/>
    <w:rsid w:val="00F17F69"/>
    <w:rsid w:val="00F22985"/>
    <w:rsid w:val="00F24357"/>
    <w:rsid w:val="00F25EAF"/>
    <w:rsid w:val="00F262EB"/>
    <w:rsid w:val="00F26A4C"/>
    <w:rsid w:val="00F31BC5"/>
    <w:rsid w:val="00F32AA3"/>
    <w:rsid w:val="00F331CE"/>
    <w:rsid w:val="00F3383E"/>
    <w:rsid w:val="00F33F8E"/>
    <w:rsid w:val="00F37A9F"/>
    <w:rsid w:val="00F405EF"/>
    <w:rsid w:val="00F41FC7"/>
    <w:rsid w:val="00F42CD0"/>
    <w:rsid w:val="00F43375"/>
    <w:rsid w:val="00F45F36"/>
    <w:rsid w:val="00F465A7"/>
    <w:rsid w:val="00F466AB"/>
    <w:rsid w:val="00F46AD6"/>
    <w:rsid w:val="00F477FF"/>
    <w:rsid w:val="00F50B7C"/>
    <w:rsid w:val="00F50FF8"/>
    <w:rsid w:val="00F53B90"/>
    <w:rsid w:val="00F546D4"/>
    <w:rsid w:val="00F550E6"/>
    <w:rsid w:val="00F56BA7"/>
    <w:rsid w:val="00F56EB8"/>
    <w:rsid w:val="00F6303B"/>
    <w:rsid w:val="00F64F96"/>
    <w:rsid w:val="00F65E4E"/>
    <w:rsid w:val="00F672D9"/>
    <w:rsid w:val="00F67326"/>
    <w:rsid w:val="00F67E58"/>
    <w:rsid w:val="00F736E2"/>
    <w:rsid w:val="00F74345"/>
    <w:rsid w:val="00F744E7"/>
    <w:rsid w:val="00F768F4"/>
    <w:rsid w:val="00F76EF8"/>
    <w:rsid w:val="00F77A2B"/>
    <w:rsid w:val="00F80A0A"/>
    <w:rsid w:val="00F82B19"/>
    <w:rsid w:val="00F84DE2"/>
    <w:rsid w:val="00F862F3"/>
    <w:rsid w:val="00F878AC"/>
    <w:rsid w:val="00F9013E"/>
    <w:rsid w:val="00F90335"/>
    <w:rsid w:val="00F90626"/>
    <w:rsid w:val="00F90799"/>
    <w:rsid w:val="00F90B0B"/>
    <w:rsid w:val="00F90B95"/>
    <w:rsid w:val="00F91B08"/>
    <w:rsid w:val="00F9212D"/>
    <w:rsid w:val="00F922C6"/>
    <w:rsid w:val="00F94CDE"/>
    <w:rsid w:val="00F95D62"/>
    <w:rsid w:val="00F962C1"/>
    <w:rsid w:val="00F965DA"/>
    <w:rsid w:val="00F965ED"/>
    <w:rsid w:val="00FA2B37"/>
    <w:rsid w:val="00FA406A"/>
    <w:rsid w:val="00FA4661"/>
    <w:rsid w:val="00FA6740"/>
    <w:rsid w:val="00FB0C80"/>
    <w:rsid w:val="00FB3B1C"/>
    <w:rsid w:val="00FB503A"/>
    <w:rsid w:val="00FB516C"/>
    <w:rsid w:val="00FB74A7"/>
    <w:rsid w:val="00FB7E97"/>
    <w:rsid w:val="00FC3A79"/>
    <w:rsid w:val="00FC4F69"/>
    <w:rsid w:val="00FC5808"/>
    <w:rsid w:val="00FC691C"/>
    <w:rsid w:val="00FC72C3"/>
    <w:rsid w:val="00FC7D07"/>
    <w:rsid w:val="00FD0236"/>
    <w:rsid w:val="00FD0584"/>
    <w:rsid w:val="00FD18F4"/>
    <w:rsid w:val="00FD1964"/>
    <w:rsid w:val="00FD2972"/>
    <w:rsid w:val="00FD32BF"/>
    <w:rsid w:val="00FD3619"/>
    <w:rsid w:val="00FD5173"/>
    <w:rsid w:val="00FD54DB"/>
    <w:rsid w:val="00FD619F"/>
    <w:rsid w:val="00FD7931"/>
    <w:rsid w:val="00FE03D7"/>
    <w:rsid w:val="00FE0495"/>
    <w:rsid w:val="00FE1319"/>
    <w:rsid w:val="00FE4A3F"/>
    <w:rsid w:val="00FE5FA5"/>
    <w:rsid w:val="00FE648C"/>
    <w:rsid w:val="00FE7616"/>
    <w:rsid w:val="00FF2889"/>
    <w:rsid w:val="00FF2982"/>
    <w:rsid w:val="00FF707C"/>
    <w:rsid w:val="01253372"/>
    <w:rsid w:val="01290F7E"/>
    <w:rsid w:val="012D2C0B"/>
    <w:rsid w:val="01524EF2"/>
    <w:rsid w:val="015D1E09"/>
    <w:rsid w:val="018D7D3C"/>
    <w:rsid w:val="01935AC0"/>
    <w:rsid w:val="01DD59FB"/>
    <w:rsid w:val="024A69D2"/>
    <w:rsid w:val="02697903"/>
    <w:rsid w:val="0284231A"/>
    <w:rsid w:val="02B56978"/>
    <w:rsid w:val="02F96569"/>
    <w:rsid w:val="03C52F1A"/>
    <w:rsid w:val="03EA7B21"/>
    <w:rsid w:val="0403277C"/>
    <w:rsid w:val="041E22FB"/>
    <w:rsid w:val="04284FC8"/>
    <w:rsid w:val="047C774D"/>
    <w:rsid w:val="047D5273"/>
    <w:rsid w:val="04F33787"/>
    <w:rsid w:val="04F76DD4"/>
    <w:rsid w:val="04FE63B4"/>
    <w:rsid w:val="050E6C56"/>
    <w:rsid w:val="05221E49"/>
    <w:rsid w:val="05243941"/>
    <w:rsid w:val="05575AC4"/>
    <w:rsid w:val="05883ED0"/>
    <w:rsid w:val="05BB3177"/>
    <w:rsid w:val="05CA62D5"/>
    <w:rsid w:val="05DE7F94"/>
    <w:rsid w:val="05EC0902"/>
    <w:rsid w:val="05F83EAE"/>
    <w:rsid w:val="060A70A7"/>
    <w:rsid w:val="063E7D85"/>
    <w:rsid w:val="064A387B"/>
    <w:rsid w:val="067C44CB"/>
    <w:rsid w:val="069118E4"/>
    <w:rsid w:val="069348B1"/>
    <w:rsid w:val="06B07B82"/>
    <w:rsid w:val="06BE4DDD"/>
    <w:rsid w:val="06D516D9"/>
    <w:rsid w:val="06D870D9"/>
    <w:rsid w:val="06E11AE9"/>
    <w:rsid w:val="070B3D9B"/>
    <w:rsid w:val="071874D5"/>
    <w:rsid w:val="0726749D"/>
    <w:rsid w:val="07293586"/>
    <w:rsid w:val="07295285"/>
    <w:rsid w:val="07636392"/>
    <w:rsid w:val="07770C56"/>
    <w:rsid w:val="07AB0349"/>
    <w:rsid w:val="07AD418F"/>
    <w:rsid w:val="07DB478B"/>
    <w:rsid w:val="080D14D8"/>
    <w:rsid w:val="084A5DB4"/>
    <w:rsid w:val="086E55FF"/>
    <w:rsid w:val="08852948"/>
    <w:rsid w:val="08935065"/>
    <w:rsid w:val="089B03BE"/>
    <w:rsid w:val="08B1198F"/>
    <w:rsid w:val="08D631A4"/>
    <w:rsid w:val="08FD4BD5"/>
    <w:rsid w:val="09012BD3"/>
    <w:rsid w:val="091C32AD"/>
    <w:rsid w:val="092217DD"/>
    <w:rsid w:val="093A7294"/>
    <w:rsid w:val="09443C6F"/>
    <w:rsid w:val="098175B4"/>
    <w:rsid w:val="09CE5FB9"/>
    <w:rsid w:val="09DA20B2"/>
    <w:rsid w:val="0A137C0D"/>
    <w:rsid w:val="0A157CFC"/>
    <w:rsid w:val="0A263993"/>
    <w:rsid w:val="0A27266C"/>
    <w:rsid w:val="0A2D3AC2"/>
    <w:rsid w:val="0A434912"/>
    <w:rsid w:val="0A943317"/>
    <w:rsid w:val="0AA3355A"/>
    <w:rsid w:val="0AA755DF"/>
    <w:rsid w:val="0AF97CC1"/>
    <w:rsid w:val="0B0A5387"/>
    <w:rsid w:val="0B120D44"/>
    <w:rsid w:val="0B1835C3"/>
    <w:rsid w:val="0B61769D"/>
    <w:rsid w:val="0B892750"/>
    <w:rsid w:val="0B907F82"/>
    <w:rsid w:val="0BA63F8B"/>
    <w:rsid w:val="0BD27BF6"/>
    <w:rsid w:val="0BEE6E75"/>
    <w:rsid w:val="0C112E71"/>
    <w:rsid w:val="0C2C7CAB"/>
    <w:rsid w:val="0C395F24"/>
    <w:rsid w:val="0C3B3C7D"/>
    <w:rsid w:val="0C590BAD"/>
    <w:rsid w:val="0C5D78AD"/>
    <w:rsid w:val="0C6805B7"/>
    <w:rsid w:val="0CAB2EAE"/>
    <w:rsid w:val="0CBE467B"/>
    <w:rsid w:val="0D1C7D1F"/>
    <w:rsid w:val="0D396716"/>
    <w:rsid w:val="0D5C49F2"/>
    <w:rsid w:val="0D621C7D"/>
    <w:rsid w:val="0D763AF9"/>
    <w:rsid w:val="0D961994"/>
    <w:rsid w:val="0DBC0BBA"/>
    <w:rsid w:val="0DC57130"/>
    <w:rsid w:val="0DE14AC5"/>
    <w:rsid w:val="0E0E518E"/>
    <w:rsid w:val="0E325320"/>
    <w:rsid w:val="0E5B6B2F"/>
    <w:rsid w:val="0E73034D"/>
    <w:rsid w:val="0E85096E"/>
    <w:rsid w:val="0EA16002"/>
    <w:rsid w:val="0EF3685E"/>
    <w:rsid w:val="0EFB3964"/>
    <w:rsid w:val="0F074A73"/>
    <w:rsid w:val="0F13775A"/>
    <w:rsid w:val="0F2E7896"/>
    <w:rsid w:val="0F5F45FE"/>
    <w:rsid w:val="0F7D6B68"/>
    <w:rsid w:val="0F954A7D"/>
    <w:rsid w:val="0F9A112B"/>
    <w:rsid w:val="0FBA55CD"/>
    <w:rsid w:val="0FBB0301"/>
    <w:rsid w:val="0FBF0E36"/>
    <w:rsid w:val="0FC7175C"/>
    <w:rsid w:val="0FFC5BE6"/>
    <w:rsid w:val="10042CED"/>
    <w:rsid w:val="101C1DE4"/>
    <w:rsid w:val="104650B3"/>
    <w:rsid w:val="106D2F64"/>
    <w:rsid w:val="10B63710"/>
    <w:rsid w:val="10B63FE7"/>
    <w:rsid w:val="10DC1BAF"/>
    <w:rsid w:val="10F10820"/>
    <w:rsid w:val="111C2F7A"/>
    <w:rsid w:val="113F59F6"/>
    <w:rsid w:val="11553800"/>
    <w:rsid w:val="11665CA1"/>
    <w:rsid w:val="11734C63"/>
    <w:rsid w:val="11845080"/>
    <w:rsid w:val="118818BD"/>
    <w:rsid w:val="11936C66"/>
    <w:rsid w:val="11CB3AC2"/>
    <w:rsid w:val="11DA5AB3"/>
    <w:rsid w:val="126637EB"/>
    <w:rsid w:val="12771554"/>
    <w:rsid w:val="127A7296"/>
    <w:rsid w:val="12862CF3"/>
    <w:rsid w:val="128E689D"/>
    <w:rsid w:val="12962DFA"/>
    <w:rsid w:val="12D22468"/>
    <w:rsid w:val="13951726"/>
    <w:rsid w:val="13B107AA"/>
    <w:rsid w:val="13D05868"/>
    <w:rsid w:val="13E462E6"/>
    <w:rsid w:val="13F15336"/>
    <w:rsid w:val="14107EB2"/>
    <w:rsid w:val="14172FEE"/>
    <w:rsid w:val="143376FC"/>
    <w:rsid w:val="14361E3D"/>
    <w:rsid w:val="14396509"/>
    <w:rsid w:val="145C6C53"/>
    <w:rsid w:val="146438E9"/>
    <w:rsid w:val="14CA62B3"/>
    <w:rsid w:val="14DD2C3C"/>
    <w:rsid w:val="150177FB"/>
    <w:rsid w:val="158B1DC7"/>
    <w:rsid w:val="1594241D"/>
    <w:rsid w:val="15B036FB"/>
    <w:rsid w:val="15F64E85"/>
    <w:rsid w:val="16087E1D"/>
    <w:rsid w:val="16337E88"/>
    <w:rsid w:val="166149F5"/>
    <w:rsid w:val="167410DE"/>
    <w:rsid w:val="16775464"/>
    <w:rsid w:val="16B87734"/>
    <w:rsid w:val="170A06FE"/>
    <w:rsid w:val="174F6F43"/>
    <w:rsid w:val="17505D23"/>
    <w:rsid w:val="17701D14"/>
    <w:rsid w:val="17735226"/>
    <w:rsid w:val="17A53209"/>
    <w:rsid w:val="17A93D1D"/>
    <w:rsid w:val="17B15508"/>
    <w:rsid w:val="17EA0A1A"/>
    <w:rsid w:val="18245C1B"/>
    <w:rsid w:val="18491BE4"/>
    <w:rsid w:val="18505536"/>
    <w:rsid w:val="189F624C"/>
    <w:rsid w:val="18AF5EEB"/>
    <w:rsid w:val="18B726A8"/>
    <w:rsid w:val="18B7391D"/>
    <w:rsid w:val="18C26D1F"/>
    <w:rsid w:val="18F14F8C"/>
    <w:rsid w:val="194303E2"/>
    <w:rsid w:val="196D545F"/>
    <w:rsid w:val="19A215AC"/>
    <w:rsid w:val="19C808E7"/>
    <w:rsid w:val="19F636A6"/>
    <w:rsid w:val="1A18361C"/>
    <w:rsid w:val="1A1C66C0"/>
    <w:rsid w:val="1A3441CE"/>
    <w:rsid w:val="1A42393B"/>
    <w:rsid w:val="1A475B6C"/>
    <w:rsid w:val="1A813DCD"/>
    <w:rsid w:val="1AA66E7A"/>
    <w:rsid w:val="1AAD45DE"/>
    <w:rsid w:val="1AB53AAF"/>
    <w:rsid w:val="1AB64E74"/>
    <w:rsid w:val="1AC03B72"/>
    <w:rsid w:val="1AC11F06"/>
    <w:rsid w:val="1AC67940"/>
    <w:rsid w:val="1AE479A2"/>
    <w:rsid w:val="1B046F80"/>
    <w:rsid w:val="1B0E2C71"/>
    <w:rsid w:val="1B1C0EEA"/>
    <w:rsid w:val="1B222279"/>
    <w:rsid w:val="1B3267B5"/>
    <w:rsid w:val="1B40161D"/>
    <w:rsid w:val="1B441859"/>
    <w:rsid w:val="1B6606B1"/>
    <w:rsid w:val="1B731383"/>
    <w:rsid w:val="1B8A054A"/>
    <w:rsid w:val="1B9273FE"/>
    <w:rsid w:val="1BB96B0B"/>
    <w:rsid w:val="1C033E58"/>
    <w:rsid w:val="1C035B79"/>
    <w:rsid w:val="1C2E35CB"/>
    <w:rsid w:val="1C5E7925"/>
    <w:rsid w:val="1CCB2BC8"/>
    <w:rsid w:val="1CFD070F"/>
    <w:rsid w:val="1CFF5F62"/>
    <w:rsid w:val="1D44297A"/>
    <w:rsid w:val="1D5F6196"/>
    <w:rsid w:val="1D6132A5"/>
    <w:rsid w:val="1D6872A5"/>
    <w:rsid w:val="1D8E56D5"/>
    <w:rsid w:val="1D9A07EC"/>
    <w:rsid w:val="1DB00010"/>
    <w:rsid w:val="1DE455A1"/>
    <w:rsid w:val="1DE877AA"/>
    <w:rsid w:val="1E2E78B2"/>
    <w:rsid w:val="1E3D5D47"/>
    <w:rsid w:val="1E3E73CA"/>
    <w:rsid w:val="1E7A43DA"/>
    <w:rsid w:val="1E911BEF"/>
    <w:rsid w:val="1EA9518B"/>
    <w:rsid w:val="1EBD0C36"/>
    <w:rsid w:val="1EC567A5"/>
    <w:rsid w:val="1F132604"/>
    <w:rsid w:val="1F185E6D"/>
    <w:rsid w:val="1F662225"/>
    <w:rsid w:val="1F664E2A"/>
    <w:rsid w:val="1F711E22"/>
    <w:rsid w:val="1FE7539E"/>
    <w:rsid w:val="1FF6169F"/>
    <w:rsid w:val="200D2936"/>
    <w:rsid w:val="203155A4"/>
    <w:rsid w:val="20467ECE"/>
    <w:rsid w:val="20671BE0"/>
    <w:rsid w:val="207F1804"/>
    <w:rsid w:val="20963CB8"/>
    <w:rsid w:val="20A81A1B"/>
    <w:rsid w:val="20B07FB6"/>
    <w:rsid w:val="20B646FB"/>
    <w:rsid w:val="20B81864"/>
    <w:rsid w:val="20D3029D"/>
    <w:rsid w:val="20F81600"/>
    <w:rsid w:val="20FB77F4"/>
    <w:rsid w:val="21026DD4"/>
    <w:rsid w:val="21334478"/>
    <w:rsid w:val="213B74B1"/>
    <w:rsid w:val="215A2310"/>
    <w:rsid w:val="217E28FF"/>
    <w:rsid w:val="218A3047"/>
    <w:rsid w:val="21BB1C63"/>
    <w:rsid w:val="21DE318A"/>
    <w:rsid w:val="21EF5B80"/>
    <w:rsid w:val="22405E06"/>
    <w:rsid w:val="22576990"/>
    <w:rsid w:val="228A52D3"/>
    <w:rsid w:val="22B51ADC"/>
    <w:rsid w:val="22DB78DD"/>
    <w:rsid w:val="22F47480"/>
    <w:rsid w:val="231E77CA"/>
    <w:rsid w:val="234D386F"/>
    <w:rsid w:val="236E69A3"/>
    <w:rsid w:val="23713A93"/>
    <w:rsid w:val="238A7DBA"/>
    <w:rsid w:val="23DE1C48"/>
    <w:rsid w:val="23E7405F"/>
    <w:rsid w:val="23F2091A"/>
    <w:rsid w:val="240210CD"/>
    <w:rsid w:val="242A0480"/>
    <w:rsid w:val="24577E1C"/>
    <w:rsid w:val="246D6C5B"/>
    <w:rsid w:val="247955FF"/>
    <w:rsid w:val="24AC7783"/>
    <w:rsid w:val="24BF09F7"/>
    <w:rsid w:val="252C2926"/>
    <w:rsid w:val="252D53FE"/>
    <w:rsid w:val="25362024"/>
    <w:rsid w:val="25504395"/>
    <w:rsid w:val="25951FC5"/>
    <w:rsid w:val="25B85CB3"/>
    <w:rsid w:val="25BF63EE"/>
    <w:rsid w:val="25D41411"/>
    <w:rsid w:val="25EC2D81"/>
    <w:rsid w:val="263A491A"/>
    <w:rsid w:val="264E2CB2"/>
    <w:rsid w:val="269C55D5"/>
    <w:rsid w:val="26B446CD"/>
    <w:rsid w:val="26B83713"/>
    <w:rsid w:val="26DE6F50"/>
    <w:rsid w:val="270C275B"/>
    <w:rsid w:val="271414AB"/>
    <w:rsid w:val="27577DD5"/>
    <w:rsid w:val="277057A2"/>
    <w:rsid w:val="27B150B0"/>
    <w:rsid w:val="27F21951"/>
    <w:rsid w:val="280C22E7"/>
    <w:rsid w:val="28175B4C"/>
    <w:rsid w:val="284F0400"/>
    <w:rsid w:val="288D3427"/>
    <w:rsid w:val="28946518"/>
    <w:rsid w:val="28E21837"/>
    <w:rsid w:val="28E3573D"/>
    <w:rsid w:val="28E374EB"/>
    <w:rsid w:val="28ED4AE5"/>
    <w:rsid w:val="29003D4D"/>
    <w:rsid w:val="291E61CF"/>
    <w:rsid w:val="2920429C"/>
    <w:rsid w:val="29206EB8"/>
    <w:rsid w:val="293935AF"/>
    <w:rsid w:val="29595666"/>
    <w:rsid w:val="29874881"/>
    <w:rsid w:val="298C54AC"/>
    <w:rsid w:val="298F4F7D"/>
    <w:rsid w:val="299E3412"/>
    <w:rsid w:val="29C377FA"/>
    <w:rsid w:val="29E325E0"/>
    <w:rsid w:val="2A2D169C"/>
    <w:rsid w:val="2A452503"/>
    <w:rsid w:val="2ACD11E5"/>
    <w:rsid w:val="2ADF135E"/>
    <w:rsid w:val="2AED4651"/>
    <w:rsid w:val="2AF75E4C"/>
    <w:rsid w:val="2B36607C"/>
    <w:rsid w:val="2B786611"/>
    <w:rsid w:val="2B844FB6"/>
    <w:rsid w:val="2B8A6B60"/>
    <w:rsid w:val="2B9B3782"/>
    <w:rsid w:val="2BA936A8"/>
    <w:rsid w:val="2BEC66B7"/>
    <w:rsid w:val="2BF51A0F"/>
    <w:rsid w:val="2BFA5278"/>
    <w:rsid w:val="2C315A5A"/>
    <w:rsid w:val="2C4B1C25"/>
    <w:rsid w:val="2C4D3F24"/>
    <w:rsid w:val="2C5B55EB"/>
    <w:rsid w:val="2C6E3570"/>
    <w:rsid w:val="2C7129CB"/>
    <w:rsid w:val="2C7A2503"/>
    <w:rsid w:val="2C8608B9"/>
    <w:rsid w:val="2CBA0563"/>
    <w:rsid w:val="2CD71115"/>
    <w:rsid w:val="2D37488E"/>
    <w:rsid w:val="2D386EE6"/>
    <w:rsid w:val="2D5F632E"/>
    <w:rsid w:val="2D6D3827"/>
    <w:rsid w:val="2D811D32"/>
    <w:rsid w:val="2D831325"/>
    <w:rsid w:val="2D986AF6"/>
    <w:rsid w:val="2D9E56F5"/>
    <w:rsid w:val="2DD072C1"/>
    <w:rsid w:val="2E0F39D8"/>
    <w:rsid w:val="2E1C74E0"/>
    <w:rsid w:val="2E383E35"/>
    <w:rsid w:val="2E4C5B33"/>
    <w:rsid w:val="2E4C78E1"/>
    <w:rsid w:val="2E667F96"/>
    <w:rsid w:val="2E8226AB"/>
    <w:rsid w:val="2E861045"/>
    <w:rsid w:val="2E9C077D"/>
    <w:rsid w:val="2EA746DB"/>
    <w:rsid w:val="2EB273F9"/>
    <w:rsid w:val="2EEC3F03"/>
    <w:rsid w:val="2EFC30B5"/>
    <w:rsid w:val="2F880DEC"/>
    <w:rsid w:val="2F9212C6"/>
    <w:rsid w:val="2FD065E6"/>
    <w:rsid w:val="2FD96870"/>
    <w:rsid w:val="300E12F2"/>
    <w:rsid w:val="303D1BD7"/>
    <w:rsid w:val="30580BC9"/>
    <w:rsid w:val="305E56A9"/>
    <w:rsid w:val="30843362"/>
    <w:rsid w:val="311E2ED7"/>
    <w:rsid w:val="31472512"/>
    <w:rsid w:val="315619EE"/>
    <w:rsid w:val="315C449C"/>
    <w:rsid w:val="31774C75"/>
    <w:rsid w:val="318F1FBE"/>
    <w:rsid w:val="31B82709"/>
    <w:rsid w:val="31C81974"/>
    <w:rsid w:val="31CC4FC0"/>
    <w:rsid w:val="31D05482"/>
    <w:rsid w:val="32120884"/>
    <w:rsid w:val="32400B34"/>
    <w:rsid w:val="326C7167"/>
    <w:rsid w:val="329E6876"/>
    <w:rsid w:val="330B1B18"/>
    <w:rsid w:val="333015F2"/>
    <w:rsid w:val="334B6320"/>
    <w:rsid w:val="339A5158"/>
    <w:rsid w:val="339F04B3"/>
    <w:rsid w:val="33CD7B75"/>
    <w:rsid w:val="33D934D4"/>
    <w:rsid w:val="33FE2F6A"/>
    <w:rsid w:val="340E07E5"/>
    <w:rsid w:val="34192013"/>
    <w:rsid w:val="34235BF7"/>
    <w:rsid w:val="34490EA7"/>
    <w:rsid w:val="3456481C"/>
    <w:rsid w:val="34ED5E13"/>
    <w:rsid w:val="34FA62E8"/>
    <w:rsid w:val="350806EA"/>
    <w:rsid w:val="35092088"/>
    <w:rsid w:val="35284F68"/>
    <w:rsid w:val="355A0B35"/>
    <w:rsid w:val="35643762"/>
    <w:rsid w:val="35725E7F"/>
    <w:rsid w:val="35777939"/>
    <w:rsid w:val="358C5FA8"/>
    <w:rsid w:val="35926521"/>
    <w:rsid w:val="35C15DF1"/>
    <w:rsid w:val="35C56367"/>
    <w:rsid w:val="35D246E2"/>
    <w:rsid w:val="35E067CB"/>
    <w:rsid w:val="35E11256"/>
    <w:rsid w:val="36074A7F"/>
    <w:rsid w:val="36201D7F"/>
    <w:rsid w:val="364E7FB0"/>
    <w:rsid w:val="36590E3A"/>
    <w:rsid w:val="36631C6B"/>
    <w:rsid w:val="367125DA"/>
    <w:rsid w:val="36811BDE"/>
    <w:rsid w:val="36923549"/>
    <w:rsid w:val="36AF4EB1"/>
    <w:rsid w:val="36B75FBF"/>
    <w:rsid w:val="36BD0C45"/>
    <w:rsid w:val="36BE50F4"/>
    <w:rsid w:val="36D00DCB"/>
    <w:rsid w:val="36EC1C61"/>
    <w:rsid w:val="37053B2A"/>
    <w:rsid w:val="371A67CE"/>
    <w:rsid w:val="37217B5C"/>
    <w:rsid w:val="376143FD"/>
    <w:rsid w:val="37774615"/>
    <w:rsid w:val="37C6364C"/>
    <w:rsid w:val="37C85256"/>
    <w:rsid w:val="37E00298"/>
    <w:rsid w:val="3838111A"/>
    <w:rsid w:val="38A071A7"/>
    <w:rsid w:val="38B302F9"/>
    <w:rsid w:val="38F12CD3"/>
    <w:rsid w:val="38F94775"/>
    <w:rsid w:val="392456E2"/>
    <w:rsid w:val="392971ED"/>
    <w:rsid w:val="39325651"/>
    <w:rsid w:val="395D6E46"/>
    <w:rsid w:val="399565E0"/>
    <w:rsid w:val="39DB1DF9"/>
    <w:rsid w:val="39E95E86"/>
    <w:rsid w:val="39F94DC1"/>
    <w:rsid w:val="3A033549"/>
    <w:rsid w:val="3A3733EC"/>
    <w:rsid w:val="3A7226BE"/>
    <w:rsid w:val="3A865FA2"/>
    <w:rsid w:val="3A872856"/>
    <w:rsid w:val="3A976388"/>
    <w:rsid w:val="3AF604B1"/>
    <w:rsid w:val="3B163750"/>
    <w:rsid w:val="3B3763D1"/>
    <w:rsid w:val="3B8A0EB6"/>
    <w:rsid w:val="3B8A6B50"/>
    <w:rsid w:val="3BEE2C33"/>
    <w:rsid w:val="3C0148CE"/>
    <w:rsid w:val="3C145EE2"/>
    <w:rsid w:val="3C2F6E1E"/>
    <w:rsid w:val="3C4F64BA"/>
    <w:rsid w:val="3C761AAA"/>
    <w:rsid w:val="3C920BB5"/>
    <w:rsid w:val="3C9D4E80"/>
    <w:rsid w:val="3CA8662A"/>
    <w:rsid w:val="3CAA05F4"/>
    <w:rsid w:val="3CB21257"/>
    <w:rsid w:val="3CCA034E"/>
    <w:rsid w:val="3CDA245A"/>
    <w:rsid w:val="3D1E06B7"/>
    <w:rsid w:val="3D253D7C"/>
    <w:rsid w:val="3E0D6490"/>
    <w:rsid w:val="3E0E6961"/>
    <w:rsid w:val="3E432AAE"/>
    <w:rsid w:val="3E7862DA"/>
    <w:rsid w:val="3E90291B"/>
    <w:rsid w:val="3EDA0523"/>
    <w:rsid w:val="3EF83118"/>
    <w:rsid w:val="3F3B3785"/>
    <w:rsid w:val="3F47212A"/>
    <w:rsid w:val="3F6211A5"/>
    <w:rsid w:val="3F676329"/>
    <w:rsid w:val="3F730D4D"/>
    <w:rsid w:val="3F8C7E7E"/>
    <w:rsid w:val="3FE0432D"/>
    <w:rsid w:val="4033445D"/>
    <w:rsid w:val="403D52DB"/>
    <w:rsid w:val="40607FBD"/>
    <w:rsid w:val="407A6407"/>
    <w:rsid w:val="40E74DA9"/>
    <w:rsid w:val="414A7A91"/>
    <w:rsid w:val="415B4A9F"/>
    <w:rsid w:val="416F5968"/>
    <w:rsid w:val="41923405"/>
    <w:rsid w:val="41943621"/>
    <w:rsid w:val="41E03DA1"/>
    <w:rsid w:val="41F8595E"/>
    <w:rsid w:val="4200449D"/>
    <w:rsid w:val="422D3F73"/>
    <w:rsid w:val="423A3BCC"/>
    <w:rsid w:val="424E57D2"/>
    <w:rsid w:val="428B7856"/>
    <w:rsid w:val="42AD6748"/>
    <w:rsid w:val="42B26C49"/>
    <w:rsid w:val="42F9198D"/>
    <w:rsid w:val="430D71E7"/>
    <w:rsid w:val="43160791"/>
    <w:rsid w:val="433A6FE6"/>
    <w:rsid w:val="43476B9D"/>
    <w:rsid w:val="43480868"/>
    <w:rsid w:val="4350713C"/>
    <w:rsid w:val="436653E0"/>
    <w:rsid w:val="43722AD3"/>
    <w:rsid w:val="438A4CDB"/>
    <w:rsid w:val="43C33235"/>
    <w:rsid w:val="43C4431A"/>
    <w:rsid w:val="43E22422"/>
    <w:rsid w:val="43F62371"/>
    <w:rsid w:val="440C7D39"/>
    <w:rsid w:val="442F13DF"/>
    <w:rsid w:val="44921E0D"/>
    <w:rsid w:val="44952198"/>
    <w:rsid w:val="44B951CC"/>
    <w:rsid w:val="44CB2F82"/>
    <w:rsid w:val="44CD14E0"/>
    <w:rsid w:val="44CD4E80"/>
    <w:rsid w:val="44F20B0B"/>
    <w:rsid w:val="450D34CE"/>
    <w:rsid w:val="45294080"/>
    <w:rsid w:val="452E5F4C"/>
    <w:rsid w:val="453F5652"/>
    <w:rsid w:val="45612018"/>
    <w:rsid w:val="456A6B72"/>
    <w:rsid w:val="45755CD2"/>
    <w:rsid w:val="458946E9"/>
    <w:rsid w:val="45A47C0E"/>
    <w:rsid w:val="45C76B60"/>
    <w:rsid w:val="45F97EF6"/>
    <w:rsid w:val="462D194E"/>
    <w:rsid w:val="46577FD6"/>
    <w:rsid w:val="46D6122C"/>
    <w:rsid w:val="46D955A7"/>
    <w:rsid w:val="46F32D69"/>
    <w:rsid w:val="470960D7"/>
    <w:rsid w:val="47133957"/>
    <w:rsid w:val="474A7CCD"/>
    <w:rsid w:val="475F1FDB"/>
    <w:rsid w:val="47A07E0C"/>
    <w:rsid w:val="47BC742D"/>
    <w:rsid w:val="47F70466"/>
    <w:rsid w:val="47FE7E41"/>
    <w:rsid w:val="484F5769"/>
    <w:rsid w:val="48567911"/>
    <w:rsid w:val="48691363"/>
    <w:rsid w:val="486D3D4B"/>
    <w:rsid w:val="4870272E"/>
    <w:rsid w:val="48DB1376"/>
    <w:rsid w:val="48DC621A"/>
    <w:rsid w:val="48F32971"/>
    <w:rsid w:val="48FD6399"/>
    <w:rsid w:val="494C592E"/>
    <w:rsid w:val="498D21F4"/>
    <w:rsid w:val="49C16F7D"/>
    <w:rsid w:val="49C32CF5"/>
    <w:rsid w:val="49DC7715"/>
    <w:rsid w:val="4A023139"/>
    <w:rsid w:val="4A2806B5"/>
    <w:rsid w:val="4A5751EC"/>
    <w:rsid w:val="4A742241"/>
    <w:rsid w:val="4A7B576F"/>
    <w:rsid w:val="4AAA5CD3"/>
    <w:rsid w:val="4AAB3D15"/>
    <w:rsid w:val="4AB663B6"/>
    <w:rsid w:val="4AB8212E"/>
    <w:rsid w:val="4AF561A9"/>
    <w:rsid w:val="4B1D57B7"/>
    <w:rsid w:val="4B294DDA"/>
    <w:rsid w:val="4B391F09"/>
    <w:rsid w:val="4B401BAF"/>
    <w:rsid w:val="4B5F6CE3"/>
    <w:rsid w:val="4B895B94"/>
    <w:rsid w:val="4B8D7117"/>
    <w:rsid w:val="4B92472D"/>
    <w:rsid w:val="4B9506C1"/>
    <w:rsid w:val="4BA05606"/>
    <w:rsid w:val="4BB74194"/>
    <w:rsid w:val="4BCB5E91"/>
    <w:rsid w:val="4BFC604B"/>
    <w:rsid w:val="4C03387D"/>
    <w:rsid w:val="4C0D64AA"/>
    <w:rsid w:val="4C196BFC"/>
    <w:rsid w:val="4C4A0649"/>
    <w:rsid w:val="4C50175E"/>
    <w:rsid w:val="4C5A2353"/>
    <w:rsid w:val="4C653BF0"/>
    <w:rsid w:val="4C7E5ECA"/>
    <w:rsid w:val="4C876AA5"/>
    <w:rsid w:val="4CA1514B"/>
    <w:rsid w:val="4D001B6A"/>
    <w:rsid w:val="4D007BE6"/>
    <w:rsid w:val="4D0E00FB"/>
    <w:rsid w:val="4D176606"/>
    <w:rsid w:val="4D3857A8"/>
    <w:rsid w:val="4D665E71"/>
    <w:rsid w:val="4DCB3F26"/>
    <w:rsid w:val="4DE17BEE"/>
    <w:rsid w:val="4DEC4FB0"/>
    <w:rsid w:val="4DF72F6D"/>
    <w:rsid w:val="4DF739FA"/>
    <w:rsid w:val="4E075D8A"/>
    <w:rsid w:val="4E8A26E3"/>
    <w:rsid w:val="4EBD57D4"/>
    <w:rsid w:val="4EC00FAD"/>
    <w:rsid w:val="4EC5306C"/>
    <w:rsid w:val="4F1638C7"/>
    <w:rsid w:val="4F1B2C8C"/>
    <w:rsid w:val="4F361873"/>
    <w:rsid w:val="4F4F2935"/>
    <w:rsid w:val="4F9843DC"/>
    <w:rsid w:val="4F9D7B44"/>
    <w:rsid w:val="4FBF7ABB"/>
    <w:rsid w:val="4FC62A8C"/>
    <w:rsid w:val="4FE20F0D"/>
    <w:rsid w:val="4FE51552"/>
    <w:rsid w:val="4FEC7679"/>
    <w:rsid w:val="50504C4B"/>
    <w:rsid w:val="505226DD"/>
    <w:rsid w:val="509C6E7C"/>
    <w:rsid w:val="50BB7A74"/>
    <w:rsid w:val="50C37161"/>
    <w:rsid w:val="50F857CB"/>
    <w:rsid w:val="5100038B"/>
    <w:rsid w:val="51081D45"/>
    <w:rsid w:val="51363DAD"/>
    <w:rsid w:val="513A4E9C"/>
    <w:rsid w:val="51556929"/>
    <w:rsid w:val="51581F75"/>
    <w:rsid w:val="51595CED"/>
    <w:rsid w:val="5162104E"/>
    <w:rsid w:val="51893F1F"/>
    <w:rsid w:val="519C35D9"/>
    <w:rsid w:val="51B03B5F"/>
    <w:rsid w:val="51F2145C"/>
    <w:rsid w:val="521C5892"/>
    <w:rsid w:val="52263E21"/>
    <w:rsid w:val="524A3FB4"/>
    <w:rsid w:val="525433C8"/>
    <w:rsid w:val="52954CB0"/>
    <w:rsid w:val="52F52A8A"/>
    <w:rsid w:val="53161F90"/>
    <w:rsid w:val="53226F6B"/>
    <w:rsid w:val="53236529"/>
    <w:rsid w:val="537A50C4"/>
    <w:rsid w:val="53A039CC"/>
    <w:rsid w:val="53A1505A"/>
    <w:rsid w:val="53B07A2B"/>
    <w:rsid w:val="53CE651E"/>
    <w:rsid w:val="53E04C9E"/>
    <w:rsid w:val="53FC1520"/>
    <w:rsid w:val="54063E08"/>
    <w:rsid w:val="542E520F"/>
    <w:rsid w:val="543437E8"/>
    <w:rsid w:val="543E21F2"/>
    <w:rsid w:val="54745F13"/>
    <w:rsid w:val="54843081"/>
    <w:rsid w:val="54882B71"/>
    <w:rsid w:val="54977258"/>
    <w:rsid w:val="54B73456"/>
    <w:rsid w:val="54F73313"/>
    <w:rsid w:val="54F80955"/>
    <w:rsid w:val="550A5C7C"/>
    <w:rsid w:val="55172147"/>
    <w:rsid w:val="553E76D4"/>
    <w:rsid w:val="554A42CB"/>
    <w:rsid w:val="555170A7"/>
    <w:rsid w:val="556732C9"/>
    <w:rsid w:val="557430F6"/>
    <w:rsid w:val="5587536D"/>
    <w:rsid w:val="55886BA1"/>
    <w:rsid w:val="55911EF9"/>
    <w:rsid w:val="559B174B"/>
    <w:rsid w:val="55AC0AE1"/>
    <w:rsid w:val="55C45E2B"/>
    <w:rsid w:val="55CE0CF4"/>
    <w:rsid w:val="55D41DE6"/>
    <w:rsid w:val="56336B0D"/>
    <w:rsid w:val="564231F4"/>
    <w:rsid w:val="56494582"/>
    <w:rsid w:val="56552F27"/>
    <w:rsid w:val="56764C4B"/>
    <w:rsid w:val="568F6454"/>
    <w:rsid w:val="56960A54"/>
    <w:rsid w:val="56B22A9C"/>
    <w:rsid w:val="57672F12"/>
    <w:rsid w:val="57B679F5"/>
    <w:rsid w:val="57B72A76"/>
    <w:rsid w:val="57C3426C"/>
    <w:rsid w:val="57CE1F93"/>
    <w:rsid w:val="57DA7815"/>
    <w:rsid w:val="58004D13"/>
    <w:rsid w:val="580966FF"/>
    <w:rsid w:val="581666E6"/>
    <w:rsid w:val="584414A5"/>
    <w:rsid w:val="585130AB"/>
    <w:rsid w:val="58515970"/>
    <w:rsid w:val="588743D1"/>
    <w:rsid w:val="5887701A"/>
    <w:rsid w:val="58975A79"/>
    <w:rsid w:val="589D5BC8"/>
    <w:rsid w:val="58BC02C6"/>
    <w:rsid w:val="58D418C8"/>
    <w:rsid w:val="590316FF"/>
    <w:rsid w:val="59044790"/>
    <w:rsid w:val="594D4389"/>
    <w:rsid w:val="594D6137"/>
    <w:rsid w:val="59617E35"/>
    <w:rsid w:val="59670B6F"/>
    <w:rsid w:val="59975832"/>
    <w:rsid w:val="599864FB"/>
    <w:rsid w:val="59B34516"/>
    <w:rsid w:val="59C0439F"/>
    <w:rsid w:val="59D46859"/>
    <w:rsid w:val="5A150D5F"/>
    <w:rsid w:val="5A160C1F"/>
    <w:rsid w:val="5A617483"/>
    <w:rsid w:val="5A9102A6"/>
    <w:rsid w:val="5ABE2233"/>
    <w:rsid w:val="5B1B0771"/>
    <w:rsid w:val="5B726329"/>
    <w:rsid w:val="5B751975"/>
    <w:rsid w:val="5BB72720"/>
    <w:rsid w:val="5BC854A8"/>
    <w:rsid w:val="5BCF72D8"/>
    <w:rsid w:val="5BDF5D95"/>
    <w:rsid w:val="5BFE7528"/>
    <w:rsid w:val="5C205D85"/>
    <w:rsid w:val="5CA442C0"/>
    <w:rsid w:val="5CC52489"/>
    <w:rsid w:val="5CFA4828"/>
    <w:rsid w:val="5D0134C1"/>
    <w:rsid w:val="5D1551BE"/>
    <w:rsid w:val="5D380EAD"/>
    <w:rsid w:val="5D4D2BAA"/>
    <w:rsid w:val="5D6830FA"/>
    <w:rsid w:val="5D6879E4"/>
    <w:rsid w:val="5D7B64BE"/>
    <w:rsid w:val="5D9E6F62"/>
    <w:rsid w:val="5DBA7B13"/>
    <w:rsid w:val="5E2467F1"/>
    <w:rsid w:val="5EA458E2"/>
    <w:rsid w:val="5EBE53E1"/>
    <w:rsid w:val="5EE94B54"/>
    <w:rsid w:val="5F1A2B43"/>
    <w:rsid w:val="5F450354"/>
    <w:rsid w:val="5F7370FB"/>
    <w:rsid w:val="5FB837BB"/>
    <w:rsid w:val="604118C1"/>
    <w:rsid w:val="60455DBA"/>
    <w:rsid w:val="605D6DBA"/>
    <w:rsid w:val="60616252"/>
    <w:rsid w:val="609B59DA"/>
    <w:rsid w:val="60A07495"/>
    <w:rsid w:val="60A87A87"/>
    <w:rsid w:val="60CC405A"/>
    <w:rsid w:val="60D453F4"/>
    <w:rsid w:val="611A0FF5"/>
    <w:rsid w:val="61363955"/>
    <w:rsid w:val="61665FE8"/>
    <w:rsid w:val="61E215D8"/>
    <w:rsid w:val="61F47A98"/>
    <w:rsid w:val="61FF0CA7"/>
    <w:rsid w:val="6200468F"/>
    <w:rsid w:val="621B3775"/>
    <w:rsid w:val="62361E5F"/>
    <w:rsid w:val="62364782"/>
    <w:rsid w:val="626D784A"/>
    <w:rsid w:val="62AD6CE7"/>
    <w:rsid w:val="62EC6D5E"/>
    <w:rsid w:val="62F12229"/>
    <w:rsid w:val="62F27E70"/>
    <w:rsid w:val="63293771"/>
    <w:rsid w:val="632A1297"/>
    <w:rsid w:val="632F6F05"/>
    <w:rsid w:val="633D352C"/>
    <w:rsid w:val="637020C5"/>
    <w:rsid w:val="6394356A"/>
    <w:rsid w:val="63C60E3E"/>
    <w:rsid w:val="63C61B2C"/>
    <w:rsid w:val="63D40BE9"/>
    <w:rsid w:val="63F92A66"/>
    <w:rsid w:val="64102431"/>
    <w:rsid w:val="64281C7B"/>
    <w:rsid w:val="644A653A"/>
    <w:rsid w:val="64963088"/>
    <w:rsid w:val="64966BE4"/>
    <w:rsid w:val="64A5243A"/>
    <w:rsid w:val="64F531DE"/>
    <w:rsid w:val="65373578"/>
    <w:rsid w:val="656E7A21"/>
    <w:rsid w:val="65B978C5"/>
    <w:rsid w:val="65D8068E"/>
    <w:rsid w:val="65F673B7"/>
    <w:rsid w:val="65FD1C97"/>
    <w:rsid w:val="661F1E2D"/>
    <w:rsid w:val="662D3578"/>
    <w:rsid w:val="663012BB"/>
    <w:rsid w:val="664B7EA3"/>
    <w:rsid w:val="66AE52A4"/>
    <w:rsid w:val="66CA526B"/>
    <w:rsid w:val="66E14363"/>
    <w:rsid w:val="66E4430F"/>
    <w:rsid w:val="67002A3B"/>
    <w:rsid w:val="671F124A"/>
    <w:rsid w:val="67597735"/>
    <w:rsid w:val="67674492"/>
    <w:rsid w:val="677A33C6"/>
    <w:rsid w:val="67894060"/>
    <w:rsid w:val="67C95523"/>
    <w:rsid w:val="67F00651"/>
    <w:rsid w:val="67F46030"/>
    <w:rsid w:val="6804038D"/>
    <w:rsid w:val="68074CD0"/>
    <w:rsid w:val="680B5B3B"/>
    <w:rsid w:val="680B5C16"/>
    <w:rsid w:val="681A5514"/>
    <w:rsid w:val="681F6961"/>
    <w:rsid w:val="68385372"/>
    <w:rsid w:val="68610A2F"/>
    <w:rsid w:val="68805514"/>
    <w:rsid w:val="68E5638C"/>
    <w:rsid w:val="69316E2F"/>
    <w:rsid w:val="694E2071"/>
    <w:rsid w:val="69635BA8"/>
    <w:rsid w:val="69766163"/>
    <w:rsid w:val="697A3B33"/>
    <w:rsid w:val="699658D9"/>
    <w:rsid w:val="69991D8F"/>
    <w:rsid w:val="69D44760"/>
    <w:rsid w:val="69EE46D0"/>
    <w:rsid w:val="6A2B6021"/>
    <w:rsid w:val="6A2E5C82"/>
    <w:rsid w:val="6A4B1A04"/>
    <w:rsid w:val="6A520EC7"/>
    <w:rsid w:val="6A687795"/>
    <w:rsid w:val="6ACC6E9F"/>
    <w:rsid w:val="6AF87E20"/>
    <w:rsid w:val="6B322639"/>
    <w:rsid w:val="6B5B0B88"/>
    <w:rsid w:val="6B6F1F3D"/>
    <w:rsid w:val="6B741C4A"/>
    <w:rsid w:val="6B8848D5"/>
    <w:rsid w:val="6BB65DBE"/>
    <w:rsid w:val="6BBB5183"/>
    <w:rsid w:val="6BC24763"/>
    <w:rsid w:val="6BDA09CA"/>
    <w:rsid w:val="6BDB3A77"/>
    <w:rsid w:val="6BED47F7"/>
    <w:rsid w:val="6C136D6D"/>
    <w:rsid w:val="6C1B3E73"/>
    <w:rsid w:val="6C4E5FF7"/>
    <w:rsid w:val="6C5E3222"/>
    <w:rsid w:val="6C636C38"/>
    <w:rsid w:val="6C9E3E77"/>
    <w:rsid w:val="6CC369E5"/>
    <w:rsid w:val="6CD04C5E"/>
    <w:rsid w:val="6D3D2C47"/>
    <w:rsid w:val="6D433682"/>
    <w:rsid w:val="6D8D2B4F"/>
    <w:rsid w:val="6D9E7E6A"/>
    <w:rsid w:val="6DB34098"/>
    <w:rsid w:val="6DB545B6"/>
    <w:rsid w:val="6DB70B73"/>
    <w:rsid w:val="6DB92EAE"/>
    <w:rsid w:val="6DE02FB4"/>
    <w:rsid w:val="6E0F4C21"/>
    <w:rsid w:val="6E3A2CD6"/>
    <w:rsid w:val="6E46167B"/>
    <w:rsid w:val="6E514CED"/>
    <w:rsid w:val="6E6E472E"/>
    <w:rsid w:val="6E781A51"/>
    <w:rsid w:val="6E7F2148"/>
    <w:rsid w:val="6EA75E92"/>
    <w:rsid w:val="6EAB14DE"/>
    <w:rsid w:val="6EB563D5"/>
    <w:rsid w:val="6ED753ED"/>
    <w:rsid w:val="6ED92677"/>
    <w:rsid w:val="6F102E13"/>
    <w:rsid w:val="6F225983"/>
    <w:rsid w:val="6F2E3EBD"/>
    <w:rsid w:val="6F9742E9"/>
    <w:rsid w:val="6FDD7DBD"/>
    <w:rsid w:val="6FF46EB5"/>
    <w:rsid w:val="6FFC5590"/>
    <w:rsid w:val="706D1DD0"/>
    <w:rsid w:val="70856B87"/>
    <w:rsid w:val="708E283A"/>
    <w:rsid w:val="70D527EE"/>
    <w:rsid w:val="71032DE4"/>
    <w:rsid w:val="71290DE0"/>
    <w:rsid w:val="713752AB"/>
    <w:rsid w:val="7147606A"/>
    <w:rsid w:val="715B5300"/>
    <w:rsid w:val="71BC1C54"/>
    <w:rsid w:val="71CC635F"/>
    <w:rsid w:val="71D27F8A"/>
    <w:rsid w:val="721910BE"/>
    <w:rsid w:val="72374159"/>
    <w:rsid w:val="72553024"/>
    <w:rsid w:val="727A404A"/>
    <w:rsid w:val="72DB67D6"/>
    <w:rsid w:val="73122968"/>
    <w:rsid w:val="7315786E"/>
    <w:rsid w:val="731F5D5E"/>
    <w:rsid w:val="73840550"/>
    <w:rsid w:val="73C51AD5"/>
    <w:rsid w:val="73CF5C6F"/>
    <w:rsid w:val="741E793C"/>
    <w:rsid w:val="742970E4"/>
    <w:rsid w:val="745148D6"/>
    <w:rsid w:val="7452064E"/>
    <w:rsid w:val="745E3944"/>
    <w:rsid w:val="747C12BA"/>
    <w:rsid w:val="7486110F"/>
    <w:rsid w:val="7505383F"/>
    <w:rsid w:val="7513602F"/>
    <w:rsid w:val="755A2999"/>
    <w:rsid w:val="755C1784"/>
    <w:rsid w:val="75605303"/>
    <w:rsid w:val="75BE5F9B"/>
    <w:rsid w:val="75D6042E"/>
    <w:rsid w:val="76232CDF"/>
    <w:rsid w:val="7635099D"/>
    <w:rsid w:val="76B4739E"/>
    <w:rsid w:val="76D534E5"/>
    <w:rsid w:val="770D2C6C"/>
    <w:rsid w:val="771A5453"/>
    <w:rsid w:val="77762421"/>
    <w:rsid w:val="77764653"/>
    <w:rsid w:val="77A80CB1"/>
    <w:rsid w:val="77B56B1F"/>
    <w:rsid w:val="77D73344"/>
    <w:rsid w:val="77E451CE"/>
    <w:rsid w:val="780F09F4"/>
    <w:rsid w:val="78585988"/>
    <w:rsid w:val="787923C1"/>
    <w:rsid w:val="787F24BF"/>
    <w:rsid w:val="7880063F"/>
    <w:rsid w:val="78822BDE"/>
    <w:rsid w:val="78A84CE1"/>
    <w:rsid w:val="78A90480"/>
    <w:rsid w:val="791A1C51"/>
    <w:rsid w:val="791E07A5"/>
    <w:rsid w:val="792321E3"/>
    <w:rsid w:val="79722641"/>
    <w:rsid w:val="79892D64"/>
    <w:rsid w:val="79AE4579"/>
    <w:rsid w:val="7A364017"/>
    <w:rsid w:val="7A651958"/>
    <w:rsid w:val="7A722CB4"/>
    <w:rsid w:val="7A7D4503"/>
    <w:rsid w:val="7A8265E1"/>
    <w:rsid w:val="7ABD32FA"/>
    <w:rsid w:val="7B22521E"/>
    <w:rsid w:val="7B310FBD"/>
    <w:rsid w:val="7B686D42"/>
    <w:rsid w:val="7B841746"/>
    <w:rsid w:val="7BE83E7B"/>
    <w:rsid w:val="7C176405"/>
    <w:rsid w:val="7C274045"/>
    <w:rsid w:val="7C52743D"/>
    <w:rsid w:val="7C5C02BC"/>
    <w:rsid w:val="7C6C5AC7"/>
    <w:rsid w:val="7C9A0FFB"/>
    <w:rsid w:val="7CC6544B"/>
    <w:rsid w:val="7CF91FAF"/>
    <w:rsid w:val="7CFC2533"/>
    <w:rsid w:val="7D0239FF"/>
    <w:rsid w:val="7D225061"/>
    <w:rsid w:val="7D5E40CD"/>
    <w:rsid w:val="7D765277"/>
    <w:rsid w:val="7DB7625B"/>
    <w:rsid w:val="7DCD56F2"/>
    <w:rsid w:val="7DE25B31"/>
    <w:rsid w:val="7DEC67E0"/>
    <w:rsid w:val="7DF9614F"/>
    <w:rsid w:val="7E0B3D48"/>
    <w:rsid w:val="7E24795C"/>
    <w:rsid w:val="7E2748F9"/>
    <w:rsid w:val="7E384364"/>
    <w:rsid w:val="7E3D2248"/>
    <w:rsid w:val="7E4436FD"/>
    <w:rsid w:val="7E447259"/>
    <w:rsid w:val="7E45194F"/>
    <w:rsid w:val="7E484F9C"/>
    <w:rsid w:val="7E987415"/>
    <w:rsid w:val="7EA4197B"/>
    <w:rsid w:val="7EAB7AE1"/>
    <w:rsid w:val="7EC30AC6"/>
    <w:rsid w:val="7EDE145C"/>
    <w:rsid w:val="7F001CE7"/>
    <w:rsid w:val="7F0F1615"/>
    <w:rsid w:val="7F2C666B"/>
    <w:rsid w:val="7F8E2E82"/>
    <w:rsid w:val="7FE47E50"/>
    <w:rsid w:val="7FFC2595"/>
    <w:rsid w:val="7FFF379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nhideWhenUsed="0" w:uiPriority="9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2"/>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43"/>
    <w:unhideWhenUsed/>
    <w:qFormat/>
    <w:uiPriority w:val="99"/>
    <w:pPr>
      <w:keepNext/>
      <w:keepLines/>
      <w:spacing w:before="260" w:after="260" w:line="416" w:lineRule="auto"/>
      <w:outlineLvl w:val="1"/>
    </w:pPr>
    <w:rPr>
      <w:rFonts w:ascii="等线 Light" w:hAnsi="等线 Light" w:eastAsia="等线 Light" w:cs="Times New Roman"/>
      <w:b/>
      <w:bCs/>
      <w:sz w:val="32"/>
      <w:szCs w:val="32"/>
    </w:rPr>
  </w:style>
  <w:style w:type="paragraph" w:styleId="5">
    <w:name w:val="heading 3"/>
    <w:basedOn w:val="1"/>
    <w:next w:val="1"/>
    <w:link w:val="44"/>
    <w:qFormat/>
    <w:uiPriority w:val="99"/>
    <w:pPr>
      <w:keepNext/>
      <w:keepLines/>
      <w:widowControl/>
      <w:spacing w:line="360" w:lineRule="auto"/>
      <w:ind w:firstLine="512"/>
      <w:jc w:val="left"/>
      <w:outlineLvl w:val="2"/>
    </w:pPr>
    <w:rPr>
      <w:b/>
      <w:bCs/>
      <w:color w:val="000000"/>
      <w:kern w:val="0"/>
      <w:sz w:val="24"/>
    </w:rPr>
  </w:style>
  <w:style w:type="paragraph" w:styleId="6">
    <w:name w:val="heading 4"/>
    <w:basedOn w:val="1"/>
    <w:next w:val="1"/>
    <w:link w:val="45"/>
    <w:qFormat/>
    <w:uiPriority w:val="9"/>
    <w:pPr>
      <w:keepNext/>
      <w:keepLines/>
      <w:widowControl/>
      <w:spacing w:before="280" w:after="290" w:line="376" w:lineRule="auto"/>
      <w:jc w:val="left"/>
      <w:outlineLvl w:val="3"/>
    </w:pPr>
    <w:rPr>
      <w:rFonts w:ascii="Cambria" w:hAnsi="Cambria"/>
      <w:b/>
      <w:bCs/>
      <w:color w:val="000000"/>
      <w:sz w:val="28"/>
      <w:szCs w:val="28"/>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1"/>
    <w:link w:val="65"/>
    <w:qFormat/>
    <w:uiPriority w:val="0"/>
    <w:pPr>
      <w:ind w:firstLine="420" w:firstLineChars="200"/>
    </w:pPr>
    <w:rPr>
      <w:kern w:val="2"/>
      <w:sz w:val="21"/>
      <w:szCs w:val="24"/>
    </w:rPr>
  </w:style>
  <w:style w:type="paragraph" w:styleId="7">
    <w:name w:val="Normal Indent"/>
    <w:basedOn w:val="1"/>
    <w:link w:val="41"/>
    <w:qFormat/>
    <w:uiPriority w:val="0"/>
    <w:pPr>
      <w:ind w:firstLine="420" w:firstLineChars="200"/>
    </w:pPr>
    <w:rPr>
      <w:szCs w:val="20"/>
    </w:rPr>
  </w:style>
  <w:style w:type="paragraph" w:styleId="8">
    <w:name w:val="caption"/>
    <w:basedOn w:val="1"/>
    <w:next w:val="1"/>
    <w:link w:val="46"/>
    <w:qFormat/>
    <w:uiPriority w:val="0"/>
    <w:rPr>
      <w:rFonts w:ascii="Arial" w:hAnsi="Arial" w:eastAsia="黑体" w:cs="Arial"/>
      <w:sz w:val="20"/>
      <w:szCs w:val="20"/>
    </w:rPr>
  </w:style>
  <w:style w:type="paragraph" w:styleId="9">
    <w:name w:val="Document Map"/>
    <w:basedOn w:val="1"/>
    <w:link w:val="47"/>
    <w:unhideWhenUsed/>
    <w:qFormat/>
    <w:uiPriority w:val="99"/>
    <w:pPr>
      <w:widowControl/>
      <w:spacing w:line="360" w:lineRule="auto"/>
      <w:jc w:val="left"/>
    </w:pPr>
    <w:rPr>
      <w:rFonts w:ascii="宋体"/>
      <w:color w:val="000000"/>
      <w:sz w:val="18"/>
      <w:szCs w:val="18"/>
    </w:rPr>
  </w:style>
  <w:style w:type="paragraph" w:styleId="10">
    <w:name w:val="annotation text"/>
    <w:basedOn w:val="1"/>
    <w:link w:val="48"/>
    <w:semiHidden/>
    <w:qFormat/>
    <w:uiPriority w:val="99"/>
    <w:pPr>
      <w:jc w:val="left"/>
    </w:pPr>
    <w:rPr>
      <w:kern w:val="0"/>
      <w:sz w:val="24"/>
      <w:szCs w:val="20"/>
    </w:rPr>
  </w:style>
  <w:style w:type="paragraph" w:styleId="11">
    <w:name w:val="Body Text 3"/>
    <w:basedOn w:val="1"/>
    <w:link w:val="49"/>
    <w:unhideWhenUsed/>
    <w:qFormat/>
    <w:uiPriority w:val="99"/>
    <w:pPr>
      <w:widowControl/>
      <w:spacing w:after="120" w:line="360" w:lineRule="auto"/>
      <w:jc w:val="left"/>
    </w:pPr>
    <w:rPr>
      <w:color w:val="000000"/>
      <w:sz w:val="16"/>
      <w:szCs w:val="16"/>
    </w:rPr>
  </w:style>
  <w:style w:type="paragraph" w:styleId="12">
    <w:name w:val="Body Text"/>
    <w:basedOn w:val="1"/>
    <w:next w:val="13"/>
    <w:link w:val="50"/>
    <w:qFormat/>
    <w:uiPriority w:val="99"/>
    <w:pPr>
      <w:widowControl/>
      <w:snapToGrid w:val="0"/>
      <w:spacing w:before="60" w:after="160" w:line="259" w:lineRule="auto"/>
      <w:ind w:right="113"/>
    </w:pPr>
    <w:rPr>
      <w:kern w:val="0"/>
      <w:sz w:val="18"/>
      <w:szCs w:val="20"/>
    </w:rPr>
  </w:style>
  <w:style w:type="paragraph" w:styleId="13">
    <w:name w:val="List Bullet 5"/>
    <w:basedOn w:val="1"/>
    <w:qFormat/>
    <w:uiPriority w:val="0"/>
    <w:pPr>
      <w:numPr>
        <w:ilvl w:val="0"/>
        <w:numId w:val="1"/>
      </w:numPr>
    </w:pPr>
  </w:style>
  <w:style w:type="paragraph" w:styleId="14">
    <w:name w:val="Body Text Indent"/>
    <w:basedOn w:val="1"/>
    <w:next w:val="15"/>
    <w:link w:val="51"/>
    <w:qFormat/>
    <w:uiPriority w:val="99"/>
    <w:pPr>
      <w:spacing w:after="120"/>
      <w:ind w:left="420" w:leftChars="200"/>
    </w:pPr>
    <w:rPr>
      <w:kern w:val="0"/>
      <w:sz w:val="24"/>
      <w:szCs w:val="20"/>
    </w:rPr>
  </w:style>
  <w:style w:type="paragraph" w:styleId="15">
    <w:name w:val="Body Text First Indent"/>
    <w:basedOn w:val="12"/>
    <w:next w:val="16"/>
    <w:link w:val="64"/>
    <w:unhideWhenUsed/>
    <w:qFormat/>
    <w:uiPriority w:val="99"/>
    <w:pPr>
      <w:snapToGrid/>
      <w:spacing w:before="0" w:after="120" w:line="360" w:lineRule="auto"/>
      <w:ind w:right="0" w:firstLine="420" w:firstLineChars="100"/>
      <w:jc w:val="left"/>
    </w:pPr>
    <w:rPr>
      <w:color w:val="000000"/>
      <w:kern w:val="2"/>
      <w:sz w:val="24"/>
      <w:szCs w:val="24"/>
    </w:rPr>
  </w:style>
  <w:style w:type="paragraph" w:styleId="16">
    <w:name w:val="table of figures"/>
    <w:basedOn w:val="1"/>
    <w:next w:val="1"/>
    <w:unhideWhenUsed/>
    <w:qFormat/>
    <w:uiPriority w:val="99"/>
    <w:pPr>
      <w:widowControl/>
      <w:spacing w:before="100" w:beforeAutospacing="1" w:after="100" w:afterAutospacing="1" w:line="360" w:lineRule="auto"/>
      <w:ind w:leftChars="200" w:hanging="200" w:hangingChars="200"/>
      <w:jc w:val="left"/>
    </w:pPr>
    <w:rPr>
      <w:color w:val="000000"/>
      <w:sz w:val="24"/>
    </w:rPr>
  </w:style>
  <w:style w:type="paragraph" w:styleId="17">
    <w:name w:val="Plain Text"/>
    <w:basedOn w:val="1"/>
    <w:link w:val="52"/>
    <w:qFormat/>
    <w:uiPriority w:val="0"/>
    <w:pPr>
      <w:widowControl/>
      <w:jc w:val="left"/>
    </w:pPr>
    <w:rPr>
      <w:rFonts w:ascii="宋体" w:hAnsi="Courier New"/>
      <w:szCs w:val="20"/>
    </w:rPr>
  </w:style>
  <w:style w:type="paragraph" w:styleId="18">
    <w:name w:val="Date"/>
    <w:basedOn w:val="1"/>
    <w:next w:val="1"/>
    <w:link w:val="53"/>
    <w:qFormat/>
    <w:uiPriority w:val="0"/>
    <w:pPr>
      <w:ind w:left="100" w:leftChars="2500"/>
    </w:pPr>
    <w:rPr>
      <w:kern w:val="0"/>
      <w:sz w:val="24"/>
      <w:szCs w:val="20"/>
    </w:rPr>
  </w:style>
  <w:style w:type="paragraph" w:styleId="19">
    <w:name w:val="Body Text Indent 2"/>
    <w:basedOn w:val="1"/>
    <w:link w:val="54"/>
    <w:unhideWhenUsed/>
    <w:qFormat/>
    <w:uiPriority w:val="99"/>
    <w:pPr>
      <w:widowControl/>
      <w:spacing w:after="120" w:line="480" w:lineRule="auto"/>
      <w:ind w:left="420" w:leftChars="200"/>
      <w:jc w:val="left"/>
    </w:pPr>
    <w:rPr>
      <w:color w:val="000000"/>
      <w:sz w:val="24"/>
    </w:rPr>
  </w:style>
  <w:style w:type="paragraph" w:styleId="20">
    <w:name w:val="Balloon Text"/>
    <w:basedOn w:val="1"/>
    <w:link w:val="55"/>
    <w:qFormat/>
    <w:uiPriority w:val="99"/>
    <w:rPr>
      <w:kern w:val="0"/>
      <w:sz w:val="18"/>
      <w:szCs w:val="20"/>
    </w:rPr>
  </w:style>
  <w:style w:type="paragraph" w:styleId="21">
    <w:name w:val="footer"/>
    <w:basedOn w:val="1"/>
    <w:link w:val="56"/>
    <w:qFormat/>
    <w:uiPriority w:val="99"/>
    <w:pPr>
      <w:tabs>
        <w:tab w:val="center" w:pos="4153"/>
        <w:tab w:val="right" w:pos="8306"/>
      </w:tabs>
      <w:snapToGrid w:val="0"/>
      <w:jc w:val="left"/>
    </w:pPr>
    <w:rPr>
      <w:kern w:val="0"/>
      <w:sz w:val="18"/>
      <w:szCs w:val="20"/>
    </w:rPr>
  </w:style>
  <w:style w:type="paragraph" w:styleId="22">
    <w:name w:val="header"/>
    <w:basedOn w:val="1"/>
    <w:link w:val="57"/>
    <w:qFormat/>
    <w:uiPriority w:val="99"/>
    <w:pPr>
      <w:pBdr>
        <w:bottom w:val="single" w:color="auto" w:sz="6" w:space="1"/>
      </w:pBdr>
      <w:tabs>
        <w:tab w:val="center" w:pos="4153"/>
        <w:tab w:val="right" w:pos="8306"/>
      </w:tabs>
      <w:snapToGrid w:val="0"/>
      <w:jc w:val="center"/>
    </w:pPr>
    <w:rPr>
      <w:kern w:val="0"/>
      <w:sz w:val="18"/>
      <w:szCs w:val="20"/>
    </w:rPr>
  </w:style>
  <w:style w:type="paragraph" w:styleId="23">
    <w:name w:val="List"/>
    <w:basedOn w:val="1"/>
    <w:unhideWhenUsed/>
    <w:qFormat/>
    <w:uiPriority w:val="99"/>
    <w:pPr>
      <w:widowControl/>
      <w:spacing w:line="320" w:lineRule="exact"/>
      <w:jc w:val="center"/>
    </w:pPr>
    <w:rPr>
      <w:color w:val="000000"/>
      <w:sz w:val="22"/>
      <w:szCs w:val="22"/>
    </w:rPr>
  </w:style>
  <w:style w:type="paragraph" w:styleId="24">
    <w:name w:val="Body Text Indent 3"/>
    <w:basedOn w:val="1"/>
    <w:link w:val="58"/>
    <w:unhideWhenUsed/>
    <w:qFormat/>
    <w:uiPriority w:val="99"/>
    <w:pPr>
      <w:widowControl/>
      <w:spacing w:after="120" w:line="360" w:lineRule="auto"/>
      <w:ind w:left="420" w:leftChars="200"/>
      <w:jc w:val="left"/>
    </w:pPr>
    <w:rPr>
      <w:color w:val="000000"/>
      <w:sz w:val="16"/>
      <w:szCs w:val="16"/>
    </w:rPr>
  </w:style>
  <w:style w:type="paragraph" w:styleId="25">
    <w:name w:val="Body Text 2"/>
    <w:basedOn w:val="1"/>
    <w:link w:val="59"/>
    <w:unhideWhenUsed/>
    <w:qFormat/>
    <w:uiPriority w:val="99"/>
    <w:pPr>
      <w:widowControl/>
      <w:spacing w:after="120" w:line="480" w:lineRule="auto"/>
      <w:jc w:val="left"/>
    </w:pPr>
    <w:rPr>
      <w:color w:val="000000"/>
      <w:sz w:val="24"/>
    </w:rPr>
  </w:style>
  <w:style w:type="paragraph" w:styleId="26">
    <w:name w:val="HTML Preformatted"/>
    <w:basedOn w:val="1"/>
    <w:link w:val="6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7">
    <w:name w:val="Normal (Web)"/>
    <w:basedOn w:val="1"/>
    <w:link w:val="61"/>
    <w:qFormat/>
    <w:uiPriority w:val="0"/>
    <w:pPr>
      <w:widowControl/>
      <w:spacing w:before="100" w:beforeAutospacing="1" w:after="100" w:afterAutospacing="1"/>
      <w:jc w:val="left"/>
    </w:pPr>
    <w:rPr>
      <w:rFonts w:ascii="宋体" w:hAnsi="宋体"/>
      <w:kern w:val="0"/>
      <w:sz w:val="24"/>
      <w:szCs w:val="20"/>
    </w:rPr>
  </w:style>
  <w:style w:type="paragraph" w:styleId="28">
    <w:name w:val="Title"/>
    <w:basedOn w:val="1"/>
    <w:next w:val="1"/>
    <w:link w:val="62"/>
    <w:qFormat/>
    <w:uiPriority w:val="10"/>
    <w:pPr>
      <w:widowControl/>
      <w:spacing w:before="240" w:after="60" w:line="360" w:lineRule="auto"/>
      <w:jc w:val="center"/>
      <w:outlineLvl w:val="0"/>
    </w:pPr>
    <w:rPr>
      <w:rFonts w:ascii="Cambria" w:hAnsi="Cambria"/>
      <w:b/>
      <w:bCs/>
      <w:color w:val="000000"/>
      <w:sz w:val="32"/>
      <w:szCs w:val="32"/>
    </w:rPr>
  </w:style>
  <w:style w:type="paragraph" w:styleId="29">
    <w:name w:val="annotation subject"/>
    <w:basedOn w:val="10"/>
    <w:next w:val="10"/>
    <w:link w:val="63"/>
    <w:semiHidden/>
    <w:qFormat/>
    <w:uiPriority w:val="0"/>
    <w:rPr>
      <w:b/>
      <w:sz w:val="24"/>
      <w:szCs w:val="20"/>
    </w:r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b/>
      <w:bCs/>
    </w:rPr>
  </w:style>
  <w:style w:type="character" w:styleId="34">
    <w:name w:val="page number"/>
    <w:basedOn w:val="32"/>
    <w:qFormat/>
    <w:uiPriority w:val="0"/>
  </w:style>
  <w:style w:type="character" w:styleId="35">
    <w:name w:val="FollowedHyperlink"/>
    <w:unhideWhenUsed/>
    <w:qFormat/>
    <w:uiPriority w:val="99"/>
    <w:rPr>
      <w:color w:val="800080"/>
      <w:u w:val="single"/>
    </w:rPr>
  </w:style>
  <w:style w:type="character" w:styleId="36">
    <w:name w:val="Emphasis"/>
    <w:qFormat/>
    <w:uiPriority w:val="20"/>
    <w:rPr>
      <w:i/>
      <w:iCs/>
    </w:rPr>
  </w:style>
  <w:style w:type="character" w:styleId="37">
    <w:name w:val="Hyperlink"/>
    <w:unhideWhenUsed/>
    <w:qFormat/>
    <w:uiPriority w:val="99"/>
    <w:rPr>
      <w:color w:val="0000FF"/>
      <w:u w:val="single"/>
    </w:rPr>
  </w:style>
  <w:style w:type="character" w:styleId="38">
    <w:name w:val="annotation reference"/>
    <w:qFormat/>
    <w:uiPriority w:val="99"/>
    <w:rPr>
      <w:sz w:val="21"/>
    </w:rPr>
  </w:style>
  <w:style w:type="paragraph" w:customStyle="1" w:styleId="39">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40">
    <w:name w:val="正文部分"/>
    <w:basedOn w:val="1"/>
    <w:qFormat/>
    <w:uiPriority w:val="0"/>
    <w:pPr>
      <w:adjustRightInd w:val="0"/>
      <w:snapToGrid w:val="0"/>
      <w:spacing w:line="460" w:lineRule="exact"/>
      <w:textAlignment w:val="baseline"/>
    </w:pPr>
    <w:rPr>
      <w:rFonts w:ascii="宋体" w:cs="仿宋_GB2312"/>
      <w:kern w:val="0"/>
      <w:sz w:val="30"/>
      <w:szCs w:val="30"/>
    </w:rPr>
  </w:style>
  <w:style w:type="character" w:customStyle="1" w:styleId="41">
    <w:name w:val="正文缩进 字符"/>
    <w:link w:val="7"/>
    <w:qFormat/>
    <w:uiPriority w:val="0"/>
    <w:rPr>
      <w:kern w:val="2"/>
      <w:sz w:val="21"/>
    </w:rPr>
  </w:style>
  <w:style w:type="character" w:customStyle="1" w:styleId="42">
    <w:name w:val="标题 1 字符"/>
    <w:link w:val="3"/>
    <w:qFormat/>
    <w:uiPriority w:val="99"/>
    <w:rPr>
      <w:rFonts w:eastAsia="黑体"/>
      <w:b/>
      <w:bCs/>
      <w:color w:val="000000"/>
      <w:kern w:val="44"/>
      <w:sz w:val="30"/>
      <w:szCs w:val="30"/>
    </w:rPr>
  </w:style>
  <w:style w:type="character" w:customStyle="1" w:styleId="43">
    <w:name w:val="标题 2 字符"/>
    <w:link w:val="4"/>
    <w:qFormat/>
    <w:uiPriority w:val="99"/>
    <w:rPr>
      <w:rFonts w:ascii="等线 Light" w:hAnsi="等线 Light" w:eastAsia="等线 Light" w:cs="Times New Roman"/>
      <w:b/>
      <w:bCs/>
      <w:kern w:val="2"/>
      <w:sz w:val="32"/>
      <w:szCs w:val="32"/>
    </w:rPr>
  </w:style>
  <w:style w:type="character" w:customStyle="1" w:styleId="44">
    <w:name w:val="标题 3 字符"/>
    <w:link w:val="5"/>
    <w:qFormat/>
    <w:uiPriority w:val="99"/>
    <w:rPr>
      <w:b/>
      <w:bCs/>
      <w:color w:val="000000"/>
      <w:sz w:val="24"/>
      <w:szCs w:val="24"/>
    </w:rPr>
  </w:style>
  <w:style w:type="character" w:customStyle="1" w:styleId="45">
    <w:name w:val="标题 4 字符"/>
    <w:link w:val="6"/>
    <w:qFormat/>
    <w:uiPriority w:val="9"/>
    <w:rPr>
      <w:rFonts w:ascii="Cambria" w:hAnsi="Cambria"/>
      <w:b/>
      <w:bCs/>
      <w:color w:val="000000"/>
      <w:kern w:val="2"/>
      <w:sz w:val="28"/>
      <w:szCs w:val="28"/>
    </w:rPr>
  </w:style>
  <w:style w:type="character" w:customStyle="1" w:styleId="46">
    <w:name w:val="题注 字符"/>
    <w:link w:val="8"/>
    <w:qFormat/>
    <w:uiPriority w:val="0"/>
    <w:rPr>
      <w:rFonts w:ascii="Arial" w:hAnsi="Arial" w:eastAsia="黑体" w:cs="Arial"/>
      <w:kern w:val="2"/>
    </w:rPr>
  </w:style>
  <w:style w:type="character" w:customStyle="1" w:styleId="47">
    <w:name w:val="文档结构图 字符"/>
    <w:link w:val="9"/>
    <w:qFormat/>
    <w:uiPriority w:val="99"/>
    <w:rPr>
      <w:rFonts w:ascii="宋体"/>
      <w:color w:val="000000"/>
      <w:kern w:val="2"/>
      <w:sz w:val="18"/>
      <w:szCs w:val="18"/>
    </w:rPr>
  </w:style>
  <w:style w:type="character" w:customStyle="1" w:styleId="48">
    <w:name w:val="批注文字 字符"/>
    <w:link w:val="10"/>
    <w:qFormat/>
    <w:uiPriority w:val="99"/>
    <w:rPr>
      <w:rFonts w:ascii="Times New Roman" w:hAnsi="Times New Roman" w:eastAsia="宋体"/>
      <w:sz w:val="24"/>
    </w:rPr>
  </w:style>
  <w:style w:type="character" w:customStyle="1" w:styleId="49">
    <w:name w:val="正文文本 3 字符"/>
    <w:link w:val="11"/>
    <w:qFormat/>
    <w:uiPriority w:val="99"/>
    <w:rPr>
      <w:color w:val="000000"/>
      <w:kern w:val="2"/>
      <w:sz w:val="16"/>
      <w:szCs w:val="16"/>
    </w:rPr>
  </w:style>
  <w:style w:type="character" w:customStyle="1" w:styleId="50">
    <w:name w:val="正文文本 字符"/>
    <w:link w:val="12"/>
    <w:qFormat/>
    <w:uiPriority w:val="99"/>
    <w:rPr>
      <w:sz w:val="18"/>
    </w:rPr>
  </w:style>
  <w:style w:type="character" w:customStyle="1" w:styleId="51">
    <w:name w:val="正文文本缩进 字符"/>
    <w:link w:val="14"/>
    <w:qFormat/>
    <w:uiPriority w:val="99"/>
    <w:rPr>
      <w:rFonts w:ascii="Times New Roman" w:hAnsi="Times New Roman" w:eastAsia="宋体"/>
      <w:sz w:val="24"/>
    </w:rPr>
  </w:style>
  <w:style w:type="character" w:customStyle="1" w:styleId="52">
    <w:name w:val="纯文本 字符"/>
    <w:link w:val="17"/>
    <w:qFormat/>
    <w:uiPriority w:val="0"/>
    <w:rPr>
      <w:rFonts w:ascii="宋体" w:hAnsi="Courier New"/>
      <w:kern w:val="2"/>
      <w:sz w:val="21"/>
    </w:rPr>
  </w:style>
  <w:style w:type="character" w:customStyle="1" w:styleId="53">
    <w:name w:val="日期 字符1"/>
    <w:link w:val="18"/>
    <w:qFormat/>
    <w:uiPriority w:val="99"/>
    <w:rPr>
      <w:rFonts w:ascii="Times New Roman" w:hAnsi="Times New Roman" w:eastAsia="宋体"/>
      <w:sz w:val="24"/>
    </w:rPr>
  </w:style>
  <w:style w:type="character" w:customStyle="1" w:styleId="54">
    <w:name w:val="正文文本缩进 2 字符"/>
    <w:link w:val="19"/>
    <w:qFormat/>
    <w:uiPriority w:val="99"/>
    <w:rPr>
      <w:color w:val="000000"/>
      <w:kern w:val="2"/>
      <w:sz w:val="24"/>
      <w:szCs w:val="24"/>
    </w:rPr>
  </w:style>
  <w:style w:type="character" w:customStyle="1" w:styleId="55">
    <w:name w:val="批注框文本 字符"/>
    <w:link w:val="20"/>
    <w:semiHidden/>
    <w:qFormat/>
    <w:uiPriority w:val="99"/>
    <w:rPr>
      <w:rFonts w:ascii="Times New Roman" w:hAnsi="Times New Roman" w:eastAsia="宋体"/>
      <w:sz w:val="18"/>
    </w:rPr>
  </w:style>
  <w:style w:type="character" w:customStyle="1" w:styleId="56">
    <w:name w:val="页脚 字符1"/>
    <w:link w:val="21"/>
    <w:qFormat/>
    <w:uiPriority w:val="99"/>
    <w:rPr>
      <w:sz w:val="18"/>
    </w:rPr>
  </w:style>
  <w:style w:type="character" w:customStyle="1" w:styleId="57">
    <w:name w:val="页眉 字符"/>
    <w:link w:val="22"/>
    <w:qFormat/>
    <w:uiPriority w:val="99"/>
    <w:rPr>
      <w:sz w:val="18"/>
    </w:rPr>
  </w:style>
  <w:style w:type="character" w:customStyle="1" w:styleId="58">
    <w:name w:val="正文文本缩进 3 字符"/>
    <w:link w:val="24"/>
    <w:qFormat/>
    <w:uiPriority w:val="99"/>
    <w:rPr>
      <w:color w:val="000000"/>
      <w:kern w:val="2"/>
      <w:sz w:val="16"/>
      <w:szCs w:val="16"/>
    </w:rPr>
  </w:style>
  <w:style w:type="character" w:customStyle="1" w:styleId="59">
    <w:name w:val="正文文本 2 字符"/>
    <w:link w:val="25"/>
    <w:qFormat/>
    <w:uiPriority w:val="99"/>
    <w:rPr>
      <w:color w:val="000000"/>
      <w:kern w:val="2"/>
      <w:sz w:val="24"/>
      <w:szCs w:val="24"/>
    </w:rPr>
  </w:style>
  <w:style w:type="character" w:customStyle="1" w:styleId="60">
    <w:name w:val="HTML 预设格式 字符"/>
    <w:link w:val="26"/>
    <w:qFormat/>
    <w:uiPriority w:val="99"/>
    <w:rPr>
      <w:rFonts w:ascii="宋体" w:hAnsi="宋体" w:cs="宋体"/>
      <w:sz w:val="24"/>
      <w:szCs w:val="24"/>
    </w:rPr>
  </w:style>
  <w:style w:type="character" w:customStyle="1" w:styleId="61">
    <w:name w:val="普通(网站) 字符"/>
    <w:link w:val="27"/>
    <w:qFormat/>
    <w:uiPriority w:val="0"/>
    <w:rPr>
      <w:rFonts w:ascii="宋体" w:hAnsi="宋体" w:eastAsia="宋体"/>
      <w:sz w:val="24"/>
    </w:rPr>
  </w:style>
  <w:style w:type="character" w:customStyle="1" w:styleId="62">
    <w:name w:val="标题 字符"/>
    <w:link w:val="28"/>
    <w:qFormat/>
    <w:uiPriority w:val="10"/>
    <w:rPr>
      <w:rFonts w:ascii="Cambria" w:hAnsi="Cambria"/>
      <w:b/>
      <w:bCs/>
      <w:color w:val="000000"/>
      <w:kern w:val="2"/>
      <w:sz w:val="32"/>
      <w:szCs w:val="32"/>
    </w:rPr>
  </w:style>
  <w:style w:type="character" w:customStyle="1" w:styleId="63">
    <w:name w:val="批注主题 字符"/>
    <w:link w:val="29"/>
    <w:semiHidden/>
    <w:qFormat/>
    <w:uiPriority w:val="0"/>
    <w:rPr>
      <w:rFonts w:ascii="Times New Roman" w:hAnsi="Times New Roman" w:eastAsia="宋体"/>
      <w:b/>
      <w:kern w:val="2"/>
      <w:sz w:val="24"/>
    </w:rPr>
  </w:style>
  <w:style w:type="character" w:customStyle="1" w:styleId="64">
    <w:name w:val="正文文本首行缩进 字符"/>
    <w:link w:val="15"/>
    <w:qFormat/>
    <w:uiPriority w:val="99"/>
    <w:rPr>
      <w:color w:val="000000"/>
      <w:kern w:val="2"/>
      <w:sz w:val="24"/>
      <w:szCs w:val="24"/>
    </w:rPr>
  </w:style>
  <w:style w:type="character" w:customStyle="1" w:styleId="65">
    <w:name w:val="正文文本首行缩进 2 字符"/>
    <w:link w:val="2"/>
    <w:qFormat/>
    <w:uiPriority w:val="0"/>
    <w:rPr>
      <w:rFonts w:ascii="Times New Roman" w:hAnsi="Times New Roman" w:eastAsia="宋体"/>
      <w:kern w:val="2"/>
      <w:sz w:val="21"/>
      <w:szCs w:val="24"/>
    </w:rPr>
  </w:style>
  <w:style w:type="paragraph" w:customStyle="1" w:styleId="66">
    <w:name w:val="表格1"/>
    <w:basedOn w:val="1"/>
    <w:semiHidden/>
    <w:qFormat/>
    <w:uiPriority w:val="0"/>
    <w:pPr>
      <w:adjustRightInd w:val="0"/>
      <w:snapToGrid w:val="0"/>
      <w:spacing w:line="360" w:lineRule="auto"/>
      <w:jc w:val="center"/>
    </w:pPr>
    <w:rPr>
      <w:rFonts w:ascii="黑体" w:hAnsi="宋体" w:eastAsia="黑体"/>
      <w:szCs w:val="21"/>
    </w:rPr>
  </w:style>
  <w:style w:type="character" w:customStyle="1" w:styleId="67">
    <w:name w:val="批注文字 字符1"/>
    <w:semiHidden/>
    <w:qFormat/>
    <w:uiPriority w:val="0"/>
    <w:rPr>
      <w:rFonts w:ascii="Times New Roman" w:hAnsi="Times New Roman" w:eastAsia="宋体"/>
      <w:sz w:val="24"/>
    </w:rPr>
  </w:style>
  <w:style w:type="character" w:customStyle="1" w:styleId="68">
    <w:name w:val="日期 字符"/>
    <w:qFormat/>
    <w:uiPriority w:val="0"/>
    <w:rPr>
      <w:rFonts w:ascii="Times New Roman" w:hAnsi="Times New Roman" w:eastAsia="宋体"/>
      <w:sz w:val="24"/>
    </w:rPr>
  </w:style>
  <w:style w:type="character" w:customStyle="1" w:styleId="69">
    <w:name w:val="页脚 字符"/>
    <w:basedOn w:val="32"/>
    <w:qFormat/>
    <w:uiPriority w:val="99"/>
  </w:style>
  <w:style w:type="character" w:customStyle="1" w:styleId="70">
    <w:name w:val="表格 Char"/>
    <w:link w:val="71"/>
    <w:qFormat/>
    <w:uiPriority w:val="0"/>
    <w:rPr>
      <w:rFonts w:ascii="宋体"/>
      <w:sz w:val="21"/>
    </w:rPr>
  </w:style>
  <w:style w:type="paragraph" w:customStyle="1" w:styleId="71">
    <w:name w:val="表格"/>
    <w:basedOn w:val="1"/>
    <w:next w:val="1"/>
    <w:link w:val="70"/>
    <w:qFormat/>
    <w:uiPriority w:val="0"/>
    <w:pPr>
      <w:adjustRightInd w:val="0"/>
      <w:snapToGrid w:val="0"/>
      <w:spacing w:beforeLines="10" w:afterLines="10" w:line="259" w:lineRule="auto"/>
      <w:jc w:val="center"/>
    </w:pPr>
    <w:rPr>
      <w:rFonts w:ascii="宋体"/>
      <w:kern w:val="0"/>
      <w:szCs w:val="20"/>
    </w:rPr>
  </w:style>
  <w:style w:type="character" w:customStyle="1" w:styleId="72">
    <w:name w:val="正文文本 字符1"/>
    <w:semiHidden/>
    <w:qFormat/>
    <w:uiPriority w:val="0"/>
    <w:rPr>
      <w:rFonts w:ascii="Times New Roman" w:hAnsi="Times New Roman" w:eastAsia="宋体"/>
      <w:sz w:val="24"/>
    </w:rPr>
  </w:style>
  <w:style w:type="paragraph" w:customStyle="1" w:styleId="7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5">
    <w:name w:val="Normal"/>
    <w:qFormat/>
    <w:uiPriority w:val="0"/>
    <w:pPr>
      <w:jc w:val="both"/>
    </w:pPr>
    <w:rPr>
      <w:rFonts w:ascii="Times New Roman" w:hAnsi="Times New Roman" w:eastAsia="宋体" w:cs="Times New Roman"/>
      <w:kern w:val="2"/>
      <w:sz w:val="21"/>
      <w:szCs w:val="21"/>
      <w:lang w:val="en-US" w:eastAsia="zh-CN" w:bidi="ar-SA"/>
    </w:rPr>
  </w:style>
  <w:style w:type="character" w:customStyle="1" w:styleId="76">
    <w:name w:val="Body text (2)_"/>
    <w:link w:val="77"/>
    <w:qFormat/>
    <w:uiPriority w:val="0"/>
    <w:rPr>
      <w:rFonts w:eastAsia="Times New Roman"/>
      <w:sz w:val="26"/>
      <w:szCs w:val="26"/>
      <w:shd w:val="clear" w:color="auto" w:fill="FFFFFF"/>
    </w:rPr>
  </w:style>
  <w:style w:type="paragraph" w:customStyle="1" w:styleId="77">
    <w:name w:val="Body text (2)"/>
    <w:basedOn w:val="1"/>
    <w:link w:val="76"/>
    <w:qFormat/>
    <w:uiPriority w:val="0"/>
    <w:pPr>
      <w:shd w:val="clear" w:color="auto" w:fill="FFFFFF"/>
      <w:spacing w:line="503" w:lineRule="exact"/>
      <w:jc w:val="distribute"/>
    </w:pPr>
    <w:rPr>
      <w:rFonts w:eastAsia="Times New Roman"/>
      <w:kern w:val="0"/>
      <w:sz w:val="26"/>
      <w:szCs w:val="26"/>
    </w:rPr>
  </w:style>
  <w:style w:type="paragraph" w:customStyle="1" w:styleId="78">
    <w:name w:val="Body text (2)1"/>
    <w:basedOn w:val="1"/>
    <w:qFormat/>
    <w:uiPriority w:val="0"/>
    <w:pPr>
      <w:shd w:val="clear" w:color="auto" w:fill="FFFFFF"/>
      <w:spacing w:line="240" w:lineRule="atLeast"/>
      <w:jc w:val="left"/>
    </w:pPr>
    <w:rPr>
      <w:rFonts w:ascii="宋体" w:hAnsi="宋体" w:eastAsia="MingLiU" w:cs="宋体"/>
      <w:kern w:val="0"/>
      <w:sz w:val="26"/>
      <w:szCs w:val="26"/>
    </w:rPr>
  </w:style>
  <w:style w:type="paragraph" w:customStyle="1" w:styleId="79">
    <w:name w:val="样式 小四 行距: 1.5 倍行距 首行缩进:  2 字符"/>
    <w:basedOn w:val="1"/>
    <w:qFormat/>
    <w:uiPriority w:val="0"/>
    <w:pPr>
      <w:spacing w:line="360" w:lineRule="auto"/>
      <w:ind w:firstLine="200" w:firstLineChars="200"/>
      <w:jc w:val="left"/>
    </w:pPr>
    <w:rPr>
      <w:rFonts w:cs="宋体"/>
      <w:sz w:val="24"/>
      <w:szCs w:val="20"/>
    </w:rPr>
  </w:style>
  <w:style w:type="character" w:customStyle="1" w:styleId="80">
    <w:name w:val="纯文本 Char2"/>
    <w:qFormat/>
    <w:uiPriority w:val="0"/>
    <w:rPr>
      <w:rFonts w:ascii="宋体" w:hAnsi="Courier New" w:eastAsia="宋体"/>
      <w:kern w:val="2"/>
      <w:sz w:val="21"/>
      <w:lang w:val="en-US" w:eastAsia="zh-CN" w:bidi="ar-SA"/>
    </w:rPr>
  </w:style>
  <w:style w:type="character" w:customStyle="1" w:styleId="81">
    <w:name w:val="正文01 Char"/>
    <w:link w:val="82"/>
    <w:qFormat/>
    <w:uiPriority w:val="0"/>
    <w:rPr>
      <w:color w:val="000000"/>
      <w:kern w:val="2"/>
      <w:sz w:val="24"/>
      <w:szCs w:val="24"/>
    </w:rPr>
  </w:style>
  <w:style w:type="paragraph" w:customStyle="1" w:styleId="82">
    <w:name w:val="正文01"/>
    <w:basedOn w:val="1"/>
    <w:link w:val="81"/>
    <w:qFormat/>
    <w:uiPriority w:val="0"/>
    <w:pPr>
      <w:widowControl/>
      <w:spacing w:before="60" w:after="100" w:afterAutospacing="1" w:line="460" w:lineRule="exact"/>
      <w:ind w:firstLine="200"/>
      <w:jc w:val="left"/>
    </w:pPr>
    <w:rPr>
      <w:color w:val="000000"/>
      <w:sz w:val="24"/>
    </w:rPr>
  </w:style>
  <w:style w:type="character" w:customStyle="1" w:styleId="83">
    <w:name w:val="15"/>
    <w:qFormat/>
    <w:uiPriority w:val="0"/>
    <w:rPr>
      <w:rFonts w:hint="default" w:ascii="Times New Roman" w:hAnsi="Times New Roman" w:cs="Times New Roman"/>
    </w:rPr>
  </w:style>
  <w:style w:type="character" w:customStyle="1" w:styleId="84">
    <w:name w:val="表格 Char Char"/>
    <w:qFormat/>
    <w:uiPriority w:val="0"/>
    <w:rPr>
      <w:rFonts w:eastAsia="宋体"/>
      <w:sz w:val="21"/>
      <w:lang w:val="en-US" w:eastAsia="zh-CN" w:bidi="ar-SA"/>
    </w:rPr>
  </w:style>
  <w:style w:type="character" w:customStyle="1" w:styleId="85">
    <w:name w:val="10"/>
    <w:qFormat/>
    <w:uiPriority w:val="0"/>
    <w:rPr>
      <w:rFonts w:hint="default" w:ascii="Times New Roman" w:hAnsi="Times New Roman" w:cs="Times New Roman"/>
    </w:rPr>
  </w:style>
  <w:style w:type="character" w:customStyle="1" w:styleId="86">
    <w:name w:val="批注文字 Char1"/>
    <w:semiHidden/>
    <w:qFormat/>
    <w:uiPriority w:val="99"/>
    <w:rPr>
      <w:rFonts w:ascii="Times New Roman" w:hAnsi="Times New Roman"/>
      <w:color w:val="000000"/>
      <w:kern w:val="2"/>
      <w:sz w:val="24"/>
      <w:szCs w:val="24"/>
    </w:rPr>
  </w:style>
  <w:style w:type="character" w:customStyle="1" w:styleId="87">
    <w:name w:val="18"/>
    <w:qFormat/>
    <w:uiPriority w:val="0"/>
    <w:rPr>
      <w:rFonts w:ascii="MingLiU" w:hAnsi="MingLiU" w:eastAsia="MingLiU" w:cs="Times New Roman"/>
      <w:spacing w:val="30"/>
      <w:sz w:val="26"/>
      <w:szCs w:val="26"/>
    </w:rPr>
  </w:style>
  <w:style w:type="character" w:customStyle="1" w:styleId="88">
    <w:name w:val="apple-converted-space"/>
    <w:qFormat/>
    <w:uiPriority w:val="0"/>
  </w:style>
  <w:style w:type="character" w:customStyle="1" w:styleId="89">
    <w:name w:val="表格 32 Char"/>
    <w:link w:val="90"/>
    <w:qFormat/>
    <w:uiPriority w:val="0"/>
    <w:rPr>
      <w:sz w:val="24"/>
    </w:rPr>
  </w:style>
  <w:style w:type="paragraph" w:customStyle="1" w:styleId="90">
    <w:name w:val="表格 32"/>
    <w:basedOn w:val="1"/>
    <w:link w:val="89"/>
    <w:qFormat/>
    <w:uiPriority w:val="0"/>
    <w:pPr>
      <w:autoSpaceDE w:val="0"/>
      <w:autoSpaceDN w:val="0"/>
      <w:adjustRightInd w:val="0"/>
      <w:spacing w:line="0" w:lineRule="atLeast"/>
      <w:ind w:firstLine="200" w:firstLineChars="200"/>
      <w:jc w:val="center"/>
      <w:textAlignment w:val="baseline"/>
    </w:pPr>
    <w:rPr>
      <w:kern w:val="0"/>
      <w:sz w:val="24"/>
      <w:szCs w:val="20"/>
    </w:rPr>
  </w:style>
  <w:style w:type="character" w:customStyle="1" w:styleId="91">
    <w:name w:val="纯文本 Char1"/>
    <w:semiHidden/>
    <w:qFormat/>
    <w:uiPriority w:val="99"/>
    <w:rPr>
      <w:rFonts w:ascii="宋体" w:hAnsi="Courier New" w:cs="Courier New"/>
      <w:color w:val="000000"/>
      <w:kern w:val="2"/>
      <w:sz w:val="21"/>
      <w:szCs w:val="21"/>
    </w:rPr>
  </w:style>
  <w:style w:type="character" w:customStyle="1" w:styleId="92">
    <w:name w:val="表格文字 Char"/>
    <w:link w:val="93"/>
    <w:qFormat/>
    <w:uiPriority w:val="0"/>
    <w:rPr>
      <w:rFonts w:ascii="Arial" w:hAnsi="Arial" w:cs="Arial"/>
      <w:color w:val="000000"/>
      <w:spacing w:val="-20"/>
      <w:kern w:val="2"/>
      <w:sz w:val="24"/>
    </w:rPr>
  </w:style>
  <w:style w:type="paragraph" w:customStyle="1" w:styleId="93">
    <w:name w:val="表格文字"/>
    <w:basedOn w:val="1"/>
    <w:link w:val="92"/>
    <w:qFormat/>
    <w:uiPriority w:val="0"/>
    <w:pPr>
      <w:adjustRightInd w:val="0"/>
      <w:snapToGrid w:val="0"/>
      <w:jc w:val="center"/>
    </w:pPr>
    <w:rPr>
      <w:rFonts w:ascii="Arial" w:hAnsi="Arial" w:cs="Arial"/>
      <w:color w:val="000000"/>
      <w:spacing w:val="-20"/>
      <w:sz w:val="24"/>
      <w:szCs w:val="20"/>
    </w:rPr>
  </w:style>
  <w:style w:type="character" w:customStyle="1" w:styleId="94">
    <w:name w:val="【表中文字】 Char"/>
    <w:link w:val="95"/>
    <w:qFormat/>
    <w:uiPriority w:val="0"/>
    <w:rPr>
      <w:kern w:val="2"/>
      <w:sz w:val="21"/>
    </w:rPr>
  </w:style>
  <w:style w:type="paragraph" w:customStyle="1" w:styleId="95">
    <w:name w:val="【表中文字】"/>
    <w:basedOn w:val="1"/>
    <w:next w:val="1"/>
    <w:link w:val="94"/>
    <w:qFormat/>
    <w:uiPriority w:val="0"/>
    <w:pPr>
      <w:jc w:val="center"/>
    </w:pPr>
    <w:rPr>
      <w:szCs w:val="20"/>
    </w:rPr>
  </w:style>
  <w:style w:type="character" w:customStyle="1" w:styleId="96">
    <w:name w:val="表格数字 Char"/>
    <w:link w:val="97"/>
    <w:qFormat/>
    <w:uiPriority w:val="0"/>
    <w:rPr>
      <w:rFonts w:ascii="Arial" w:hAnsi="Arial" w:cs="宋体"/>
      <w:sz w:val="21"/>
    </w:rPr>
  </w:style>
  <w:style w:type="paragraph" w:customStyle="1" w:styleId="97">
    <w:name w:val="表格数字"/>
    <w:basedOn w:val="1"/>
    <w:link w:val="96"/>
    <w:qFormat/>
    <w:uiPriority w:val="0"/>
    <w:pPr>
      <w:widowControl/>
      <w:spacing w:line="360" w:lineRule="exact"/>
      <w:jc w:val="center"/>
    </w:pPr>
    <w:rPr>
      <w:rFonts w:ascii="Arial" w:hAnsi="Arial" w:cs="宋体"/>
      <w:kern w:val="0"/>
      <w:szCs w:val="20"/>
    </w:rPr>
  </w:style>
  <w:style w:type="character" w:customStyle="1" w:styleId="98">
    <w:name w:val="表格正文 Char"/>
    <w:link w:val="99"/>
    <w:qFormat/>
    <w:uiPriority w:val="0"/>
    <w:rPr>
      <w:rFonts w:ascii="Arial" w:hAnsi="Arial"/>
      <w:color w:val="000000"/>
      <w:kern w:val="2"/>
      <w:sz w:val="21"/>
      <w:szCs w:val="21"/>
    </w:rPr>
  </w:style>
  <w:style w:type="paragraph" w:customStyle="1" w:styleId="99">
    <w:name w:val="表格正文"/>
    <w:basedOn w:val="1"/>
    <w:link w:val="98"/>
    <w:semiHidden/>
    <w:qFormat/>
    <w:uiPriority w:val="0"/>
    <w:pPr>
      <w:widowControl/>
      <w:spacing w:line="360" w:lineRule="exact"/>
      <w:jc w:val="center"/>
    </w:pPr>
    <w:rPr>
      <w:rFonts w:ascii="Arial" w:hAnsi="Arial"/>
      <w:color w:val="000000"/>
      <w:szCs w:val="21"/>
    </w:rPr>
  </w:style>
  <w:style w:type="paragraph" w:customStyle="1" w:styleId="100">
    <w:name w:val="表1表2"/>
    <w:basedOn w:val="1"/>
    <w:qFormat/>
    <w:uiPriority w:val="0"/>
    <w:pPr>
      <w:widowControl/>
      <w:autoSpaceDE w:val="0"/>
      <w:autoSpaceDN w:val="0"/>
      <w:adjustRightInd w:val="0"/>
      <w:spacing w:line="360" w:lineRule="auto"/>
      <w:jc w:val="center"/>
      <w:textAlignment w:val="center"/>
    </w:pPr>
    <w:rPr>
      <w:rFonts w:eastAsia="仿宋体"/>
      <w:color w:val="000000"/>
      <w:kern w:val="0"/>
      <w:sz w:val="24"/>
    </w:rPr>
  </w:style>
  <w:style w:type="paragraph" w:customStyle="1" w:styleId="101">
    <w:name w:val="正文格式"/>
    <w:basedOn w:val="1"/>
    <w:qFormat/>
    <w:uiPriority w:val="0"/>
    <w:pPr>
      <w:spacing w:line="360" w:lineRule="auto"/>
      <w:ind w:firstLine="544" w:firstLineChars="200"/>
    </w:pPr>
    <w:rPr>
      <w:rFonts w:ascii="Calibri" w:hAnsi="Calibri"/>
      <w:sz w:val="24"/>
    </w:rPr>
  </w:style>
  <w:style w:type="character" w:customStyle="1" w:styleId="102">
    <w:name w:val="HTML 预设格式 字符1"/>
    <w:qFormat/>
    <w:uiPriority w:val="0"/>
    <w:rPr>
      <w:rFonts w:ascii="Courier New" w:hAnsi="Courier New" w:cs="Courier New"/>
      <w:kern w:val="2"/>
    </w:rPr>
  </w:style>
  <w:style w:type="character" w:customStyle="1" w:styleId="103">
    <w:name w:val="正文文本首行缩进 字符1"/>
    <w:qFormat/>
    <w:uiPriority w:val="0"/>
    <w:rPr>
      <w:kern w:val="2"/>
      <w:sz w:val="21"/>
      <w:szCs w:val="24"/>
    </w:rPr>
  </w:style>
  <w:style w:type="character" w:customStyle="1" w:styleId="104">
    <w:name w:val="正文文本 2 字符1"/>
    <w:qFormat/>
    <w:uiPriority w:val="0"/>
    <w:rPr>
      <w:kern w:val="2"/>
      <w:sz w:val="21"/>
      <w:szCs w:val="24"/>
    </w:rPr>
  </w:style>
  <w:style w:type="character" w:customStyle="1" w:styleId="105">
    <w:name w:val="正文文本缩进 3 字符1"/>
    <w:qFormat/>
    <w:uiPriority w:val="0"/>
    <w:rPr>
      <w:kern w:val="2"/>
      <w:sz w:val="16"/>
      <w:szCs w:val="16"/>
    </w:rPr>
  </w:style>
  <w:style w:type="character" w:customStyle="1" w:styleId="106">
    <w:name w:val="文档结构图 字符1"/>
    <w:qFormat/>
    <w:uiPriority w:val="0"/>
    <w:rPr>
      <w:rFonts w:ascii="Microsoft YaHei UI" w:eastAsia="Microsoft YaHei UI"/>
      <w:kern w:val="2"/>
      <w:sz w:val="18"/>
      <w:szCs w:val="18"/>
    </w:rPr>
  </w:style>
  <w:style w:type="paragraph" w:customStyle="1" w:styleId="107">
    <w:name w:val="样式1"/>
    <w:basedOn w:val="1"/>
    <w:qFormat/>
    <w:uiPriority w:val="0"/>
    <w:pPr>
      <w:spacing w:line="360" w:lineRule="auto"/>
    </w:pPr>
    <w:rPr>
      <w:b/>
      <w:bCs/>
      <w:sz w:val="28"/>
    </w:rPr>
  </w:style>
  <w:style w:type="character" w:customStyle="1" w:styleId="108">
    <w:name w:val="正文文本缩进 2 字符1"/>
    <w:qFormat/>
    <w:uiPriority w:val="0"/>
    <w:rPr>
      <w:kern w:val="2"/>
      <w:sz w:val="21"/>
      <w:szCs w:val="24"/>
    </w:rPr>
  </w:style>
  <w:style w:type="character" w:customStyle="1" w:styleId="109">
    <w:name w:val="正文文本 3 字符1"/>
    <w:qFormat/>
    <w:uiPriority w:val="0"/>
    <w:rPr>
      <w:kern w:val="2"/>
      <w:sz w:val="16"/>
      <w:szCs w:val="16"/>
    </w:rPr>
  </w:style>
  <w:style w:type="character" w:customStyle="1" w:styleId="110">
    <w:name w:val="标题 字符1"/>
    <w:qFormat/>
    <w:uiPriority w:val="0"/>
    <w:rPr>
      <w:rFonts w:ascii="等线 Light" w:hAnsi="等线 Light" w:cs="Times New Roman"/>
      <w:b/>
      <w:bCs/>
      <w:kern w:val="2"/>
      <w:sz w:val="32"/>
      <w:szCs w:val="32"/>
    </w:rPr>
  </w:style>
  <w:style w:type="character" w:customStyle="1" w:styleId="111">
    <w:name w:val="纯文本 字符1"/>
    <w:qFormat/>
    <w:uiPriority w:val="0"/>
    <w:rPr>
      <w:rFonts w:ascii="宋体" w:hAnsi="Courier New" w:cs="Courier New"/>
      <w:kern w:val="2"/>
      <w:sz w:val="21"/>
      <w:szCs w:val="21"/>
    </w:rPr>
  </w:style>
  <w:style w:type="paragraph" w:customStyle="1" w:styleId="112">
    <w:name w:val=" Char"/>
    <w:basedOn w:val="1"/>
    <w:qFormat/>
    <w:uiPriority w:val="0"/>
    <w:rPr>
      <w:sz w:val="24"/>
    </w:rPr>
  </w:style>
  <w:style w:type="paragraph" w:customStyle="1" w:styleId="113">
    <w:name w:val="正文文本 (2)"/>
    <w:basedOn w:val="1"/>
    <w:unhideWhenUsed/>
    <w:qFormat/>
    <w:uiPriority w:val="99"/>
    <w:pPr>
      <w:widowControl/>
      <w:shd w:val="clear" w:color="auto" w:fill="FFFFFF"/>
      <w:spacing w:before="60" w:line="802" w:lineRule="exact"/>
      <w:jc w:val="left"/>
    </w:pPr>
    <w:rPr>
      <w:rFonts w:hint="eastAsia" w:ascii="MingLiU" w:hAnsi="MingLiU" w:eastAsia="MingLiU"/>
      <w:color w:val="000000"/>
      <w:sz w:val="28"/>
    </w:rPr>
  </w:style>
  <w:style w:type="paragraph" w:customStyle="1" w:styleId="114">
    <w:name w:val="表 标题"/>
    <w:basedOn w:val="1"/>
    <w:qFormat/>
    <w:uiPriority w:val="0"/>
    <w:pPr>
      <w:adjustRightInd w:val="0"/>
      <w:snapToGrid w:val="0"/>
      <w:spacing w:beforeLines="50"/>
      <w:jc w:val="center"/>
    </w:pPr>
    <w:rPr>
      <w:b/>
      <w:kern w:val="0"/>
      <w:sz w:val="20"/>
      <w:szCs w:val="21"/>
    </w:rPr>
  </w:style>
  <w:style w:type="paragraph" w:customStyle="1" w:styleId="115">
    <w:name w:val="正文000000"/>
    <w:basedOn w:val="1"/>
    <w:next w:val="1"/>
    <w:qFormat/>
    <w:uiPriority w:val="0"/>
    <w:pPr>
      <w:adjustRightInd w:val="0"/>
      <w:snapToGrid w:val="0"/>
      <w:spacing w:line="360" w:lineRule="auto"/>
      <w:ind w:firstLine="200" w:firstLineChars="200"/>
      <w:textAlignment w:val="baseline"/>
    </w:pPr>
    <w:rPr>
      <w:rFonts w:ascii="宋体" w:hAnsi="宋体" w:cs="宋体"/>
      <w:sz w:val="24"/>
    </w:rPr>
  </w:style>
  <w:style w:type="paragraph" w:customStyle="1" w:styleId="116">
    <w:name w:val="中等深浅网格 2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17">
    <w:name w:val="正文2"/>
    <w:basedOn w:val="1"/>
    <w:link w:val="118"/>
    <w:qFormat/>
    <w:uiPriority w:val="0"/>
    <w:pPr>
      <w:adjustRightInd w:val="0"/>
      <w:snapToGrid w:val="0"/>
      <w:spacing w:line="440" w:lineRule="atLeast"/>
      <w:ind w:firstLine="510"/>
    </w:pPr>
    <w:rPr>
      <w:szCs w:val="20"/>
    </w:rPr>
  </w:style>
  <w:style w:type="character" w:customStyle="1" w:styleId="118">
    <w:name w:val="正文2 Char"/>
    <w:link w:val="117"/>
    <w:qFormat/>
    <w:uiPriority w:val="0"/>
    <w:rPr>
      <w:kern w:val="2"/>
      <w:sz w:val="21"/>
    </w:rPr>
  </w:style>
  <w:style w:type="paragraph" w:customStyle="1" w:styleId="119">
    <w:name w:val="正文 + 首行缩进:  2 字符"/>
    <w:basedOn w:val="1"/>
    <w:qFormat/>
    <w:uiPriority w:val="0"/>
    <w:pPr>
      <w:widowControl/>
      <w:spacing w:line="460" w:lineRule="atLeast"/>
      <w:ind w:firstLine="528" w:firstLineChars="200"/>
      <w:jc w:val="left"/>
    </w:pPr>
    <w:rPr>
      <w:color w:val="000000"/>
      <w:spacing w:val="12"/>
      <w:sz w:val="24"/>
      <w:szCs w:val="20"/>
    </w:rPr>
  </w:style>
  <w:style w:type="paragraph" w:customStyle="1" w:styleId="120">
    <w:name w:val="图表题"/>
    <w:basedOn w:val="1"/>
    <w:next w:val="1"/>
    <w:qFormat/>
    <w:uiPriority w:val="0"/>
    <w:pPr>
      <w:widowControl/>
      <w:adjustRightInd w:val="0"/>
      <w:snapToGrid w:val="0"/>
      <w:spacing w:line="360" w:lineRule="auto"/>
      <w:jc w:val="center"/>
    </w:pPr>
    <w:rPr>
      <w:rFonts w:eastAsia="黑体"/>
      <w:color w:val="000000"/>
      <w:sz w:val="24"/>
      <w:szCs w:val="20"/>
    </w:rPr>
  </w:style>
  <w:style w:type="paragraph" w:customStyle="1" w:styleId="121">
    <w:name w:val="1级标题"/>
    <w:basedOn w:val="3"/>
    <w:qFormat/>
    <w:uiPriority w:val="0"/>
    <w:pPr>
      <w:keepNext w:val="0"/>
      <w:widowControl/>
      <w:overflowPunct/>
      <w:adjustRightInd w:val="0"/>
      <w:spacing w:before="0" w:after="0" w:line="360" w:lineRule="auto"/>
      <w:ind w:left="0" w:firstLine="0"/>
      <w:jc w:val="left"/>
    </w:pPr>
    <w:rPr>
      <w:rFonts w:ascii="黑体"/>
      <w:b w:val="0"/>
    </w:rPr>
  </w:style>
  <w:style w:type="paragraph" w:customStyle="1" w:styleId="122">
    <w:name w:val="表格001"/>
    <w:basedOn w:val="1"/>
    <w:qFormat/>
    <w:uiPriority w:val="0"/>
    <w:pPr>
      <w:widowControl/>
      <w:spacing w:line="360" w:lineRule="exact"/>
      <w:jc w:val="center"/>
    </w:pPr>
    <w:rPr>
      <w:color w:val="000000"/>
      <w:sz w:val="24"/>
    </w:rPr>
  </w:style>
  <w:style w:type="paragraph" w:customStyle="1" w:styleId="123">
    <w:name w:val="正文001"/>
    <w:basedOn w:val="1"/>
    <w:qFormat/>
    <w:uiPriority w:val="0"/>
    <w:pPr>
      <w:widowControl/>
      <w:spacing w:before="60" w:after="100" w:afterAutospacing="1" w:line="420" w:lineRule="exact"/>
      <w:ind w:firstLine="482"/>
      <w:jc w:val="left"/>
    </w:pPr>
    <w:rPr>
      <w:color w:val="000000"/>
      <w:sz w:val="24"/>
    </w:rPr>
  </w:style>
  <w:style w:type="paragraph" w:customStyle="1" w:styleId="124">
    <w:name w:val="表格内容"/>
    <w:basedOn w:val="7"/>
    <w:qFormat/>
    <w:uiPriority w:val="0"/>
    <w:pPr>
      <w:spacing w:line="312" w:lineRule="auto"/>
      <w:ind w:firstLine="0" w:firstLineChars="0"/>
      <w:jc w:val="center"/>
    </w:pPr>
    <w:rPr>
      <w:rFonts w:ascii="Calibri" w:hAnsi="Calibri"/>
      <w:sz w:val="24"/>
    </w:rPr>
  </w:style>
  <w:style w:type="paragraph" w:customStyle="1" w:styleId="125">
    <w:name w:val="民武正文"/>
    <w:basedOn w:val="17"/>
    <w:qFormat/>
    <w:uiPriority w:val="0"/>
    <w:pPr>
      <w:spacing w:line="300" w:lineRule="auto"/>
      <w:ind w:firstLine="200" w:firstLineChars="200"/>
    </w:pPr>
    <w:rPr>
      <w:rFonts w:ascii="Times New Roman" w:hAnsi="Times New Roman"/>
      <w:kern w:val="0"/>
      <w:sz w:val="24"/>
      <w:szCs w:val="24"/>
      <w:lang w:bidi="en-US"/>
    </w:rPr>
  </w:style>
  <w:style w:type="paragraph" w:customStyle="1" w:styleId="126">
    <w:name w:val="Table Paragraph"/>
    <w:basedOn w:val="1"/>
    <w:qFormat/>
    <w:uiPriority w:val="0"/>
    <w:pPr>
      <w:jc w:val="center"/>
    </w:pPr>
    <w:rPr>
      <w:rFonts w:ascii="宋体" w:hAnsi="宋体" w:cs="宋体"/>
      <w:kern w:val="0"/>
      <w:sz w:val="22"/>
      <w:szCs w:val="22"/>
      <w:lang w:eastAsia="en-US"/>
    </w:rPr>
  </w:style>
  <w:style w:type="paragraph" w:customStyle="1" w:styleId="127">
    <w:name w:val="正文缩近"/>
    <w:basedOn w:val="1"/>
    <w:qFormat/>
    <w:uiPriority w:val="0"/>
    <w:pPr>
      <w:spacing w:line="360" w:lineRule="auto"/>
      <w:ind w:firstLine="560" w:firstLineChars="200"/>
    </w:pPr>
    <w:rPr>
      <w:sz w:val="28"/>
      <w:szCs w:val="28"/>
    </w:rPr>
  </w:style>
  <w:style w:type="paragraph" w:customStyle="1" w:styleId="128">
    <w:name w:val="bg正文首行缩进"/>
    <w:basedOn w:val="1"/>
    <w:qFormat/>
    <w:uiPriority w:val="0"/>
    <w:pPr>
      <w:widowControl/>
      <w:spacing w:line="400" w:lineRule="exact"/>
      <w:ind w:firstLine="482"/>
      <w:jc w:val="left"/>
    </w:pPr>
    <w:rPr>
      <w:color w:val="000000"/>
      <w:sz w:val="24"/>
    </w:rPr>
  </w:style>
  <w:style w:type="paragraph" w:customStyle="1" w:styleId="129">
    <w:name w:val="正文3"/>
    <w:basedOn w:val="1"/>
    <w:qFormat/>
    <w:uiPriority w:val="0"/>
    <w:pPr>
      <w:spacing w:line="360" w:lineRule="auto"/>
      <w:ind w:firstLine="454"/>
      <w:jc w:val="left"/>
    </w:pPr>
    <w:rPr>
      <w:rFonts w:ascii="宋体" w:hAnsi="宋体"/>
      <w:kern w:val="0"/>
      <w:sz w:val="24"/>
      <w:szCs w:val="20"/>
    </w:rPr>
  </w:style>
  <w:style w:type="paragraph" w:customStyle="1" w:styleId="130">
    <w:name w:val="p0"/>
    <w:basedOn w:val="1"/>
    <w:qFormat/>
    <w:uiPriority w:val="0"/>
    <w:pPr>
      <w:widowControl/>
    </w:pPr>
    <w:rPr>
      <w:kern w:val="0"/>
      <w:szCs w:val="21"/>
    </w:rPr>
  </w:style>
  <w:style w:type="paragraph" w:customStyle="1" w:styleId="131">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132">
    <w:name w:val="【正文】"/>
    <w:basedOn w:val="1"/>
    <w:qFormat/>
    <w:uiPriority w:val="0"/>
    <w:pPr>
      <w:widowControl/>
      <w:spacing w:line="440" w:lineRule="exact"/>
      <w:ind w:firstLine="544"/>
      <w:jc w:val="left"/>
    </w:pPr>
    <w:rPr>
      <w:rFonts w:cs="宋体"/>
      <w:color w:val="000000"/>
      <w:sz w:val="24"/>
    </w:rPr>
  </w:style>
  <w:style w:type="paragraph" w:customStyle="1" w:styleId="133">
    <w:name w:val=" Char Char Char Char Char Char Char"/>
    <w:basedOn w:val="1"/>
    <w:qFormat/>
    <w:uiPriority w:val="0"/>
    <w:pPr>
      <w:spacing w:line="360" w:lineRule="auto"/>
      <w:ind w:firstLine="200" w:firstLineChars="200"/>
    </w:pPr>
    <w:rPr>
      <w:rFonts w:ascii="宋体" w:hAnsi="宋体" w:cs="宋体"/>
      <w:sz w:val="24"/>
    </w:rPr>
  </w:style>
  <w:style w:type="paragraph" w:customStyle="1" w:styleId="134">
    <w:name w:val="正文+首行缩进"/>
    <w:basedOn w:val="1"/>
    <w:qFormat/>
    <w:uiPriority w:val="0"/>
    <w:pPr>
      <w:widowControl/>
      <w:spacing w:line="360" w:lineRule="auto"/>
      <w:ind w:firstLine="480" w:firstLineChars="200"/>
      <w:jc w:val="left"/>
    </w:pPr>
    <w:rPr>
      <w:rFonts w:cs="宋体"/>
      <w:color w:val="000000"/>
      <w:sz w:val="24"/>
      <w:szCs w:val="20"/>
    </w:rPr>
  </w:style>
  <w:style w:type="paragraph" w:customStyle="1" w:styleId="135">
    <w:name w:val="Default"/>
    <w:basedOn w:val="1"/>
    <w:qFormat/>
    <w:uiPriority w:val="0"/>
    <w:pPr>
      <w:widowControl/>
      <w:autoSpaceDE w:val="0"/>
      <w:autoSpaceDN w:val="0"/>
      <w:jc w:val="left"/>
    </w:pPr>
    <w:rPr>
      <w:rFonts w:ascii="宋体" w:cs="宋体"/>
      <w:color w:val="000000"/>
      <w:kern w:val="0"/>
      <w:sz w:val="24"/>
    </w:rPr>
  </w:style>
  <w:style w:type="paragraph" w:customStyle="1" w:styleId="136">
    <w:name w:val="流程图文字"/>
    <w:basedOn w:val="1"/>
    <w:qFormat/>
    <w:uiPriority w:val="0"/>
    <w:pPr>
      <w:adjustRightInd w:val="0"/>
      <w:spacing w:beforeAutospacing="1" w:after="40" w:line="360" w:lineRule="exact"/>
      <w:jc w:val="center"/>
      <w:textAlignment w:val="baseline"/>
    </w:pPr>
    <w:rPr>
      <w:rFonts w:ascii="宋体" w:hAnsi="宋体"/>
      <w:kern w:val="0"/>
      <w:sz w:val="24"/>
      <w:szCs w:val="20"/>
    </w:rPr>
  </w:style>
  <w:style w:type="paragraph" w:customStyle="1" w:styleId="137">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38">
    <w:name w:val="Normal (Web)"/>
    <w:basedOn w:val="1"/>
    <w:qFormat/>
    <w:uiPriority w:val="0"/>
    <w:pPr>
      <w:widowControl/>
      <w:spacing w:before="100" w:beforeAutospacing="1" w:after="100" w:afterAutospacing="1" w:line="360" w:lineRule="auto"/>
      <w:jc w:val="left"/>
    </w:pPr>
    <w:rPr>
      <w:rFonts w:ascii="Arial Unicode MS" w:hAnsi="Arial Unicode MS" w:eastAsia="Arial Unicode MS" w:cs="Arial Unicode MS"/>
      <w:color w:val="000000"/>
      <w:kern w:val="0"/>
      <w:sz w:val="24"/>
    </w:rPr>
  </w:style>
  <w:style w:type="paragraph" w:customStyle="1" w:styleId="139">
    <w:name w:val="表格2"/>
    <w:basedOn w:val="1"/>
    <w:qFormat/>
    <w:uiPriority w:val="0"/>
    <w:pPr>
      <w:widowControl/>
      <w:jc w:val="center"/>
    </w:pPr>
    <w:rPr>
      <w:rFonts w:cs="宋体"/>
      <w:color w:val="000000"/>
      <w:szCs w:val="21"/>
    </w:rPr>
  </w:style>
  <w:style w:type="paragraph" w:customStyle="1" w:styleId="140">
    <w:name w:val="_Style 44"/>
    <w:basedOn w:val="1"/>
    <w:qFormat/>
    <w:uiPriority w:val="0"/>
    <w:pPr>
      <w:spacing w:line="360" w:lineRule="auto"/>
      <w:ind w:firstLine="200" w:firstLineChars="200"/>
    </w:pPr>
    <w:rPr>
      <w:rFonts w:ascii="宋体" w:hAnsi="宋体" w:cs="宋体"/>
      <w:sz w:val="24"/>
    </w:rPr>
  </w:style>
  <w:style w:type="paragraph" w:customStyle="1" w:styleId="141">
    <w:name w:val="中文"/>
    <w:basedOn w:val="1"/>
    <w:qFormat/>
    <w:uiPriority w:val="0"/>
    <w:pPr>
      <w:widowControl/>
      <w:spacing w:line="360" w:lineRule="auto"/>
      <w:ind w:firstLine="200" w:firstLineChars="200"/>
    </w:pPr>
    <w:rPr>
      <w:rFonts w:ascii="Calibri" w:hAnsi="Calibri"/>
      <w:lang w:eastAsia="en-US"/>
    </w:rPr>
  </w:style>
  <w:style w:type="paragraph" w:customStyle="1" w:styleId="142">
    <w:name w:val=" Char Char Char Char Char Char Char Char Char Char"/>
    <w:basedOn w:val="1"/>
    <w:qFormat/>
    <w:uiPriority w:val="0"/>
    <w:pPr>
      <w:widowControl/>
      <w:spacing w:after="160" w:line="240" w:lineRule="exact"/>
      <w:jc w:val="left"/>
    </w:pPr>
  </w:style>
  <w:style w:type="paragraph" w:customStyle="1" w:styleId="143">
    <w:name w:val="表内容"/>
    <w:basedOn w:val="17"/>
    <w:qFormat/>
    <w:uiPriority w:val="0"/>
    <w:pPr>
      <w:widowControl w:val="0"/>
      <w:jc w:val="both"/>
    </w:pPr>
    <w:rPr>
      <w:rFonts w:ascii="Times New Roman" w:hAnsi="Times New Roman"/>
      <w:lang w:val="en-US" w:eastAsia="zh-CN"/>
    </w:rPr>
  </w:style>
  <w:style w:type="character" w:customStyle="1" w:styleId="144">
    <w:name w:val="正文文本 (2)_"/>
    <w:link w:val="145"/>
    <w:qFormat/>
    <w:uiPriority w:val="0"/>
    <w:rPr>
      <w:rFonts w:ascii="宋体" w:hAnsi="宋体"/>
      <w:sz w:val="22"/>
      <w:szCs w:val="22"/>
      <w:shd w:val="clear" w:color="auto" w:fill="FFFFFF"/>
    </w:rPr>
  </w:style>
  <w:style w:type="paragraph" w:customStyle="1" w:styleId="145">
    <w:name w:val="正文文本 (2)1"/>
    <w:basedOn w:val="1"/>
    <w:link w:val="144"/>
    <w:qFormat/>
    <w:uiPriority w:val="0"/>
    <w:pPr>
      <w:shd w:val="clear" w:color="auto" w:fill="FFFFFF"/>
      <w:spacing w:before="300" w:line="466" w:lineRule="exact"/>
      <w:ind w:hanging="600"/>
      <w:jc w:val="distribute"/>
    </w:pPr>
    <w:rPr>
      <w:rFonts w:ascii="宋体" w:hAnsi="宋体"/>
      <w:kern w:val="0"/>
      <w:sz w:val="22"/>
      <w:szCs w:val="22"/>
    </w:rPr>
  </w:style>
  <w:style w:type="character" w:customStyle="1" w:styleId="146">
    <w:name w:val="正文文本 (2) + 粗体"/>
    <w:qFormat/>
    <w:uiPriority w:val="0"/>
    <w:rPr>
      <w:rFonts w:ascii="宋体" w:hAnsi="宋体" w:cs="宋体"/>
      <w:b/>
      <w:bCs/>
      <w:sz w:val="22"/>
      <w:szCs w:val="22"/>
      <w:u w:val="none"/>
      <w:shd w:val="clear" w:color="auto" w:fill="FFFFFF"/>
    </w:rPr>
  </w:style>
  <w:style w:type="character" w:customStyle="1" w:styleId="147">
    <w:name w:val="表内格式 Char"/>
    <w:link w:val="148"/>
    <w:qFormat/>
    <w:uiPriority w:val="0"/>
    <w:rPr>
      <w:rFonts w:eastAsia="楷体_GB2312"/>
      <w:sz w:val="18"/>
      <w:szCs w:val="18"/>
    </w:rPr>
  </w:style>
  <w:style w:type="paragraph" w:customStyle="1" w:styleId="148">
    <w:name w:val="表内格式"/>
    <w:basedOn w:val="1"/>
    <w:next w:val="1"/>
    <w:link w:val="147"/>
    <w:qFormat/>
    <w:uiPriority w:val="0"/>
    <w:pPr>
      <w:spacing w:line="360" w:lineRule="auto"/>
      <w:ind w:firstLine="200" w:firstLineChars="200"/>
      <w:jc w:val="center"/>
    </w:pPr>
    <w:rPr>
      <w:rFonts w:eastAsia="楷体_GB2312"/>
      <w:kern w:val="0"/>
      <w:sz w:val="18"/>
      <w:szCs w:val="18"/>
    </w:rPr>
  </w:style>
  <w:style w:type="paragraph" w:customStyle="1" w:styleId="149">
    <w:name w:val="小编号"/>
    <w:basedOn w:val="1"/>
    <w:next w:val="1"/>
    <w:qFormat/>
    <w:uiPriority w:val="0"/>
    <w:pPr>
      <w:spacing w:line="360" w:lineRule="auto"/>
      <w:ind w:firstLine="200" w:firstLineChars="200"/>
    </w:pPr>
    <w:rPr>
      <w:rFonts w:ascii="Calibri" w:hAnsi="Calibri"/>
      <w:b/>
      <w:sz w:val="24"/>
      <w:szCs w:val="20"/>
    </w:rPr>
  </w:style>
  <w:style w:type="paragraph" w:customStyle="1" w:styleId="150">
    <w:name w:val="列出段落2"/>
    <w:basedOn w:val="1"/>
    <w:qFormat/>
    <w:uiPriority w:val="34"/>
    <w:pPr>
      <w:spacing w:line="360" w:lineRule="auto"/>
      <w:ind w:firstLine="420" w:firstLineChars="200"/>
    </w:pPr>
    <w:rPr>
      <w:sz w:val="24"/>
      <w:szCs w:val="20"/>
    </w:rPr>
  </w:style>
  <w:style w:type="paragraph" w:customStyle="1" w:styleId="151">
    <w:name w:val="表 内容"/>
    <w:basedOn w:val="1"/>
    <w:qFormat/>
    <w:uiPriority w:val="0"/>
    <w:pPr>
      <w:adjustRightInd w:val="0"/>
      <w:snapToGrid w:val="0"/>
      <w:spacing w:beforeLines="15" w:afterLines="15"/>
      <w:jc w:val="center"/>
    </w:pPr>
    <w:rPr>
      <w:b/>
      <w:sz w:val="24"/>
      <w:szCs w:val="21"/>
    </w:rPr>
  </w:style>
  <w:style w:type="paragraph" w:customStyle="1" w:styleId="152">
    <w:name w:val="中文报告书样式"/>
    <w:basedOn w:val="1"/>
    <w:qFormat/>
    <w:uiPriority w:val="0"/>
    <w:pPr>
      <w:widowControl/>
      <w:tabs>
        <w:tab w:val="left" w:pos="360"/>
      </w:tabs>
      <w:adjustRightInd w:val="0"/>
      <w:snapToGrid w:val="0"/>
      <w:spacing w:line="360" w:lineRule="auto"/>
      <w:jc w:val="center"/>
      <w:textAlignment w:val="baseline"/>
    </w:pPr>
    <w:rPr>
      <w:rFonts w:ascii="Calibri" w:hAnsi="Calibri"/>
      <w:color w:val="000000"/>
      <w:sz w:val="24"/>
    </w:rPr>
  </w:style>
  <w:style w:type="paragraph" w:customStyle="1" w:styleId="153">
    <w:name w:val="文"/>
    <w:basedOn w:val="1"/>
    <w:qFormat/>
    <w:uiPriority w:val="0"/>
    <w:pPr>
      <w:spacing w:line="360" w:lineRule="auto"/>
      <w:ind w:firstLine="200" w:firstLineChars="200"/>
      <w:jc w:val="left"/>
    </w:pPr>
    <w:rPr>
      <w:bCs/>
      <w:sz w:val="24"/>
    </w:rPr>
  </w:style>
  <w:style w:type="paragraph" w:customStyle="1" w:styleId="154">
    <w:name w:val="我表标题"/>
    <w:basedOn w:val="1"/>
    <w:qFormat/>
    <w:uiPriority w:val="0"/>
    <w:pPr>
      <w:jc w:val="center"/>
      <w:textAlignment w:val="baseline"/>
    </w:pPr>
    <w:rPr>
      <w:b/>
      <w:kern w:val="24"/>
      <w:szCs w:val="21"/>
    </w:rPr>
  </w:style>
  <w:style w:type="paragraph" w:customStyle="1" w:styleId="155">
    <w:name w:val="环评表内容"/>
    <w:basedOn w:val="1"/>
    <w:qFormat/>
    <w:uiPriority w:val="0"/>
    <w:pPr>
      <w:widowControl/>
      <w:spacing w:line="260" w:lineRule="exact"/>
      <w:jc w:val="center"/>
    </w:pPr>
    <w:rPr>
      <w:rFonts w:ascii="Tahoma" w:hAnsi="Tahoma" w:cs="Tahoma"/>
    </w:rPr>
  </w:style>
  <w:style w:type="paragraph" w:customStyle="1" w:styleId="156">
    <w:name w:val="正文首行缩进 2 + Times New Roman"/>
    <w:basedOn w:val="1"/>
    <w:qFormat/>
    <w:uiPriority w:val="0"/>
    <w:pPr>
      <w:widowControl/>
      <w:tabs>
        <w:tab w:val="left" w:pos="0"/>
        <w:tab w:val="left" w:pos="3150"/>
      </w:tabs>
      <w:autoSpaceDE w:val="0"/>
      <w:autoSpaceDN w:val="0"/>
      <w:spacing w:line="324" w:lineRule="auto"/>
      <w:ind w:right="113" w:firstLine="482" w:firstLineChars="200"/>
      <w:jc w:val="left"/>
    </w:pPr>
    <w:rPr>
      <w:b/>
      <w:sz w:val="24"/>
    </w:rPr>
  </w:style>
  <w:style w:type="paragraph" w:customStyle="1" w:styleId="157">
    <w:name w:val="_Style 33"/>
    <w:basedOn w:val="1"/>
    <w:qFormat/>
    <w:uiPriority w:val="0"/>
    <w:rPr>
      <w:sz w:val="24"/>
    </w:rPr>
  </w:style>
  <w:style w:type="paragraph" w:customStyle="1" w:styleId="158">
    <w:name w:val="正文1"/>
    <w:basedOn w:val="19"/>
    <w:qFormat/>
    <w:uiPriority w:val="0"/>
    <w:pPr>
      <w:widowControl w:val="0"/>
      <w:spacing w:line="360" w:lineRule="auto"/>
      <w:ind w:firstLine="200"/>
      <w:jc w:val="both"/>
    </w:pPr>
    <w:rPr>
      <w:sz w:val="21"/>
      <w:lang w:val="en-US" w:eastAsia="zh-CN"/>
    </w:rPr>
  </w:style>
  <w:style w:type="paragraph" w:customStyle="1" w:styleId="159">
    <w:name w:val="万瑞报告表1"/>
    <w:basedOn w:val="14"/>
    <w:next w:val="1"/>
    <w:qFormat/>
    <w:uiPriority w:val="0"/>
    <w:pPr>
      <w:adjustRightInd w:val="0"/>
      <w:snapToGrid w:val="0"/>
      <w:spacing w:before="60" w:after="0" w:line="360" w:lineRule="auto"/>
      <w:ind w:left="0" w:leftChars="0" w:firstLine="200" w:firstLineChars="200"/>
    </w:pPr>
    <w:rPr>
      <w:rFonts w:ascii="宋体" w:hAnsi="宋体" w:eastAsia="Times New Roman"/>
      <w:kern w:val="2"/>
      <w:sz w:val="32"/>
      <w:szCs w:val="24"/>
    </w:rPr>
  </w:style>
  <w:style w:type="paragraph" w:customStyle="1" w:styleId="160">
    <w:name w:val="Body Text 22"/>
    <w:basedOn w:val="1"/>
    <w:qFormat/>
    <w:uiPriority w:val="0"/>
    <w:pPr>
      <w:adjustRightInd w:val="0"/>
      <w:spacing w:line="440" w:lineRule="atLeast"/>
      <w:ind w:firstLine="480"/>
      <w:textAlignment w:val="baseline"/>
    </w:pPr>
    <w:rPr>
      <w:rFonts w:eastAsia="仿宋_GB2312" w:cs="宋体"/>
      <w:color w:val="000000"/>
      <w:sz w:val="24"/>
      <w:szCs w:val="20"/>
    </w:rPr>
  </w:style>
  <w:style w:type="paragraph" w:customStyle="1" w:styleId="161">
    <w:name w:val=" Char3"/>
    <w:basedOn w:val="1"/>
    <w:qFormat/>
    <w:uiPriority w:val="0"/>
    <w:rPr>
      <w:szCs w:val="20"/>
    </w:rPr>
  </w:style>
  <w:style w:type="paragraph" w:customStyle="1" w:styleId="162">
    <w:name w:val="报告表正文"/>
    <w:basedOn w:val="1"/>
    <w:qFormat/>
    <w:uiPriority w:val="0"/>
    <w:pPr>
      <w:adjustRightInd w:val="0"/>
      <w:spacing w:line="312" w:lineRule="auto"/>
      <w:ind w:left="113" w:right="113" w:firstLine="482"/>
      <w:jc w:val="left"/>
    </w:pPr>
    <w:rPr>
      <w:kern w:val="0"/>
      <w:sz w:val="24"/>
      <w:szCs w:val="20"/>
    </w:rPr>
  </w:style>
  <w:style w:type="paragraph" w:customStyle="1" w:styleId="163">
    <w:name w:val="小标题"/>
    <w:basedOn w:val="1"/>
    <w:qFormat/>
    <w:uiPriority w:val="0"/>
    <w:pPr>
      <w:widowControl/>
      <w:spacing w:line="360" w:lineRule="auto"/>
      <w:ind w:firstLine="562"/>
      <w:jc w:val="left"/>
    </w:pPr>
    <w:rPr>
      <w:rFonts w:ascii="宋体" w:hAnsi="宋体"/>
      <w:b/>
      <w:sz w:val="28"/>
      <w:szCs w:val="21"/>
    </w:rPr>
  </w:style>
  <w:style w:type="paragraph" w:customStyle="1" w:styleId="164">
    <w:name w:val="表 头"/>
    <w:basedOn w:val="1"/>
    <w:qFormat/>
    <w:uiPriority w:val="0"/>
    <w:pPr>
      <w:widowControl/>
      <w:tabs>
        <w:tab w:val="left" w:pos="3750"/>
      </w:tabs>
      <w:snapToGrid w:val="0"/>
      <w:jc w:val="center"/>
    </w:pPr>
    <w:rPr>
      <w:rFonts w:ascii="Calibri" w:hAnsi="Calibri"/>
      <w:b/>
      <w:bCs/>
    </w:rPr>
  </w:style>
  <w:style w:type="paragraph" w:styleId="165">
    <w:name w:val="No Spacing"/>
    <w:qFormat/>
    <w:uiPriority w:val="1"/>
    <w:pPr>
      <w:widowControl w:val="0"/>
      <w:adjustRightInd w:val="0"/>
      <w:snapToGrid w:val="0"/>
      <w:jc w:val="center"/>
    </w:pPr>
    <w:rPr>
      <w:rFonts w:ascii="Calibri" w:hAnsi="Calibri" w:eastAsia="宋体" w:cs="Times New Roman"/>
      <w:kern w:val="2"/>
      <w:sz w:val="21"/>
      <w:szCs w:val="24"/>
      <w:lang w:val="en-US" w:eastAsia="zh-CN" w:bidi="ar-SA"/>
    </w:rPr>
  </w:style>
  <w:style w:type="paragraph" w:customStyle="1" w:styleId="166">
    <w:name w:val="列出段落1"/>
    <w:basedOn w:val="1"/>
    <w:qFormat/>
    <w:uiPriority w:val="0"/>
    <w:pPr>
      <w:widowControl/>
      <w:spacing w:line="360" w:lineRule="auto"/>
      <w:ind w:firstLine="420"/>
      <w:jc w:val="left"/>
    </w:pPr>
    <w:rPr>
      <w:rFonts w:ascii="Calibri" w:hAnsi="Calibri"/>
      <w:szCs w:val="21"/>
    </w:rPr>
  </w:style>
  <w:style w:type="paragraph" w:customStyle="1" w:styleId="167">
    <w:name w:val="1表头"/>
    <w:qFormat/>
    <w:uiPriority w:val="0"/>
    <w:pPr>
      <w:adjustRightInd w:val="0"/>
      <w:snapToGrid w:val="0"/>
      <w:spacing w:before="25" w:beforeLines="25" w:after="25" w:afterLines="25"/>
      <w:jc w:val="center"/>
    </w:pPr>
    <w:rPr>
      <w:rFonts w:ascii="Calibri" w:hAnsi="Calibri" w:eastAsia="宋体" w:cs="Times New Roman"/>
      <w:b/>
      <w:color w:val="0000CC"/>
      <w:sz w:val="24"/>
      <w:szCs w:val="24"/>
      <w:lang w:val="en-US" w:eastAsia="zh-CN" w:bidi="ar-SA"/>
    </w:rPr>
  </w:style>
  <w:style w:type="paragraph" w:customStyle="1" w:styleId="168">
    <w:name w:val="安如夏花"/>
    <w:basedOn w:val="1"/>
    <w:qFormat/>
    <w:uiPriority w:val="0"/>
    <w:pPr>
      <w:widowControl/>
      <w:spacing w:beforeLines="50" w:afterLines="50" w:line="360" w:lineRule="auto"/>
      <w:jc w:val="center"/>
    </w:pPr>
    <w:rPr>
      <w:rFonts w:ascii="Calibri" w:hAnsi="Calibri" w:eastAsia="黑体"/>
      <w:b/>
      <w:szCs w:val="21"/>
    </w:rPr>
  </w:style>
  <w:style w:type="character" w:customStyle="1" w:styleId="169">
    <w:name w:val="表   头 Char"/>
    <w:link w:val="170"/>
    <w:qFormat/>
    <w:uiPriority w:val="0"/>
    <w:rPr>
      <w:b/>
    </w:rPr>
  </w:style>
  <w:style w:type="paragraph" w:customStyle="1" w:styleId="170">
    <w:name w:val="表   头"/>
    <w:basedOn w:val="1"/>
    <w:link w:val="169"/>
    <w:qFormat/>
    <w:uiPriority w:val="0"/>
    <w:pPr>
      <w:snapToGrid w:val="0"/>
      <w:jc w:val="center"/>
    </w:pPr>
    <w:rPr>
      <w:b/>
      <w:kern w:val="0"/>
      <w:sz w:val="20"/>
      <w:szCs w:val="20"/>
    </w:rPr>
  </w:style>
  <w:style w:type="character" w:customStyle="1" w:styleId="171">
    <w:name w:val="无间隔表格内 Char"/>
    <w:link w:val="172"/>
    <w:qFormat/>
    <w:uiPriority w:val="0"/>
    <w:rPr>
      <w:sz w:val="21"/>
    </w:rPr>
  </w:style>
  <w:style w:type="paragraph" w:customStyle="1" w:styleId="172">
    <w:name w:val="无间隔表格内"/>
    <w:basedOn w:val="170"/>
    <w:link w:val="171"/>
    <w:qFormat/>
    <w:uiPriority w:val="0"/>
    <w:rPr>
      <w:b w:val="0"/>
      <w:sz w:val="21"/>
    </w:rPr>
  </w:style>
  <w:style w:type="paragraph" w:customStyle="1" w:styleId="173">
    <w:name w:val="正文-RED"/>
    <w:qFormat/>
    <w:uiPriority w:val="0"/>
    <w:pPr>
      <w:spacing w:line="360" w:lineRule="auto"/>
      <w:ind w:firstLine="420"/>
      <w:jc w:val="both"/>
    </w:pPr>
    <w:rPr>
      <w:rFonts w:ascii="Times New Roman" w:hAnsi="Times New Roman" w:eastAsia="宋体" w:cs="Times New Roman"/>
      <w:sz w:val="24"/>
      <w:lang w:val="en-US" w:eastAsia="zh-CN" w:bidi="ar-SA"/>
    </w:rPr>
  </w:style>
  <w:style w:type="paragraph" w:customStyle="1" w:styleId="174">
    <w:name w:val="大标题"/>
    <w:basedOn w:val="1"/>
    <w:qFormat/>
    <w:uiPriority w:val="0"/>
    <w:pPr>
      <w:spacing w:line="360" w:lineRule="auto"/>
    </w:pPr>
    <w:rPr>
      <w:rFonts w:ascii="宋体" w:hAnsi="宋体"/>
      <w:b/>
      <w:sz w:val="28"/>
      <w:szCs w:val="28"/>
    </w:rPr>
  </w:style>
  <w:style w:type="paragraph" w:customStyle="1" w:styleId="175">
    <w:name w:val="000000"/>
    <w:basedOn w:val="1"/>
    <w:qFormat/>
    <w:uiPriority w:val="0"/>
    <w:pPr>
      <w:widowControl/>
      <w:jc w:val="center"/>
    </w:pPr>
    <w:rPr>
      <w:b/>
      <w:kern w:val="0"/>
      <w:szCs w:val="20"/>
      <w:lang w:val="en-GB"/>
    </w:rPr>
  </w:style>
  <w:style w:type="paragraph" w:customStyle="1" w:styleId="176">
    <w:name w:val="正文缩进1"/>
    <w:basedOn w:val="1"/>
    <w:next w:val="1"/>
    <w:qFormat/>
    <w:uiPriority w:val="0"/>
    <w:pPr>
      <w:widowControl w:val="0"/>
      <w:spacing w:line="240" w:lineRule="auto"/>
      <w:ind w:firstLine="420" w:firstLineChars="200"/>
      <w:jc w:val="both"/>
    </w:pPr>
    <w:rPr>
      <w:rFonts w:ascii="宋体" w:hAnsi="Calibri"/>
      <w:color w:val="auto"/>
      <w:sz w:val="28"/>
    </w:rPr>
  </w:style>
  <w:style w:type="paragraph" w:customStyle="1" w:styleId="177">
    <w:name w:val="阿威表格"/>
    <w:basedOn w:val="1"/>
    <w:qFormat/>
    <w:uiPriority w:val="0"/>
    <w:pPr>
      <w:widowControl/>
      <w:jc w:val="center"/>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a049adfe-ed30-4e88-bba2-1e6aee2eb221</errorID>
      <errorWord>交有</errorWord>
      <group>L1_Word</group>
      <groupName>字词问题</groupName>
      <ability>L2_Typo</ability>
      <abilityName>字词错误</abilityName>
      <candidateList>
        <item>交由</item>
      </candidateList>
      <explain/>
      <paraID> 7B0EB26</paraID>
      <start>299</start>
      <end>301</end>
      <status>unmodified</status>
      <modifiedWord/>
      <trackRevisions>false</trackRevisions>
    </reviewItem>
    <reviewItem>
      <errorID>1dcd8900-da70-4acb-bb32-5322698eb62d</errorID>
      <errorWord>局</errorWord>
      <group>L1_Word</group>
      <groupName>字词问题</groupName>
      <ability>L2_Typo</ability>
      <abilityName>字词错误</abilityName>
      <candidateList>
        <item>局之</item>
      </candidateList>
      <explain/>
      <paraID> D03490F</paraID>
      <start>52</start>
      <end>53</end>
      <status>unmodified</status>
      <modifiedWord/>
      <trackRevisions>false</trackRevisions>
    </reviewItem>
    <reviewItem>
      <errorID>42003111-58d2-4fe1-9e31-e815c08af3db</errorID>
      <errorWord>环保基础设施建设</errorWord>
      <group>L1_Political</group>
      <groupName>政治性问题</groupName>
      <ability>L2_Keyword</ability>
      <abilityName>固定表述</abilityName>
      <candidateList>
        <item>环境基础设施建设</item>
      </candidateList>
      <explain>词汇“环境基础设施建设”在特定场景下为固定表述形式，请确认此处的“环保基础设施建设”是否存在不当。</explain>
      <paraID>597ADB65</paraID>
      <start>186</start>
      <end>194</end>
      <status>unmodified</status>
      <modifiedWord/>
      <trackRevisions>false</trackRevisions>
    </reviewItem>
    <reviewItem>
      <errorID>a7390af5-37f6-49d2-a2dc-92fec576b37f</errorID>
      <errorWord>期</errorWord>
      <group>L1_Word</group>
      <groupName>字词问题</groupName>
      <ability>L2_Typo</ability>
      <abilityName>字词错误</abilityName>
      <candidateList>
        <item>期间</item>
      </candidateList>
      <explain>〈名〉某个时期里面：农忙～｜春节～｜抗战～。</explain>
      <paraID>4A76D988</paraID>
      <start>82</start>
      <end>83</end>
      <status>unmodified</status>
      <modifiedWord/>
      <trackRevisions>false</trackRevisions>
    </reviewItem>
    <reviewItem>
      <errorID>ece0cf14-ee6b-4a1e-9e5d-30b0d1baf583</errorID>
      <errorWord>要求化</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414C92DF</paraID>
      <start>59</start>
      <end>62</end>
      <status>unmodified</status>
      <modifiedWord/>
      <trackRevisions>false</trackRevisions>
    </reviewItem>
    <reviewItem>
      <errorID>f790e3e2-4d5a-4daa-a2bf-7c64aea40554</errorID>
      <errorWord>胶粘剂</errorWord>
      <group>L1_Word</group>
      <groupName>字词问题</groupName>
      <ability>L2_Typo</ability>
      <abilityName>字词错误</abilityName>
      <candidateList>
        <item>胶黏剂</item>
      </candidateList>
      <explain/>
      <paraID>4FD7203B</paraID>
      <start>78</start>
      <end>81</end>
      <status>unmodified</status>
      <modifiedWord/>
      <trackRevisions>false</trackRevisions>
    </reviewItem>
    <reviewItem>
      <errorID>0d239236-ff20-4120-a3d1-3b722f21ede7</errorID>
      <errorWord>水份</errorWord>
      <group>L1_Word</group>
      <groupName>字词问题</groupName>
      <ability>L2_Variant</ability>
      <abilityName>异形词</abilityName>
      <candidateList>
        <item>水分</item>
      </candidateList>
      <explain>词汇[水份]的规范词形写作[水分]。</explain>
      <paraID>402F760D</paraID>
      <start>4</start>
      <end>6</end>
      <status>unmodified</status>
      <modifiedWord/>
      <trackRevisions>false</trackRevisions>
    </reviewItem>
    <reviewItem>
      <errorID>0d193bcf-0e69-4f0d-b8e8-4f7c2351143d</errorID>
      <errorWord>一类</errorWord>
      <group>L1_Word</group>
      <groupName>字词问题</groupName>
      <ability>L2_Typo</ability>
      <abilityName>字词错误</abilityName>
      <candidateList>
        <item>一种</item>
      </candidateList>
      <explain/>
      <paraID>37396B07</paraID>
      <start>10</start>
      <end>12</end>
      <status>modified</status>
      <modifiedWord>一种</modifiedWord>
      <trackRevisions>false</trackRevisions>
    </reviewItem>
    <reviewItem>
      <errorID>3c9bf397-4fb8-4594-960e-d5402c096a67</errorID>
      <errorWord>粘稠</errorWord>
      <group>L1_Word</group>
      <groupName>字词问题</groupName>
      <ability>L2_Typo</ability>
      <abilityName>字词错误</abilityName>
      <candidateList>
        <item>黏稠</item>
      </candidateList>
      <explain>存在发音相同字词的误用。</explain>
      <paraID>78CC3EF0</paraID>
      <start>20</start>
      <end>22</end>
      <status>unmodified</status>
      <modifiedWord/>
      <trackRevisions>false</trackRevisions>
    </reviewItem>
    <reviewItem>
      <errorID>5940bbe9-c4dc-45fb-b584-a1f4c917a567</errorID>
      <errorWord>2-3个月</errorWord>
      <group>L1_Word</group>
      <groupName>字词问题</groupName>
      <ability>L2_Typo</ability>
      <abilityName>字词错误</abilityName>
      <candidateList>
        <item>2～3个月</item>
      </candidateList>
      <explain/>
      <paraID>58385C44</paraID>
      <start>133</start>
      <end>138</end>
      <status>modified</status>
      <modifiedWord>2～3个月</modifiedWord>
      <trackRevisions>false</trackRevisions>
    </reviewItem>
    <reviewItem>
      <errorID>24b64840-ea70-425f-846f-8b73c8c0c850</errorID>
      <errorWord>～</errorWord>
      <group>L1_Format</group>
      <groupName>格式问题</groupName>
      <ability>L2_HalfPunc_CN</ability>
      <abilityName/>
      <candidateList>
        <item>~</item>
      </candidateList>
      <explain>文本全半角错误。</explain>
      <paraID>2D1882C8</paraID>
      <start>3</start>
      <end>4</end>
      <status>unmodified</status>
      <modifiedWord/>
      <trackRevisions>false</trackRevisions>
    </reviewItem>
    <reviewItem>
      <errorID>4555437b-e7e8-45ce-8f49-367227868ddf</errorID>
      <errorWord>～</errorWord>
      <group>L1_Format</group>
      <groupName>格式问题</groupName>
      <ability>L2_HalfPunc_CN</ability>
      <abilityName/>
      <candidateList>
        <item>~</item>
      </candidateList>
      <explain>文本全半角错误。</explain>
      <paraID>35D43FD0</paraID>
      <start>2</start>
      <end>3</end>
      <status>unmodified</status>
      <modifiedWord/>
      <trackRevisions>false</trackRevisions>
    </reviewItem>
    <reviewItem>
      <errorID>6c337a89-c597-4a1a-8076-e524f2ba024a</errorID>
      <errorWord>）</errorWord>
      <group>L1_Format</group>
      <groupName>格式问题</groupName>
      <ability>L2_HalfPunc_CN</ability>
      <abilityName/>
      <candidateList>
        <item>)</item>
      </candidateList>
      <explain>文本全半角错误。</explain>
      <paraID>5CF1D1B0</paraID>
      <start>4</start>
      <end>5</end>
      <status>unmodified</status>
      <modifiedWord/>
      <trackRevisions>false</trackRevisions>
    </reviewItem>
    <reviewItem>
      <errorID>f2a7c8d3-15be-4be2-a7ac-ba53d786b6eb</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14C7F01D</paraID>
      <start>0</start>
      <end>1</end>
      <status>unmodified</status>
      <modifiedWord/>
      <trackRevisions>false</trackRevisions>
    </reviewItem>
    <reviewItem>
      <errorID>e9748614-eeaf-4b7c-a418-fb346992263b</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37ACC45B</paraID>
      <start>0</start>
      <end>1</end>
      <status>unmodified</status>
      <modifiedWord/>
      <trackRevisions>false</trackRevisions>
    </reviewItem>
    <reviewItem>
      <errorID>255e98ac-44c5-49d0-94d6-6bdf6324f58f</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43DF4601</paraID>
      <start>0</start>
      <end>1</end>
      <status>unmodified</status>
      <modifiedWord/>
      <trackRevisions>false</trackRevisions>
    </reviewItem>
    <reviewItem>
      <errorID>58440592-6f20-4c36-8979-3ce0dcbde8e2</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3CD3821E</paraID>
      <start>0</start>
      <end>1</end>
      <status>unmodified</status>
      <modifiedWord/>
      <trackRevisions>false</trackRevisions>
    </reviewItem>
    <reviewItem>
      <errorID>2b133ba0-1f2c-44c8-8cc5-bc86ff32665b</errorID>
      <errorWord>放控</errorWord>
      <group>L1_Word</group>
      <groupName>字词问题</groupName>
      <ability>L2_Typo</ability>
      <abilityName>字词错误</abilityName>
      <candidateList>
        <item>防控</item>
      </candidateList>
      <explain/>
      <paraID> AEBEF63</paraID>
      <start>0</start>
      <end>2</end>
      <status>unmodified</status>
      <modifiedWord/>
      <trackRevisions>false</trackRevisions>
    </reviewItem>
    <reviewItem>
      <errorID>196b8815-59aa-4c88-9985-7c572d2ccbb3</errorID>
      <errorWord>《</errorWord>
      <group>L1_Punc</group>
      <groupName>标点问题</groupName>
      <ability>L2_Punc_CN</ability>
      <abilityName/>
      <candidateList/>
      <explain>同一形式括号套用。</explain>
      <paraID>14643DD2</paraID>
      <start>0</start>
      <end>1</end>
      <status>unmodified</status>
      <modifiedWord/>
      <trackRevisions>false</trackRevisions>
    </reviewItem>
    <reviewItem>
      <errorID>5bf892f2-0e22-4f89-a158-720ba2af175a</errorID>
      <errorWord>》</errorWord>
      <group>L1_Punc</group>
      <groupName>标点问题</groupName>
      <ability>L2_Punc_CN</ability>
      <abilityName/>
      <candidateList/>
      <explain>同一形式括号套用。</explain>
      <paraID>14643DD2</paraID>
      <start>12</start>
      <end>13</end>
      <status>unmodified</status>
      <modifiedWord/>
      <trackRevisions>false</trackRevisions>
    </reviewItem>
    <reviewItem>
      <errorID>4ba4fa23-4fb9-46a2-b41d-6d058aa7016a</errorID>
      <errorWord>》中</errorWord>
      <group>L1_Word</group>
      <groupName>字词问题</groupName>
      <ability>L2_Typo</ability>
      <abilityName>字词错误</abilityName>
      <candidateList>
        <item>》</item>
      </candidateList>
      <explain/>
      <paraID>78C14463</paraID>
      <start>36</start>
      <end>38</end>
      <status>unmodified</status>
      <modifiedWord/>
      <trackRevisions>false</trackRevisions>
    </reviewItem>
    <reviewItem>
      <errorID>b209b5c3-dde2-433a-8bb7-dc9baeb073af</errorID>
      <errorWord>交有</errorWord>
      <group>L1_Word</group>
      <groupName>字词问题</groupName>
      <ability>L2_Typo</ability>
      <abilityName>字词错误</abilityName>
      <candidateList>
        <item>交由</item>
      </candidateList>
      <explain>存在发音相同字词的误用。</explain>
      <paraID>20D79F04</paraID>
      <start>573</start>
      <end>575</end>
      <status>unmodified</status>
      <modifiedWord/>
      <trackRevisions>false</trackRevisions>
    </reviewItem>
    <reviewItem>
      <errorID>bbba2965-5834-4158-9646-058e9c81aaa8</errorID>
      <errorWord>）</errorWord>
      <group>L1_Format</group>
      <groupName>格式问题</groupName>
      <ability>L2_HalfPunc_CN</ability>
      <abilityName/>
      <candidateList>
        <item>)</item>
      </candidateList>
      <explain>文本全半角错误。</explain>
      <paraID> CDDBD7A</paraID>
      <start>5</start>
      <end>6</end>
      <status>unmodified</status>
      <modifiedWord/>
      <trackRevisions>false</trackRevisions>
    </reviewItem>
    <reviewItem>
      <errorID>0ce83582-ce9f-4492-bb1c-ff24b57e3d64</errorID>
      <errorWord>）</errorWord>
      <group>L1_Format</group>
      <groupName>格式问题</groupName>
      <ability>L2_HalfPunc_CN</ability>
      <abilityName/>
      <candidateList>
        <item>)</item>
      </candidateList>
      <explain>文本全半角错误。</explain>
      <paraID>35F304BF</paraID>
      <start>6</start>
      <end>7</end>
      <status>unmodified</status>
      <modifiedWord/>
      <trackRevisions>false</trackRevisions>
    </reviewItem>
    <reviewItem>
      <errorID>56f54900-d336-4bb7-b939-a26573a0e781</errorID>
      <errorWord>）</errorWord>
      <group>L1_Format</group>
      <groupName>格式问题</groupName>
      <ability>L2_HalfPunc_CN</ability>
      <abilityName/>
      <candidateList>
        <item>)</item>
      </candidateList>
      <explain>文本全半角错误。</explain>
      <paraID>574349D8</paraID>
      <start>6</start>
      <end>7</end>
      <status>unmodified</status>
      <modifiedWord/>
      <trackRevisions>false</trackRevisions>
    </reviewItem>
    <reviewItem>
      <errorID>8a95a43b-6086-4ac6-8a24-863395988bde</errorID>
      <errorWord>）</errorWord>
      <group>L1_Punc</group>
      <groupName>标点问题</groupName>
      <ability>L2_Punc_CN</ability>
      <abilityName/>
      <candidateList/>
      <explain>同一形式括号套用。</explain>
      <paraID>71B67FDD</paraID>
      <start>15</start>
      <end>16</end>
      <status>unmodified</status>
      <modifiedWord/>
      <trackRevisions>false</trackRevisions>
    </reviewItem>
    <reviewItem>
      <errorID>e6b0039a-0ae5-4159-af34-2ee1668f8573</errorID>
      <errorWord>）</errorWord>
      <group>L1_Format</group>
      <groupName>格式问题</groupName>
      <ability>L2_HalfPunc_CN</ability>
      <abilityName/>
      <candidateList>
        <item>)</item>
      </candidateList>
      <explain>文本全半角错误。</explain>
      <paraID>5D39818B</paraID>
      <start>6</start>
      <end>7</end>
      <status>unmodified</status>
      <modifiedWord/>
      <trackRevisions>false</trackRevisions>
    </reviewItem>
    <reviewItem>
      <errorID>19a0e062-4ffc-4cbe-9b6b-a81af8760668</errorID>
      <errorWord>）</errorWord>
      <group>L1_Format</group>
      <groupName>格式问题</groupName>
      <ability>L2_HalfPunc_CN</ability>
      <abilityName/>
      <candidateList>
        <item>)</item>
      </candidateList>
      <explain>文本全半角错误。</explain>
      <paraID>5D39818B</paraID>
      <start>14</start>
      <end>15</end>
      <status>unmodified</status>
      <modifiedWord/>
      <trackRevisions>false</trackRevisions>
    </reviewItem>
    <reviewItem>
      <errorID>2c7ed01a-c663-423e-8076-487e5906906b</errorID>
      <errorWord>）</errorWord>
      <group>L1_Format</group>
      <groupName>格式问题</groupName>
      <ability>L2_HalfPunc_CN</ability>
      <abilityName/>
      <candidateList>
        <item>)</item>
      </candidateList>
      <explain>文本全半角错误。</explain>
      <paraID>5D39818B</paraID>
      <start>22</start>
      <end>23</end>
      <status>unmodified</status>
      <modifiedWord/>
      <trackRevisions>false</trackRevisions>
    </reviewItem>
    <reviewItem>
      <errorID>ef829121-43b0-456c-9ecf-269f89aa6449</errorID>
      <errorWord>）</errorWord>
      <group>L1_Format</group>
      <groupName>格式问题</groupName>
      <ability>L2_HalfPunc_CN</ability>
      <abilityName/>
      <candidateList>
        <item>)</item>
      </candidateList>
      <explain>文本全半角错误。</explain>
      <paraID>4659ECFA</paraID>
      <start>8</start>
      <end>9</end>
      <status>unmodified</status>
      <modifiedWord/>
      <trackRevisions>false</trackRevisions>
    </reviewItem>
    <reviewItem>
      <errorID>f10ec543-c430-42c9-80f6-60a7c8bd885e</errorID>
      <errorWord>）</errorWord>
      <group>L1_Format</group>
      <groupName>格式问题</groupName>
      <ability>L2_HalfPunc_CN</ability>
      <abilityName/>
      <candidateList>
        <item>)</item>
      </candidateList>
      <explain>文本全半角错误。</explain>
      <paraID>7D63DB90</paraID>
      <start>9</start>
      <end>10</end>
      <status>unmodified</status>
      <modifiedWord/>
      <trackRevisions>false</trackRevisions>
    </reviewItem>
    <reviewItem>
      <errorID>0419ebd9-a6fd-43d0-a55f-6c0e9214a9d8</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6237B916</paraID>
      <start>0</start>
      <end>1</end>
      <status>unmodified</status>
      <modifiedWord/>
      <trackRevisions>false</trackRevisions>
    </reviewItem>
    <reviewItem>
      <errorID>0c41d621-8190-49a9-b1c3-4309e7c97e0b</errorID>
      <errorWord>表面出来</errorWord>
      <group>L1_Word</group>
      <groupName>字词问题</groupName>
      <ability>L2_Typo</ability>
      <abilityName>字词错误</abilityName>
      <candidateList>
        <item>表现出来</item>
      </candidateList>
      <explain/>
      <paraID> E9266DF</paraID>
      <start>106</start>
      <end>110</end>
      <status>unmodified</status>
      <modifiedWord/>
      <trackRevisions>false</trackRevisions>
    </reviewItem>
    <reviewItem>
      <errorID>63b9ce5c-37fd-4ed3-a4ac-82a51154994b</errorID>
      <errorWord>）</errorWord>
      <group>L1_Format</group>
      <groupName>格式问题</groupName>
      <ability>L2_HalfPunc_CN</ability>
      <abilityName/>
      <candidateList>
        <item>)</item>
      </candidateList>
      <explain>文本全半角错误。</explain>
      <paraID>6B6BDCF1</paraID>
      <start>16</start>
      <end>17</end>
      <status>unmodified</status>
      <modifiedWord/>
      <trackRevisions>false</trackRevisions>
    </reviewItem>
    <reviewItem>
      <errorID>25ae0662-9dc5-4731-8f9a-5ebd7a182c45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657DAF9E</paraID>
      <start>133</start>
      <end>134</end>
      <status>unmodified</status>
      <modifiedWord/>
      <trackRevisions>false</trackRevisions>
    </reviewItem>
    <reviewItem>
      <errorID>033c2aac-6a27-4a99-9fb4-8b69baf45b85</errorID>
      <errorWord>托帕</errorWord>
      <group>L1_Word</group>
      <groupName>字词问题</groupName>
      <ability>L2_Typo</ability>
      <abilityName>字词错误</abilityName>
      <candidateList>
        <item>托盘</item>
      </candidateList>
      <explain/>
      <paraID>276C22F3</paraID>
      <start>39</start>
      <end>41</end>
      <status>unmodified</status>
      <modifiedWord/>
      <trackRevisions>false</trackRevisions>
    </reviewItem>
    <reviewItem>
      <errorID>9b8656f7-4e8c-4239-a401-6e5d58bcb849</errorID>
      <errorWord>超</errorWord>
      <group>L1_Word</group>
      <groupName>字词问题</groupName>
      <ability>L2_Typo</ability>
      <abilityName>字词错误</abilityName>
      <candidateList>
        <item>超过</item>
      </candidateList>
      <explain/>
      <paraID> D4A138A</paraID>
      <start>34</start>
      <end>35</end>
      <status>unmodified</status>
      <modifiedWord/>
      <trackRevisions>false</trackRevisions>
    </reviewItem>
    <reviewItem>
      <errorID>1a3c4ac9-c131-437f-a7a3-1c0f3c8f1876</errorID>
      <errorWord>安全岗位责任制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词汇“安全生产责任制”在特定场景下为固定表述形式，请确认此处的“安全岗位责任制”是否存在不当。</explain>
      <paraID>2FEE67F6</paraID>
      <start>43</start>
      <end>50</end>
      <status>unmodified</status>
      <modifiedWord/>
      <trackRevisions>false</trackRevisions>
    </reviewItem>
    <reviewItem>
      <errorID>eae892e1-6071-4dbf-9433-5b8b05bf505f</errorID>
      <errorWord>）</errorWord>
      <group>L1_Punc</group>
      <groupName>标点问题</groupName>
      <ability>L2_Punc_CN</ability>
      <abilityName/>
      <candidateList/>
      <explain>同一形式括号套用。</explain>
      <paraID>79067E42</paraID>
      <start>70</start>
      <end>71</end>
      <status>unmodified</status>
      <modifiedWord/>
      <trackRevisions>false</trackRevisions>
    </reviewItem>
    <reviewItem>
      <errorID>25320fb1-acae-4388-a7a9-9133c458dc33</errorID>
      <errorWord>）</errorWord>
      <group>L1_Punc</group>
      <groupName>标点问题</groupName>
      <ability>L2_Punc_CN</ability>
      <abilityName/>
      <candidateList/>
      <explain>同一形式括号套用。</explain>
      <paraID>581C8235</paraID>
      <start>32</start>
      <end>33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728364-38dd-4d87-85ab-36e6bccaaddc}">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80</Pages>
  <Words>21010</Words>
  <Characters>22887</Characters>
  <Lines>153</Lines>
  <Paragraphs>43</Paragraphs>
  <TotalTime>76</TotalTime>
  <ScaleCrop>false</ScaleCrop>
  <LinksUpToDate>false</LinksUpToDate>
  <CharactersWithSpaces>23009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宝妈</cp:lastModifiedBy>
  <cp:lastPrinted>2020-12-29T02:43:00Z</cp:lastPrinted>
  <dcterms:modified xsi:type="dcterms:W3CDTF">2026-06-30T09:11:45Z</dcterms:modified>
  <dc:title>附件2</dc:title>
  <cp:revision>7254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2BDB8D56DC3C436DB7817A56A02E1CDC_13</vt:lpwstr>
  </property>
  <property fmtid="{D5CDD505-2E9C-101B-9397-08002B2CF9AE}" pid="4" name="KSOTemplateDocerSaveRecord">
    <vt:lpwstr>eyJoZGlkIjoiMDk0MThlYjQ3MzEwZGIyZmRjYzhlM2NhZDVhZTZmMjIiLCJ1c2VySWQiOiI0MzUxOTk5NDUifQ==</vt:lpwstr>
  </property>
</Properties>
</file>