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A4D671">
      <w:pPr>
        <w:ind w:left="0" w:leftChars="0" w:firstLine="0" w:firstLineChars="0"/>
        <w:rPr>
          <w:rFonts w:hint="default" w:ascii="Times New Roman" w:hAnsi="Times New Roman" w:eastAsia="宋体" w:cs="Times New Roman"/>
          <w:color w:val="000000" w:themeColor="text1"/>
          <w:sz w:val="36"/>
          <w:szCs w:val="36"/>
          <w14:textFill>
            <w14:solidFill>
              <w14:schemeClr w14:val="tx1"/>
            </w14:solidFill>
          </w14:textFill>
        </w:rPr>
      </w:pPr>
      <w:bookmarkStart w:id="0" w:name="_Hlk57883707"/>
      <w:bookmarkStart w:id="1" w:name="_Toc14336_WPSOffice_Level1"/>
      <w:bookmarkStart w:id="2" w:name="_Toc24574_WPSOffice_Level1"/>
      <w:bookmarkStart w:id="3" w:name="_Toc485132182"/>
    </w:p>
    <w:bookmarkEnd w:id="0"/>
    <w:p w14:paraId="69BC7974">
      <w:pPr>
        <w:pStyle w:val="23"/>
        <w:ind w:left="0" w:leftChars="0" w:firstLine="0" w:firstLineChars="0"/>
        <w:rPr>
          <w:rFonts w:hint="default" w:ascii="Times New Roman" w:hAnsi="Times New Roman" w:cs="Times New Roman"/>
          <w:color w:val="000000" w:themeColor="text1"/>
          <w14:textFill>
            <w14:solidFill>
              <w14:schemeClr w14:val="tx1"/>
            </w14:solidFill>
          </w14:textFill>
        </w:rPr>
      </w:pPr>
    </w:p>
    <w:p w14:paraId="0D0B16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val="0"/>
          <w:color w:val="000000" w:themeColor="text1"/>
          <w:sz w:val="72"/>
          <w:szCs w:val="72"/>
          <w14:textFill>
            <w14:solidFill>
              <w14:schemeClr w14:val="tx1"/>
            </w14:solidFill>
          </w14:textFill>
        </w:rPr>
      </w:pPr>
      <w:r>
        <w:rPr>
          <w:rFonts w:hint="default" w:ascii="Times New Roman" w:hAnsi="Times New Roman" w:eastAsia="宋体" w:cs="Times New Roman"/>
          <w:b/>
          <w:bCs w:val="0"/>
          <w:color w:val="000000" w:themeColor="text1"/>
          <w:sz w:val="72"/>
          <w:szCs w:val="72"/>
          <w14:textFill>
            <w14:solidFill>
              <w14:schemeClr w14:val="tx1"/>
            </w14:solidFill>
          </w14:textFill>
        </w:rPr>
        <w:t>建设项目环境影响报告表</w:t>
      </w:r>
    </w:p>
    <w:p w14:paraId="461D71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val="0"/>
          <w:color w:val="000000" w:themeColor="text1"/>
          <w:sz w:val="48"/>
          <w:szCs w:val="48"/>
          <w14:textFill>
            <w14:solidFill>
              <w14:schemeClr w14:val="tx1"/>
            </w14:solidFill>
          </w14:textFill>
        </w:rPr>
      </w:pPr>
      <w:r>
        <w:rPr>
          <w:rFonts w:hint="default" w:ascii="Times New Roman" w:hAnsi="Times New Roman" w:eastAsia="宋体" w:cs="Times New Roman"/>
          <w:b/>
          <w:bCs w:val="0"/>
          <w:color w:val="000000" w:themeColor="text1"/>
          <w:sz w:val="48"/>
          <w:szCs w:val="48"/>
          <w14:textFill>
            <w14:solidFill>
              <w14:schemeClr w14:val="tx1"/>
            </w14:solidFill>
          </w14:textFill>
        </w:rPr>
        <w:t>（</w:t>
      </w:r>
      <w:r>
        <w:rPr>
          <w:rFonts w:hint="default" w:ascii="Times New Roman" w:hAnsi="Times New Roman" w:eastAsia="宋体" w:cs="Times New Roman"/>
          <w:b/>
          <w:bCs w:val="0"/>
          <w:color w:val="000000" w:themeColor="text1"/>
          <w:sz w:val="48"/>
          <w:szCs w:val="48"/>
          <w:lang w:val="en-US" w:eastAsia="zh-CN"/>
          <w14:textFill>
            <w14:solidFill>
              <w14:schemeClr w14:val="tx1"/>
            </w14:solidFill>
          </w14:textFill>
        </w:rPr>
        <w:t>污染</w:t>
      </w:r>
      <w:r>
        <w:rPr>
          <w:rFonts w:hint="default" w:ascii="Times New Roman" w:hAnsi="Times New Roman" w:eastAsia="宋体" w:cs="Times New Roman"/>
          <w:b/>
          <w:bCs w:val="0"/>
          <w:color w:val="000000" w:themeColor="text1"/>
          <w:sz w:val="48"/>
          <w:szCs w:val="48"/>
          <w14:textFill>
            <w14:solidFill>
              <w14:schemeClr w14:val="tx1"/>
            </w14:solidFill>
          </w14:textFill>
        </w:rPr>
        <w:t>影响类）</w:t>
      </w:r>
    </w:p>
    <w:p w14:paraId="4A7CC23F">
      <w:pPr>
        <w:ind w:firstLine="480"/>
        <w:rPr>
          <w:rFonts w:hint="default" w:ascii="Times New Roman" w:hAnsi="Times New Roman" w:eastAsia="宋体" w:cs="Times New Roman"/>
          <w:color w:val="000000" w:themeColor="text1"/>
          <w14:textFill>
            <w14:solidFill>
              <w14:schemeClr w14:val="tx1"/>
            </w14:solidFill>
          </w14:textFill>
        </w:rPr>
      </w:pPr>
      <w:bookmarkStart w:id="4" w:name="_Hlk57883728"/>
    </w:p>
    <w:p w14:paraId="63ACE4EF">
      <w:pPr>
        <w:ind w:firstLine="1040"/>
        <w:jc w:val="center"/>
        <w:rPr>
          <w:rFonts w:hint="default" w:ascii="Times New Roman" w:hAnsi="Times New Roman" w:eastAsia="宋体" w:cs="Times New Roman"/>
          <w:color w:val="000000" w:themeColor="text1"/>
          <w:sz w:val="52"/>
          <w:szCs w:val="52"/>
          <w14:textFill>
            <w14:solidFill>
              <w14:schemeClr w14:val="tx1"/>
            </w14:solidFill>
          </w14:textFill>
        </w:rPr>
      </w:pPr>
    </w:p>
    <w:p w14:paraId="6786122C">
      <w:pPr>
        <w:ind w:firstLine="880"/>
        <w:rPr>
          <w:rFonts w:hint="default" w:ascii="Times New Roman" w:hAnsi="Times New Roman" w:eastAsia="宋体" w:cs="Times New Roman"/>
          <w:color w:val="000000" w:themeColor="text1"/>
          <w:sz w:val="44"/>
          <w:szCs w:val="44"/>
          <w14:textFill>
            <w14:solidFill>
              <w14:schemeClr w14:val="tx1"/>
            </w14:solidFill>
          </w14:textFill>
        </w:rPr>
      </w:pPr>
    </w:p>
    <w:p w14:paraId="26899AAC">
      <w:pPr>
        <w:pStyle w:val="23"/>
        <w:rPr>
          <w:rFonts w:hint="default" w:ascii="Times New Roman" w:hAnsi="Times New Roman" w:eastAsia="宋体" w:cs="Times New Roman"/>
          <w:color w:val="000000" w:themeColor="text1"/>
          <w:sz w:val="44"/>
          <w:szCs w:val="44"/>
          <w14:textFill>
            <w14:solidFill>
              <w14:schemeClr w14:val="tx1"/>
            </w14:solidFill>
          </w14:textFill>
        </w:rPr>
      </w:pPr>
    </w:p>
    <w:p w14:paraId="0B10BA4D">
      <w:pPr>
        <w:rPr>
          <w:rFonts w:hint="default" w:ascii="Times New Roman" w:hAnsi="Times New Roman" w:eastAsia="宋体" w:cs="Times New Roman"/>
          <w:color w:val="000000" w:themeColor="text1"/>
          <w:sz w:val="44"/>
          <w:szCs w:val="44"/>
          <w14:textFill>
            <w14:solidFill>
              <w14:schemeClr w14:val="tx1"/>
            </w14:solidFill>
          </w14:textFill>
        </w:rPr>
      </w:pPr>
    </w:p>
    <w:p w14:paraId="7ACE4BA1">
      <w:pPr>
        <w:pStyle w:val="23"/>
        <w:rPr>
          <w:rFonts w:hint="default" w:ascii="Times New Roman" w:hAnsi="Times New Roman" w:cs="Times New Roman"/>
          <w:color w:val="000000" w:themeColor="text1"/>
          <w14:textFill>
            <w14:solidFill>
              <w14:schemeClr w14:val="tx1"/>
            </w14:solidFill>
          </w14:textFill>
        </w:rPr>
      </w:pPr>
    </w:p>
    <w:p w14:paraId="1EE79837">
      <w:pPr>
        <w:ind w:left="0" w:leftChars="0" w:firstLine="0" w:firstLineChars="0"/>
        <w:rPr>
          <w:rFonts w:hint="default" w:ascii="Times New Roman" w:hAnsi="Times New Roman" w:eastAsia="宋体" w:cs="Times New Roman"/>
          <w:color w:val="000000" w:themeColor="text1"/>
          <w:sz w:val="44"/>
          <w:szCs w:val="44"/>
          <w14:textFill>
            <w14:solidFill>
              <w14:schemeClr w14:val="tx1"/>
            </w14:solidFill>
          </w14:textFill>
        </w:rPr>
      </w:pPr>
    </w:p>
    <w:bookmarkEnd w:id="4"/>
    <w:p w14:paraId="20414505">
      <w:pPr>
        <w:keepNext w:val="0"/>
        <w:keepLines w:val="0"/>
        <w:pageBreakBefore w:val="0"/>
        <w:widowControl w:val="0"/>
        <w:kinsoku/>
        <w:wordWrap/>
        <w:overflowPunct/>
        <w:topLinePunct w:val="0"/>
        <w:autoSpaceDE/>
        <w:autoSpaceDN/>
        <w:bidi w:val="0"/>
        <w:adjustRightInd/>
        <w:snapToGrid/>
        <w:spacing w:line="360" w:lineRule="auto"/>
        <w:ind w:left="0" w:leftChars="0" w:firstLine="1687" w:firstLineChars="6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项目名称：</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eastAsia="zh-CN"/>
          <w14:textFill>
            <w14:solidFill>
              <w14:schemeClr w14:val="tx1"/>
            </w14:solidFill>
          </w14:textFill>
        </w:rPr>
        <w:t>石英矿</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石生产线改造</w:t>
      </w:r>
      <w:r>
        <w:rPr>
          <w:rFonts w:hint="default" w:ascii="Times New Roman" w:hAnsi="Times New Roman" w:eastAsia="宋体" w:cs="Times New Roman"/>
          <w:b/>
          <w:bCs/>
          <w:color w:val="000000" w:themeColor="text1"/>
          <w:sz w:val="28"/>
          <w:szCs w:val="28"/>
          <w:u w:val="single"/>
          <w14:textFill>
            <w14:solidFill>
              <w14:schemeClr w14:val="tx1"/>
            </w14:solidFill>
          </w14:textFill>
        </w:rPr>
        <w:t>项目</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45561524">
      <w:pPr>
        <w:keepNext w:val="0"/>
        <w:keepLines w:val="0"/>
        <w:pageBreakBefore w:val="0"/>
        <w:widowControl w:val="0"/>
        <w:kinsoku/>
        <w:wordWrap/>
        <w:overflowPunct/>
        <w:topLinePunct w:val="0"/>
        <w:autoSpaceDE/>
        <w:autoSpaceDN/>
        <w:bidi w:val="0"/>
        <w:adjustRightInd/>
        <w:snapToGrid/>
        <w:spacing w:line="360" w:lineRule="auto"/>
        <w:ind w:left="0" w:leftChars="0" w:firstLine="1687" w:firstLineChars="6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建设单位</w:t>
      </w:r>
      <w:r>
        <w:rPr>
          <w:rFonts w:hint="default" w:ascii="Times New Roman" w:hAnsi="Times New Roman" w:eastAsia="宋体" w:cs="Times New Roman"/>
          <w:b/>
          <w:bCs/>
          <w:color w:val="000000" w:themeColor="text1"/>
          <w:sz w:val="28"/>
          <w:szCs w:val="28"/>
          <w:u w:val="none"/>
          <w14:textFill>
            <w14:solidFill>
              <w14:schemeClr w14:val="tx1"/>
            </w14:solidFill>
          </w14:textFill>
        </w:rPr>
        <w:t>：</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eastAsia="zh-CN"/>
          <w14:textFill>
            <w14:solidFill>
              <w14:schemeClr w14:val="tx1"/>
            </w14:solidFill>
          </w14:textFill>
        </w:rPr>
        <w:t>宝鸡昌锦瑞石英科技有限公司</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48FABA54">
      <w:pPr>
        <w:keepNext w:val="0"/>
        <w:keepLines w:val="0"/>
        <w:pageBreakBefore w:val="0"/>
        <w:widowControl w:val="0"/>
        <w:kinsoku/>
        <w:wordWrap/>
        <w:overflowPunct/>
        <w:topLinePunct w:val="0"/>
        <w:autoSpaceDE/>
        <w:autoSpaceDN/>
        <w:bidi w:val="0"/>
        <w:adjustRightInd/>
        <w:snapToGrid/>
        <w:spacing w:line="360" w:lineRule="auto"/>
        <w:ind w:left="0" w:leftChars="0" w:firstLine="1687" w:firstLineChars="6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编制日期：</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2026</w:t>
      </w:r>
      <w:r>
        <w:rPr>
          <w:rFonts w:hint="default" w:ascii="Times New Roman" w:hAnsi="Times New Roman" w:eastAsia="宋体" w:cs="Times New Roman"/>
          <w:b/>
          <w:bCs/>
          <w:color w:val="000000" w:themeColor="text1"/>
          <w:sz w:val="28"/>
          <w:szCs w:val="28"/>
          <w:u w:val="single"/>
          <w14:textFill>
            <w14:solidFill>
              <w14:schemeClr w14:val="tx1"/>
            </w14:solidFill>
          </w14:textFill>
        </w:rPr>
        <w:t>年</w:t>
      </w:r>
      <w:r>
        <w:rPr>
          <w:rFonts w:hint="eastAsia" w:ascii="Times New Roman" w:hAnsi="Times New Roman" w:cs="Times New Roman"/>
          <w:b/>
          <w:bCs/>
          <w:color w:val="000000" w:themeColor="text1"/>
          <w:sz w:val="28"/>
          <w:szCs w:val="28"/>
          <w:u w:val="single"/>
          <w:lang w:val="en-US" w:eastAsia="zh-CN"/>
          <w14:textFill>
            <w14:solidFill>
              <w14:schemeClr w14:val="tx1"/>
            </w14:solidFill>
          </w14:textFill>
        </w:rPr>
        <w:t>5</w:t>
      </w:r>
      <w:r>
        <w:rPr>
          <w:rFonts w:hint="default" w:ascii="Times New Roman" w:hAnsi="Times New Roman" w:eastAsia="宋体" w:cs="Times New Roman"/>
          <w:b/>
          <w:bCs/>
          <w:color w:val="000000" w:themeColor="text1"/>
          <w:sz w:val="28"/>
          <w:szCs w:val="28"/>
          <w:u w:val="single"/>
          <w14:textFill>
            <w14:solidFill>
              <w14:schemeClr w14:val="tx1"/>
            </w14:solidFill>
          </w14:textFill>
        </w:rPr>
        <w:t>月</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41B3BE32">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6EA3E77A">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4FEC6D4A">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7DA8EA5C">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6EA71E5B">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1DD96366">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3B13E984">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749BB09D">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2D4E89E2">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4F7EE724">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726A3008">
      <w:pPr>
        <w:pStyle w:val="18"/>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0DFA2651">
      <w:pPr>
        <w:rPr>
          <w:rFonts w:hint="default" w:ascii="Times New Roman" w:hAnsi="Times New Roman" w:eastAsia="宋体" w:cs="Times New Roman"/>
          <w:b/>
          <w:bCs/>
          <w:color w:val="000000" w:themeColor="text1"/>
          <w:sz w:val="28"/>
          <w:szCs w:val="28"/>
          <w:u w:val="single"/>
          <w14:textFill>
            <w14:solidFill>
              <w14:schemeClr w14:val="tx1"/>
            </w14:solidFill>
          </w14:textFill>
        </w:rPr>
      </w:pPr>
    </w:p>
    <w:p w14:paraId="7C9907CA">
      <w:pPr>
        <w:pStyle w:val="18"/>
        <w:rPr>
          <w:rFonts w:hint="default" w:ascii="Times New Roman" w:hAnsi="Times New Roman" w:cs="Times New Roman"/>
          <w:color w:val="000000" w:themeColor="text1"/>
          <w14:textFill>
            <w14:solidFill>
              <w14:schemeClr w14:val="tx1"/>
            </w14:solidFill>
          </w14:textFill>
        </w:rPr>
      </w:pPr>
    </w:p>
    <w:p w14:paraId="7FB633D4">
      <w:pPr>
        <w:rPr>
          <w:rFonts w:hint="default" w:ascii="Times New Roman" w:hAnsi="Times New Roman" w:cs="Times New Roman"/>
          <w:color w:val="000000" w:themeColor="text1"/>
          <w:lang w:eastAsia="zh-CN"/>
          <w14:textFill>
            <w14:solidFill>
              <w14:schemeClr w14:val="tx1"/>
            </w14:solidFill>
          </w14:textFill>
        </w:rPr>
      </w:pPr>
    </w:p>
    <w:p w14:paraId="09CA0CD3">
      <w:pPr>
        <w:adjustRightInd w:val="0"/>
        <w:snapToGrid w:val="0"/>
        <w:spacing w:line="288" w:lineRule="auto"/>
        <w:ind w:left="0" w:leftChars="0" w:firstLine="0" w:firstLineChars="0"/>
        <w:jc w:val="center"/>
        <w:rPr>
          <w:rFonts w:hint="default" w:ascii="Times New Roman" w:hAnsi="Times New Roman" w:eastAsia="宋体"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bCs/>
          <w:color w:val="000000" w:themeColor="text1"/>
          <w:sz w:val="28"/>
          <w:szCs w:val="28"/>
          <w14:textFill>
            <w14:solidFill>
              <w14:schemeClr w14:val="tx1"/>
            </w14:solidFill>
          </w14:textFill>
        </w:rPr>
        <w:t>中华人民共和国生态环境部制</w:t>
      </w:r>
    </w:p>
    <w:p w14:paraId="65FE5F5A">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lang w:val="en-US" w:eastAsia="zh-CN"/>
          <w14:textFill>
            <w14:solidFill>
              <w14:schemeClr w14:val="tx1"/>
            </w14:solidFill>
          </w14:textFill>
        </w:rPr>
        <w:t>一、建设项目基本情况</w:t>
      </w:r>
    </w:p>
    <w:tbl>
      <w:tblPr>
        <w:tblStyle w:val="24"/>
        <w:tblW w:w="48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32"/>
        <w:gridCol w:w="1992"/>
        <w:gridCol w:w="2216"/>
        <w:gridCol w:w="3017"/>
      </w:tblGrid>
      <w:tr w14:paraId="6A8CB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6AADADE9">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建设项目名称</w:t>
            </w:r>
          </w:p>
        </w:tc>
        <w:tc>
          <w:tcPr>
            <w:tcW w:w="4078" w:type="pct"/>
            <w:gridSpan w:val="3"/>
            <w:tcBorders>
              <w:tl2br w:val="nil"/>
              <w:tr2bl w:val="nil"/>
            </w:tcBorders>
            <w:noWrap/>
            <w:vAlign w:val="center"/>
          </w:tcPr>
          <w:p w14:paraId="03DEB706">
            <w:pPr>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石英矿石生产线改造项目</w:t>
            </w:r>
          </w:p>
        </w:tc>
      </w:tr>
      <w:tr w14:paraId="207C7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58263E0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项目代码</w:t>
            </w:r>
          </w:p>
        </w:tc>
        <w:tc>
          <w:tcPr>
            <w:tcW w:w="4078" w:type="pct"/>
            <w:gridSpan w:val="3"/>
            <w:tcBorders>
              <w:tl2br w:val="nil"/>
              <w:tr2bl w:val="nil"/>
            </w:tcBorders>
            <w:noWrap/>
            <w:vAlign w:val="center"/>
          </w:tcPr>
          <w:p w14:paraId="57EA1724">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2510-610304-04-02-153304</w:t>
            </w:r>
          </w:p>
        </w:tc>
      </w:tr>
      <w:tr w14:paraId="28C5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605E8A32">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建设地点</w:t>
            </w:r>
          </w:p>
        </w:tc>
        <w:tc>
          <w:tcPr>
            <w:tcW w:w="4078" w:type="pct"/>
            <w:gridSpan w:val="3"/>
            <w:tcBorders>
              <w:tl2br w:val="nil"/>
              <w:tr2bl w:val="nil"/>
            </w:tcBorders>
            <w:noWrap/>
            <w:vAlign w:val="center"/>
          </w:tcPr>
          <w:p w14:paraId="3D1E7608">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宝鸡市陈仓区阳香泉镇麻池村</w:t>
            </w:r>
          </w:p>
        </w:tc>
      </w:tr>
      <w:tr w14:paraId="49A4D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6C8C19A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地理坐标</w:t>
            </w:r>
          </w:p>
        </w:tc>
        <w:tc>
          <w:tcPr>
            <w:tcW w:w="4078" w:type="pct"/>
            <w:gridSpan w:val="3"/>
            <w:tcBorders>
              <w:tl2br w:val="nil"/>
              <w:tr2bl w:val="nil"/>
            </w:tcBorders>
            <w:noWrap/>
            <w:vAlign w:val="center"/>
          </w:tcPr>
          <w:p w14:paraId="1EA403C5">
            <w:pPr>
              <w:jc w:val="center"/>
              <w:rPr>
                <w:rFonts w:hint="default" w:ascii="Times New Roman" w:hAnsi="Times New Roman" w:cs="Times New Roman" w:eastAsiaTheme="minorEastAsia"/>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u w:val="single"/>
                <w14:textFill>
                  <w14:solidFill>
                    <w14:schemeClr w14:val="tx1"/>
                  </w14:solidFill>
                </w14:textFill>
              </w:rPr>
              <w:t>10</w:t>
            </w:r>
            <w:r>
              <w:rPr>
                <w:rFonts w:hint="default"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度</w:t>
            </w:r>
            <w:r>
              <w:rPr>
                <w:rFonts w:hint="default"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分</w:t>
            </w:r>
            <w:r>
              <w:rPr>
                <w:rFonts w:hint="eastAsia"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45.904</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秒，</w:t>
            </w:r>
            <w:r>
              <w:rPr>
                <w:rFonts w:hint="default" w:ascii="Times New Roman" w:hAnsi="Times New Roman" w:cs="Times New Roman" w:eastAsiaTheme="minorEastAsia"/>
                <w:color w:val="000000" w:themeColor="text1"/>
                <w:sz w:val="24"/>
                <w:szCs w:val="32"/>
                <w:highlight w:val="none"/>
                <w:u w:val="single"/>
                <w14:textFill>
                  <w14:solidFill>
                    <w14:schemeClr w14:val="tx1"/>
                  </w14:solidFill>
                </w14:textFill>
              </w:rPr>
              <w:t>34</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度</w:t>
            </w:r>
            <w:r>
              <w:rPr>
                <w:rFonts w:hint="default"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分</w:t>
            </w:r>
            <w:r>
              <w:rPr>
                <w:rFonts w:hint="eastAsia" w:ascii="Times New Roman" w:hAnsi="Times New Roman" w:cs="Times New Roman" w:eastAsiaTheme="minorEastAsia"/>
                <w:color w:val="000000" w:themeColor="text1"/>
                <w:sz w:val="24"/>
                <w:szCs w:val="32"/>
                <w:highlight w:val="none"/>
                <w:u w:val="single"/>
                <w:lang w:val="en-US" w:eastAsia="zh-CN"/>
                <w14:textFill>
                  <w14:solidFill>
                    <w14:schemeClr w14:val="tx1"/>
                  </w14:solidFill>
                </w14:textFill>
              </w:rPr>
              <w:t>26.147</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秒）</w:t>
            </w:r>
          </w:p>
        </w:tc>
      </w:tr>
      <w:tr w14:paraId="2C667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335D57B0">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国民经济</w:t>
            </w:r>
          </w:p>
          <w:p w14:paraId="682537A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行业类别</w:t>
            </w:r>
          </w:p>
        </w:tc>
        <w:tc>
          <w:tcPr>
            <w:tcW w:w="1124" w:type="pct"/>
            <w:tcBorders>
              <w:tl2br w:val="nil"/>
              <w:tr2bl w:val="nil"/>
            </w:tcBorders>
            <w:noWrap/>
            <w:vAlign w:val="center"/>
          </w:tcPr>
          <w:p w14:paraId="5230F127">
            <w:pPr>
              <w:adjustRightInd w:val="0"/>
              <w:snapToGrid w:val="0"/>
              <w:jc w:val="center"/>
              <w:rPr>
                <w:rFonts w:hint="default" w:ascii="Times New Roman" w:hAnsi="Times New Roman" w:cs="Times New Roman" w:eastAsiaTheme="minorEastAsia"/>
                <w:color w:val="000000" w:themeColor="text1"/>
                <w:sz w:val="24"/>
                <w:highlight w:val="none"/>
                <w:lang w:val="en-US"/>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B 1099其他未列明非金属矿采选</w:t>
            </w:r>
          </w:p>
        </w:tc>
        <w:tc>
          <w:tcPr>
            <w:tcW w:w="1251" w:type="pct"/>
            <w:tcBorders>
              <w:tl2br w:val="nil"/>
              <w:tr2bl w:val="nil"/>
            </w:tcBorders>
            <w:noWrap/>
            <w:vAlign w:val="center"/>
          </w:tcPr>
          <w:p w14:paraId="5C28FC7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bookmarkStart w:id="5" w:name="_Hlk49843745"/>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w:t>
            </w:r>
          </w:p>
          <w:p w14:paraId="1FC4EBF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行业类别</w:t>
            </w:r>
            <w:bookmarkEnd w:id="5"/>
          </w:p>
        </w:tc>
        <w:tc>
          <w:tcPr>
            <w:tcW w:w="1703" w:type="pct"/>
            <w:tcBorders>
              <w:tl2br w:val="nil"/>
              <w:tr2bl w:val="nil"/>
            </w:tcBorders>
            <w:noWrap/>
            <w:vAlign w:val="center"/>
          </w:tcPr>
          <w:p w14:paraId="3AFC53B5">
            <w:pPr>
              <w:widowControl/>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八</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、非金属矿</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采选</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业 </w:t>
            </w:r>
          </w:p>
          <w:p w14:paraId="0DBD9F0A">
            <w:pPr>
              <w:widowControl/>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石棉及其他非金属矿采选109</w:t>
            </w:r>
          </w:p>
        </w:tc>
      </w:tr>
      <w:tr w14:paraId="570DD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279EF5D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建设性质</w:t>
            </w:r>
          </w:p>
        </w:tc>
        <w:tc>
          <w:tcPr>
            <w:tcW w:w="1124" w:type="pct"/>
            <w:tcBorders>
              <w:tl2br w:val="nil"/>
              <w:tr2bl w:val="nil"/>
            </w:tcBorders>
            <w:noWrap/>
            <w:vAlign w:val="center"/>
          </w:tcPr>
          <w:p w14:paraId="599E7D23">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新建（迁建）</w:t>
            </w:r>
          </w:p>
          <w:p w14:paraId="05A310A1">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改建</w:t>
            </w:r>
          </w:p>
          <w:p w14:paraId="7E2521BA">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扩建</w:t>
            </w:r>
          </w:p>
          <w:p w14:paraId="6E0EE1E0">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技术改造</w:t>
            </w:r>
          </w:p>
        </w:tc>
        <w:tc>
          <w:tcPr>
            <w:tcW w:w="1251" w:type="pct"/>
            <w:tcBorders>
              <w:tl2br w:val="nil"/>
              <w:tr2bl w:val="nil"/>
            </w:tcBorders>
            <w:noWrap/>
            <w:vAlign w:val="center"/>
          </w:tcPr>
          <w:p w14:paraId="0F5F828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w:t>
            </w:r>
          </w:p>
          <w:p w14:paraId="290E9CD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申报情形</w:t>
            </w:r>
          </w:p>
        </w:tc>
        <w:tc>
          <w:tcPr>
            <w:tcW w:w="1703" w:type="pct"/>
            <w:tcBorders>
              <w:tl2br w:val="nil"/>
              <w:tr2bl w:val="nil"/>
            </w:tcBorders>
            <w:noWrap/>
            <w:vAlign w:val="center"/>
          </w:tcPr>
          <w:p w14:paraId="5B4D5F8D">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☑首次申报项目             </w:t>
            </w:r>
          </w:p>
          <w:p w14:paraId="759E6C2B">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□不予批准后再次申报项目</w:t>
            </w:r>
          </w:p>
          <w:p w14:paraId="34D0E488">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□超五年重新审核项目     </w:t>
            </w:r>
          </w:p>
          <w:p w14:paraId="4ED28414">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□重大变动重新报批项目</w:t>
            </w:r>
          </w:p>
        </w:tc>
      </w:tr>
      <w:tr w14:paraId="375FF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280714CB">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项目审批</w:t>
            </w:r>
          </w:p>
          <w:p w14:paraId="4B41E5D7">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（核准/备案）</w:t>
            </w:r>
          </w:p>
          <w:p w14:paraId="242A0A9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部门</w:t>
            </w:r>
          </w:p>
        </w:tc>
        <w:tc>
          <w:tcPr>
            <w:tcW w:w="1124" w:type="pct"/>
            <w:tcBorders>
              <w:tl2br w:val="nil"/>
              <w:tr2bl w:val="nil"/>
            </w:tcBorders>
            <w:noWrap/>
            <w:vAlign w:val="center"/>
          </w:tcPr>
          <w:p w14:paraId="587A2F4A">
            <w:pPr>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宝鸡市陈仓区发展和改革局</w:t>
            </w:r>
          </w:p>
        </w:tc>
        <w:tc>
          <w:tcPr>
            <w:tcW w:w="1251" w:type="pct"/>
            <w:tcBorders>
              <w:tl2br w:val="nil"/>
              <w:tr2bl w:val="nil"/>
            </w:tcBorders>
            <w:noWrap/>
            <w:vAlign w:val="center"/>
          </w:tcPr>
          <w:p w14:paraId="1543A96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项目审批</w:t>
            </w:r>
          </w:p>
          <w:p w14:paraId="553AD89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（核准/备案）文号</w:t>
            </w:r>
          </w:p>
        </w:tc>
        <w:tc>
          <w:tcPr>
            <w:tcW w:w="1703" w:type="pct"/>
            <w:tcBorders>
              <w:tl2br w:val="nil"/>
              <w:tr2bl w:val="nil"/>
            </w:tcBorders>
            <w:noWrap/>
            <w:vAlign w:val="center"/>
          </w:tcPr>
          <w:p w14:paraId="48D69D3E">
            <w:pPr>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w:t>
            </w:r>
          </w:p>
        </w:tc>
      </w:tr>
      <w:tr w14:paraId="1F82A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1C3A20B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总投资（万元）</w:t>
            </w:r>
          </w:p>
        </w:tc>
        <w:tc>
          <w:tcPr>
            <w:tcW w:w="1124" w:type="pct"/>
            <w:tcBorders>
              <w:tl2br w:val="nil"/>
              <w:tr2bl w:val="nil"/>
            </w:tcBorders>
            <w:noWrap/>
            <w:vAlign w:val="center"/>
          </w:tcPr>
          <w:p w14:paraId="0D992471">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50</w:t>
            </w:r>
          </w:p>
        </w:tc>
        <w:tc>
          <w:tcPr>
            <w:tcW w:w="1251" w:type="pct"/>
            <w:tcBorders>
              <w:tl2br w:val="nil"/>
              <w:tr2bl w:val="nil"/>
            </w:tcBorders>
            <w:noWrap/>
            <w:tcMar>
              <w:top w:w="16" w:type="dxa"/>
              <w:left w:w="16" w:type="dxa"/>
              <w:right w:w="16" w:type="dxa"/>
            </w:tcMar>
            <w:vAlign w:val="center"/>
          </w:tcPr>
          <w:p w14:paraId="1DD164E1">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环保投资（万元）</w:t>
            </w:r>
          </w:p>
        </w:tc>
        <w:tc>
          <w:tcPr>
            <w:tcW w:w="1703" w:type="pct"/>
            <w:tcBorders>
              <w:tl2br w:val="nil"/>
              <w:tr2bl w:val="nil"/>
            </w:tcBorders>
            <w:noWrap/>
            <w:vAlign w:val="center"/>
          </w:tcPr>
          <w:p w14:paraId="459CBBA5">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10</w:t>
            </w:r>
          </w:p>
        </w:tc>
      </w:tr>
      <w:tr w14:paraId="7D56C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2B4FE89B">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环保投资占比</w:t>
            </w:r>
          </w:p>
          <w:p w14:paraId="0B079534">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w:t>
            </w:r>
          </w:p>
        </w:tc>
        <w:tc>
          <w:tcPr>
            <w:tcW w:w="1124" w:type="pct"/>
            <w:tcBorders>
              <w:tl2br w:val="nil"/>
              <w:tr2bl w:val="nil"/>
            </w:tcBorders>
            <w:noWrap/>
            <w:vAlign w:val="center"/>
          </w:tcPr>
          <w:p w14:paraId="213ED831">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tc>
        <w:tc>
          <w:tcPr>
            <w:tcW w:w="1251" w:type="pct"/>
            <w:tcBorders>
              <w:tl2br w:val="nil"/>
              <w:tr2bl w:val="nil"/>
            </w:tcBorders>
            <w:noWrap/>
            <w:tcMar>
              <w:top w:w="16" w:type="dxa"/>
              <w:left w:w="16" w:type="dxa"/>
              <w:right w:w="16" w:type="dxa"/>
            </w:tcMar>
            <w:vAlign w:val="center"/>
          </w:tcPr>
          <w:p w14:paraId="3C9C1CF7">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施工工期（月）</w:t>
            </w:r>
          </w:p>
        </w:tc>
        <w:tc>
          <w:tcPr>
            <w:tcW w:w="1703" w:type="pct"/>
            <w:tcBorders>
              <w:tl2br w:val="nil"/>
              <w:tr2bl w:val="nil"/>
            </w:tcBorders>
            <w:noWrap/>
            <w:vAlign w:val="center"/>
          </w:tcPr>
          <w:p w14:paraId="372E6C3F">
            <w:pPr>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3</w:t>
            </w:r>
          </w:p>
        </w:tc>
      </w:tr>
      <w:tr w14:paraId="63546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21" w:type="pct"/>
            <w:tcBorders>
              <w:tl2br w:val="nil"/>
              <w:tr2bl w:val="nil"/>
            </w:tcBorders>
            <w:noWrap/>
            <w:tcMar>
              <w:top w:w="16" w:type="dxa"/>
              <w:left w:w="16" w:type="dxa"/>
              <w:right w:w="16" w:type="dxa"/>
            </w:tcMar>
            <w:vAlign w:val="center"/>
          </w:tcPr>
          <w:p w14:paraId="06B2A98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是否开工建设</w:t>
            </w:r>
          </w:p>
        </w:tc>
        <w:tc>
          <w:tcPr>
            <w:tcW w:w="1124" w:type="pct"/>
            <w:tcBorders>
              <w:tl2br w:val="nil"/>
              <w:tr2bl w:val="nil"/>
            </w:tcBorders>
            <w:noWrap/>
            <w:vAlign w:val="center"/>
          </w:tcPr>
          <w:p w14:paraId="31AA7451">
            <w:pP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否</w:t>
            </w:r>
          </w:p>
          <w:p w14:paraId="0DC806A2">
            <w:pPr>
              <w:widowControl/>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是</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项目生产设备已到场安装，但未投产。宝鸡市生态环境局陈仓分局已于2026年6月5日对该违法行为进行处罚，建设单位已于处罚当日缴纳罚款。</w:t>
            </w:r>
          </w:p>
        </w:tc>
        <w:tc>
          <w:tcPr>
            <w:tcW w:w="1251" w:type="pct"/>
            <w:tcBorders>
              <w:tl2br w:val="nil"/>
              <w:tr2bl w:val="nil"/>
            </w:tcBorders>
            <w:noWrap/>
            <w:tcMar>
              <w:top w:w="16" w:type="dxa"/>
              <w:left w:w="16" w:type="dxa"/>
              <w:right w:w="16" w:type="dxa"/>
            </w:tcMar>
            <w:vAlign w:val="center"/>
          </w:tcPr>
          <w:p w14:paraId="209C8400">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用地（用海）</w:t>
            </w:r>
          </w:p>
          <w:p w14:paraId="46C9424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面积（m</w:t>
            </w:r>
            <w:r>
              <w:rPr>
                <w:rFonts w:hint="default" w:ascii="Times New Roman" w:hAnsi="Times New Roman" w:cs="Times New Roman" w:eastAsiaTheme="minorEastAsia"/>
                <w:b/>
                <w:bCs/>
                <w:color w:val="000000" w:themeColor="text1"/>
                <w:sz w:val="24"/>
                <w:highlight w:val="none"/>
                <w:vertAlign w:val="superscript"/>
                <w14:textFill>
                  <w14:solidFill>
                    <w14:schemeClr w14:val="tx1"/>
                  </w14:solidFill>
                </w14:textFill>
              </w:rPr>
              <w:t>2</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w:t>
            </w:r>
          </w:p>
        </w:tc>
        <w:tc>
          <w:tcPr>
            <w:tcW w:w="1703" w:type="pct"/>
            <w:tcBorders>
              <w:tl2br w:val="nil"/>
              <w:tr2bl w:val="nil"/>
            </w:tcBorders>
            <w:noWrap/>
            <w:vAlign w:val="center"/>
          </w:tcPr>
          <w:p w14:paraId="67B5964D">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不新增占地</w:t>
            </w:r>
          </w:p>
        </w:tc>
      </w:tr>
      <w:tr w14:paraId="3B2C5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pct"/>
            <w:tcBorders>
              <w:tl2br w:val="nil"/>
              <w:tr2bl w:val="nil"/>
            </w:tcBorders>
            <w:noWrap/>
            <w:vAlign w:val="center"/>
          </w:tcPr>
          <w:p w14:paraId="0528D28B">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专项评价</w:t>
            </w:r>
          </w:p>
          <w:p w14:paraId="4FD4634C">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设置情况</w:t>
            </w:r>
          </w:p>
        </w:tc>
        <w:tc>
          <w:tcPr>
            <w:tcW w:w="4078" w:type="pct"/>
            <w:gridSpan w:val="3"/>
            <w:tcBorders>
              <w:tl2br w:val="nil"/>
              <w:tr2bl w:val="nil"/>
            </w:tcBorders>
            <w:noWrap/>
            <w:vAlign w:val="center"/>
          </w:tcPr>
          <w:p w14:paraId="7C35E8B7">
            <w:pPr>
              <w:spacing w:line="360" w:lineRule="auto"/>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无</w:t>
            </w:r>
          </w:p>
        </w:tc>
      </w:tr>
      <w:tr w14:paraId="3CFD3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21" w:type="pct"/>
            <w:tcBorders>
              <w:tl2br w:val="nil"/>
              <w:tr2bl w:val="nil"/>
            </w:tcBorders>
            <w:noWrap/>
            <w:vAlign w:val="center"/>
          </w:tcPr>
          <w:p w14:paraId="712840FE">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规划情况</w:t>
            </w:r>
          </w:p>
        </w:tc>
        <w:tc>
          <w:tcPr>
            <w:tcW w:w="4078" w:type="pct"/>
            <w:gridSpan w:val="3"/>
            <w:tcBorders>
              <w:tl2br w:val="nil"/>
              <w:tr2bl w:val="nil"/>
            </w:tcBorders>
            <w:noWrap/>
            <w:vAlign w:val="center"/>
          </w:tcPr>
          <w:p w14:paraId="3F129F87">
            <w:pPr>
              <w:spacing w:line="360" w:lineRule="auto"/>
              <w:jc w:val="cente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无</w:t>
            </w:r>
          </w:p>
        </w:tc>
      </w:tr>
      <w:tr w14:paraId="3EB71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21" w:type="pct"/>
            <w:tcBorders>
              <w:tl2br w:val="nil"/>
              <w:tr2bl w:val="nil"/>
            </w:tcBorders>
            <w:noWrap/>
            <w:vAlign w:val="center"/>
          </w:tcPr>
          <w:p w14:paraId="08F1023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规划环境影响评价情况</w:t>
            </w:r>
          </w:p>
        </w:tc>
        <w:tc>
          <w:tcPr>
            <w:tcW w:w="4078" w:type="pct"/>
            <w:gridSpan w:val="3"/>
            <w:tcBorders>
              <w:tl2br w:val="nil"/>
              <w:tr2bl w:val="nil"/>
            </w:tcBorders>
            <w:noWrap/>
            <w:vAlign w:val="center"/>
          </w:tcPr>
          <w:p w14:paraId="1E9BE642">
            <w:pPr>
              <w:spacing w:line="360" w:lineRule="auto"/>
              <w:jc w:val="cente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无</w:t>
            </w:r>
          </w:p>
        </w:tc>
      </w:tr>
      <w:tr w14:paraId="0E6A9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921" w:type="pct"/>
            <w:tcBorders>
              <w:tl2br w:val="nil"/>
              <w:tr2bl w:val="nil"/>
            </w:tcBorders>
            <w:noWrap/>
            <w:vAlign w:val="center"/>
          </w:tcPr>
          <w:p w14:paraId="6FC4B4E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规划及规划环境影响评价符合性分析</w:t>
            </w:r>
          </w:p>
        </w:tc>
        <w:tc>
          <w:tcPr>
            <w:tcW w:w="4078" w:type="pct"/>
            <w:gridSpan w:val="3"/>
            <w:tcBorders>
              <w:tl2br w:val="nil"/>
              <w:tr2bl w:val="nil"/>
            </w:tcBorders>
            <w:noWrap/>
            <w:vAlign w:val="center"/>
          </w:tcPr>
          <w:p w14:paraId="6C8C9D3F">
            <w:pPr>
              <w:jc w:val="cente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无</w:t>
            </w:r>
          </w:p>
        </w:tc>
      </w:tr>
      <w:tr w14:paraId="22AF3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pct"/>
            <w:tcBorders>
              <w:tl2br w:val="nil"/>
              <w:tr2bl w:val="nil"/>
            </w:tcBorders>
            <w:noWrap/>
            <w:vAlign w:val="center"/>
          </w:tcPr>
          <w:p w14:paraId="7C11954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其他</w:t>
            </w:r>
          </w:p>
          <w:p w14:paraId="10071C7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符合性分析</w:t>
            </w:r>
          </w:p>
        </w:tc>
        <w:tc>
          <w:tcPr>
            <w:tcW w:w="4078" w:type="pct"/>
            <w:gridSpan w:val="3"/>
            <w:tcBorders>
              <w:tl2br w:val="nil"/>
              <w:tr2bl w:val="nil"/>
            </w:tcBorders>
            <w:noWrap/>
            <w:vAlign w:val="center"/>
          </w:tcPr>
          <w:p w14:paraId="590CF8F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1.项目与“三线一单”的符合性分析</w:t>
            </w:r>
          </w:p>
          <w:p w14:paraId="7327E376">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根据生态环境部《关于以改善环境质量为核心加强环境影响评价管理的通知》</w:t>
            </w:r>
            <w:r>
              <w:rPr>
                <w:rFonts w:hint="default" w:ascii="Times New Roman" w:hAnsi="Times New Roman" w:cs="Times New Roman"/>
                <w:color w:val="000000" w:themeColor="text1"/>
                <w:sz w:val="24"/>
                <w:highlight w:val="none"/>
                <w:lang w:val="en-US" w:eastAsia="zh-CN"/>
                <w14:textFill>
                  <w14:solidFill>
                    <w14:schemeClr w14:val="tx1"/>
                  </w14:solidFill>
                </w14:textFill>
              </w:rPr>
              <w:t>（环评〔2016〕150号）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要求，切实加强环境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6516C53B">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根据陕西省生态环境厅陕环办发</w:t>
            </w:r>
            <w:r>
              <w:rPr>
                <w:rFonts w:hint="default" w:ascii="Times New Roman" w:hAnsi="Times New Roman" w:cs="Times New Roman"/>
                <w:color w:val="000000" w:themeColor="text1"/>
                <w:sz w:val="24"/>
                <w:highlight w:val="none"/>
                <w:lang w:val="en-US" w:eastAsia="zh-CN"/>
                <w14:textFill>
                  <w14:solidFill>
                    <w14:schemeClr w14:val="tx1"/>
                  </w14:solidFill>
                </w14:textFill>
              </w:rPr>
              <w:t>〔2022〕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76号文件《陕西省“三线一单”生态环境分区管理应用技术指南》：环境影响评价（试行）的通知，进行建设项目与“三线一单”生态环境分区管控符合性分析，采用一图、一表、一说明的形式表达。</w:t>
            </w:r>
          </w:p>
          <w:p w14:paraId="7EC6E0E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本项目通过陕西省“三线一单”数据应用分析平台（V1.0）冲突分析可知，其建设范围全部位于生态环境管控的一般管控单元。不涉及优先保护单元。</w:t>
            </w:r>
          </w:p>
          <w:p w14:paraId="1F519C1B">
            <w:pPr>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环境管控单元涉及情况一览表</w:t>
            </w:r>
          </w:p>
          <w:tbl>
            <w:tblPr>
              <w:tblStyle w:val="24"/>
              <w:tblW w:w="7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690"/>
              <w:gridCol w:w="2321"/>
            </w:tblGrid>
            <w:tr w14:paraId="2C31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2108" w:type="dxa"/>
                  <w:tcBorders>
                    <w:tl2br w:val="nil"/>
                    <w:tr2bl w:val="nil"/>
                  </w:tcBorders>
                  <w:noWrap w:val="0"/>
                  <w:vAlign w:val="center"/>
                </w:tcPr>
                <w:p w14:paraId="0E222847">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环境管控单元分类</w:t>
                  </w:r>
                </w:p>
              </w:tc>
              <w:tc>
                <w:tcPr>
                  <w:tcW w:w="2690" w:type="dxa"/>
                  <w:tcBorders>
                    <w:tl2br w:val="nil"/>
                    <w:tr2bl w:val="nil"/>
                  </w:tcBorders>
                  <w:noWrap w:val="0"/>
                  <w:vAlign w:val="center"/>
                </w:tcPr>
                <w:p w14:paraId="3E199F45">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是否涉及</w:t>
                  </w:r>
                </w:p>
              </w:tc>
              <w:tc>
                <w:tcPr>
                  <w:tcW w:w="2321" w:type="dxa"/>
                  <w:tcBorders>
                    <w:tl2br w:val="nil"/>
                    <w:tr2bl w:val="nil"/>
                  </w:tcBorders>
                  <w:noWrap w:val="0"/>
                  <w:vAlign w:val="center"/>
                </w:tcPr>
                <w:p w14:paraId="60458604">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面积</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长度</w:t>
                  </w:r>
                </w:p>
              </w:tc>
            </w:tr>
            <w:tr w14:paraId="7312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08" w:type="dxa"/>
                  <w:tcBorders>
                    <w:tl2br w:val="nil"/>
                    <w:tr2bl w:val="nil"/>
                  </w:tcBorders>
                  <w:noWrap w:val="0"/>
                  <w:vAlign w:val="center"/>
                </w:tcPr>
                <w:p w14:paraId="7C160678">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优先保护单元</w:t>
                  </w:r>
                </w:p>
              </w:tc>
              <w:tc>
                <w:tcPr>
                  <w:tcW w:w="2690" w:type="dxa"/>
                  <w:tcBorders>
                    <w:tl2br w:val="nil"/>
                    <w:tr2bl w:val="nil"/>
                  </w:tcBorders>
                  <w:noWrap w:val="0"/>
                  <w:vAlign w:val="center"/>
                </w:tcPr>
                <w:p w14:paraId="5137B0AF">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否</w:t>
                  </w:r>
                </w:p>
              </w:tc>
              <w:tc>
                <w:tcPr>
                  <w:tcW w:w="2321" w:type="dxa"/>
                  <w:tcBorders>
                    <w:tl2br w:val="nil"/>
                    <w:tr2bl w:val="nil"/>
                  </w:tcBorders>
                  <w:noWrap w:val="0"/>
                  <w:vAlign w:val="center"/>
                </w:tcPr>
                <w:p w14:paraId="7A8AFC62">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eastAsia="zh-CN"/>
                      <w14:textFill>
                        <w14:solidFill>
                          <w14:schemeClr w14:val="tx1"/>
                        </w14:solidFill>
                      </w14:textFill>
                    </w:rPr>
                    <w:t>平方米</w:t>
                  </w:r>
                </w:p>
              </w:tc>
            </w:tr>
            <w:tr w14:paraId="62F7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08" w:type="dxa"/>
                  <w:tcBorders>
                    <w:tl2br w:val="nil"/>
                    <w:tr2bl w:val="nil"/>
                  </w:tcBorders>
                  <w:noWrap w:val="0"/>
                  <w:vAlign w:val="center"/>
                </w:tcPr>
                <w:p w14:paraId="6376ECC9">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重点管控单元</w:t>
                  </w:r>
                </w:p>
              </w:tc>
              <w:tc>
                <w:tcPr>
                  <w:tcW w:w="2690" w:type="dxa"/>
                  <w:tcBorders>
                    <w:tl2br w:val="nil"/>
                    <w:tr2bl w:val="nil"/>
                  </w:tcBorders>
                  <w:noWrap w:val="0"/>
                  <w:vAlign w:val="center"/>
                </w:tcPr>
                <w:p w14:paraId="6CBC1658">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是</w:t>
                  </w:r>
                </w:p>
              </w:tc>
              <w:tc>
                <w:tcPr>
                  <w:tcW w:w="2321" w:type="dxa"/>
                  <w:tcBorders>
                    <w:tl2br w:val="nil"/>
                    <w:tr2bl w:val="nil"/>
                  </w:tcBorders>
                  <w:noWrap w:val="0"/>
                  <w:vAlign w:val="center"/>
                </w:tcPr>
                <w:p w14:paraId="0BAB3EE2">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eastAsia="zh-CN"/>
                      <w14:textFill>
                        <w14:solidFill>
                          <w14:schemeClr w14:val="tx1"/>
                        </w14:solidFill>
                      </w14:textFill>
                    </w:rPr>
                    <w:t>平方米</w:t>
                  </w:r>
                </w:p>
              </w:tc>
            </w:tr>
            <w:tr w14:paraId="6A2D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08" w:type="dxa"/>
                  <w:tcBorders>
                    <w:tl2br w:val="nil"/>
                    <w:tr2bl w:val="nil"/>
                  </w:tcBorders>
                  <w:noWrap w:val="0"/>
                  <w:vAlign w:val="center"/>
                </w:tcPr>
                <w:p w14:paraId="7910E45C">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一般管控单元</w:t>
                  </w:r>
                </w:p>
              </w:tc>
              <w:tc>
                <w:tcPr>
                  <w:tcW w:w="2690" w:type="dxa"/>
                  <w:tcBorders>
                    <w:tl2br w:val="nil"/>
                    <w:tr2bl w:val="nil"/>
                  </w:tcBorders>
                  <w:noWrap w:val="0"/>
                  <w:vAlign w:val="center"/>
                </w:tcPr>
                <w:p w14:paraId="520CC908">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否</w:t>
                  </w:r>
                </w:p>
              </w:tc>
              <w:tc>
                <w:tcPr>
                  <w:tcW w:w="2321" w:type="dxa"/>
                  <w:tcBorders>
                    <w:tl2br w:val="nil"/>
                    <w:tr2bl w:val="nil"/>
                  </w:tcBorders>
                  <w:noWrap w:val="0"/>
                  <w:vAlign w:val="center"/>
                </w:tcPr>
                <w:p w14:paraId="2283BEBE">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3506</w:t>
                  </w:r>
                  <w:r>
                    <w:rPr>
                      <w:rFonts w:hint="default" w:ascii="Times New Roman" w:hAnsi="Times New Roman" w:cs="Times New Roman"/>
                      <w:color w:val="000000" w:themeColor="text1"/>
                      <w:sz w:val="21"/>
                      <w:szCs w:val="21"/>
                      <w:highlight w:val="none"/>
                      <w:lang w:eastAsia="zh-CN"/>
                      <w14:textFill>
                        <w14:solidFill>
                          <w14:schemeClr w14:val="tx1"/>
                        </w14:solidFill>
                      </w14:textFill>
                    </w:rPr>
                    <w:t>平方米</w:t>
                  </w:r>
                </w:p>
              </w:tc>
            </w:tr>
          </w:tbl>
          <w:p w14:paraId="49617A91">
            <w:pPr>
              <w:spacing w:line="360" w:lineRule="auto"/>
              <w:ind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（1）“一图”</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：空间冲突附</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p>
          <w:p w14:paraId="69D12186">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根据陕西省“三线一单”数据应用分析平台（V1.0）冲突分析形成空间冲突附图，图中所示本项目位于一般管控单元。管控单元对照空间冲突附图如下。</w:t>
            </w:r>
          </w:p>
          <w:p w14:paraId="58956DF1">
            <w:pPr>
              <w:spacing w:line="360" w:lineRule="auto"/>
              <w:ind w:firstLine="420" w:firstLineChars="200"/>
              <w:jc w:val="center"/>
              <w:rPr>
                <w:rFonts w:hint="default" w:ascii="Times New Roman" w:hAnsi="Times New Roman" w:eastAsia="宋体" w:cs="Times New Roman"/>
                <w:color w:val="000000" w:themeColor="text1"/>
                <w:sz w:val="21"/>
                <w:highlight w:val="none"/>
                <w:lang w:eastAsia="zh-CN"/>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1219835</wp:posOffset>
                      </wp:positionH>
                      <wp:positionV relativeFrom="paragraph">
                        <wp:posOffset>1503680</wp:posOffset>
                      </wp:positionV>
                      <wp:extent cx="295275" cy="266700"/>
                      <wp:effectExtent l="33655" t="27305" r="33020" b="29845"/>
                      <wp:wrapNone/>
                      <wp:docPr id="7" name="十字星 7"/>
                      <wp:cNvGraphicFramePr/>
                      <a:graphic xmlns:a="http://schemas.openxmlformats.org/drawingml/2006/main">
                        <a:graphicData uri="http://schemas.microsoft.com/office/word/2010/wordprocessingShape">
                          <wps:wsp>
                            <wps:cNvSpPr/>
                            <wps:spPr>
                              <a:xfrm>
                                <a:off x="4294505" y="5483225"/>
                                <a:ext cx="295275" cy="266700"/>
                              </a:xfrm>
                              <a:prstGeom prst="star4">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96.05pt;margin-top:118.4pt;height:21pt;width:23.25pt;z-index:251666432;v-text-anchor:middle;mso-width-relative:page;mso-height-relative:page;" fillcolor="#5B9BD5 [3204]" filled="t" stroked="t" coordsize="21600,21600" o:gfxdata="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J4NM9oAAAALAQAA&#10;DwAAAAAAAAABACAAAAAiAAAAZHJzL2Rvd25yZXYueG1sUEsBAhQAFAAAAAgAh07iQKXoYIyJAgAA&#10;AwUAAA4AAAAAAAAAAQAgAAAAKQEAAGRycy9lMm9Eb2MueG1sUEsFBgAAAAAGAAYAWQEAACQGAAAA&#10;AA==&#10;" adj="8100">
                      <v:fill on="t" focussize="0,0"/>
                      <v:stroke weight="1pt" color="#FF0000 [2404]" miterlimit="8" joinstyle="miter"/>
                      <v:imagedata o:title=""/>
                      <o:lock v:ext="edit" aspectratio="f"/>
                    </v:shape>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1373505</wp:posOffset>
                      </wp:positionH>
                      <wp:positionV relativeFrom="paragraph">
                        <wp:posOffset>1644650</wp:posOffset>
                      </wp:positionV>
                      <wp:extent cx="608965" cy="304800"/>
                      <wp:effectExtent l="0" t="0" r="0" b="0"/>
                      <wp:wrapNone/>
                      <wp:docPr id="8" name="文本框 8"/>
                      <wp:cNvGraphicFramePr/>
                      <a:graphic xmlns:a="http://schemas.openxmlformats.org/drawingml/2006/main">
                        <a:graphicData uri="http://schemas.microsoft.com/office/word/2010/wordprocessingShape">
                          <wps:wsp>
                            <wps:cNvSpPr txBox="1"/>
                            <wps:spPr>
                              <a:xfrm>
                                <a:off x="3770630" y="6130925"/>
                                <a:ext cx="60896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0EFA7">
                                  <w:pPr>
                                    <w:rPr>
                                      <w:rFonts w:hint="eastAsia" w:eastAsia="宋体"/>
                                      <w:lang w:val="en-US" w:eastAsia="zh-CN"/>
                                    </w:rPr>
                                  </w:pPr>
                                  <w:r>
                                    <w:rPr>
                                      <w:rFonts w:hint="eastAsia" w:eastAsia="宋体"/>
                                      <w:lang w:val="en-US"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15pt;margin-top:129.5pt;height:24pt;width:47.95pt;z-index:251667456;mso-width-relative:page;mso-height-relative:page;" filled="f" stroked="f" coordsize="21600,21600" o:gfxdata="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ztZf2wAAAAsBAAAPAAAAAAAA&#10;AAEAIAAAACIAAABkcnMvZG93bnJldi54bWxQSwECFAAUAAAACACHTuJAH+MbB0gCAABxBAAADgAA&#10;AAAAAAABACAAAAAqAQAAZHJzL2Uyb0RvYy54bWxQSwUGAAAAAAYABgBZAQAA5AUAAAAA&#10;">
                      <v:fill on="f" focussize="0,0"/>
                      <v:stroke on="f" weight="0.5pt"/>
                      <v:imagedata o:title=""/>
                      <o:lock v:ext="edit" aspectratio="f"/>
                      <v:textbox>
                        <w:txbxContent>
                          <w:p w14:paraId="0890EFA7">
                            <w:pPr>
                              <w:rPr>
                                <w:rFonts w:hint="eastAsia" w:eastAsia="宋体"/>
                                <w:lang w:val="en-US" w:eastAsia="zh-CN"/>
                              </w:rPr>
                            </w:pPr>
                            <w:r>
                              <w:rPr>
                                <w:rFonts w:hint="eastAsia" w:eastAsia="宋体"/>
                                <w:lang w:val="en-US" w:eastAsia="zh-CN"/>
                              </w:rPr>
                              <w:t>项目地</w:t>
                            </w:r>
                          </w:p>
                        </w:txbxContent>
                      </v:textbox>
                    </v:shape>
                  </w:pict>
                </mc:Fallback>
              </mc:AlternateContent>
            </w:r>
            <w:r>
              <w:rPr>
                <w:rFonts w:hint="default" w:ascii="Times New Roman" w:hAnsi="Times New Roman" w:cs="Times New Roman"/>
                <w:color w:val="000000" w:themeColor="text1"/>
                <w:sz w:val="2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3210560</wp:posOffset>
                  </wp:positionH>
                  <wp:positionV relativeFrom="paragraph">
                    <wp:posOffset>192405</wp:posOffset>
                  </wp:positionV>
                  <wp:extent cx="363220" cy="479425"/>
                  <wp:effectExtent l="0" t="0" r="17780" b="15875"/>
                  <wp:wrapNone/>
                  <wp:docPr id="6" name="图片 6" descr="172562820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5628202816(1)"/>
                          <pic:cNvPicPr>
                            <a:picLocks noChangeAspect="1"/>
                          </pic:cNvPicPr>
                        </pic:nvPicPr>
                        <pic:blipFill>
                          <a:blip r:embed="rId10"/>
                          <a:stretch>
                            <a:fillRect/>
                          </a:stretch>
                        </pic:blipFill>
                        <pic:spPr>
                          <a:xfrm>
                            <a:off x="0" y="0"/>
                            <a:ext cx="363220" cy="47942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2706370" cy="3581400"/>
                  <wp:effectExtent l="0" t="0" r="1778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11"/>
                          <a:stretch>
                            <a:fillRect/>
                          </a:stretch>
                        </pic:blipFill>
                        <pic:spPr>
                          <a:xfrm>
                            <a:off x="0" y="0"/>
                            <a:ext cx="2706370" cy="3581400"/>
                          </a:xfrm>
                          <a:prstGeom prst="rect">
                            <a:avLst/>
                          </a:prstGeom>
                          <a:noFill/>
                          <a:ln>
                            <a:noFill/>
                          </a:ln>
                        </pic:spPr>
                      </pic:pic>
                    </a:graphicData>
                  </a:graphic>
                </wp:inline>
              </w:drawing>
            </w:r>
          </w:p>
          <w:p w14:paraId="47482262">
            <w:pPr>
              <w:pStyle w:val="31"/>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图1-1  项目与环境管控单元对照分析示意图</w:t>
            </w:r>
          </w:p>
          <w:p w14:paraId="055F1619">
            <w:pPr>
              <w:spacing w:line="360" w:lineRule="auto"/>
              <w:ind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（2）一表</w:t>
            </w:r>
          </w:p>
          <w:p w14:paraId="29D4E313">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本项目建设区域属于《宝鸡市“三线一单”生态环境分区管控方案》中一般管控单元范围内。项目与环境管控单元管控要求符合性分析见表1-2。</w:t>
            </w:r>
          </w:p>
          <w:p w14:paraId="1CB8A805">
            <w:pPr>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表1-2  本项目与环境管控单元管控要求符合性分析一览表</w:t>
            </w:r>
          </w:p>
          <w:tbl>
            <w:tblPr>
              <w:tblStyle w:val="25"/>
              <w:tblW w:w="7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58"/>
              <w:gridCol w:w="970"/>
              <w:gridCol w:w="2481"/>
              <w:gridCol w:w="2242"/>
            </w:tblGrid>
            <w:tr w14:paraId="3FAC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000" w:type="pct"/>
                  <w:gridSpan w:val="5"/>
                  <w:tcBorders>
                    <w:tl2br w:val="nil"/>
                    <w:tr2bl w:val="nil"/>
                  </w:tcBorders>
                  <w:noWrap w:val="0"/>
                  <w:vAlign w:val="center"/>
                </w:tcPr>
                <w:p w14:paraId="5A6619F9">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宝鸡市环境管控单元管控要求</w:t>
                  </w: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（节选）</w:t>
                  </w:r>
                </w:p>
              </w:tc>
            </w:tr>
            <w:tr w14:paraId="0F3A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94" w:type="pct"/>
                  <w:tcBorders>
                    <w:tl2br w:val="nil"/>
                    <w:tr2bl w:val="nil"/>
                  </w:tcBorders>
                  <w:noWrap w:val="0"/>
                  <w:vAlign w:val="center"/>
                </w:tcPr>
                <w:p w14:paraId="3AB37400">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环境管控单元名称</w:t>
                  </w:r>
                </w:p>
              </w:tc>
              <w:tc>
                <w:tcPr>
                  <w:tcW w:w="529" w:type="pct"/>
                  <w:tcBorders>
                    <w:tl2br w:val="nil"/>
                    <w:tr2bl w:val="nil"/>
                  </w:tcBorders>
                  <w:noWrap w:val="0"/>
                  <w:vAlign w:val="center"/>
                </w:tcPr>
                <w:p w14:paraId="25AA498D">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单元要素属性</w:t>
                  </w:r>
                </w:p>
              </w:tc>
              <w:tc>
                <w:tcPr>
                  <w:tcW w:w="677" w:type="pct"/>
                  <w:tcBorders>
                    <w:tl2br w:val="nil"/>
                    <w:tr2bl w:val="nil"/>
                  </w:tcBorders>
                  <w:noWrap w:val="0"/>
                  <w:vAlign w:val="center"/>
                </w:tcPr>
                <w:p w14:paraId="5F402B6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管控要求分类</w:t>
                  </w:r>
                </w:p>
              </w:tc>
              <w:tc>
                <w:tcPr>
                  <w:tcW w:w="1732" w:type="pct"/>
                  <w:tcBorders>
                    <w:tl2br w:val="nil"/>
                    <w:tr2bl w:val="nil"/>
                  </w:tcBorders>
                  <w:noWrap w:val="0"/>
                  <w:vAlign w:val="center"/>
                </w:tcPr>
                <w:p w14:paraId="7F5480FA">
                  <w:pPr>
                    <w:jc w:val="cente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管控要求</w:t>
                  </w:r>
                </w:p>
              </w:tc>
              <w:tc>
                <w:tcPr>
                  <w:tcW w:w="1565" w:type="pct"/>
                  <w:tcBorders>
                    <w:tl2br w:val="nil"/>
                    <w:tr2bl w:val="nil"/>
                  </w:tcBorders>
                  <w:noWrap w:val="0"/>
                  <w:vAlign w:val="center"/>
                </w:tcPr>
                <w:p w14:paraId="3F032C6F">
                  <w:pPr>
                    <w:jc w:val="cente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符合性分析</w:t>
                  </w:r>
                </w:p>
              </w:tc>
            </w:tr>
            <w:tr w14:paraId="4784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94" w:type="pct"/>
                  <w:vMerge w:val="restart"/>
                  <w:tcBorders>
                    <w:tl2br w:val="nil"/>
                    <w:tr2bl w:val="nil"/>
                  </w:tcBorders>
                  <w:noWrap w:val="0"/>
                  <w:vAlign w:val="center"/>
                </w:tcPr>
                <w:p w14:paraId="2D8C07D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陕西省宝鸡市陈仓区一般管控单元</w:t>
                  </w:r>
                </w:p>
              </w:tc>
              <w:tc>
                <w:tcPr>
                  <w:tcW w:w="529" w:type="pct"/>
                  <w:tcBorders>
                    <w:tl2br w:val="nil"/>
                    <w:tr2bl w:val="nil"/>
                  </w:tcBorders>
                  <w:noWrap w:val="0"/>
                  <w:vAlign w:val="center"/>
                </w:tcPr>
                <w:p w14:paraId="4757FB3A">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w:t>
                  </w:r>
                </w:p>
              </w:tc>
              <w:tc>
                <w:tcPr>
                  <w:tcW w:w="677" w:type="pct"/>
                  <w:tcBorders>
                    <w:tl2br w:val="nil"/>
                    <w:tr2bl w:val="nil"/>
                  </w:tcBorders>
                  <w:noWrap w:val="0"/>
                  <w:vAlign w:val="center"/>
                </w:tcPr>
                <w:p w14:paraId="13C1044E">
                  <w:pPr>
                    <w:keepNext w:val="0"/>
                    <w:keepLines w:val="0"/>
                    <w:pageBreakBefore w:val="0"/>
                    <w:widowControl/>
                    <w:suppressLineNumbers w:val="0"/>
                    <w:kinsoku/>
                    <w:wordWrap/>
                    <w:overflowPunct/>
                    <w:topLinePunct w:val="0"/>
                    <w:bidi w:val="0"/>
                    <w:adjustRightInd/>
                    <w:snapToGrid/>
                    <w:jc w:val="left"/>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空间布局约束</w:t>
                  </w:r>
                </w:p>
              </w:tc>
              <w:tc>
                <w:tcPr>
                  <w:tcW w:w="1732" w:type="pct"/>
                  <w:tcBorders>
                    <w:tl2br w:val="nil"/>
                    <w:tr2bl w:val="nil"/>
                  </w:tcBorders>
                  <w:noWrap w:val="0"/>
                  <w:vAlign w:val="center"/>
                </w:tcPr>
                <w:p w14:paraId="2E1AC33B">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1.执行宝鸡市生态环境要素分区总体准入清单中“6.1一般管控单元的总体要求”；</w:t>
                  </w:r>
                </w:p>
                <w:p w14:paraId="21992BF1">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2.秦岭一般保护区执行宝鸡市生态环境要素分区总体准入清单中“3.10秦岭一般保护区的空间布局约束”；</w:t>
                  </w:r>
                </w:p>
                <w:p w14:paraId="64D23602">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3.农用地优先保护区执行宝鸡市生态环境要素分区总体准入清单中“4.2农用地优先保护区的空间布局约束”。</w:t>
                  </w:r>
                </w:p>
              </w:tc>
              <w:tc>
                <w:tcPr>
                  <w:tcW w:w="1565" w:type="pct"/>
                  <w:tcBorders>
                    <w:tl2br w:val="nil"/>
                    <w:tr2bl w:val="nil"/>
                  </w:tcBorders>
                  <w:noWrap w:val="0"/>
                  <w:vAlign w:val="center"/>
                </w:tcPr>
                <w:p w14:paraId="47FD267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本项目不涉及自然保护区、风景名胜区、饮用水水源保护区等区域。不在秦岭规划范围内，不涉及农用地保护。</w:t>
                  </w:r>
                </w:p>
              </w:tc>
            </w:tr>
            <w:tr w14:paraId="0C8D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494" w:type="pct"/>
                  <w:vMerge w:val="continue"/>
                  <w:tcBorders>
                    <w:tl2br w:val="nil"/>
                    <w:tr2bl w:val="nil"/>
                  </w:tcBorders>
                  <w:noWrap w:val="0"/>
                  <w:vAlign w:val="center"/>
                </w:tcPr>
                <w:p w14:paraId="31AEBF74">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9" w:type="pct"/>
                  <w:tcBorders>
                    <w:tl2br w:val="nil"/>
                    <w:tr2bl w:val="nil"/>
                  </w:tcBorders>
                  <w:noWrap w:val="0"/>
                  <w:vAlign w:val="center"/>
                </w:tcPr>
                <w:p w14:paraId="0EEEB336">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77" w:type="pct"/>
                  <w:tcBorders>
                    <w:tl2br w:val="nil"/>
                    <w:tr2bl w:val="nil"/>
                  </w:tcBorders>
                  <w:noWrap w:val="0"/>
                  <w:vAlign w:val="center"/>
                </w:tcPr>
                <w:p w14:paraId="074F63C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污染物排放管控</w:t>
                  </w:r>
                </w:p>
              </w:tc>
              <w:tc>
                <w:tcPr>
                  <w:tcW w:w="1732" w:type="pct"/>
                  <w:tcBorders>
                    <w:tl2br w:val="nil"/>
                    <w:tr2bl w:val="nil"/>
                  </w:tcBorders>
                  <w:shd w:val="clear" w:color="auto" w:fill="auto"/>
                  <w:noWrap w:val="0"/>
                  <w:vAlign w:val="center"/>
                </w:tcPr>
                <w:p w14:paraId="7F93C869">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c>
                <w:tcPr>
                  <w:tcW w:w="1565" w:type="pct"/>
                  <w:tcBorders>
                    <w:tl2br w:val="nil"/>
                    <w:tr2bl w:val="nil"/>
                  </w:tcBorders>
                  <w:shd w:val="clear" w:color="auto" w:fill="auto"/>
                  <w:noWrap w:val="0"/>
                  <w:vAlign w:val="center"/>
                </w:tcPr>
                <w:p w14:paraId="1C63684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r>
            <w:tr w14:paraId="0EDD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94" w:type="pct"/>
                  <w:vMerge w:val="continue"/>
                  <w:tcBorders>
                    <w:tl2br w:val="nil"/>
                    <w:tr2bl w:val="nil"/>
                  </w:tcBorders>
                  <w:noWrap w:val="0"/>
                  <w:vAlign w:val="center"/>
                </w:tcPr>
                <w:p w14:paraId="5BC49BD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9" w:type="pct"/>
                  <w:tcBorders>
                    <w:tl2br w:val="nil"/>
                    <w:tr2bl w:val="nil"/>
                  </w:tcBorders>
                  <w:noWrap w:val="0"/>
                  <w:vAlign w:val="center"/>
                </w:tcPr>
                <w:p w14:paraId="1B9749E8">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77" w:type="pct"/>
                  <w:tcBorders>
                    <w:tl2br w:val="nil"/>
                    <w:tr2bl w:val="nil"/>
                  </w:tcBorders>
                  <w:noWrap w:val="0"/>
                  <w:vAlign w:val="center"/>
                </w:tcPr>
                <w:p w14:paraId="7C5C4DCF">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环境风险防控</w:t>
                  </w:r>
                </w:p>
              </w:tc>
              <w:tc>
                <w:tcPr>
                  <w:tcW w:w="1732" w:type="pct"/>
                  <w:tcBorders>
                    <w:tl2br w:val="nil"/>
                    <w:tr2bl w:val="nil"/>
                  </w:tcBorders>
                  <w:noWrap w:val="0"/>
                  <w:vAlign w:val="center"/>
                </w:tcPr>
                <w:p w14:paraId="751DDA4B">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c>
                <w:tcPr>
                  <w:tcW w:w="1565" w:type="pct"/>
                  <w:tcBorders>
                    <w:tl2br w:val="nil"/>
                    <w:tr2bl w:val="nil"/>
                  </w:tcBorders>
                  <w:noWrap w:val="0"/>
                  <w:vAlign w:val="center"/>
                </w:tcPr>
                <w:p w14:paraId="2FC6434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r>
            <w:tr w14:paraId="3A6A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tcBorders>
                    <w:tl2br w:val="nil"/>
                    <w:tr2bl w:val="nil"/>
                  </w:tcBorders>
                  <w:noWrap w:val="0"/>
                  <w:vAlign w:val="center"/>
                </w:tcPr>
                <w:p w14:paraId="16F1E90C">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9" w:type="pct"/>
                  <w:tcBorders>
                    <w:tl2br w:val="nil"/>
                    <w:tr2bl w:val="nil"/>
                  </w:tcBorders>
                  <w:noWrap w:val="0"/>
                  <w:vAlign w:val="center"/>
                </w:tcPr>
                <w:p w14:paraId="6EC1EA1A">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77" w:type="pct"/>
                  <w:tcBorders>
                    <w:tl2br w:val="nil"/>
                    <w:tr2bl w:val="nil"/>
                  </w:tcBorders>
                  <w:noWrap w:val="0"/>
                  <w:vAlign w:val="center"/>
                </w:tcPr>
                <w:p w14:paraId="0E9287AF">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资源开发效率要求</w:t>
                  </w:r>
                </w:p>
              </w:tc>
              <w:tc>
                <w:tcPr>
                  <w:tcW w:w="1732" w:type="pct"/>
                  <w:tcBorders>
                    <w:tl2br w:val="nil"/>
                    <w:tr2bl w:val="nil"/>
                  </w:tcBorders>
                  <w:noWrap w:val="0"/>
                  <w:vAlign w:val="center"/>
                </w:tcPr>
                <w:p w14:paraId="24868E0B">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c>
                <w:tcPr>
                  <w:tcW w:w="1565" w:type="pct"/>
                  <w:tcBorders>
                    <w:tl2br w:val="nil"/>
                    <w:tr2bl w:val="nil"/>
                  </w:tcBorders>
                  <w:noWrap w:val="0"/>
                  <w:vAlign w:val="center"/>
                </w:tcPr>
                <w:p w14:paraId="11E45AE4">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p>
              </w:tc>
            </w:tr>
            <w:tr w14:paraId="1A1F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000" w:type="pct"/>
                  <w:gridSpan w:val="5"/>
                  <w:tcBorders>
                    <w:tl2br w:val="nil"/>
                    <w:tr2bl w:val="nil"/>
                  </w:tcBorders>
                  <w:noWrap w:val="0"/>
                  <w:vAlign w:val="center"/>
                </w:tcPr>
                <w:p w14:paraId="00B4F906">
                  <w:pPr>
                    <w:jc w:val="cente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区域环境管控要求（节选）</w:t>
                  </w:r>
                </w:p>
              </w:tc>
            </w:tr>
            <w:tr w14:paraId="7E3C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94" w:type="pct"/>
                  <w:tcBorders>
                    <w:tl2br w:val="nil"/>
                    <w:tr2bl w:val="nil"/>
                  </w:tcBorders>
                  <w:noWrap w:val="0"/>
                  <w:vAlign w:val="center"/>
                </w:tcPr>
                <w:p w14:paraId="37A81B7D">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区域名称</w:t>
                  </w:r>
                </w:p>
              </w:tc>
              <w:tc>
                <w:tcPr>
                  <w:tcW w:w="529" w:type="pct"/>
                  <w:tcBorders>
                    <w:tl2br w:val="nil"/>
                    <w:tr2bl w:val="nil"/>
                  </w:tcBorders>
                  <w:noWrap w:val="0"/>
                  <w:vAlign w:val="center"/>
                </w:tcPr>
                <w:p w14:paraId="5B938217">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省份</w:t>
                  </w:r>
                </w:p>
              </w:tc>
              <w:tc>
                <w:tcPr>
                  <w:tcW w:w="677" w:type="pct"/>
                  <w:tcBorders>
                    <w:tl2br w:val="nil"/>
                    <w:tr2bl w:val="nil"/>
                  </w:tcBorders>
                  <w:noWrap w:val="0"/>
                  <w:vAlign w:val="center"/>
                </w:tcPr>
                <w:p w14:paraId="7BDA3DF7">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管控</w:t>
                  </w:r>
                </w:p>
                <w:p w14:paraId="195DDDED">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类别</w:t>
                  </w:r>
                </w:p>
              </w:tc>
              <w:tc>
                <w:tcPr>
                  <w:tcW w:w="1732" w:type="pct"/>
                  <w:tcBorders>
                    <w:tl2br w:val="nil"/>
                    <w:tr2bl w:val="nil"/>
                  </w:tcBorders>
                  <w:noWrap w:val="0"/>
                  <w:vAlign w:val="center"/>
                </w:tcPr>
                <w:p w14:paraId="11E5F474">
                  <w:pPr>
                    <w:jc w:val="cente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管控要求</w:t>
                  </w:r>
                </w:p>
              </w:tc>
              <w:tc>
                <w:tcPr>
                  <w:tcW w:w="1565" w:type="pct"/>
                  <w:tcBorders>
                    <w:tl2br w:val="nil"/>
                    <w:tr2bl w:val="nil"/>
                  </w:tcBorders>
                  <w:noWrap w:val="0"/>
                  <w:vAlign w:val="center"/>
                </w:tcPr>
                <w:p w14:paraId="05690D4B">
                  <w:pPr>
                    <w:jc w:val="cente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符合性分析</w:t>
                  </w:r>
                </w:p>
              </w:tc>
            </w:tr>
            <w:tr w14:paraId="7A96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94" w:type="pct"/>
                  <w:tcBorders>
                    <w:tl2br w:val="nil"/>
                    <w:tr2bl w:val="nil"/>
                  </w:tcBorders>
                  <w:noWrap w:val="0"/>
                  <w:vAlign w:val="center"/>
                </w:tcPr>
                <w:p w14:paraId="6F7217D3">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省域</w:t>
                  </w:r>
                </w:p>
              </w:tc>
              <w:tc>
                <w:tcPr>
                  <w:tcW w:w="529" w:type="pct"/>
                  <w:tcBorders>
                    <w:tl2br w:val="nil"/>
                    <w:tr2bl w:val="nil"/>
                  </w:tcBorders>
                  <w:noWrap w:val="0"/>
                  <w:vAlign w:val="center"/>
                </w:tcPr>
                <w:p w14:paraId="28B59B75">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陕西省</w:t>
                  </w:r>
                </w:p>
              </w:tc>
              <w:tc>
                <w:tcPr>
                  <w:tcW w:w="677" w:type="pct"/>
                  <w:tcBorders>
                    <w:tl2br w:val="nil"/>
                    <w:tr2bl w:val="nil"/>
                  </w:tcBorders>
                  <w:noWrap w:val="0"/>
                  <w:vAlign w:val="center"/>
                </w:tcPr>
                <w:p w14:paraId="5510FCE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空间布局约束</w:t>
                  </w:r>
                </w:p>
              </w:tc>
              <w:tc>
                <w:tcPr>
                  <w:tcW w:w="1732" w:type="pct"/>
                  <w:tcBorders>
                    <w:tl2br w:val="nil"/>
                    <w:tr2bl w:val="nil"/>
                  </w:tcBorders>
                  <w:noWrap w:val="0"/>
                  <w:vAlign w:val="center"/>
                </w:tcPr>
                <w:p w14:paraId="6EA1342E">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1.执行《市场准入负面清单（2022年版）》《产业结构调整指导目录（2024年本）》。</w:t>
                  </w:r>
                </w:p>
                <w:p w14:paraId="0ED4F14D">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2.严把“两高”项目环境准入关。坚决遏制高耗能、高排放项目盲目发展。</w:t>
                  </w:r>
                </w:p>
              </w:tc>
              <w:tc>
                <w:tcPr>
                  <w:tcW w:w="1565" w:type="pct"/>
                  <w:tcBorders>
                    <w:tl2br w:val="nil"/>
                    <w:tr2bl w:val="nil"/>
                  </w:tcBorders>
                  <w:noWrap w:val="0"/>
                  <w:vAlign w:val="center"/>
                </w:tcPr>
                <w:p w14:paraId="2B900E3B">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经查阅《市场准入负面清单（2025年版）》，本项目不属于市场准入负面清单中的禁止和许可两类事项，属于市场准入负面清单以外的行业，企业可依法进入。经查阅《产业结构调整指导目录（2024年本）》，本项目不属于该目录中的鼓励类、限制类和淘汰类项目，属于允许类项目。</w:t>
                  </w:r>
                </w:p>
                <w:p w14:paraId="064868A9">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2.经查阅《陕西省“两高”项目管理暂行目录（2022年版）》（陕发改环资〔2022〕110号），本项目不属于“两高”项目。</w:t>
                  </w:r>
                </w:p>
              </w:tc>
            </w:tr>
          </w:tbl>
          <w:p w14:paraId="7A4D4F3F">
            <w:pPr>
              <w:spacing w:line="360" w:lineRule="auto"/>
              <w:ind w:firstLine="482" w:firstLineChars="200"/>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（3）“一说明”</w:t>
            </w:r>
          </w:p>
          <w:p w14:paraId="1690C131">
            <w:pPr>
              <w:spacing w:line="360" w:lineRule="auto"/>
              <w:ind w:firstLine="480" w:firstLineChars="200"/>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本项目位于陕西省宝鸡市陈仓区一般管控单元，不涉及优先保护单元和重点管控单元。本项目为</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其他非金属矿采选业</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，场内仅进行矿石的破碎、集运等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不属于《市场准入负面清单（2025年版）》中的禁止类和许可类事项，属于市场准入负面清单以外的行业，企业可依法进入；不属于《陕西省“两高”项目管理暂行目录（2022年版）》（陕发改环资〔2022〕110号）中的“两高”项目，能源为电能，不涉及高污染燃料。</w:t>
            </w:r>
          </w:p>
          <w:p w14:paraId="37352018">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项目运营期</w:t>
            </w:r>
            <w:r>
              <w:rPr>
                <w:rFonts w:hint="default" w:ascii="Times New Roman" w:hAnsi="Times New Roman" w:eastAsia="宋体" w:cs="Times New Roman"/>
                <w:color w:val="000000" w:themeColor="text1"/>
                <w:sz w:val="24"/>
                <w:szCs w:val="32"/>
                <w:highlight w:val="none"/>
                <w14:textFill>
                  <w14:solidFill>
                    <w14:schemeClr w14:val="tx1"/>
                  </w14:solidFill>
                </w14:textFill>
              </w:rPr>
              <w:t>严格落实生产过程中</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污染物减排治理和环境风险防控</w:t>
            </w:r>
            <w:r>
              <w:rPr>
                <w:rFonts w:hint="default" w:ascii="Times New Roman" w:hAnsi="Times New Roman" w:eastAsia="宋体" w:cs="Times New Roman"/>
                <w:color w:val="000000" w:themeColor="text1"/>
                <w:sz w:val="24"/>
                <w:szCs w:val="32"/>
                <w:highlight w:val="none"/>
                <w14:textFill>
                  <w14:solidFill>
                    <w14:schemeClr w14:val="tx1"/>
                  </w14:solidFill>
                </w14:textFill>
              </w:rPr>
              <w:t>措施</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废气、</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废水、</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噪声排放和固废处置均可满足相关环保要求</w:t>
            </w:r>
            <w:r>
              <w:rPr>
                <w:rFonts w:hint="default" w:ascii="Times New Roman" w:hAnsi="Times New Roman" w:cs="Times New Roman" w:eastAsiaTheme="minorEastAsia"/>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综上，</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建设项目符合</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“三线一单”生态环境管控单元要求。</w:t>
            </w:r>
          </w:p>
          <w:p w14:paraId="685184BB">
            <w:pPr>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2.本项目与相关生态环境保护法律法规政策、生态环境保护规划的符合性分析</w:t>
            </w:r>
          </w:p>
          <w:p w14:paraId="01D6A579">
            <w:pPr>
              <w:pStyle w:val="31"/>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表1-3  本项目与相关生态环境保护法律法规、政策、生态环境保护规划的符合性分析</w:t>
            </w:r>
          </w:p>
          <w:tbl>
            <w:tblPr>
              <w:tblStyle w:val="25"/>
              <w:tblW w:w="4996"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2634"/>
              <w:gridCol w:w="2623"/>
              <w:gridCol w:w="558"/>
            </w:tblGrid>
            <w:tr w14:paraId="446F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Borders>
                    <w:tl2br w:val="nil"/>
                    <w:tr2bl w:val="nil"/>
                  </w:tcBorders>
                  <w:vAlign w:val="center"/>
                </w:tcPr>
                <w:p w14:paraId="2C1A04E8">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文件名称</w:t>
                  </w:r>
                </w:p>
              </w:tc>
              <w:tc>
                <w:tcPr>
                  <w:tcW w:w="1883" w:type="pct"/>
                  <w:tcBorders>
                    <w:tl2br w:val="nil"/>
                    <w:tr2bl w:val="nil"/>
                  </w:tcBorders>
                  <w:vAlign w:val="center"/>
                </w:tcPr>
                <w:p w14:paraId="31AF6C7B">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相关要求</w:t>
                  </w:r>
                </w:p>
              </w:tc>
              <w:tc>
                <w:tcPr>
                  <w:tcW w:w="1875" w:type="pct"/>
                  <w:tcBorders>
                    <w:tl2br w:val="nil"/>
                    <w:tr2bl w:val="nil"/>
                  </w:tcBorders>
                  <w:vAlign w:val="center"/>
                </w:tcPr>
                <w:p w14:paraId="0E75259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本项目情况</w:t>
                  </w:r>
                </w:p>
              </w:tc>
              <w:tc>
                <w:tcPr>
                  <w:tcW w:w="398" w:type="pct"/>
                  <w:tcBorders>
                    <w:tl2br w:val="nil"/>
                    <w:tr2bl w:val="nil"/>
                  </w:tcBorders>
                  <w:vAlign w:val="center"/>
                </w:tcPr>
                <w:p w14:paraId="06626AB9">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结论</w:t>
                  </w:r>
                </w:p>
              </w:tc>
            </w:tr>
            <w:tr w14:paraId="6C45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pct"/>
                  <w:vMerge w:val="restart"/>
                  <w:tcBorders>
                    <w:tl2br w:val="nil"/>
                    <w:tr2bl w:val="nil"/>
                  </w:tcBorders>
                  <w:vAlign w:val="center"/>
                </w:tcPr>
                <w:p w14:paraId="03D5C15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宝鸡市</w:t>
                  </w: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大气污染治理专项行动方案（2023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2027年）》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宝发〔2023〕8号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883" w:type="pct"/>
                  <w:tcBorders>
                    <w:tl2br w:val="nil"/>
                    <w:tr2bl w:val="nil"/>
                  </w:tcBorders>
                  <w:vAlign w:val="center"/>
                </w:tcPr>
                <w:p w14:paraId="29C51472">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产业发展结构调整。严禁新增钢铁、焦化、水泥熟料、平板玻璃、电解铝、氧化铝、煤化工产能，合理控制煤制油气产能规模，严控新增炼油产能。不得违规新增化工园区。严格执行《产业结构调整指导目录》，坚决遏制“两高”项目盲目发展，严格落实国家产业规划、产业政策、“三线一单”、规划环评以及产能置换、煤炭消费减量替代、区域污染物削减等要求严禁不符合规定的项目建设。</w:t>
                  </w:r>
                </w:p>
              </w:tc>
              <w:tc>
                <w:tcPr>
                  <w:tcW w:w="1875" w:type="pct"/>
                  <w:tcBorders>
                    <w:tl2br w:val="nil"/>
                    <w:tr2bl w:val="nil"/>
                  </w:tcBorders>
                  <w:vAlign w:val="center"/>
                </w:tcPr>
                <w:p w14:paraId="6C30F477">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不属于《产业结构调整指导目录（2024年本）》中鼓励类、限制类和淘汰类项目，属于允许类项目。本项目符合国家产业政策，并在宝鸡市陈仓区发展和改革局备案。经查阅《陕西省“两高”项目管理暂行目录（2022年版）》（陕发改环资〔2022〕110号），本项目不属于“两高”项目。本项目符合“三线一单”生态环境分区管控要求。</w:t>
                  </w:r>
                </w:p>
              </w:tc>
              <w:tc>
                <w:tcPr>
                  <w:tcW w:w="398" w:type="pct"/>
                  <w:tcBorders>
                    <w:tl2br w:val="nil"/>
                    <w:tr2bl w:val="nil"/>
                  </w:tcBorders>
                  <w:vAlign w:val="center"/>
                </w:tcPr>
                <w:p w14:paraId="4D22DC7A">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符合</w:t>
                  </w:r>
                </w:p>
              </w:tc>
            </w:tr>
            <w:tr w14:paraId="7DE5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pct"/>
                  <w:vMerge w:val="continue"/>
                  <w:tcBorders>
                    <w:tl2br w:val="nil"/>
                    <w:tr2bl w:val="nil"/>
                  </w:tcBorders>
                  <w:vAlign w:val="center"/>
                </w:tcPr>
                <w:p w14:paraId="4ED8D2E7">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883" w:type="pct"/>
                  <w:tcBorders>
                    <w:tl2br w:val="nil"/>
                    <w:tr2bl w:val="nil"/>
                  </w:tcBorders>
                  <w:vAlign w:val="center"/>
                </w:tcPr>
                <w:p w14:paraId="62B6ED49">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市辖区及开发区新、改、扩建涉气重点行业企业应达到环保绩效A级、绩效引领性水平。</w:t>
                  </w:r>
                </w:p>
              </w:tc>
              <w:tc>
                <w:tcPr>
                  <w:tcW w:w="1875" w:type="pct"/>
                  <w:tcBorders>
                    <w:tl2br w:val="nil"/>
                    <w:tr2bl w:val="nil"/>
                  </w:tcBorders>
                  <w:vAlign w:val="center"/>
                </w:tcPr>
                <w:p w14:paraId="5E79A4CF">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本项目行业类别</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其他非金属矿采选业</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，不属于《重污染天气重点行业应急减排措施制定技术指南（2020年修订版）》中规定的39个重点行业。</w:t>
                  </w:r>
                </w:p>
              </w:tc>
              <w:tc>
                <w:tcPr>
                  <w:tcW w:w="398" w:type="pct"/>
                  <w:tcBorders>
                    <w:tl2br w:val="nil"/>
                    <w:tr2bl w:val="nil"/>
                  </w:tcBorders>
                  <w:vAlign w:val="center"/>
                </w:tcPr>
                <w:p w14:paraId="1304173C">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符合</w:t>
                  </w:r>
                </w:p>
              </w:tc>
            </w:tr>
            <w:tr w14:paraId="2D0F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42" w:type="pct"/>
                  <w:vMerge w:val="restart"/>
                  <w:tcBorders>
                    <w:tl2br w:val="nil"/>
                    <w:tr2bl w:val="nil"/>
                  </w:tcBorders>
                  <w:vAlign w:val="center"/>
                </w:tcPr>
                <w:p w14:paraId="080124D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b/>
                      <w:bCs/>
                      <w:color w:val="000000" w:themeColor="text1"/>
                      <w:kern w:val="44"/>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《宝鸡市环境空气质量限期达标规划（2023—2030年）》</w:t>
                  </w:r>
                </w:p>
              </w:tc>
              <w:tc>
                <w:tcPr>
                  <w:tcW w:w="1883" w:type="pct"/>
                  <w:tcBorders>
                    <w:tl2br w:val="nil"/>
                    <w:tr2bl w:val="nil"/>
                  </w:tcBorders>
                  <w:vAlign w:val="center"/>
                </w:tcPr>
                <w:p w14:paraId="0EA6A9DB">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科学规划产业布局。严格落实国家产业规划、产业政策、“三线一单”、规划环评以及产能置换、煤炭消费减量替代、区域污染物削减等要求，严禁不符合规定的项目建设。严格执行高耗能、高污染和资源型行业准入条件，明确各县（区）资源能源集约利用、单位GDP污染物排放、单位GDP建设用地、使用面积等指标要求，严格控制高耗能、高污染项目建设，推动地区产业高质量发展。严把重大建设项目环境影响评价、节能评估准入关口，严格执行主要污染物总量等量或倍量削减要求，以总量定项目和产能，从源头预防大气环境污染。</w:t>
                  </w:r>
                </w:p>
              </w:tc>
              <w:tc>
                <w:tcPr>
                  <w:tcW w:w="1875" w:type="pct"/>
                  <w:tcBorders>
                    <w:tl2br w:val="nil"/>
                    <w:tr2bl w:val="nil"/>
                  </w:tcBorders>
                  <w:vAlign w:val="center"/>
                </w:tcPr>
                <w:p w14:paraId="5EDE5C8F">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不属于《产业结构调整指导目录（2024年本）》中鼓励类、限制类和淘汰类项目，属于允许类项目，本项目符合国家产业政策，并在宝鸡市陈仓区发展和改革局备案。经查阅《陕西省“两高”项目管理暂行目录（2022年版）》（陕发改环资〔2022〕110号），本项目不属于“两高”项目。本项目符合“三线一单”生态环境分区管控要求。</w:t>
                  </w:r>
                </w:p>
              </w:tc>
              <w:tc>
                <w:tcPr>
                  <w:tcW w:w="398" w:type="pct"/>
                  <w:tcBorders>
                    <w:tl2br w:val="nil"/>
                    <w:tr2bl w:val="nil"/>
                  </w:tcBorders>
                  <w:vAlign w:val="center"/>
                </w:tcPr>
                <w:p w14:paraId="1BE5D47A">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6388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42" w:type="pct"/>
                  <w:vMerge w:val="continue"/>
                  <w:tcBorders>
                    <w:tl2br w:val="nil"/>
                    <w:tr2bl w:val="nil"/>
                  </w:tcBorders>
                  <w:vAlign w:val="center"/>
                </w:tcPr>
                <w:p w14:paraId="284F79D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883" w:type="pct"/>
                  <w:tcBorders>
                    <w:tl2br w:val="nil"/>
                    <w:tr2bl w:val="nil"/>
                  </w:tcBorders>
                  <w:vAlign w:val="center"/>
                </w:tcPr>
                <w:p w14:paraId="2BC636D6">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坚决遏制“两高”项目盲目发展。严格能耗、环保、质量、安全、技术等综合标准，严禁新增钢铁、焦化、水泥熟料、平板玻璃、电解铝、氧化铝、煤化工等产能，合理控制煤制油气产能规模，严控新增炼油产能。不得违规新增化工园区。严格执行《产业结构调整指导目录》，坚决遏制“两高”项目盲目发展。市辖区及开发区新、改、扩建涉气重点行业企业应达到环保绩效A级、绩效引领性水平。</w:t>
                  </w:r>
                </w:p>
              </w:tc>
              <w:tc>
                <w:tcPr>
                  <w:tcW w:w="1875" w:type="pct"/>
                  <w:tcBorders>
                    <w:tl2br w:val="nil"/>
                    <w:tr2bl w:val="nil"/>
                  </w:tcBorders>
                  <w:vAlign w:val="center"/>
                </w:tcPr>
                <w:p w14:paraId="20D0C866">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本项目行业类别为</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其他非金属矿采选业</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不属于《陕西省“两高”项目管理暂行目录（2022年版）》（陕发改环资〔2022〕110号）中规定的“两高”项目，不属于《产业结构调整指导目录（2024年本）》中鼓励类、限制类和淘汰类项目，属于允许类项目；不属于《重污染天气重点行业应急减排措施制定技术指南（2020年修订版）》中规定的39个重点行业。</w:t>
                  </w:r>
                </w:p>
              </w:tc>
              <w:tc>
                <w:tcPr>
                  <w:tcW w:w="398" w:type="pct"/>
                  <w:tcBorders>
                    <w:tl2br w:val="nil"/>
                    <w:tr2bl w:val="nil"/>
                  </w:tcBorders>
                  <w:vAlign w:val="center"/>
                </w:tcPr>
                <w:p w14:paraId="0BB10DF2">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8"/>
                      <w:sz w:val="21"/>
                      <w:szCs w:val="21"/>
                      <w:highlight w:val="none"/>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8"/>
                      <w:sz w:val="21"/>
                      <w:szCs w:val="21"/>
                      <w:highlight w:val="none"/>
                      <w:shd w:val="clear" w:fill="FFFFFF"/>
                      <w:lang w:val="en-US" w:eastAsia="zh-CN"/>
                      <w14:textFill>
                        <w14:solidFill>
                          <w14:schemeClr w14:val="tx1"/>
                        </w14:solidFill>
                      </w14:textFill>
                    </w:rPr>
                    <w:t>符合</w:t>
                  </w:r>
                </w:p>
              </w:tc>
            </w:tr>
            <w:tr w14:paraId="5540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42" w:type="pct"/>
                  <w:vMerge w:val="continue"/>
                  <w:tcBorders>
                    <w:tl2br w:val="nil"/>
                    <w:tr2bl w:val="nil"/>
                  </w:tcBorders>
                  <w:vAlign w:val="center"/>
                </w:tcPr>
                <w:p w14:paraId="5CAB1EAF">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883" w:type="pct"/>
                  <w:tcBorders>
                    <w:tl2br w:val="nil"/>
                    <w:tr2bl w:val="nil"/>
                  </w:tcBorders>
                  <w:vAlign w:val="center"/>
                </w:tcPr>
                <w:p w14:paraId="4FDB0898">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推动污染企业退城入园。实施工业企业退城搬迁改造，除部分必须依托城市生产或直接服务于城市的工业企业外，原则上在2027年底前达不到能效标杆和环保绩效A级（含绩效引领）企业由当地政府组织搬迁至主城区以外的开发区和工业园区。</w:t>
                  </w:r>
                </w:p>
              </w:tc>
              <w:tc>
                <w:tcPr>
                  <w:tcW w:w="1875" w:type="pct"/>
                  <w:tcBorders>
                    <w:tl2br w:val="nil"/>
                    <w:tr2bl w:val="nil"/>
                  </w:tcBorders>
                  <w:vAlign w:val="center"/>
                </w:tcPr>
                <w:p w14:paraId="555EBA10">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本项目不属于涉气重点行业。</w:t>
                  </w:r>
                </w:p>
              </w:tc>
              <w:tc>
                <w:tcPr>
                  <w:tcW w:w="398" w:type="pct"/>
                  <w:tcBorders>
                    <w:tl2br w:val="nil"/>
                    <w:tr2bl w:val="nil"/>
                  </w:tcBorders>
                  <w:vAlign w:val="center"/>
                </w:tcPr>
                <w:p w14:paraId="7A1D9B1A">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符合</w:t>
                  </w:r>
                </w:p>
              </w:tc>
            </w:tr>
            <w:tr w14:paraId="608D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42" w:type="pct"/>
                  <w:tcBorders>
                    <w:tl2br w:val="nil"/>
                    <w:tr2bl w:val="nil"/>
                  </w:tcBorders>
                  <w:vAlign w:val="center"/>
                </w:tcPr>
                <w:p w14:paraId="5D8EA6C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《宝鸡市大气污染防治条例》（2020年3月1日起施行）</w:t>
                  </w:r>
                </w:p>
              </w:tc>
              <w:tc>
                <w:tcPr>
                  <w:tcW w:w="1883" w:type="pct"/>
                  <w:tcBorders>
                    <w:tl2br w:val="nil"/>
                    <w:tr2bl w:val="nil"/>
                  </w:tcBorders>
                  <w:vAlign w:val="center"/>
                </w:tcPr>
                <w:p w14:paraId="05092535">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第四十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875" w:type="pct"/>
                  <w:tcBorders>
                    <w:tl2br w:val="nil"/>
                    <w:tr2bl w:val="nil"/>
                  </w:tcBorders>
                  <w:vAlign w:val="center"/>
                </w:tcPr>
                <w:p w14:paraId="4303C64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破碎筛分车间为</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封闭式车间，</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且</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在石料破碎、筛分、输送带处安装自动</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喷雾</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装置，并在传送带</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上方</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每隔一定距离设置一个</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喷雾</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喷头，破碎机、筛分机上方</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设置</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集气罩+1套布袋除尘+15m排气筒；物料装卸</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地</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四周设置喷雾洒水装置降低物料装卸粉尘；原料及成品堆场采用封闭堆棚，并采取洒水抑尘措施；厂区出入口处设洗车平台，对进出厂内的运输车辆进行清洗，厂区主要道路进行地面硬化，设洒水车定期洒水，运输车辆加盖篷布，以降低粉尘的产生；一般固废暂存于一般固废暂存间，外售资源化利用，危险废物暂存危废库，定期交由资质单位处置。</w:t>
                  </w:r>
                </w:p>
              </w:tc>
              <w:tc>
                <w:tcPr>
                  <w:tcW w:w="398" w:type="pct"/>
                  <w:tcBorders>
                    <w:tl2br w:val="nil"/>
                    <w:tr2bl w:val="nil"/>
                  </w:tcBorders>
                  <w:vAlign w:val="center"/>
                </w:tcPr>
                <w:p w14:paraId="55132D5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符合</w:t>
                  </w:r>
                </w:p>
              </w:tc>
            </w:tr>
            <w:tr w14:paraId="4F29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842" w:type="pct"/>
                  <w:tcBorders>
                    <w:tl2br w:val="nil"/>
                    <w:tr2bl w:val="nil"/>
                  </w:tcBorders>
                  <w:vAlign w:val="center"/>
                </w:tcPr>
                <w:p w14:paraId="5ABE845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《宝鸡市“十四五”生态环境保护规划》</w:t>
                  </w:r>
                </w:p>
              </w:tc>
              <w:tc>
                <w:tcPr>
                  <w:tcW w:w="1883" w:type="pct"/>
                  <w:tcBorders>
                    <w:tl2br w:val="nil"/>
                    <w:tr2bl w:val="nil"/>
                  </w:tcBorders>
                  <w:vAlign w:val="center"/>
                </w:tcPr>
                <w:p w14:paraId="314FC7B9">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依法依规淘汰落后生产工艺、装备、产品，并实施限制类项目准入。加快推进高能耗企业关闭退出，降低高能耗重工业占比。提高重污染产业淘汰标准，确保工业污染源全面达标排放。</w:t>
                  </w:r>
                </w:p>
              </w:tc>
              <w:tc>
                <w:tcPr>
                  <w:tcW w:w="1875" w:type="pct"/>
                  <w:tcBorders>
                    <w:tl2br w:val="nil"/>
                    <w:tr2bl w:val="nil"/>
                  </w:tcBorders>
                  <w:vAlign w:val="center"/>
                </w:tcPr>
                <w:p w14:paraId="57A8072D">
                  <w:pPr>
                    <w:ind w:left="0" w:leftChars="0" w:right="0" w:rightChars="0"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经查阅《市场准入负面清单（2025年版）》，本项目不属于市场准入负面清单中的禁止和许可两类事项，属于市场准入负面清单以外的行业，企业可依法进入。经查阅《产业结构调整指导目录（2024年本）》，本项目不属于该目录中的鼓励类、限制类和淘汰类项目，属于允许类项目；经查阅《陕西省“两高”项目管理暂行目录（2022年版）》（陕发改环资〔2022〕110号），本项目不属于“两高”项目。本项目运营期废气主要为原料破碎、筛分粉尘、物料装卸粉尘、堆场扬尘、车辆运输扬尘，经计算，本项目营运期废气颗粒物可以满足《大气污染物综合排放标准》（GB16297-1996）表2中浓度限值要求。</w:t>
                  </w:r>
                </w:p>
              </w:tc>
              <w:tc>
                <w:tcPr>
                  <w:tcW w:w="398" w:type="pct"/>
                  <w:tcBorders>
                    <w:tl2br w:val="nil"/>
                    <w:tr2bl w:val="nil"/>
                  </w:tcBorders>
                  <w:vAlign w:val="center"/>
                </w:tcPr>
                <w:p w14:paraId="2EBB94F4">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符合</w:t>
                  </w:r>
                </w:p>
              </w:tc>
            </w:tr>
            <w:tr w14:paraId="1F11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42" w:type="pct"/>
                  <w:vMerge w:val="restart"/>
                  <w:tcBorders>
                    <w:tl2br w:val="nil"/>
                    <w:tr2bl w:val="nil"/>
                  </w:tcBorders>
                  <w:vAlign w:val="center"/>
                </w:tcPr>
                <w:p w14:paraId="478EF534">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《陕西省噪声污染防治行动</w:t>
                  </w:r>
                </w:p>
                <w:p w14:paraId="7E9A1EE2">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计划（2023-2025年）》</w:t>
                  </w:r>
                </w:p>
              </w:tc>
              <w:tc>
                <w:tcPr>
                  <w:tcW w:w="1883" w:type="pct"/>
                  <w:tcBorders>
                    <w:tl2br w:val="nil"/>
                    <w:tr2bl w:val="nil"/>
                  </w:tcBorders>
                  <w:shd w:val="clear" w:color="auto" w:fill="auto"/>
                  <w:vAlign w:val="center"/>
                </w:tcPr>
                <w:p w14:paraId="36827726">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1.严格落实噪声污染防治要求。可能产生噪声污染的新改扩建项目应当依法开展环评，符合相关规划环评管控要求。建设项目的噪声污染防治设施应当与主体工程同时设计、同时施工、同时投产使用。</w:t>
                  </w:r>
                </w:p>
              </w:tc>
              <w:tc>
                <w:tcPr>
                  <w:tcW w:w="1875" w:type="pct"/>
                  <w:tcBorders>
                    <w:tl2br w:val="nil"/>
                    <w:tr2bl w:val="nil"/>
                  </w:tcBorders>
                  <w:shd w:val="clear" w:color="auto" w:fill="auto"/>
                  <w:vAlign w:val="center"/>
                </w:tcPr>
                <w:p w14:paraId="73DE9CF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本项目在设计及建设过程中严格落实相关措施，对高</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噪声</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设备采取</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防治措施</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，包括加装减振基座，并合理布局厂区功能区，确保厂界噪声标准</w:t>
                  </w:r>
                  <w:bookmarkStart w:id="43" w:name="_GoBack"/>
                  <w:bookmarkEnd w:id="43"/>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要求。</w:t>
                  </w:r>
                </w:p>
              </w:tc>
              <w:tc>
                <w:tcPr>
                  <w:tcW w:w="398" w:type="pct"/>
                  <w:tcBorders>
                    <w:tl2br w:val="nil"/>
                    <w:tr2bl w:val="nil"/>
                  </w:tcBorders>
                  <w:shd w:val="clear" w:color="auto" w:fill="auto"/>
                  <w:vAlign w:val="center"/>
                </w:tcPr>
                <w:p w14:paraId="789C026B">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符合</w:t>
                  </w:r>
                </w:p>
              </w:tc>
            </w:tr>
            <w:tr w14:paraId="483E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42" w:type="pct"/>
                  <w:vMerge w:val="continue"/>
                  <w:tcBorders>
                    <w:tl2br w:val="nil"/>
                    <w:tr2bl w:val="nil"/>
                  </w:tcBorders>
                  <w:vAlign w:val="center"/>
                </w:tcPr>
                <w:p w14:paraId="0334C03C">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883" w:type="pct"/>
                  <w:tcBorders>
                    <w:tl2br w:val="nil"/>
                    <w:tr2bl w:val="nil"/>
                  </w:tcBorders>
                  <w:shd w:val="clear" w:color="auto" w:fill="auto"/>
                  <w:vAlign w:val="center"/>
                </w:tcPr>
                <w:p w14:paraId="0FFD63F2">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1875" w:type="pct"/>
                  <w:tcBorders>
                    <w:tl2br w:val="nil"/>
                    <w:tr2bl w:val="nil"/>
                  </w:tcBorders>
                  <w:shd w:val="clear" w:color="auto" w:fill="auto"/>
                  <w:vAlign w:val="center"/>
                </w:tcPr>
                <w:p w14:paraId="66633459">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本项目厂界外50m范围</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无</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声环境保护目标，项目建设过程中将严格落实噪声防治措施，运行期加强厂区噪声管理，项目在采取环评提出的相关噪声防治措施后，噪声能够做到达标排放，对周围环境影响较小。</w:t>
                  </w:r>
                </w:p>
              </w:tc>
              <w:tc>
                <w:tcPr>
                  <w:tcW w:w="398" w:type="pct"/>
                  <w:tcBorders>
                    <w:tl2br w:val="nil"/>
                    <w:tr2bl w:val="nil"/>
                  </w:tcBorders>
                  <w:shd w:val="clear" w:color="auto" w:fill="auto"/>
                  <w:vAlign w:val="center"/>
                </w:tcPr>
                <w:p w14:paraId="2E360DC5">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符合</w:t>
                  </w:r>
                </w:p>
              </w:tc>
            </w:tr>
          </w:tbl>
          <w:p w14:paraId="172D3939">
            <w:pPr>
              <w:tabs>
                <w:tab w:val="left" w:pos="540"/>
              </w:tabs>
              <w:autoSpaceDE w:val="0"/>
              <w:autoSpaceDN w:val="0"/>
              <w:adjustRightInd w:val="0"/>
              <w:spacing w:line="360" w:lineRule="auto"/>
              <w:ind w:firstLine="482" w:firstLineChars="200"/>
              <w:jc w:val="left"/>
              <w:rPr>
                <w:rFonts w:hint="default" w:ascii="Times New Roman" w:hAnsi="Times New Roman" w:cs="Times New Roman"/>
                <w:b/>
                <w:bCs/>
                <w:color w:val="000000" w:themeColor="text1"/>
                <w:sz w:val="24"/>
                <w:szCs w:val="22"/>
                <w:highlight w:val="none"/>
                <w:lang w:val="zh-CN"/>
                <w14:textFill>
                  <w14:solidFill>
                    <w14:schemeClr w14:val="tx1"/>
                  </w14:solidFill>
                </w14:textFill>
              </w:rPr>
            </w:pP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2"/>
                <w:highlight w:val="none"/>
                <w14:textFill>
                  <w14:solidFill>
                    <w14:schemeClr w14:val="tx1"/>
                  </w14:solidFill>
                </w14:textFill>
              </w:rPr>
              <w:t>.</w:t>
            </w:r>
            <w:r>
              <w:rPr>
                <w:rFonts w:hint="default" w:ascii="Times New Roman" w:hAnsi="Times New Roman" w:cs="Times New Roman"/>
                <w:b/>
                <w:bCs/>
                <w:color w:val="000000" w:themeColor="text1"/>
                <w:sz w:val="24"/>
                <w:szCs w:val="22"/>
                <w:highlight w:val="none"/>
                <w:lang w:val="zh-CN"/>
                <w14:textFill>
                  <w14:solidFill>
                    <w14:schemeClr w14:val="tx1"/>
                  </w14:solidFill>
                </w14:textFill>
              </w:rPr>
              <w:t>选址</w:t>
            </w: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合理</w:t>
            </w:r>
            <w:r>
              <w:rPr>
                <w:rFonts w:hint="default" w:ascii="Times New Roman" w:hAnsi="Times New Roman" w:cs="Times New Roman"/>
                <w:b/>
                <w:bCs/>
                <w:color w:val="000000" w:themeColor="text1"/>
                <w:sz w:val="24"/>
                <w:szCs w:val="22"/>
                <w:highlight w:val="none"/>
                <w:lang w:val="zh-CN"/>
                <w14:textFill>
                  <w14:solidFill>
                    <w14:schemeClr w14:val="tx1"/>
                  </w14:solidFill>
                </w14:textFill>
              </w:rPr>
              <w:t>性分析</w:t>
            </w:r>
          </w:p>
          <w:p w14:paraId="03EBFC82">
            <w:pPr>
              <w:adjustRightInd w:val="0"/>
              <w:spacing w:line="360" w:lineRule="auto"/>
              <w:ind w:firstLine="480" w:firstLineChars="200"/>
              <w:rPr>
                <w:rFonts w:hint="default" w:ascii="Times New Roman" w:hAnsi="Times New Roman" w:cs="Times New Roman" w:eastAsiaTheme="minorEastAsia"/>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zh-CN"/>
                <w14:textFill>
                  <w14:solidFill>
                    <w14:schemeClr w14:val="tx1"/>
                  </w14:solidFill>
                </w14:textFill>
              </w:rPr>
              <w:t>）本项目</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位于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宝鸡市陈仓区阳香泉镇麻池村</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在购买的宝鸡皓顺硅业有限公司原石英矿石的矿石加工区内进行扩建及技改，</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该</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地块的土地类型为荒地，</w:t>
            </w:r>
            <w:r>
              <w:rPr>
                <w:rFonts w:hint="default" w:ascii="Times New Roman" w:hAnsi="Times New Roman" w:cs="Times New Roman" w:eastAsiaTheme="minorEastAsia"/>
                <w:color w:val="000000" w:themeColor="text1"/>
                <w:kern w:val="0"/>
                <w:sz w:val="24"/>
                <w:highlight w:val="none"/>
                <w:lang w:val="en-US" w:eastAsia="zh-CN" w:bidi="ar"/>
                <w14:textFill>
                  <w14:solidFill>
                    <w14:schemeClr w14:val="tx1"/>
                  </w14:solidFill>
                </w14:textFill>
              </w:rPr>
              <w:t>符合相关要求。</w:t>
            </w:r>
          </w:p>
          <w:p w14:paraId="6BF67DE7">
            <w:pPr>
              <w:pStyle w:val="34"/>
              <w:tabs>
                <w:tab w:val="right" w:leader="dot" w:pos="8306"/>
              </w:tabs>
              <w:spacing w:line="360" w:lineRule="auto"/>
              <w:ind w:firstLine="480" w:firstLineChars="200"/>
              <w:jc w:val="both"/>
              <w:rPr>
                <w:rFonts w:hint="default" w:ascii="Times New Roman" w:hAnsi="Times New Roman" w:cs="Times New Roman" w:eastAsiaTheme="minorEastAsia"/>
                <w:color w:val="000000" w:themeColor="text1"/>
                <w:sz w:val="24"/>
                <w:szCs w:val="32"/>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val="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u w:val="none"/>
                <w:lang w:val="en-US" w:eastAsia="zh-CN"/>
                <w14:textFill>
                  <w14:solidFill>
                    <w14:schemeClr w14:val="tx1"/>
                  </w14:solidFill>
                </w14:textFill>
              </w:rPr>
              <w:t>北侧为矿区，</w:t>
            </w:r>
            <w:r>
              <w:rPr>
                <w:rFonts w:hint="default" w:ascii="Times New Roman" w:hAnsi="Times New Roman" w:cs="Times New Roman" w:eastAsiaTheme="minorEastAsia"/>
                <w:color w:val="000000" w:themeColor="text1"/>
                <w:sz w:val="24"/>
                <w:szCs w:val="32"/>
                <w:highlight w:val="none"/>
                <w:u w:val="none"/>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24"/>
                <w:szCs w:val="32"/>
                <w:highlight w:val="none"/>
                <w:u w:val="none"/>
                <w14:textFill>
                  <w14:solidFill>
                    <w14:schemeClr w14:val="tx1"/>
                  </w14:solidFill>
                </w14:textFill>
              </w:rPr>
              <w:t>侧</w:t>
            </w:r>
            <w:r>
              <w:rPr>
                <w:rFonts w:hint="default" w:ascii="Times New Roman" w:hAnsi="Times New Roman" w:cs="Times New Roman" w:eastAsiaTheme="minorEastAsia"/>
                <w:color w:val="000000" w:themeColor="text1"/>
                <w:sz w:val="24"/>
                <w:szCs w:val="32"/>
                <w:highlight w:val="none"/>
                <w:u w:val="none"/>
                <w:lang w:val="en-US" w:eastAsia="zh-CN"/>
                <w14:textFill>
                  <w14:solidFill>
                    <w14:schemeClr w14:val="tx1"/>
                  </w14:solidFill>
                </w14:textFill>
              </w:rPr>
              <w:t>、西侧均为山体、南侧为矿区道路</w:t>
            </w:r>
            <w:r>
              <w:rPr>
                <w:rFonts w:hint="default" w:ascii="Times New Roman" w:hAnsi="Times New Roman" w:cs="Times New Roman" w:eastAsiaTheme="minorEastAsia"/>
                <w:color w:val="000000" w:themeColor="text1"/>
                <w:sz w:val="24"/>
                <w:szCs w:val="32"/>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lang w:eastAsia="zh-CN"/>
                <w14:textFill>
                  <w14:solidFill>
                    <w14:schemeClr w14:val="tx1"/>
                  </w14:solidFill>
                </w14:textFill>
              </w:rPr>
              <w:t>项目所在地给水、供电、排水等基础设施完善，</w:t>
            </w:r>
            <w: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t>可</w:t>
            </w:r>
            <w:r>
              <w:rPr>
                <w:rFonts w:hint="default" w:ascii="Times New Roman" w:hAnsi="Times New Roman" w:cs="Times New Roman" w:eastAsiaTheme="minorEastAsia"/>
                <w:color w:val="000000" w:themeColor="text1"/>
                <w:sz w:val="24"/>
                <w:szCs w:val="32"/>
                <w:highlight w:val="none"/>
                <w:lang w:eastAsia="zh-CN"/>
                <w14:textFill>
                  <w14:solidFill>
                    <w14:schemeClr w14:val="tx1"/>
                  </w14:solidFill>
                </w14:textFill>
              </w:rPr>
              <w:t>满足项目</w:t>
            </w:r>
            <w: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t>运行</w:t>
            </w:r>
            <w:r>
              <w:rPr>
                <w:rFonts w:hint="default" w:ascii="Times New Roman" w:hAnsi="Times New Roman" w:cs="Times New Roman" w:eastAsiaTheme="minorEastAsia"/>
                <w:color w:val="000000" w:themeColor="text1"/>
                <w:sz w:val="24"/>
                <w:szCs w:val="32"/>
                <w:highlight w:val="none"/>
                <w:lang w:eastAsia="zh-CN"/>
                <w14:textFill>
                  <w14:solidFill>
                    <w14:schemeClr w14:val="tx1"/>
                  </w14:solidFill>
                </w14:textFill>
              </w:rPr>
              <w:t>需求。</w:t>
            </w:r>
          </w:p>
          <w:p w14:paraId="65774F68">
            <w:pPr>
              <w:pStyle w:val="34"/>
              <w:tabs>
                <w:tab w:val="right" w:leader="dot" w:pos="8306"/>
              </w:tabs>
              <w:spacing w:line="360" w:lineRule="auto"/>
              <w:ind w:firstLine="480" w:firstLineChars="200"/>
              <w:jc w:val="both"/>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根据现场勘查，</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本项目厂界外50m范围内无声环境保护目标</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根据</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环境</w:t>
            </w:r>
            <w:r>
              <w:rPr>
                <w:rFonts w:hint="default" w:ascii="Times New Roman" w:hAnsi="Times New Roman" w:cs="Times New Roman"/>
                <w:color w:val="000000" w:themeColor="text1"/>
                <w:sz w:val="24"/>
                <w:szCs w:val="24"/>
                <w:highlight w:val="none"/>
                <w14:textFill>
                  <w14:solidFill>
                    <w14:schemeClr w14:val="tx1"/>
                  </w14:solidFill>
                </w14:textFill>
              </w:rPr>
              <w:t>质量公报</w:t>
            </w:r>
            <w:r>
              <w:rPr>
                <w:rFonts w:hint="default" w:ascii="Times New Roman" w:hAnsi="Times New Roman" w:eastAsia="宋体" w:cs="Times New Roman"/>
                <w:color w:val="000000" w:themeColor="text1"/>
                <w:sz w:val="24"/>
                <w:szCs w:val="24"/>
                <w:highlight w:val="none"/>
                <w14:textFill>
                  <w14:solidFill>
                    <w14:schemeClr w14:val="tx1"/>
                  </w14:solidFill>
                </w14:textFill>
              </w:rPr>
              <w:t>统计</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结果可知，项目所在区</w:t>
            </w:r>
            <w:r>
              <w:rPr>
                <w:rFonts w:hint="default" w:ascii="Times New Roman" w:hAnsi="Times New Roman" w:cs="Times New Roman"/>
                <w:color w:val="000000" w:themeColor="text1"/>
                <w:sz w:val="24"/>
                <w:highlight w:val="none"/>
                <w:lang w:val="zh-CN"/>
                <w14:textFill>
                  <w14:solidFill>
                    <w14:schemeClr w14:val="tx1"/>
                  </w14:solidFill>
                </w14:textFill>
              </w:rPr>
              <w:t>环境空气判定为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w:t>
            </w:r>
            <w:r>
              <w:rPr>
                <w:rFonts w:hint="default" w:ascii="Times New Roman" w:hAnsi="Times New Roman" w:cs="Times New Roman"/>
                <w:color w:val="000000" w:themeColor="text1"/>
                <w:sz w:val="24"/>
                <w:highlight w:val="none"/>
                <w:lang w:val="zh-CN"/>
                <w14:textFill>
                  <w14:solidFill>
                    <w14:schemeClr w14:val="tx1"/>
                  </w14:solidFill>
                </w14:textFill>
              </w:rPr>
              <w:t>达标区，</w:t>
            </w:r>
            <w:r>
              <w:rPr>
                <w:rFonts w:hint="default" w:ascii="Times New Roman" w:hAnsi="Times New Roman" w:cs="Times New Roman"/>
                <w:color w:val="000000" w:themeColor="text1"/>
                <w:sz w:val="24"/>
                <w:highlight w:val="none"/>
                <w:lang w:val="zh-CN" w:eastAsia="zh-CN"/>
                <w14:textFill>
                  <w14:solidFill>
                    <w14:schemeClr w14:val="tx1"/>
                  </w14:solidFill>
                </w14:textFill>
              </w:rPr>
              <w:t>本项目拟在</w:t>
            </w:r>
            <w:r>
              <w:rPr>
                <w:rFonts w:hint="default" w:ascii="Times New Roman" w:hAnsi="Times New Roman" w:cs="Times New Roman"/>
                <w:color w:val="000000" w:themeColor="text1"/>
                <w:sz w:val="24"/>
                <w:highlight w:val="none"/>
                <w:lang w:val="en-US" w:eastAsia="zh-CN"/>
                <w14:textFill>
                  <w14:solidFill>
                    <w14:schemeClr w14:val="tx1"/>
                  </w14:solidFill>
                </w14:textFill>
              </w:rPr>
              <w:t>原有两条矿石加工生产线后端分别新增一套洗砂设备。新增生产工艺属于湿法作业，无粉尘产生，水洗废水经沉淀池沉淀后循环使用不外排。拟对原有矿石加工车间进行</w:t>
            </w:r>
            <w:r>
              <w:rPr>
                <w:rFonts w:hint="default" w:ascii="Times New Roman" w:hAnsi="Times New Roman" w:cs="Times New Roman"/>
                <w:color w:val="000000" w:themeColor="text1"/>
                <w:sz w:val="24"/>
                <w:highlight w:val="none"/>
                <w:lang w:val="zh-CN" w:eastAsia="zh-CN"/>
                <w14:textFill>
                  <w14:solidFill>
                    <w14:schemeClr w14:val="tx1"/>
                  </w14:solidFill>
                </w14:textFill>
              </w:rPr>
              <w:t>封闭，在石料破碎、筛分、输送带处安装自动</w:t>
            </w:r>
            <w:r>
              <w:rPr>
                <w:rFonts w:hint="eastAsia" w:ascii="Times New Roman" w:hAnsi="Times New Roman"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color w:val="000000" w:themeColor="text1"/>
                <w:sz w:val="24"/>
                <w:highlight w:val="none"/>
                <w:lang w:val="zh-CN" w:eastAsia="zh-CN"/>
                <w14:textFill>
                  <w14:solidFill>
                    <w14:schemeClr w14:val="tx1"/>
                  </w14:solidFill>
                </w14:textFill>
              </w:rPr>
              <w:t>装置，并在传送带处每隔一定距离设置一个</w:t>
            </w:r>
            <w:r>
              <w:rPr>
                <w:rFonts w:hint="eastAsia" w:ascii="Times New Roman" w:hAnsi="Times New Roman"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color w:val="000000" w:themeColor="text1"/>
                <w:sz w:val="24"/>
                <w:highlight w:val="none"/>
                <w:lang w:val="zh-CN" w:eastAsia="zh-CN"/>
                <w14:textFill>
                  <w14:solidFill>
                    <w14:schemeClr w14:val="tx1"/>
                  </w14:solidFill>
                </w14:textFill>
              </w:rPr>
              <w:t>喷头，破碎机、筛分机上方设集气罩+1套布袋除尘+15m排气筒；物料装卸车地点四周设置喷雾洒水装置降低物料装卸粉尘；原料及成品堆场采用封闭堆棚，并采取洒水抑尘措施；厂区出入口处设洗车平台，对进出厂内的运输车辆进行清洗，厂区主要道路进行地面硬化，设洒水车定期洒水，运输车辆加盖篷布，以降低粉尘的产生；</w:t>
            </w:r>
            <w:r>
              <w:rPr>
                <w:rFonts w:hint="default" w:ascii="Times New Roman" w:hAnsi="Times New Roman" w:eastAsia="宋体" w:cs="Times New Roman"/>
                <w:color w:val="000000" w:themeColor="text1"/>
                <w:sz w:val="24"/>
                <w:highlight w:val="none"/>
                <w14:textFill>
                  <w14:solidFill>
                    <w14:schemeClr w14:val="tx1"/>
                  </w14:solidFill>
                </w14:textFill>
              </w:rPr>
              <w:t>运</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营期</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物料堆场、道路地面降尘</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喷雾</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用水</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全部蒸发损耗；车辆冲洗废水经沉淀池沉淀后回用，不外排；</w:t>
            </w:r>
          </w:p>
          <w:p w14:paraId="234F9E47">
            <w:pPr>
              <w:pStyle w:val="34"/>
              <w:tabs>
                <w:tab w:val="right" w:leader="dot" w:pos="8306"/>
              </w:tabs>
              <w:spacing w:line="360" w:lineRule="auto"/>
              <w:ind w:firstLine="480" w:firstLineChars="200"/>
              <w:jc w:val="both"/>
              <w:rPr>
                <w:rFonts w:hint="default" w:ascii="Times New Roman" w:hAnsi="Times New Roman" w:cs="Times New Roman" w:eastAsiaTheme="minorEastAsia"/>
                <w:bCs/>
                <w:color w:val="000000" w:themeColor="text1"/>
                <w:sz w:val="24"/>
                <w:szCs w:val="28"/>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8"/>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sz w:val="24"/>
                <w:szCs w:val="28"/>
                <w:highlight w:val="none"/>
                <w:lang w:val="en-US" w:eastAsia="zh-CN"/>
                <w14:textFill>
                  <w14:solidFill>
                    <w14:schemeClr w14:val="tx1"/>
                  </w14:solidFill>
                </w14:textFill>
              </w:rPr>
              <w:t>4</w:t>
            </w:r>
            <w:r>
              <w:rPr>
                <w:rFonts w:hint="default" w:ascii="Times New Roman" w:hAnsi="Times New Roman" w:cs="Times New Roman" w:eastAsiaTheme="minorEastAsia"/>
                <w:bCs/>
                <w:color w:val="000000" w:themeColor="text1"/>
                <w:sz w:val="24"/>
                <w:szCs w:val="28"/>
                <w:highlight w:val="none"/>
                <w:lang w:eastAsia="zh-CN"/>
                <w14:textFill>
                  <w14:solidFill>
                    <w14:schemeClr w14:val="tx1"/>
                  </w14:solidFill>
                </w14:textFill>
              </w:rPr>
              <w:t>）项目</w:t>
            </w:r>
            <w:r>
              <w:rPr>
                <w:rFonts w:hint="default" w:ascii="Times New Roman" w:hAnsi="Times New Roman" w:cs="Times New Roman" w:eastAsiaTheme="minorEastAsia"/>
                <w:bCs/>
                <w:color w:val="000000" w:themeColor="text1"/>
                <w:sz w:val="24"/>
                <w:szCs w:val="28"/>
                <w:highlight w:val="none"/>
                <w:lang w:val="en-US" w:eastAsia="zh-CN"/>
                <w14:textFill>
                  <w14:solidFill>
                    <w14:schemeClr w14:val="tx1"/>
                  </w14:solidFill>
                </w14:textFill>
              </w:rPr>
              <w:t>所在区</w:t>
            </w:r>
            <w:r>
              <w:rPr>
                <w:rFonts w:hint="default" w:ascii="Times New Roman" w:hAnsi="Times New Roman" w:cs="Times New Roman" w:eastAsiaTheme="minorEastAsia"/>
                <w:bCs/>
                <w:color w:val="000000" w:themeColor="text1"/>
                <w:sz w:val="24"/>
                <w:szCs w:val="28"/>
                <w:highlight w:val="none"/>
                <w:lang w:eastAsia="zh-CN"/>
                <w14:textFill>
                  <w14:solidFill>
                    <w14:schemeClr w14:val="tx1"/>
                  </w14:solidFill>
                </w14:textFill>
              </w:rPr>
              <w:t>无重点保护野生动、植物分布，不涉及风景名胜区、自然保护区、基本农田、文物保护单位、饮用水水源地等敏感区域。</w:t>
            </w:r>
          </w:p>
          <w:p w14:paraId="0536FCD2">
            <w:pPr>
              <w:pStyle w:val="34"/>
              <w:tabs>
                <w:tab w:val="right" w:leader="dot" w:pos="8306"/>
              </w:tabs>
              <w:spacing w:line="360" w:lineRule="auto"/>
              <w:ind w:firstLine="480" w:firstLineChars="200"/>
              <w:jc w:val="both"/>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zh-CN"/>
                <w14:textFill>
                  <w14:solidFill>
                    <w14:schemeClr w14:val="tx1"/>
                  </w14:solidFill>
                </w14:textFill>
              </w:rPr>
              <w:t>从环保角度考虑，</w:t>
            </w: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zh-CN"/>
                <w14:textFill>
                  <w14:solidFill>
                    <w14:schemeClr w14:val="tx1"/>
                  </w14:solidFill>
                </w14:textFill>
              </w:rPr>
              <w:t>选址合理。</w:t>
            </w:r>
          </w:p>
          <w:p w14:paraId="7E9F6222">
            <w:pPr>
              <w:pStyle w:val="34"/>
              <w:tabs>
                <w:tab w:val="right" w:leader="dot" w:pos="8306"/>
              </w:tabs>
              <w:spacing w:line="360" w:lineRule="auto"/>
              <w:ind w:firstLine="480" w:firstLineChars="200"/>
              <w:jc w:val="both"/>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p>
          <w:p w14:paraId="3623FD40">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56FECC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46F8FB7E">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5AE83BE">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EC90181">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33C75058">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501F3821">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26067A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E356D2B">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4B0D7AB6">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51371B8C">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811A4DE">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0767157">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3F48FD16">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AAD2E09">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AE8FB2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EA8C009">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BD4BF11">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01C8D86">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F976010">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5CABC87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127FEFB">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9444107">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65CC743C">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95847C5">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1CA80FB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0A1CEF3F">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ADBFBB9">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8594374">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6DEC95F8">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5FEB000C">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66BA172">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77FE6586">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2AF5167B">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076EB6EB">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51E872BD">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p w14:paraId="4E61A6E1">
            <w:pPr>
              <w:rPr>
                <w:rFonts w:hint="default" w:ascii="Times New Roman" w:hAnsi="Times New Roman" w:cs="Times New Roman" w:eastAsiaTheme="minorEastAsia"/>
                <w:color w:val="000000" w:themeColor="text1"/>
                <w:sz w:val="24"/>
                <w:szCs w:val="32"/>
                <w:highlight w:val="none"/>
                <w:lang w:val="en-US" w:eastAsia="zh-CN"/>
                <w14:textFill>
                  <w14:solidFill>
                    <w14:schemeClr w14:val="tx1"/>
                  </w14:solidFill>
                </w14:textFill>
              </w:rPr>
            </w:pPr>
          </w:p>
        </w:tc>
      </w:tr>
    </w:tbl>
    <w:p w14:paraId="3171EAC1">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p w14:paraId="1E0EE92B">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二、建设项目工程分析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8214"/>
      </w:tblGrid>
      <w:tr w14:paraId="558DC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398" w:type="pct"/>
            <w:tcBorders>
              <w:tl2br w:val="nil"/>
              <w:tr2bl w:val="nil"/>
            </w:tcBorders>
            <w:noWrap/>
            <w:vAlign w:val="center"/>
          </w:tcPr>
          <w:p w14:paraId="177A7EA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建设内容</w:t>
            </w:r>
          </w:p>
        </w:tc>
        <w:tc>
          <w:tcPr>
            <w:tcW w:w="4601" w:type="pct"/>
            <w:tcBorders>
              <w:tl2br w:val="nil"/>
              <w:tr2bl w:val="nil"/>
            </w:tcBorders>
            <w:noWrap/>
          </w:tcPr>
          <w:p w14:paraId="148D7459">
            <w:pPr>
              <w:spacing w:line="360" w:lineRule="auto"/>
              <w:ind w:firstLine="482" w:firstLineChars="20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1.项目由来</w:t>
            </w:r>
          </w:p>
          <w:p w14:paraId="6F0C0CEA">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宝鸡昌锦瑞石英科技有限公司成立于202</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年</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月，</w:t>
            </w:r>
            <w:r>
              <w:rPr>
                <w:rFonts w:hint="default" w:ascii="Times New Roman" w:hAnsi="Times New Roman" w:cs="Times New Roman" w:eastAsiaTheme="minorEastAsia"/>
                <w:color w:val="000000" w:themeColor="text1"/>
                <w:sz w:val="24"/>
                <w:highlight w:val="none"/>
                <w14:textFill>
                  <w14:solidFill>
                    <w14:schemeClr w14:val="tx1"/>
                  </w14:solidFill>
                </w14:textFill>
              </w:rPr>
              <w:t>主要从事</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矿物洗选加工，</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建筑用石加工业</w:t>
            </w:r>
            <w:r>
              <w:rPr>
                <w:rFonts w:hint="default" w:ascii="Times New Roman" w:hAnsi="Times New Roman" w:cs="Times New Roman" w:eastAsiaTheme="minorEastAsia"/>
                <w:color w:val="000000" w:themeColor="text1"/>
                <w:sz w:val="24"/>
                <w:highlight w:val="none"/>
                <w14:textFill>
                  <w14:solidFill>
                    <w14:schemeClr w14:val="tx1"/>
                  </w14:solidFill>
                </w14:textFill>
              </w:rPr>
              <w:t>等</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w:t>
            </w:r>
          </w:p>
          <w:p w14:paraId="260B16D4">
            <w:pPr>
              <w:adjustRightIn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6" w:name="bookmark80"/>
            <w:bookmarkEnd w:id="6"/>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在购买的宝鸡皓顺硅业有限公司原石英矿石的矿石加工区内进行改扩建</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本项目仅在厂区内进行破碎、集运等，根据《建设项目环境影响评价分类管理名录（2021年版）》本项目属于八、非金属矿采选业12-石棉及其他非金属矿采选109中单独的矿石破碎、集运，应编制环境影响报告表。</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根据现场调查，目前场地原有设备完好，环保设备可正常运行</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办公楼内设施齐全</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w:t>
            </w:r>
          </w:p>
          <w:p w14:paraId="6A6300C6">
            <w:pPr>
              <w:spacing w:line="360" w:lineRule="auto"/>
              <w:ind w:firstLine="482" w:firstLineChars="20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2.建设内容</w:t>
            </w:r>
          </w:p>
          <w:p w14:paraId="7A52C77E">
            <w:pPr>
              <w:adjustRightInd w:val="0"/>
              <w:spacing w:line="360" w:lineRule="auto"/>
              <w:ind w:firstLine="480" w:firstLineChars="200"/>
              <w:jc w:val="left"/>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现公司拟投资</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万元于</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宝鸡市陈仓区阳香泉镇麻池村</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建设</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石英矿石生产线改造项目</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次改造不新增用地，主要建设内容为：本项目在原有破碎筛分设备的基础上新增洗砂机，并完善相关配套设施，项目建成后可形成年产40万吨石英矿石的生产规模，项目建成后较原有项目增加了20万吨石英矿石的生产规模。</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本项目主要工程组成详见下表。</w:t>
            </w:r>
          </w:p>
          <w:p w14:paraId="667F4524">
            <w:pPr>
              <w:adjustRightInd w:val="0"/>
              <w:spacing w:line="36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 xml:space="preserve">  项目工程组成一览表</w:t>
            </w:r>
          </w:p>
          <w:tbl>
            <w:tblPr>
              <w:tblStyle w:val="25"/>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231"/>
              <w:gridCol w:w="4898"/>
              <w:gridCol w:w="1178"/>
            </w:tblGrid>
            <w:tr w14:paraId="7A2C4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02" w:type="pct"/>
                  <w:tcBorders>
                    <w:tl2br w:val="nil"/>
                    <w:tr2bl w:val="nil"/>
                  </w:tcBorders>
                  <w:vAlign w:val="center"/>
                </w:tcPr>
                <w:p w14:paraId="48D736F4">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项目组成</w:t>
                  </w:r>
                </w:p>
              </w:tc>
              <w:tc>
                <w:tcPr>
                  <w:tcW w:w="774" w:type="pct"/>
                  <w:tcBorders>
                    <w:tl2br w:val="nil"/>
                    <w:tr2bl w:val="nil"/>
                  </w:tcBorders>
                  <w:vAlign w:val="center"/>
                </w:tcPr>
                <w:p w14:paraId="4F8FD82B">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工程名称</w:t>
                  </w:r>
                </w:p>
              </w:tc>
              <w:tc>
                <w:tcPr>
                  <w:tcW w:w="3080" w:type="pct"/>
                  <w:tcBorders>
                    <w:tl2br w:val="nil"/>
                    <w:tr2bl w:val="nil"/>
                  </w:tcBorders>
                  <w:vAlign w:val="center"/>
                </w:tcPr>
                <w:p w14:paraId="1183AAAE">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主要建设内容</w:t>
                  </w:r>
                </w:p>
              </w:tc>
              <w:tc>
                <w:tcPr>
                  <w:tcW w:w="741" w:type="pct"/>
                  <w:tcBorders>
                    <w:tl2br w:val="nil"/>
                    <w:tr2bl w:val="nil"/>
                  </w:tcBorders>
                  <w:vAlign w:val="center"/>
                </w:tcPr>
                <w:p w14:paraId="671C2C65">
                  <w:pPr>
                    <w:jc w:val="center"/>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备注</w:t>
                  </w:r>
                </w:p>
              </w:tc>
            </w:tr>
            <w:tr w14:paraId="3D4E0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402" w:type="pct"/>
                  <w:tcBorders>
                    <w:tl2br w:val="nil"/>
                    <w:tr2bl w:val="nil"/>
                  </w:tcBorders>
                  <w:vAlign w:val="center"/>
                </w:tcPr>
                <w:p w14:paraId="17CCB708">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主体工程</w:t>
                  </w:r>
                </w:p>
              </w:tc>
              <w:tc>
                <w:tcPr>
                  <w:tcW w:w="774" w:type="pct"/>
                  <w:tcBorders>
                    <w:tl2br w:val="nil"/>
                    <w:tr2bl w:val="nil"/>
                  </w:tcBorders>
                  <w:shd w:val="clear" w:color="auto" w:fill="auto"/>
                  <w:vAlign w:val="center"/>
                </w:tcPr>
                <w:p w14:paraId="62C71DBA">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Cs w:val="21"/>
                      <w:highlight w:val="none"/>
                      <w14:textFill>
                        <w14:solidFill>
                          <w14:schemeClr w14:val="tx1"/>
                        </w14:solidFill>
                      </w14:textFill>
                    </w:rPr>
                    <w:t>车间</w:t>
                  </w:r>
                </w:p>
              </w:tc>
              <w:tc>
                <w:tcPr>
                  <w:tcW w:w="3080" w:type="pct"/>
                  <w:tcBorders>
                    <w:tl2br w:val="nil"/>
                    <w:tr2bl w:val="nil"/>
                  </w:tcBorders>
                  <w:shd w:val="clear" w:color="auto" w:fill="auto"/>
                  <w:vAlign w:val="center"/>
                </w:tcPr>
                <w:p w14:paraId="3D650597">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1层，钢构结构，H=8m，建筑</w:t>
                  </w: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面积约1600m</w:t>
                  </w:r>
                  <w:r>
                    <w:rPr>
                      <w:rFonts w:hint="default" w:ascii="Times New Roman" w:hAnsi="Times New Roman" w:cs="Times New Roman" w:eastAsiaTheme="minorEastAsia"/>
                      <w:color w:val="000000" w:themeColor="text1"/>
                      <w:kern w:val="2"/>
                      <w:sz w:val="21"/>
                      <w:szCs w:val="21"/>
                      <w:highlight w:val="none"/>
                      <w:u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，地面</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硬化，车间实行全封闭，用于各类石料的生产，主要布设颚式破碎机、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反击式破碎机、振动筛、洗砂机、皮带输送机、三级沉淀池等设备</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741" w:type="pct"/>
                  <w:tcBorders>
                    <w:tl2br w:val="nil"/>
                    <w:tr2bl w:val="nil"/>
                  </w:tcBorders>
                  <w:shd w:val="clear" w:color="auto" w:fill="auto"/>
                  <w:vAlign w:val="center"/>
                </w:tcPr>
                <w:p w14:paraId="2CC95F7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原有车间内新增洗砂机</w:t>
                  </w:r>
                </w:p>
              </w:tc>
            </w:tr>
            <w:tr w14:paraId="6B3D1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402" w:type="pct"/>
                  <w:vMerge w:val="restart"/>
                  <w:tcBorders>
                    <w:tl2br w:val="nil"/>
                    <w:tr2bl w:val="nil"/>
                  </w:tcBorders>
                  <w:vAlign w:val="center"/>
                </w:tcPr>
                <w:p w14:paraId="26E41258">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辅助工程</w:t>
                  </w:r>
                </w:p>
              </w:tc>
              <w:tc>
                <w:tcPr>
                  <w:tcW w:w="774" w:type="pct"/>
                  <w:tcBorders>
                    <w:tl2br w:val="nil"/>
                    <w:tr2bl w:val="nil"/>
                  </w:tcBorders>
                  <w:shd w:val="clear" w:color="auto" w:fill="auto"/>
                  <w:vAlign w:val="center"/>
                </w:tcPr>
                <w:p w14:paraId="0297A8DB">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办公区</w:t>
                  </w:r>
                </w:p>
              </w:tc>
              <w:tc>
                <w:tcPr>
                  <w:tcW w:w="3080" w:type="pct"/>
                  <w:tcBorders>
                    <w:tl2br w:val="nil"/>
                    <w:tr2bl w:val="nil"/>
                  </w:tcBorders>
                  <w:shd w:val="clear" w:color="auto" w:fill="auto"/>
                  <w:vAlign w:val="center"/>
                </w:tcPr>
                <w:p w14:paraId="67DD89DA">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办公区依托原有项目的临时办公区，三层，占地面积约</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35</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0m</w:t>
                  </w:r>
                  <w:r>
                    <w:rPr>
                      <w:rFonts w:hint="default" w:ascii="Times New Roman" w:hAnsi="Times New Roman" w:cs="Times New Roman" w:eastAsiaTheme="minorEastAsia"/>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，主要用于工作人员的临时办公及临时休息室、食堂等</w:t>
                  </w:r>
                </w:p>
              </w:tc>
              <w:tc>
                <w:tcPr>
                  <w:tcW w:w="741" w:type="pct"/>
                  <w:tcBorders>
                    <w:tl2br w:val="nil"/>
                    <w:tr2bl w:val="nil"/>
                  </w:tcBorders>
                  <w:shd w:val="clear" w:color="auto" w:fill="auto"/>
                  <w:vAlign w:val="center"/>
                </w:tcPr>
                <w:p w14:paraId="1F48382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依托原有</w:t>
                  </w:r>
                </w:p>
              </w:tc>
            </w:tr>
            <w:tr w14:paraId="3FF23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2" w:type="pct"/>
                  <w:vMerge w:val="continue"/>
                  <w:tcBorders>
                    <w:tl2br w:val="nil"/>
                    <w:tr2bl w:val="nil"/>
                  </w:tcBorders>
                  <w:vAlign w:val="center"/>
                </w:tcPr>
                <w:p w14:paraId="6A84AA65">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tc>
              <w:tc>
                <w:tcPr>
                  <w:tcW w:w="774" w:type="pct"/>
                  <w:tcBorders>
                    <w:tl2br w:val="nil"/>
                    <w:tr2bl w:val="nil"/>
                  </w:tcBorders>
                  <w:shd w:val="clear" w:color="auto" w:fill="auto"/>
                  <w:vAlign w:val="center"/>
                </w:tcPr>
                <w:p w14:paraId="01CE4CE8">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矿区道路</w:t>
                  </w:r>
                </w:p>
              </w:tc>
              <w:tc>
                <w:tcPr>
                  <w:tcW w:w="3080" w:type="pct"/>
                  <w:tcBorders>
                    <w:tl2br w:val="nil"/>
                    <w:tr2bl w:val="nil"/>
                  </w:tcBorders>
                  <w:shd w:val="clear" w:color="auto" w:fill="auto"/>
                  <w:vAlign w:val="center"/>
                </w:tcPr>
                <w:p w14:paraId="293A0C4F">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长度约400m，路面结构为泥结碎石</w:t>
                  </w:r>
                </w:p>
              </w:tc>
              <w:tc>
                <w:tcPr>
                  <w:tcW w:w="741" w:type="pct"/>
                  <w:tcBorders>
                    <w:tl2br w:val="nil"/>
                    <w:tr2bl w:val="nil"/>
                  </w:tcBorders>
                  <w:shd w:val="clear" w:color="auto" w:fill="auto"/>
                  <w:vAlign w:val="center"/>
                </w:tcPr>
                <w:p w14:paraId="56AD268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依托原有</w:t>
                  </w:r>
                </w:p>
              </w:tc>
            </w:tr>
            <w:tr w14:paraId="38BCD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02" w:type="pct"/>
                  <w:vMerge w:val="restart"/>
                  <w:tcBorders>
                    <w:tl2br w:val="nil"/>
                    <w:tr2bl w:val="nil"/>
                  </w:tcBorders>
                  <w:vAlign w:val="center"/>
                </w:tcPr>
                <w:p w14:paraId="78B73963">
                  <w:pPr>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储运工程</w:t>
                  </w:r>
                </w:p>
              </w:tc>
              <w:tc>
                <w:tcPr>
                  <w:tcW w:w="774" w:type="pct"/>
                  <w:tcBorders>
                    <w:tl2br w:val="nil"/>
                    <w:tr2bl w:val="nil"/>
                  </w:tcBorders>
                  <w:vAlign w:val="center"/>
                </w:tcPr>
                <w:p w14:paraId="0189E573">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原料车间</w:t>
                  </w:r>
                </w:p>
              </w:tc>
              <w:tc>
                <w:tcPr>
                  <w:tcW w:w="3080" w:type="pct"/>
                  <w:tcBorders>
                    <w:tl2br w:val="nil"/>
                    <w:tr2bl w:val="nil"/>
                  </w:tcBorders>
                  <w:vAlign w:val="center"/>
                </w:tcPr>
                <w:p w14:paraId="5C40003C">
                  <w:pPr>
                    <w:jc w:val="cente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占地面积1300</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m</w:t>
                  </w:r>
                  <w:r>
                    <w:rPr>
                      <w:rFonts w:hint="default" w:ascii="Times New Roman" w:hAnsi="Times New Roman" w:cs="Times New Roman" w:eastAsiaTheme="minorEastAsia"/>
                      <w:color w:val="000000" w:themeColor="text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钢构结构，H=8m，</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位于</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车间</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东北侧</w:t>
                  </w:r>
                  <w:r>
                    <w:rPr>
                      <w:rFonts w:hint="default" w:ascii="Times New Roman" w:hAnsi="Times New Roman" w:cs="Times New Roman" w:eastAsiaTheme="minorEastAsia"/>
                      <w:color w:val="000000" w:themeColor="text1"/>
                      <w:szCs w:val="21"/>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用于原料堆放。</w:t>
                  </w:r>
                </w:p>
              </w:tc>
              <w:tc>
                <w:tcPr>
                  <w:tcW w:w="741" w:type="pct"/>
                  <w:tcBorders>
                    <w:tl2br w:val="nil"/>
                    <w:tr2bl w:val="nil"/>
                  </w:tcBorders>
                  <w:vAlign w:val="center"/>
                </w:tcPr>
                <w:p w14:paraId="1F979777">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新建</w:t>
                  </w:r>
                </w:p>
              </w:tc>
            </w:tr>
            <w:tr w14:paraId="6A2D3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02" w:type="pct"/>
                  <w:vMerge w:val="continue"/>
                  <w:tcBorders>
                    <w:tl2br w:val="nil"/>
                    <w:tr2bl w:val="nil"/>
                  </w:tcBorders>
                  <w:vAlign w:val="center"/>
                </w:tcPr>
                <w:p w14:paraId="1FE0A10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tcBorders>
                    <w:tl2br w:val="nil"/>
                    <w:tr2bl w:val="nil"/>
                  </w:tcBorders>
                  <w:vAlign w:val="center"/>
                </w:tcPr>
                <w:p w14:paraId="5DD02DB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成品车间1</w:t>
                  </w:r>
                </w:p>
              </w:tc>
              <w:tc>
                <w:tcPr>
                  <w:tcW w:w="3080" w:type="pct"/>
                  <w:tcBorders>
                    <w:tl2br w:val="nil"/>
                    <w:tr2bl w:val="nil"/>
                  </w:tcBorders>
                  <w:vAlign w:val="center"/>
                </w:tcPr>
                <w:p w14:paraId="360F8FCF">
                  <w:pPr>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占地面积800</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m</w:t>
                  </w:r>
                  <w:r>
                    <w:rPr>
                      <w:rFonts w:hint="default" w:ascii="Times New Roman" w:hAnsi="Times New Roman" w:cs="Times New Roman" w:eastAsiaTheme="minorEastAsia"/>
                      <w:color w:val="000000" w:themeColor="text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钢构结构，H=8m，</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位于</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车间</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南侧</w:t>
                  </w:r>
                  <w:r>
                    <w:rPr>
                      <w:rFonts w:hint="default" w:ascii="Times New Roman" w:hAnsi="Times New Roman" w:cs="Times New Roman" w:eastAsiaTheme="minorEastAsia"/>
                      <w:color w:val="000000" w:themeColor="text1"/>
                      <w:szCs w:val="21"/>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用于成品石料（2-5cm硅石块石、料渣）存放。</w:t>
                  </w:r>
                </w:p>
              </w:tc>
              <w:tc>
                <w:tcPr>
                  <w:tcW w:w="741" w:type="pct"/>
                  <w:tcBorders>
                    <w:tl2br w:val="nil"/>
                    <w:tr2bl w:val="nil"/>
                  </w:tcBorders>
                  <w:vAlign w:val="center"/>
                </w:tcPr>
                <w:p w14:paraId="52F31D93">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新建</w:t>
                  </w:r>
                </w:p>
              </w:tc>
            </w:tr>
            <w:tr w14:paraId="3EFC6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02" w:type="pct"/>
                  <w:vMerge w:val="continue"/>
                  <w:tcBorders>
                    <w:tl2br w:val="nil"/>
                    <w:tr2bl w:val="nil"/>
                  </w:tcBorders>
                  <w:vAlign w:val="center"/>
                </w:tcPr>
                <w:p w14:paraId="6D964E7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tcBorders>
                    <w:tl2br w:val="nil"/>
                    <w:tr2bl w:val="nil"/>
                  </w:tcBorders>
                  <w:vAlign w:val="center"/>
                </w:tcPr>
                <w:p w14:paraId="28B2A75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成品车间2</w:t>
                  </w:r>
                </w:p>
              </w:tc>
              <w:tc>
                <w:tcPr>
                  <w:tcW w:w="3080" w:type="pct"/>
                  <w:tcBorders>
                    <w:tl2br w:val="nil"/>
                    <w:tr2bl w:val="nil"/>
                  </w:tcBorders>
                  <w:vAlign w:val="center"/>
                </w:tcPr>
                <w:p w14:paraId="253DCD10">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占地面积1200</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m</w:t>
                  </w:r>
                  <w:r>
                    <w:rPr>
                      <w:rFonts w:hint="default" w:ascii="Times New Roman" w:hAnsi="Times New Roman" w:cs="Times New Roman" w:eastAsiaTheme="minorEastAsia"/>
                      <w:color w:val="000000" w:themeColor="text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钢构结构，H=8m，</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位于</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Cs w:val="21"/>
                      <w:highlight w:val="none"/>
                      <w:u w:val="none"/>
                      <w14:textFill>
                        <w14:solidFill>
                          <w14:schemeClr w14:val="tx1"/>
                        </w14:solidFill>
                      </w14:textFill>
                    </w:rPr>
                    <w:t>车间</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西南侧</w:t>
                  </w:r>
                  <w:r>
                    <w:rPr>
                      <w:rFonts w:hint="default" w:ascii="Times New Roman" w:hAnsi="Times New Roman" w:cs="Times New Roman" w:eastAsiaTheme="minorEastAsia"/>
                      <w:color w:val="000000" w:themeColor="text1"/>
                      <w:szCs w:val="21"/>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用于成品石料（3-8cm硅石成品）存放。</w:t>
                  </w:r>
                </w:p>
              </w:tc>
              <w:tc>
                <w:tcPr>
                  <w:tcW w:w="741" w:type="pct"/>
                  <w:tcBorders>
                    <w:tl2br w:val="nil"/>
                    <w:tr2bl w:val="nil"/>
                  </w:tcBorders>
                  <w:vAlign w:val="center"/>
                </w:tcPr>
                <w:p w14:paraId="2E23511D">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新建</w:t>
                  </w:r>
                </w:p>
              </w:tc>
            </w:tr>
            <w:tr w14:paraId="5EC24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restart"/>
                  <w:tcBorders>
                    <w:tl2br w:val="nil"/>
                    <w:tr2bl w:val="nil"/>
                  </w:tcBorders>
                  <w:vAlign w:val="center"/>
                </w:tcPr>
                <w:p w14:paraId="278F5241">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公用工程</w:t>
                  </w:r>
                </w:p>
              </w:tc>
              <w:tc>
                <w:tcPr>
                  <w:tcW w:w="774" w:type="pct"/>
                  <w:tcBorders>
                    <w:tl2br w:val="nil"/>
                    <w:tr2bl w:val="nil"/>
                  </w:tcBorders>
                  <w:vAlign w:val="center"/>
                </w:tcPr>
                <w:p w14:paraId="057D825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供水</w:t>
                  </w:r>
                </w:p>
              </w:tc>
              <w:tc>
                <w:tcPr>
                  <w:tcW w:w="3080" w:type="pct"/>
                  <w:tcBorders>
                    <w:tl2br w:val="nil"/>
                    <w:tr2bl w:val="nil"/>
                  </w:tcBorders>
                  <w:vAlign w:val="center"/>
                </w:tcPr>
                <w:p w14:paraId="3ACC9C68">
                  <w:pPr>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水源</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采用罐车</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从麻池村</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拉运。</w:t>
                  </w:r>
                </w:p>
              </w:tc>
              <w:tc>
                <w:tcPr>
                  <w:tcW w:w="741" w:type="pct"/>
                  <w:tcBorders>
                    <w:tl2br w:val="nil"/>
                    <w:tr2bl w:val="nil"/>
                  </w:tcBorders>
                  <w:vAlign w:val="center"/>
                </w:tcPr>
                <w:p w14:paraId="12B2092D">
                  <w:pPr>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依托原有</w:t>
                  </w:r>
                </w:p>
              </w:tc>
            </w:tr>
            <w:tr w14:paraId="112D0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1E2A5422">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restart"/>
                  <w:tcBorders>
                    <w:tl2br w:val="nil"/>
                    <w:tr2bl w:val="nil"/>
                  </w:tcBorders>
                  <w:vAlign w:val="center"/>
                </w:tcPr>
                <w:p w14:paraId="0F9AAD0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排水</w:t>
                  </w:r>
                </w:p>
              </w:tc>
              <w:tc>
                <w:tcPr>
                  <w:tcW w:w="3080" w:type="pct"/>
                  <w:tcBorders>
                    <w:tl2br w:val="nil"/>
                    <w:tr2bl w:val="nil"/>
                  </w:tcBorders>
                  <w:shd w:val="clear" w:color="auto" w:fill="auto"/>
                  <w:vAlign w:val="center"/>
                </w:tcPr>
                <w:p w14:paraId="43D7B13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洗砂废水经三级沉淀处理后循环使用，不外排。</w:t>
                  </w:r>
                </w:p>
              </w:tc>
              <w:tc>
                <w:tcPr>
                  <w:tcW w:w="741" w:type="pct"/>
                  <w:tcBorders>
                    <w:tl2br w:val="nil"/>
                    <w:tr2bl w:val="nil"/>
                  </w:tcBorders>
                  <w:shd w:val="clear" w:color="auto" w:fill="auto"/>
                  <w:vAlign w:val="center"/>
                </w:tcPr>
                <w:p w14:paraId="190E64A7">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新建</w:t>
                  </w:r>
                </w:p>
              </w:tc>
            </w:tr>
            <w:tr w14:paraId="24AAC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486CF2AC">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continue"/>
                  <w:tcBorders>
                    <w:tl2br w:val="nil"/>
                    <w:tr2bl w:val="nil"/>
                  </w:tcBorders>
                  <w:vAlign w:val="center"/>
                </w:tcPr>
                <w:p w14:paraId="60DE3F0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3080" w:type="pct"/>
                  <w:tcBorders>
                    <w:tl2br w:val="nil"/>
                    <w:tr2bl w:val="nil"/>
                  </w:tcBorders>
                  <w:shd w:val="clear" w:color="auto" w:fill="auto"/>
                  <w:vAlign w:val="center"/>
                </w:tcPr>
                <w:p w14:paraId="6075C2C0">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洗车废水经洗车平台旁的沉淀池处理后循环使用，不外排。</w:t>
                  </w:r>
                </w:p>
              </w:tc>
              <w:tc>
                <w:tcPr>
                  <w:tcW w:w="741" w:type="pct"/>
                  <w:tcBorders>
                    <w:tl2br w:val="nil"/>
                    <w:tr2bl w:val="nil"/>
                  </w:tcBorders>
                  <w:shd w:val="clear" w:color="auto" w:fill="auto"/>
                  <w:vAlign w:val="center"/>
                </w:tcPr>
                <w:p w14:paraId="7CCBD8C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依托原有</w:t>
                  </w:r>
                </w:p>
              </w:tc>
            </w:tr>
            <w:tr w14:paraId="3CA8C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748BB8CB">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continue"/>
                  <w:tcBorders>
                    <w:tl2br w:val="nil"/>
                    <w:tr2bl w:val="nil"/>
                  </w:tcBorders>
                  <w:vAlign w:val="center"/>
                </w:tcPr>
                <w:p w14:paraId="10B15C4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3080" w:type="pct"/>
                  <w:tcBorders>
                    <w:tl2br w:val="nil"/>
                    <w:tr2bl w:val="nil"/>
                  </w:tcBorders>
                  <w:shd w:val="clear" w:color="auto" w:fill="auto"/>
                  <w:vAlign w:val="center"/>
                </w:tcPr>
                <w:p w14:paraId="320D6CDB">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物料堆场、道路地面降尘、</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用水全部蒸发损耗，不外排。</w:t>
                  </w:r>
                </w:p>
              </w:tc>
              <w:tc>
                <w:tcPr>
                  <w:tcW w:w="741" w:type="pct"/>
                  <w:tcBorders>
                    <w:tl2br w:val="nil"/>
                    <w:tr2bl w:val="nil"/>
                  </w:tcBorders>
                  <w:shd w:val="clear" w:color="auto" w:fill="auto"/>
                  <w:vAlign w:val="center"/>
                </w:tcPr>
                <w:p w14:paraId="0A606FA8">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新建</w:t>
                  </w:r>
                </w:p>
              </w:tc>
            </w:tr>
            <w:tr w14:paraId="0CE6A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362EBF9C">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tcBorders>
                    <w:tl2br w:val="nil"/>
                    <w:tr2bl w:val="nil"/>
                  </w:tcBorders>
                  <w:vAlign w:val="center"/>
                </w:tcPr>
                <w:p w14:paraId="42C8368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供电</w:t>
                  </w:r>
                </w:p>
              </w:tc>
              <w:tc>
                <w:tcPr>
                  <w:tcW w:w="3080" w:type="pct"/>
                  <w:tcBorders>
                    <w:tl2br w:val="nil"/>
                    <w:tr2bl w:val="nil"/>
                  </w:tcBorders>
                  <w:vAlign w:val="center"/>
                </w:tcPr>
                <w:p w14:paraId="007705BF">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市政供电管网</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p>
              </w:tc>
              <w:tc>
                <w:tcPr>
                  <w:tcW w:w="741" w:type="pct"/>
                  <w:tcBorders>
                    <w:tl2br w:val="nil"/>
                    <w:tr2bl w:val="nil"/>
                  </w:tcBorders>
                  <w:vAlign w:val="center"/>
                </w:tcPr>
                <w:p w14:paraId="6B05AD3B">
                  <w:pPr>
                    <w:jc w:val="center"/>
                    <w:rPr>
                      <w:rFonts w:hint="default" w:ascii="Times New Roman" w:hAnsi="Times New Roman" w:cs="Times New Roman" w:eastAsiaTheme="minorEastAsia"/>
                      <w:color w:val="000000" w:themeColor="text1"/>
                      <w:highlight w:val="none"/>
                      <w:lang w:val="en-US"/>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依托原有</w:t>
                  </w:r>
                </w:p>
              </w:tc>
            </w:tr>
            <w:tr w14:paraId="0C65B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402" w:type="pct"/>
                  <w:vMerge w:val="restart"/>
                  <w:tcBorders>
                    <w:tl2br w:val="nil"/>
                    <w:tr2bl w:val="nil"/>
                  </w:tcBorders>
                  <w:vAlign w:val="center"/>
                </w:tcPr>
                <w:p w14:paraId="7B96D05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环保工程</w:t>
                  </w:r>
                </w:p>
              </w:tc>
              <w:tc>
                <w:tcPr>
                  <w:tcW w:w="774" w:type="pct"/>
                  <w:vMerge w:val="restart"/>
                  <w:tcBorders>
                    <w:tl2br w:val="nil"/>
                    <w:tr2bl w:val="nil"/>
                  </w:tcBorders>
                  <w:shd w:val="clear" w:color="auto" w:fill="auto"/>
                  <w:vAlign w:val="center"/>
                </w:tcPr>
                <w:p w14:paraId="2E8F1D1C">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废气</w:t>
                  </w:r>
                </w:p>
              </w:tc>
              <w:tc>
                <w:tcPr>
                  <w:tcW w:w="3080" w:type="pct"/>
                  <w:tcBorders>
                    <w:tl2br w:val="nil"/>
                    <w:tr2bl w:val="nil"/>
                  </w:tcBorders>
                  <w:shd w:val="clear" w:color="auto" w:fill="auto"/>
                  <w:vAlign w:val="center"/>
                </w:tcPr>
                <w:p w14:paraId="4BE9B9A5">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破碎、筛分粉尘：生产车间密闭，在石料破碎、筛分、输送带处安装自动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装置，并在传送带处每隔一定距离设置一个</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喷头，</w:t>
                  </w:r>
                  <w:r>
                    <w:rPr>
                      <w:rFonts w:hint="default" w:ascii="Times New Roman" w:hAnsi="Times New Roman" w:eastAsia="宋体" w:cs="Times New Roman"/>
                      <w:color w:val="000000" w:themeColor="text1"/>
                      <w:highlight w:val="none"/>
                      <w:lang w:eastAsia="zh-CN"/>
                      <w14:textFill>
                        <w14:solidFill>
                          <w14:schemeClr w14:val="tx1"/>
                        </w14:solidFill>
                      </w14:textFill>
                    </w:rPr>
                    <w:t>破碎机、筛分机上方设集气罩</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1套布袋除尘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+15m排气筒。</w:t>
                  </w:r>
                </w:p>
              </w:tc>
              <w:tc>
                <w:tcPr>
                  <w:tcW w:w="741" w:type="pct"/>
                  <w:tcBorders>
                    <w:tl2br w:val="nil"/>
                    <w:tr2bl w:val="nil"/>
                  </w:tcBorders>
                  <w:vAlign w:val="center"/>
                </w:tcPr>
                <w:p w14:paraId="46009C0C">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依托原有</w:t>
                  </w:r>
                </w:p>
              </w:tc>
            </w:tr>
            <w:tr w14:paraId="7D3D4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02" w:type="pct"/>
                  <w:vMerge w:val="continue"/>
                  <w:tcBorders>
                    <w:tl2br w:val="nil"/>
                    <w:tr2bl w:val="nil"/>
                  </w:tcBorders>
                  <w:vAlign w:val="center"/>
                </w:tcPr>
                <w:p w14:paraId="5C46EF1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vAlign w:val="center"/>
                </w:tcPr>
                <w:p w14:paraId="3065B538">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p>
              </w:tc>
              <w:tc>
                <w:tcPr>
                  <w:tcW w:w="3080" w:type="pct"/>
                  <w:tcBorders>
                    <w:tl2br w:val="nil"/>
                    <w:tr2bl w:val="nil"/>
                  </w:tcBorders>
                  <w:shd w:val="clear" w:color="auto" w:fill="auto"/>
                  <w:vAlign w:val="center"/>
                </w:tcPr>
                <w:p w14:paraId="2BF56D21">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物料</w:t>
                  </w:r>
                  <w:r>
                    <w:rPr>
                      <w:rFonts w:hint="default" w:ascii="Times New Roman" w:hAnsi="Times New Roman" w:eastAsia="宋体" w:cs="Times New Roman"/>
                      <w:color w:val="000000" w:themeColor="text1"/>
                      <w:highlight w:val="none"/>
                      <w:lang w:eastAsia="zh-CN"/>
                      <w14:textFill>
                        <w14:solidFill>
                          <w14:schemeClr w14:val="tx1"/>
                        </w14:solidFill>
                      </w14:textFill>
                    </w:rPr>
                    <w:t>装</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卸粉尘：</w:t>
                  </w:r>
                  <w:r>
                    <w:rPr>
                      <w:rFonts w:hint="default" w:ascii="Times New Roman" w:hAnsi="Times New Roman" w:eastAsia="宋体" w:cs="Times New Roman"/>
                      <w:color w:val="000000" w:themeColor="text1"/>
                      <w:highlight w:val="none"/>
                      <w:lang w:eastAsia="zh-CN"/>
                      <w14:textFill>
                        <w14:solidFill>
                          <w14:schemeClr w14:val="tx1"/>
                        </w14:solidFill>
                      </w14:textFill>
                    </w:rPr>
                    <w:t>装</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卸</w:t>
                  </w:r>
                  <w:r>
                    <w:rPr>
                      <w:rFonts w:hint="default" w:ascii="Times New Roman" w:hAnsi="Times New Roman" w:eastAsia="宋体" w:cs="Times New Roman"/>
                      <w:color w:val="000000" w:themeColor="text1"/>
                      <w:highlight w:val="none"/>
                      <w:lang w:eastAsia="zh-CN"/>
                      <w14:textFill>
                        <w14:solidFill>
                          <w14:schemeClr w14:val="tx1"/>
                        </w14:solidFill>
                      </w14:textFill>
                    </w:rPr>
                    <w:t>车地点四周设置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highlight w:val="none"/>
                      <w:lang w:eastAsia="zh-CN"/>
                      <w14:textFill>
                        <w14:solidFill>
                          <w14:schemeClr w14:val="tx1"/>
                        </w14:solidFill>
                      </w14:textFill>
                    </w:rPr>
                    <w:t>洒水装置。</w:t>
                  </w:r>
                </w:p>
              </w:tc>
              <w:tc>
                <w:tcPr>
                  <w:tcW w:w="741" w:type="pct"/>
                  <w:tcBorders>
                    <w:tl2br w:val="nil"/>
                    <w:tr2bl w:val="nil"/>
                  </w:tcBorders>
                  <w:shd w:val="clear" w:color="auto" w:fill="auto"/>
                  <w:vAlign w:val="center"/>
                </w:tcPr>
                <w:p w14:paraId="0BD7F896">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依托原有</w:t>
                  </w:r>
                </w:p>
              </w:tc>
            </w:tr>
            <w:tr w14:paraId="4D248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02" w:type="pct"/>
                  <w:vMerge w:val="continue"/>
                  <w:tcBorders>
                    <w:tl2br w:val="nil"/>
                    <w:tr2bl w:val="nil"/>
                  </w:tcBorders>
                  <w:vAlign w:val="center"/>
                </w:tcPr>
                <w:p w14:paraId="5C70D93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vAlign w:val="center"/>
                </w:tcPr>
                <w:p w14:paraId="26A38CF1">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p>
              </w:tc>
              <w:tc>
                <w:tcPr>
                  <w:tcW w:w="3080" w:type="pct"/>
                  <w:tcBorders>
                    <w:tl2br w:val="nil"/>
                    <w:tr2bl w:val="nil"/>
                  </w:tcBorders>
                  <w:shd w:val="clear" w:color="auto" w:fill="auto"/>
                  <w:vAlign w:val="center"/>
                </w:tcPr>
                <w:p w14:paraId="70077DB0">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原料及成品堆场粉尘：封闭堆棚，并采取洒水抑尘。</w:t>
                  </w:r>
                </w:p>
              </w:tc>
              <w:tc>
                <w:tcPr>
                  <w:tcW w:w="741" w:type="pct"/>
                  <w:tcBorders>
                    <w:tl2br w:val="nil"/>
                    <w:tr2bl w:val="nil"/>
                  </w:tcBorders>
                  <w:shd w:val="clear" w:color="auto" w:fill="auto"/>
                  <w:vAlign w:val="center"/>
                </w:tcPr>
                <w:p w14:paraId="1BB43342">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新建</w:t>
                  </w:r>
                </w:p>
              </w:tc>
            </w:tr>
            <w:tr w14:paraId="1994C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02" w:type="pct"/>
                  <w:vMerge w:val="continue"/>
                  <w:tcBorders>
                    <w:tl2br w:val="nil"/>
                    <w:tr2bl w:val="nil"/>
                  </w:tcBorders>
                  <w:vAlign w:val="center"/>
                </w:tcPr>
                <w:p w14:paraId="5D47C77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vAlign w:val="center"/>
                </w:tcPr>
                <w:p w14:paraId="76119F8F">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p>
              </w:tc>
              <w:tc>
                <w:tcPr>
                  <w:tcW w:w="3080" w:type="pct"/>
                  <w:tcBorders>
                    <w:tl2br w:val="nil"/>
                    <w:tr2bl w:val="nil"/>
                  </w:tcBorders>
                  <w:shd w:val="clear" w:color="auto" w:fill="auto"/>
                  <w:vAlign w:val="center"/>
                </w:tcPr>
                <w:p w14:paraId="5D5B94E6">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运输道路扬尘：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厂区出入口处设洗车平台，</w:t>
                  </w:r>
                  <w:r>
                    <w:rPr>
                      <w:rFonts w:hint="default" w:ascii="Times New Roman" w:hAnsi="Times New Roman" w:eastAsia="宋体" w:cs="Times New Roman"/>
                      <w:color w:val="000000" w:themeColor="text1"/>
                      <w:highlight w:val="none"/>
                      <w:lang w:eastAsia="zh-CN"/>
                      <w14:textFill>
                        <w14:solidFill>
                          <w14:schemeClr w14:val="tx1"/>
                        </w14:solidFill>
                      </w14:textFill>
                    </w:rPr>
                    <w:t>运输道路路面硬化，</w:t>
                  </w:r>
                  <w:r>
                    <w:rPr>
                      <w:rFonts w:hint="default" w:ascii="Times New Roman" w:hAnsi="Times New Roman" w:eastAsia="宋体" w:cs="Times New Roman"/>
                      <w:color w:val="000000" w:themeColor="text1"/>
                      <w:highlight w:val="none"/>
                      <w:lang w:val="en-US" w:eastAsia="zh-CN"/>
                      <w14:textFill>
                        <w14:solidFill>
                          <w14:schemeClr w14:val="tx1"/>
                        </w14:solidFill>
                      </w14:textFill>
                    </w:rPr>
                    <w:t>并设洒水车定期洒水。</w:t>
                  </w:r>
                </w:p>
              </w:tc>
              <w:tc>
                <w:tcPr>
                  <w:tcW w:w="741" w:type="pct"/>
                  <w:tcBorders>
                    <w:tl2br w:val="nil"/>
                    <w:tr2bl w:val="nil"/>
                  </w:tcBorders>
                  <w:shd w:val="clear" w:color="auto" w:fill="auto"/>
                  <w:vAlign w:val="center"/>
                </w:tcPr>
                <w:p w14:paraId="6198D63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依托原有</w:t>
                  </w:r>
                </w:p>
              </w:tc>
            </w:tr>
            <w:tr w14:paraId="3BAC8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02" w:type="pct"/>
                  <w:vMerge w:val="continue"/>
                  <w:tcBorders>
                    <w:tl2br w:val="nil"/>
                    <w:tr2bl w:val="nil"/>
                  </w:tcBorders>
                  <w:vAlign w:val="center"/>
                </w:tcPr>
                <w:p w14:paraId="0F609D4E">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restart"/>
                  <w:tcBorders>
                    <w:tl2br w:val="nil"/>
                    <w:tr2bl w:val="nil"/>
                  </w:tcBorders>
                  <w:shd w:val="clear" w:color="auto" w:fill="auto"/>
                  <w:vAlign w:val="center"/>
                </w:tcPr>
                <w:p w14:paraId="38C2947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w:t>
                  </w:r>
                </w:p>
              </w:tc>
              <w:tc>
                <w:tcPr>
                  <w:tcW w:w="3080" w:type="pct"/>
                  <w:tcBorders>
                    <w:tl2br w:val="nil"/>
                    <w:tr2bl w:val="nil"/>
                  </w:tcBorders>
                  <w:shd w:val="clear" w:color="auto" w:fill="auto"/>
                  <w:vAlign w:val="center"/>
                </w:tcPr>
                <w:p w14:paraId="2805F8F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洗砂废水经三级沉淀处理后循环使用，不外排。</w:t>
                  </w:r>
                </w:p>
              </w:tc>
              <w:tc>
                <w:tcPr>
                  <w:tcW w:w="741" w:type="pct"/>
                  <w:tcBorders>
                    <w:tl2br w:val="nil"/>
                    <w:tr2bl w:val="nil"/>
                  </w:tcBorders>
                  <w:vAlign w:val="center"/>
                </w:tcPr>
                <w:p w14:paraId="6AA29F9F">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新建</w:t>
                  </w:r>
                </w:p>
              </w:tc>
            </w:tr>
            <w:tr w14:paraId="1118F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1C7DDC01">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vAlign w:val="center"/>
                </w:tcPr>
                <w:p w14:paraId="1C56C54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080" w:type="pct"/>
                  <w:tcBorders>
                    <w:tl2br w:val="nil"/>
                    <w:tr2bl w:val="nil"/>
                  </w:tcBorders>
                  <w:shd w:val="clear" w:color="auto" w:fill="auto"/>
                  <w:vAlign w:val="center"/>
                </w:tcPr>
                <w:p w14:paraId="4DBA475E">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洗车废水经洗车平台旁的沉淀池处理后循环使用，不外排。</w:t>
                  </w:r>
                </w:p>
              </w:tc>
              <w:tc>
                <w:tcPr>
                  <w:tcW w:w="741" w:type="pct"/>
                  <w:tcBorders>
                    <w:tl2br w:val="nil"/>
                    <w:tr2bl w:val="nil"/>
                  </w:tcBorders>
                  <w:vAlign w:val="center"/>
                </w:tcPr>
                <w:p w14:paraId="0A402043">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依托原有</w:t>
                  </w:r>
                </w:p>
              </w:tc>
            </w:tr>
            <w:tr w14:paraId="7E5AD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02" w:type="pct"/>
                  <w:vMerge w:val="continue"/>
                  <w:tcBorders>
                    <w:tl2br w:val="nil"/>
                    <w:tr2bl w:val="nil"/>
                  </w:tcBorders>
                  <w:vAlign w:val="center"/>
                </w:tcPr>
                <w:p w14:paraId="1955856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vAlign w:val="center"/>
                </w:tcPr>
                <w:p w14:paraId="1CC02A01">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080" w:type="pct"/>
                  <w:tcBorders>
                    <w:tl2br w:val="nil"/>
                    <w:tr2bl w:val="nil"/>
                  </w:tcBorders>
                  <w:shd w:val="clear" w:color="auto" w:fill="auto"/>
                  <w:vAlign w:val="center"/>
                </w:tcPr>
                <w:p w14:paraId="6A1F987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物料堆场、道路地面降尘、</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用水全部蒸发损耗，不外排。</w:t>
                  </w:r>
                </w:p>
              </w:tc>
              <w:tc>
                <w:tcPr>
                  <w:tcW w:w="741" w:type="pct"/>
                  <w:tcBorders>
                    <w:tl2br w:val="nil"/>
                    <w:tr2bl w:val="nil"/>
                  </w:tcBorders>
                  <w:vAlign w:val="center"/>
                </w:tcPr>
                <w:p w14:paraId="338C5890">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依托原有</w:t>
                  </w:r>
                </w:p>
              </w:tc>
            </w:tr>
            <w:tr w14:paraId="1D64D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607BAB6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774" w:type="pct"/>
                  <w:tcBorders>
                    <w:tl2br w:val="nil"/>
                    <w:tr2bl w:val="nil"/>
                  </w:tcBorders>
                  <w:shd w:val="clear" w:color="auto" w:fill="auto"/>
                  <w:vAlign w:val="center"/>
                </w:tcPr>
                <w:p w14:paraId="4130D736">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噪声</w:t>
                  </w:r>
                </w:p>
              </w:tc>
              <w:tc>
                <w:tcPr>
                  <w:tcW w:w="3080" w:type="pct"/>
                  <w:tcBorders>
                    <w:tl2br w:val="nil"/>
                    <w:tr2bl w:val="nil"/>
                  </w:tcBorders>
                  <w:shd w:val="clear" w:color="auto" w:fill="auto"/>
                  <w:vAlign w:val="center"/>
                </w:tcPr>
                <w:p w14:paraId="2E910320">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噪声设备采取基础减振、厂房隔声措施。</w:t>
                  </w:r>
                </w:p>
              </w:tc>
              <w:tc>
                <w:tcPr>
                  <w:tcW w:w="741" w:type="pct"/>
                  <w:tcBorders>
                    <w:tl2br w:val="nil"/>
                    <w:tr2bl w:val="nil"/>
                  </w:tcBorders>
                  <w:vAlign w:val="center"/>
                </w:tcPr>
                <w:p w14:paraId="340ECF78">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新建</w:t>
                  </w:r>
                </w:p>
              </w:tc>
            </w:tr>
            <w:tr w14:paraId="4E6EB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14:paraId="6A08E5B8">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restart"/>
                  <w:tcBorders>
                    <w:tl2br w:val="nil"/>
                    <w:tr2bl w:val="nil"/>
                  </w:tcBorders>
                  <w:vAlign w:val="center"/>
                </w:tcPr>
                <w:p w14:paraId="2381EC6C">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固废</w:t>
                  </w:r>
                </w:p>
              </w:tc>
              <w:tc>
                <w:tcPr>
                  <w:tcW w:w="3080" w:type="pct"/>
                  <w:tcBorders>
                    <w:tl2br w:val="nil"/>
                    <w:tr2bl w:val="nil"/>
                  </w:tcBorders>
                </w:tcPr>
                <w:p w14:paraId="46B102BD">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一般固废区，位于</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厂区</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南</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侧，</w:t>
                  </w:r>
                  <w:r>
                    <w:rPr>
                      <w:rFonts w:hint="default" w:ascii="Times New Roman" w:hAnsi="Times New Roman" w:cs="Times New Roman" w:eastAsiaTheme="minorEastAsia"/>
                      <w:color w:val="000000" w:themeColor="text1"/>
                      <w:szCs w:val="21"/>
                      <w:highlight w:val="none"/>
                      <w14:textFill>
                        <w14:solidFill>
                          <w14:schemeClr w14:val="tx1"/>
                        </w14:solidFill>
                      </w14:textFill>
                    </w:rPr>
                    <w:t>占地面积</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Cs w:val="2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Cs w:val="21"/>
                      <w:highlight w:val="none"/>
                      <w:vertAlign w:val="baseline"/>
                      <w:lang w:eastAsia="zh-CN"/>
                      <w14:textFill>
                        <w14:solidFill>
                          <w14:schemeClr w14:val="tx1"/>
                        </w14:solidFill>
                      </w14:textFill>
                    </w:rPr>
                    <w:t>。</w:t>
                  </w:r>
                </w:p>
              </w:tc>
              <w:tc>
                <w:tcPr>
                  <w:tcW w:w="741" w:type="pct"/>
                  <w:tcBorders>
                    <w:tl2br w:val="nil"/>
                    <w:tr2bl w:val="nil"/>
                  </w:tcBorders>
                  <w:vAlign w:val="center"/>
                </w:tcPr>
                <w:p w14:paraId="3B335887">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依托原有</w:t>
                  </w:r>
                </w:p>
              </w:tc>
            </w:tr>
            <w:tr w14:paraId="10E23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pct"/>
                  <w:vMerge w:val="continue"/>
                  <w:tcBorders>
                    <w:tl2br w:val="nil"/>
                    <w:tr2bl w:val="nil"/>
                  </w:tcBorders>
                  <w:vAlign w:val="center"/>
                </w:tcPr>
                <w:p w14:paraId="659B1EFF">
                  <w:pPr>
                    <w:jc w:val="center"/>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74" w:type="pct"/>
                  <w:vMerge w:val="continue"/>
                  <w:tcBorders>
                    <w:tl2br w:val="nil"/>
                    <w:tr2bl w:val="nil"/>
                  </w:tcBorders>
                  <w:vAlign w:val="center"/>
                </w:tcPr>
                <w:p w14:paraId="1E6EA676">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3080" w:type="pct"/>
                  <w:tcBorders>
                    <w:tl2br w:val="nil"/>
                    <w:tr2bl w:val="nil"/>
                  </w:tcBorders>
                </w:tcPr>
                <w:p w14:paraId="337C6672">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Cs w:val="21"/>
                      <w:highlight w:val="none"/>
                      <w14:textFill>
                        <w14:solidFill>
                          <w14:schemeClr w14:val="tx1"/>
                        </w14:solidFill>
                      </w14:textFill>
                    </w:rPr>
                    <w:t>，位于</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厂区</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西侧办公区</w:t>
                  </w:r>
                  <w:r>
                    <w:rPr>
                      <w:rFonts w:hint="default" w:ascii="Times New Roman" w:hAnsi="Times New Roman" w:cs="Times New Roman" w:eastAsiaTheme="minorEastAsia"/>
                      <w:color w:val="000000" w:themeColor="text1"/>
                      <w:szCs w:val="21"/>
                      <w:highlight w:val="none"/>
                      <w14:textFill>
                        <w14:solidFill>
                          <w14:schemeClr w14:val="tx1"/>
                        </w14:solidFill>
                      </w14:textFill>
                    </w:rPr>
                    <w:t>，占地面积</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Cs w:val="2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Cs w:val="21"/>
                      <w:highlight w:val="none"/>
                      <w:vertAlign w:val="baseline"/>
                      <w:lang w:eastAsia="zh-CN"/>
                      <w14:textFill>
                        <w14:solidFill>
                          <w14:schemeClr w14:val="tx1"/>
                        </w14:solidFill>
                      </w14:textFill>
                    </w:rPr>
                    <w:t>。</w:t>
                  </w:r>
                </w:p>
              </w:tc>
              <w:tc>
                <w:tcPr>
                  <w:tcW w:w="741" w:type="pct"/>
                  <w:tcBorders>
                    <w:tl2br w:val="nil"/>
                    <w:tr2bl w:val="nil"/>
                  </w:tcBorders>
                  <w:vAlign w:val="center"/>
                </w:tcPr>
                <w:p w14:paraId="220E8E34">
                  <w:pPr>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依托原有</w:t>
                  </w:r>
                </w:p>
              </w:tc>
            </w:tr>
          </w:tbl>
          <w:p w14:paraId="49C491B2">
            <w:pPr>
              <w:adjustRightInd w:val="0"/>
              <w:spacing w:line="360" w:lineRule="auto"/>
              <w:ind w:firstLine="482" w:firstLineChars="200"/>
              <w:jc w:val="left"/>
              <w:outlineLvl w:val="3"/>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3.产品及产能</w:t>
            </w:r>
          </w:p>
          <w:p w14:paraId="21EF726E">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改扩建前后</w:t>
            </w:r>
            <w:r>
              <w:rPr>
                <w:rFonts w:hint="default" w:ascii="Times New Roman" w:hAnsi="Times New Roman" w:cs="Times New Roman" w:eastAsiaTheme="minorEastAsia"/>
                <w:color w:val="000000" w:themeColor="text1"/>
                <w:sz w:val="24"/>
                <w:highlight w:val="none"/>
                <w14:textFill>
                  <w14:solidFill>
                    <w14:schemeClr w14:val="tx1"/>
                  </w14:solidFill>
                </w14:textFill>
              </w:rPr>
              <w:t>项目产品规模及方案见下表。</w:t>
            </w:r>
          </w:p>
          <w:p w14:paraId="0C0239BB">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2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项目产品方案及规模一览表</w:t>
            </w:r>
          </w:p>
          <w:tbl>
            <w:tblPr>
              <w:tblStyle w:val="24"/>
              <w:tblW w:w="79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2289"/>
              <w:gridCol w:w="1525"/>
              <w:gridCol w:w="1487"/>
              <w:gridCol w:w="1243"/>
            </w:tblGrid>
            <w:tr w14:paraId="628F8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93" w:type="pct"/>
                  <w:tcBorders>
                    <w:tl2br w:val="nil"/>
                    <w:tr2bl w:val="nil"/>
                  </w:tcBorders>
                  <w:noWrap w:val="0"/>
                  <w:vAlign w:val="center"/>
                </w:tcPr>
                <w:p w14:paraId="2AB33B73">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1436" w:type="pct"/>
                  <w:tcBorders>
                    <w:tl2br w:val="nil"/>
                    <w:tr2bl w:val="nil"/>
                  </w:tcBorders>
                  <w:noWrap w:val="0"/>
                  <w:vAlign w:val="center"/>
                </w:tcPr>
                <w:p w14:paraId="5A17F513">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规格</w:t>
                  </w:r>
                </w:p>
              </w:tc>
              <w:tc>
                <w:tcPr>
                  <w:tcW w:w="957" w:type="pct"/>
                  <w:tcBorders>
                    <w:tl2br w:val="nil"/>
                    <w:tr2bl w:val="nil"/>
                  </w:tcBorders>
                  <w:shd w:val="clear" w:color="auto" w:fill="auto"/>
                  <w:noWrap w:val="0"/>
                  <w:vAlign w:val="center"/>
                </w:tcPr>
                <w:p w14:paraId="44997DE1">
                  <w:pPr>
                    <w:bidi w:val="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改扩建前</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产量</w:t>
                  </w:r>
                </w:p>
              </w:tc>
              <w:tc>
                <w:tcPr>
                  <w:tcW w:w="933" w:type="pct"/>
                  <w:tcBorders>
                    <w:tl2br w:val="nil"/>
                    <w:tr2bl w:val="nil"/>
                  </w:tcBorders>
                  <w:shd w:val="clear" w:color="auto" w:fill="auto"/>
                  <w:noWrap w:val="0"/>
                  <w:vAlign w:val="center"/>
                </w:tcPr>
                <w:p w14:paraId="1FEEAC3D">
                  <w:pPr>
                    <w:bidi w:val="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改扩建后</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产量</w:t>
                  </w:r>
                </w:p>
              </w:tc>
              <w:tc>
                <w:tcPr>
                  <w:tcW w:w="780" w:type="pct"/>
                  <w:tcBorders>
                    <w:tl2br w:val="nil"/>
                    <w:tr2bl w:val="nil"/>
                  </w:tcBorders>
                  <w:shd w:val="clear" w:color="auto" w:fill="auto"/>
                  <w:noWrap w:val="0"/>
                  <w:vAlign w:val="center"/>
                </w:tcPr>
                <w:p w14:paraId="3EACF903">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增减量</w:t>
                  </w:r>
                </w:p>
              </w:tc>
            </w:tr>
            <w:tr w14:paraId="4A6BD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93" w:type="pct"/>
                  <w:tcBorders>
                    <w:tl2br w:val="nil"/>
                    <w:tr2bl w:val="nil"/>
                  </w:tcBorders>
                  <w:noWrap w:val="0"/>
                  <w:vAlign w:val="center"/>
                </w:tcPr>
                <w:p w14:paraId="6167517A">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石英石矿</w:t>
                  </w:r>
                </w:p>
              </w:tc>
              <w:tc>
                <w:tcPr>
                  <w:tcW w:w="1436" w:type="pct"/>
                  <w:tcBorders>
                    <w:tl2br w:val="nil"/>
                    <w:tr2bl w:val="nil"/>
                  </w:tcBorders>
                  <w:noWrap w:val="0"/>
                  <w:vAlign w:val="center"/>
                </w:tcPr>
                <w:p w14:paraId="30DE68E3">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按粒径分为两种，0-5mm 石子占 25%，5-15mm 石子占 75%</w:t>
                  </w:r>
                </w:p>
              </w:tc>
              <w:tc>
                <w:tcPr>
                  <w:tcW w:w="957" w:type="pct"/>
                  <w:tcBorders>
                    <w:tl2br w:val="nil"/>
                    <w:tr2bl w:val="nil"/>
                  </w:tcBorders>
                  <w:shd w:val="clear" w:color="auto" w:fill="auto"/>
                  <w:noWrap w:val="0"/>
                  <w:vAlign w:val="center"/>
                </w:tcPr>
                <w:p w14:paraId="29A92FF5">
                  <w:pPr>
                    <w:bidi w:val="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20万吨</w:t>
                  </w:r>
                </w:p>
              </w:tc>
              <w:tc>
                <w:tcPr>
                  <w:tcW w:w="933" w:type="pct"/>
                  <w:tcBorders>
                    <w:tl2br w:val="nil"/>
                    <w:tr2bl w:val="nil"/>
                  </w:tcBorders>
                  <w:shd w:val="clear" w:color="auto" w:fill="auto"/>
                  <w:noWrap w:val="0"/>
                  <w:vAlign w:val="center"/>
                </w:tcPr>
                <w:p w14:paraId="279B247B">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w:t>
                  </w:r>
                </w:p>
              </w:tc>
              <w:tc>
                <w:tcPr>
                  <w:tcW w:w="780" w:type="pct"/>
                  <w:tcBorders>
                    <w:tl2br w:val="nil"/>
                    <w:tr2bl w:val="nil"/>
                  </w:tcBorders>
                  <w:shd w:val="clear" w:color="auto" w:fill="auto"/>
                  <w:noWrap w:val="0"/>
                  <w:vAlign w:val="center"/>
                </w:tcPr>
                <w:p w14:paraId="516118E5">
                  <w:pPr>
                    <w:bidi w:val="0"/>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万吨</w:t>
                  </w:r>
                </w:p>
              </w:tc>
            </w:tr>
            <w:tr w14:paraId="3FC10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93" w:type="pct"/>
                  <w:tcBorders>
                    <w:tl2br w:val="nil"/>
                    <w:tr2bl w:val="nil"/>
                  </w:tcBorders>
                  <w:noWrap w:val="0"/>
                  <w:vAlign w:val="center"/>
                </w:tcPr>
                <w:p w14:paraId="22C60222">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硅石块石1#</w:t>
                  </w:r>
                </w:p>
              </w:tc>
              <w:tc>
                <w:tcPr>
                  <w:tcW w:w="1436" w:type="pct"/>
                  <w:tcBorders>
                    <w:tl2br w:val="nil"/>
                    <w:tr2bl w:val="nil"/>
                  </w:tcBorders>
                  <w:noWrap w:val="0"/>
                  <w:vAlign w:val="center"/>
                </w:tcPr>
                <w:p w14:paraId="452FB272">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2-5cm</w:t>
                  </w:r>
                </w:p>
              </w:tc>
              <w:tc>
                <w:tcPr>
                  <w:tcW w:w="957" w:type="pct"/>
                  <w:tcBorders>
                    <w:tl2br w:val="nil"/>
                    <w:tr2bl w:val="nil"/>
                  </w:tcBorders>
                  <w:shd w:val="clear" w:color="auto" w:fill="auto"/>
                  <w:noWrap w:val="0"/>
                  <w:vAlign w:val="center"/>
                </w:tcPr>
                <w:p w14:paraId="3D1A5C43">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933" w:type="pct"/>
                  <w:tcBorders>
                    <w:tl2br w:val="nil"/>
                    <w:tr2bl w:val="nil"/>
                  </w:tcBorders>
                  <w:shd w:val="clear" w:color="auto" w:fill="auto"/>
                  <w:noWrap w:val="0"/>
                  <w:vAlign w:val="center"/>
                </w:tcPr>
                <w:p w14:paraId="3FCDE5A3">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8万吨</w:t>
                  </w:r>
                </w:p>
              </w:tc>
              <w:tc>
                <w:tcPr>
                  <w:tcW w:w="780" w:type="pct"/>
                  <w:tcBorders>
                    <w:tl2br w:val="nil"/>
                    <w:tr2bl w:val="nil"/>
                  </w:tcBorders>
                  <w:shd w:val="clear" w:color="auto" w:fill="auto"/>
                  <w:noWrap w:val="0"/>
                  <w:vAlign w:val="center"/>
                </w:tcPr>
                <w:p w14:paraId="3C84ECFD">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+8万吨</w:t>
                  </w:r>
                </w:p>
              </w:tc>
            </w:tr>
            <w:tr w14:paraId="1B796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93" w:type="pct"/>
                  <w:tcBorders>
                    <w:tl2br w:val="nil"/>
                    <w:tr2bl w:val="nil"/>
                  </w:tcBorders>
                  <w:noWrap w:val="0"/>
                  <w:vAlign w:val="center"/>
                </w:tcPr>
                <w:p w14:paraId="472E5736">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硅石块石2#</w:t>
                  </w:r>
                </w:p>
              </w:tc>
              <w:tc>
                <w:tcPr>
                  <w:tcW w:w="1436" w:type="pct"/>
                  <w:tcBorders>
                    <w:tl2br w:val="nil"/>
                    <w:tr2bl w:val="nil"/>
                  </w:tcBorders>
                  <w:noWrap w:val="0"/>
                  <w:vAlign w:val="center"/>
                </w:tcPr>
                <w:p w14:paraId="635DD883">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3-8cm</w:t>
                  </w:r>
                </w:p>
              </w:tc>
              <w:tc>
                <w:tcPr>
                  <w:tcW w:w="957" w:type="pct"/>
                  <w:tcBorders>
                    <w:tl2br w:val="nil"/>
                    <w:tr2bl w:val="nil"/>
                  </w:tcBorders>
                  <w:shd w:val="clear" w:color="auto" w:fill="auto"/>
                  <w:noWrap w:val="0"/>
                  <w:vAlign w:val="center"/>
                </w:tcPr>
                <w:p w14:paraId="35B58137">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933" w:type="pct"/>
                  <w:tcBorders>
                    <w:tl2br w:val="nil"/>
                    <w:tr2bl w:val="nil"/>
                  </w:tcBorders>
                  <w:shd w:val="clear" w:color="auto" w:fill="auto"/>
                  <w:noWrap w:val="0"/>
                  <w:vAlign w:val="center"/>
                </w:tcPr>
                <w:p w14:paraId="73D7A677">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27.4万吨</w:t>
                  </w:r>
                </w:p>
              </w:tc>
              <w:tc>
                <w:tcPr>
                  <w:tcW w:w="780" w:type="pct"/>
                  <w:tcBorders>
                    <w:tl2br w:val="nil"/>
                    <w:tr2bl w:val="nil"/>
                  </w:tcBorders>
                  <w:shd w:val="clear" w:color="auto" w:fill="auto"/>
                  <w:noWrap w:val="0"/>
                  <w:vAlign w:val="center"/>
                </w:tcPr>
                <w:p w14:paraId="75AB497F">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+27.4万吨</w:t>
                  </w:r>
                </w:p>
              </w:tc>
            </w:tr>
            <w:tr w14:paraId="35673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93" w:type="pct"/>
                  <w:tcBorders>
                    <w:tl2br w:val="nil"/>
                    <w:tr2bl w:val="nil"/>
                  </w:tcBorders>
                  <w:noWrap w:val="0"/>
                  <w:vAlign w:val="center"/>
                </w:tcPr>
                <w:p w14:paraId="5B75FDAA">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料渣</w:t>
                  </w:r>
                </w:p>
              </w:tc>
              <w:tc>
                <w:tcPr>
                  <w:tcW w:w="1436" w:type="pct"/>
                  <w:tcBorders>
                    <w:tl2br w:val="nil"/>
                    <w:tr2bl w:val="nil"/>
                  </w:tcBorders>
                  <w:noWrap w:val="0"/>
                  <w:vAlign w:val="center"/>
                </w:tcPr>
                <w:p w14:paraId="7F9BAAE8">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＜2cm</w:t>
                  </w:r>
                </w:p>
              </w:tc>
              <w:tc>
                <w:tcPr>
                  <w:tcW w:w="957" w:type="pct"/>
                  <w:tcBorders>
                    <w:tl2br w:val="nil"/>
                    <w:tr2bl w:val="nil"/>
                  </w:tcBorders>
                  <w:shd w:val="clear" w:color="auto" w:fill="auto"/>
                  <w:noWrap w:val="0"/>
                  <w:vAlign w:val="center"/>
                </w:tcPr>
                <w:p w14:paraId="5E648454">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933" w:type="pct"/>
                  <w:tcBorders>
                    <w:tl2br w:val="nil"/>
                    <w:tr2bl w:val="nil"/>
                  </w:tcBorders>
                  <w:shd w:val="clear" w:color="auto" w:fill="auto"/>
                  <w:noWrap w:val="0"/>
                  <w:vAlign w:val="center"/>
                </w:tcPr>
                <w:p w14:paraId="270BDE8D">
                  <w:pPr>
                    <w:bidi w:val="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4万吨</w:t>
                  </w:r>
                </w:p>
              </w:tc>
              <w:tc>
                <w:tcPr>
                  <w:tcW w:w="780" w:type="pct"/>
                  <w:tcBorders>
                    <w:tl2br w:val="nil"/>
                    <w:tr2bl w:val="nil"/>
                  </w:tcBorders>
                  <w:shd w:val="clear" w:color="auto" w:fill="auto"/>
                  <w:noWrap w:val="0"/>
                  <w:vAlign w:val="center"/>
                </w:tcPr>
                <w:p w14:paraId="4FE34FA8">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+4万吨</w:t>
                  </w:r>
                </w:p>
              </w:tc>
            </w:tr>
          </w:tbl>
          <w:p w14:paraId="0D5B7FF7">
            <w:pPr>
              <w:spacing w:line="360" w:lineRule="auto"/>
              <w:ind w:firstLine="482" w:firstLineChars="200"/>
              <w:jc w:val="left"/>
              <w:outlineLvl w:val="3"/>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4.主要生产设施</w:t>
            </w:r>
          </w:p>
          <w:p w14:paraId="39BDBB33">
            <w:pPr>
              <w:spacing w:line="360" w:lineRule="auto"/>
              <w:ind w:firstLine="480" w:firstLineChars="200"/>
              <w:rPr>
                <w:rFonts w:hint="default" w:ascii="Times New Roman" w:hAnsi="Times New Roman" w:cs="Times New Roman" w:eastAsiaTheme="minorEastAsia"/>
                <w:b/>
                <w:color w:val="000000" w:themeColor="text1"/>
                <w:sz w:val="24"/>
                <w:highlight w:val="none"/>
                <w14:textFill>
                  <w14:solidFill>
                    <w14:schemeClr w14:val="tx1"/>
                  </w14:solidFill>
                </w14:textFill>
              </w:rPr>
            </w:pPr>
            <w:bookmarkStart w:id="7" w:name="_Toc30866_WPSOffice_Level1"/>
            <w:bookmarkStart w:id="8" w:name="_Toc17148_WPSOffice_Level1"/>
            <w:bookmarkStart w:id="9" w:name="_Toc964_WPSOffice_Level1"/>
            <w:bookmarkStart w:id="10" w:name="_Toc1806_WPSOffice_Level1"/>
            <w:r>
              <w:rPr>
                <w:rFonts w:hint="default" w:ascii="Times New Roman" w:hAnsi="Times New Roman" w:cs="Times New Roman" w:eastAsiaTheme="minorEastAsia"/>
                <w:color w:val="000000" w:themeColor="text1"/>
                <w:sz w:val="24"/>
                <w:highlight w:val="none"/>
                <w14:textFill>
                  <w14:solidFill>
                    <w14:schemeClr w14:val="tx1"/>
                  </w14:solidFill>
                </w14:textFill>
              </w:rPr>
              <w:t>本项目各生产单元、主要生产设施详见下表：</w:t>
            </w:r>
          </w:p>
          <w:p w14:paraId="2C2B7414">
            <w:pPr>
              <w:jc w:val="center"/>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highlight w:val="none"/>
                <w14:textFill>
                  <w14:solidFill>
                    <w14:schemeClr w14:val="tx1"/>
                  </w14:solidFill>
                </w14:textFill>
              </w:rPr>
              <w:t xml:space="preserve">  项目生产设施一览表</w:t>
            </w:r>
            <w:bookmarkEnd w:id="7"/>
            <w:bookmarkEnd w:id="8"/>
            <w:bookmarkEnd w:id="9"/>
            <w:bookmarkEnd w:id="10"/>
          </w:p>
          <w:tbl>
            <w:tblPr>
              <w:tblStyle w:val="5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9"/>
              <w:gridCol w:w="1222"/>
              <w:gridCol w:w="1101"/>
              <w:gridCol w:w="1101"/>
              <w:gridCol w:w="1346"/>
              <w:gridCol w:w="1107"/>
              <w:gridCol w:w="656"/>
              <w:gridCol w:w="1000"/>
            </w:tblGrid>
            <w:tr w14:paraId="39FA5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9" w:type="pct"/>
                  <w:tcBorders>
                    <w:tl2br w:val="nil"/>
                    <w:tr2bl w:val="nil"/>
                  </w:tcBorders>
                  <w:noWrap w:val="0"/>
                  <w:vAlign w:val="center"/>
                </w:tcPr>
                <w:p w14:paraId="44697468">
                  <w:pPr>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序号</w:t>
                  </w:r>
                </w:p>
              </w:tc>
              <w:tc>
                <w:tcPr>
                  <w:tcW w:w="767" w:type="pct"/>
                  <w:tcBorders>
                    <w:tl2br w:val="nil"/>
                    <w:tr2bl w:val="nil"/>
                  </w:tcBorders>
                  <w:noWrap w:val="0"/>
                  <w:vAlign w:val="center"/>
                </w:tcPr>
                <w:p w14:paraId="3029B254">
                  <w:pPr>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扩建前设备</w:t>
                  </w:r>
                </w:p>
              </w:tc>
              <w:tc>
                <w:tcPr>
                  <w:tcW w:w="691" w:type="pct"/>
                  <w:tcBorders>
                    <w:tl2br w:val="nil"/>
                    <w:tr2bl w:val="nil"/>
                  </w:tcBorders>
                  <w:noWrap w:val="0"/>
                  <w:vAlign w:val="center"/>
                </w:tcPr>
                <w:p w14:paraId="4A82DC64">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改</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扩建前数量</w:t>
                  </w:r>
                  <w:r>
                    <w:rPr>
                      <w:rFonts w:hint="default" w:ascii="Times New Roman" w:hAnsi="Times New Roman" w:eastAsia="宋体" w:cs="Times New Roman"/>
                      <w:b/>
                      <w:bCs/>
                      <w:color w:val="000000" w:themeColor="text1"/>
                      <w:highlight w:val="none"/>
                      <w:lang w:eastAsia="zh-CN"/>
                      <w14:textFill>
                        <w14:solidFill>
                          <w14:schemeClr w14:val="tx1"/>
                        </w14:solidFill>
                      </w14:textFill>
                    </w:rPr>
                    <w:t>（台/套）</w:t>
                  </w:r>
                </w:p>
              </w:tc>
              <w:tc>
                <w:tcPr>
                  <w:tcW w:w="691" w:type="pct"/>
                  <w:tcBorders>
                    <w:tl2br w:val="nil"/>
                    <w:tr2bl w:val="nil"/>
                  </w:tcBorders>
                  <w:noWrap w:val="0"/>
                  <w:vAlign w:val="center"/>
                </w:tcPr>
                <w:p w14:paraId="5A82901E">
                  <w:pPr>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扩建后</w:t>
                  </w:r>
                  <w:r>
                    <w:rPr>
                      <w:rFonts w:hint="default" w:ascii="Times New Roman" w:hAnsi="Times New Roman" w:eastAsia="宋体" w:cs="Times New Roman"/>
                      <w:b/>
                      <w:bCs/>
                      <w:color w:val="000000" w:themeColor="text1"/>
                      <w:highlight w:val="none"/>
                      <w:lang w:eastAsia="zh-CN"/>
                      <w14:textFill>
                        <w14:solidFill>
                          <w14:schemeClr w14:val="tx1"/>
                        </w14:solidFill>
                      </w14:textFill>
                    </w:rPr>
                    <w:t>设备</w:t>
                  </w:r>
                </w:p>
              </w:tc>
              <w:tc>
                <w:tcPr>
                  <w:tcW w:w="845" w:type="pct"/>
                  <w:tcBorders>
                    <w:tl2br w:val="nil"/>
                    <w:tr2bl w:val="nil"/>
                  </w:tcBorders>
                  <w:noWrap w:val="0"/>
                  <w:vAlign w:val="center"/>
                </w:tcPr>
                <w:p w14:paraId="53F025B0">
                  <w:pPr>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设施参数型号</w:t>
                  </w:r>
                </w:p>
              </w:tc>
              <w:tc>
                <w:tcPr>
                  <w:tcW w:w="695" w:type="pct"/>
                  <w:tcBorders>
                    <w:tl2br w:val="nil"/>
                    <w:tr2bl w:val="nil"/>
                  </w:tcBorders>
                  <w:noWrap w:val="0"/>
                  <w:vAlign w:val="center"/>
                </w:tcPr>
                <w:p w14:paraId="7FCABECA">
                  <w:pPr>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改</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扩建后</w:t>
                  </w:r>
                  <w:r>
                    <w:rPr>
                      <w:rFonts w:hint="default" w:ascii="Times New Roman" w:hAnsi="Times New Roman" w:eastAsia="宋体" w:cs="Times New Roman"/>
                      <w:b/>
                      <w:bCs/>
                      <w:color w:val="000000" w:themeColor="text1"/>
                      <w:highlight w:val="none"/>
                      <w:lang w:eastAsia="zh-CN"/>
                      <w14:textFill>
                        <w14:solidFill>
                          <w14:schemeClr w14:val="tx1"/>
                        </w14:solidFill>
                      </w14:textFill>
                    </w:rPr>
                    <w:t>数量（台/套）</w:t>
                  </w:r>
                </w:p>
              </w:tc>
              <w:tc>
                <w:tcPr>
                  <w:tcW w:w="412" w:type="pct"/>
                  <w:tcBorders>
                    <w:tl2br w:val="nil"/>
                    <w:tr2bl w:val="nil"/>
                  </w:tcBorders>
                  <w:noWrap w:val="0"/>
                  <w:vAlign w:val="center"/>
                </w:tcPr>
                <w:p w14:paraId="11A19E9F">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增减量</w:t>
                  </w:r>
                </w:p>
              </w:tc>
              <w:tc>
                <w:tcPr>
                  <w:tcW w:w="627" w:type="pct"/>
                  <w:tcBorders>
                    <w:tl2br w:val="nil"/>
                    <w:tr2bl w:val="nil"/>
                  </w:tcBorders>
                  <w:noWrap w:val="0"/>
                  <w:vAlign w:val="center"/>
                </w:tcPr>
                <w:p w14:paraId="36F589EC">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使用工序</w:t>
                  </w:r>
                </w:p>
              </w:tc>
            </w:tr>
            <w:tr w14:paraId="734E6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9" w:type="pct"/>
                  <w:tcBorders>
                    <w:tl2br w:val="nil"/>
                    <w:tr2bl w:val="nil"/>
                  </w:tcBorders>
                  <w:shd w:val="clear" w:color="auto" w:fill="auto"/>
                  <w:noWrap w:val="0"/>
                  <w:vAlign w:val="center"/>
                </w:tcPr>
                <w:p w14:paraId="3845F50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767" w:type="pct"/>
                  <w:tcBorders>
                    <w:tl2br w:val="nil"/>
                    <w:tr2bl w:val="nil"/>
                  </w:tcBorders>
                  <w:shd w:val="clear" w:color="auto" w:fill="auto"/>
                  <w:noWrap w:val="0"/>
                  <w:vAlign w:val="center"/>
                </w:tcPr>
                <w:p w14:paraId="6119A17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振动给料机</w:t>
                  </w:r>
                </w:p>
              </w:tc>
              <w:tc>
                <w:tcPr>
                  <w:tcW w:w="691" w:type="pct"/>
                  <w:tcBorders>
                    <w:tl2br w:val="nil"/>
                    <w:tr2bl w:val="nil"/>
                  </w:tcBorders>
                  <w:shd w:val="clear" w:color="auto" w:fill="auto"/>
                  <w:noWrap w:val="0"/>
                  <w:vAlign w:val="center"/>
                </w:tcPr>
                <w:p w14:paraId="7560230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Times New Roman PS MT" w:cs="Times New Roman"/>
                      <w:b w:val="0"/>
                      <w:bCs w:val="0"/>
                      <w:color w:val="000000" w:themeColor="text1"/>
                      <w:sz w:val="21"/>
                      <w:szCs w:val="21"/>
                      <w14:textFill>
                        <w14:solidFill>
                          <w14:schemeClr w14:val="tx1"/>
                        </w14:solidFill>
                      </w14:textFill>
                    </w:rPr>
                    <w:t xml:space="preserve">2 </w:t>
                  </w:r>
                  <w:r>
                    <w:rPr>
                      <w:rFonts w:hint="default" w:ascii="Times New Roman" w:hAnsi="Times New Roman" w:eastAsia="宋体" w:cs="Times New Roman"/>
                      <w:b w:val="0"/>
                      <w:bCs w:val="0"/>
                      <w:color w:val="000000" w:themeColor="text1"/>
                      <w:sz w:val="21"/>
                      <w:szCs w:val="21"/>
                      <w14:textFill>
                        <w14:solidFill>
                          <w14:schemeClr w14:val="tx1"/>
                        </w14:solidFill>
                      </w14:textFill>
                    </w:rPr>
                    <w:t>台</w:t>
                  </w:r>
                </w:p>
              </w:tc>
              <w:tc>
                <w:tcPr>
                  <w:tcW w:w="691" w:type="pct"/>
                  <w:tcBorders>
                    <w:tl2br w:val="nil"/>
                    <w:tr2bl w:val="nil"/>
                  </w:tcBorders>
                  <w:shd w:val="clear" w:color="auto" w:fill="auto"/>
                  <w:noWrap w:val="0"/>
                  <w:vAlign w:val="center"/>
                </w:tcPr>
                <w:p w14:paraId="29068B2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喂料机</w:t>
                  </w:r>
                </w:p>
              </w:tc>
              <w:tc>
                <w:tcPr>
                  <w:tcW w:w="845" w:type="pct"/>
                  <w:tcBorders>
                    <w:tl2br w:val="nil"/>
                    <w:tr2bl w:val="nil"/>
                  </w:tcBorders>
                  <w:shd w:val="clear" w:color="auto" w:fill="auto"/>
                  <w:noWrap w:val="0"/>
                  <w:vAlign w:val="center"/>
                </w:tcPr>
                <w:p w14:paraId="7D37784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200t/h</w:t>
                  </w:r>
                </w:p>
              </w:tc>
              <w:tc>
                <w:tcPr>
                  <w:tcW w:w="695" w:type="pct"/>
                  <w:tcBorders>
                    <w:tl2br w:val="nil"/>
                    <w:tr2bl w:val="nil"/>
                  </w:tcBorders>
                  <w:shd w:val="clear" w:color="auto" w:fill="auto"/>
                  <w:noWrap w:val="0"/>
                  <w:vAlign w:val="center"/>
                </w:tcPr>
                <w:p w14:paraId="21D724A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2台</w:t>
                  </w:r>
                </w:p>
              </w:tc>
              <w:tc>
                <w:tcPr>
                  <w:tcW w:w="412" w:type="pct"/>
                  <w:tcBorders>
                    <w:tl2br w:val="nil"/>
                    <w:tr2bl w:val="nil"/>
                  </w:tcBorders>
                  <w:shd w:val="clear" w:color="auto" w:fill="auto"/>
                  <w:noWrap w:val="0"/>
                  <w:vAlign w:val="center"/>
                </w:tcPr>
                <w:p w14:paraId="7D73DF39">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27" w:type="pct"/>
                  <w:tcBorders>
                    <w:tl2br w:val="nil"/>
                    <w:tr2bl w:val="nil"/>
                  </w:tcBorders>
                  <w:shd w:val="clear" w:color="auto" w:fill="auto"/>
                  <w:noWrap w:val="0"/>
                  <w:vAlign w:val="center"/>
                </w:tcPr>
                <w:p w14:paraId="77DCB42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上料</w:t>
                  </w:r>
                </w:p>
              </w:tc>
            </w:tr>
            <w:tr w14:paraId="7F6B3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269" w:type="pct"/>
                  <w:tcBorders>
                    <w:tl2br w:val="nil"/>
                    <w:tr2bl w:val="nil"/>
                  </w:tcBorders>
                  <w:shd w:val="clear" w:color="auto" w:fill="auto"/>
                  <w:noWrap w:val="0"/>
                  <w:vAlign w:val="center"/>
                </w:tcPr>
                <w:p w14:paraId="5F1804AE">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767" w:type="pct"/>
                  <w:tcBorders>
                    <w:tl2br w:val="nil"/>
                    <w:tr2bl w:val="nil"/>
                  </w:tcBorders>
                  <w:shd w:val="clear" w:color="auto" w:fill="auto"/>
                  <w:noWrap w:val="0"/>
                  <w:vAlign w:val="center"/>
                </w:tcPr>
                <w:p w14:paraId="4D461D9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颚式破碎机</w:t>
                  </w:r>
                </w:p>
              </w:tc>
              <w:tc>
                <w:tcPr>
                  <w:tcW w:w="691" w:type="pct"/>
                  <w:tcBorders>
                    <w:tl2br w:val="nil"/>
                    <w:tr2bl w:val="nil"/>
                  </w:tcBorders>
                  <w:shd w:val="clear" w:color="auto" w:fill="auto"/>
                  <w:noWrap w:val="0"/>
                  <w:vAlign w:val="center"/>
                </w:tcPr>
                <w:p w14:paraId="426F63C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Times New Roman PS MT" w:cs="Times New Roman"/>
                      <w:b w:val="0"/>
                      <w:bCs w:val="0"/>
                      <w:color w:val="000000" w:themeColor="text1"/>
                      <w:sz w:val="21"/>
                      <w:szCs w:val="21"/>
                      <w14:textFill>
                        <w14:solidFill>
                          <w14:schemeClr w14:val="tx1"/>
                        </w14:solidFill>
                      </w14:textFill>
                    </w:rPr>
                    <w:t xml:space="preserve">2 </w:t>
                  </w:r>
                  <w:r>
                    <w:rPr>
                      <w:rFonts w:hint="default" w:ascii="Times New Roman" w:hAnsi="Times New Roman" w:eastAsia="宋体" w:cs="Times New Roman"/>
                      <w:b w:val="0"/>
                      <w:bCs w:val="0"/>
                      <w:color w:val="000000" w:themeColor="text1"/>
                      <w:sz w:val="21"/>
                      <w:szCs w:val="21"/>
                      <w14:textFill>
                        <w14:solidFill>
                          <w14:schemeClr w14:val="tx1"/>
                        </w14:solidFill>
                      </w14:textFill>
                    </w:rPr>
                    <w:t>台</w:t>
                  </w:r>
                </w:p>
              </w:tc>
              <w:tc>
                <w:tcPr>
                  <w:tcW w:w="691" w:type="pct"/>
                  <w:tcBorders>
                    <w:tl2br w:val="nil"/>
                    <w:tr2bl w:val="nil"/>
                  </w:tcBorders>
                  <w:shd w:val="clear" w:color="auto" w:fill="auto"/>
                  <w:noWrap w:val="0"/>
                  <w:vAlign w:val="center"/>
                </w:tcPr>
                <w:p w14:paraId="1EADC71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颚式破碎机</w:t>
                  </w:r>
                </w:p>
              </w:tc>
              <w:tc>
                <w:tcPr>
                  <w:tcW w:w="845" w:type="pct"/>
                  <w:tcBorders>
                    <w:tl2br w:val="nil"/>
                    <w:tr2bl w:val="nil"/>
                  </w:tcBorders>
                  <w:shd w:val="clear" w:color="auto" w:fill="auto"/>
                  <w:noWrap w:val="0"/>
                  <w:vAlign w:val="center"/>
                </w:tcPr>
                <w:p w14:paraId="4FDF9222">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PE750*1060</w:t>
                  </w:r>
                </w:p>
              </w:tc>
              <w:tc>
                <w:tcPr>
                  <w:tcW w:w="695" w:type="pct"/>
                  <w:tcBorders>
                    <w:tl2br w:val="nil"/>
                    <w:tr2bl w:val="nil"/>
                  </w:tcBorders>
                  <w:shd w:val="clear" w:color="auto" w:fill="auto"/>
                  <w:noWrap w:val="0"/>
                  <w:vAlign w:val="center"/>
                </w:tcPr>
                <w:p w14:paraId="271B134E">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2台</w:t>
                  </w:r>
                </w:p>
              </w:tc>
              <w:tc>
                <w:tcPr>
                  <w:tcW w:w="412" w:type="pct"/>
                  <w:tcBorders>
                    <w:tl2br w:val="nil"/>
                    <w:tr2bl w:val="nil"/>
                  </w:tcBorders>
                  <w:shd w:val="clear" w:color="auto" w:fill="auto"/>
                  <w:noWrap w:val="0"/>
                  <w:vAlign w:val="center"/>
                </w:tcPr>
                <w:p w14:paraId="6B1FBEB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27" w:type="pct"/>
                  <w:tcBorders>
                    <w:tl2br w:val="nil"/>
                    <w:tr2bl w:val="nil"/>
                  </w:tcBorders>
                  <w:shd w:val="clear" w:color="auto" w:fill="auto"/>
                  <w:noWrap w:val="0"/>
                  <w:vAlign w:val="center"/>
                </w:tcPr>
                <w:p w14:paraId="0A6ED129">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破碎</w:t>
                  </w:r>
                </w:p>
              </w:tc>
            </w:tr>
            <w:tr w14:paraId="2C759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269" w:type="pct"/>
                  <w:tcBorders>
                    <w:tl2br w:val="nil"/>
                    <w:tr2bl w:val="nil"/>
                  </w:tcBorders>
                  <w:shd w:val="clear" w:color="auto" w:fill="auto"/>
                  <w:noWrap w:val="0"/>
                  <w:vAlign w:val="center"/>
                </w:tcPr>
                <w:p w14:paraId="58AFEC23">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767" w:type="pct"/>
                  <w:tcBorders>
                    <w:tl2br w:val="nil"/>
                    <w:tr2bl w:val="nil"/>
                  </w:tcBorders>
                  <w:shd w:val="clear" w:color="auto" w:fill="auto"/>
                  <w:noWrap w:val="0"/>
                  <w:vAlign w:val="center"/>
                </w:tcPr>
                <w:p w14:paraId="6F5049FF">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反击式破碎机</w:t>
                  </w:r>
                </w:p>
              </w:tc>
              <w:tc>
                <w:tcPr>
                  <w:tcW w:w="691" w:type="pct"/>
                  <w:tcBorders>
                    <w:tl2br w:val="nil"/>
                    <w:tr2bl w:val="nil"/>
                  </w:tcBorders>
                  <w:shd w:val="clear" w:color="auto" w:fill="auto"/>
                  <w:noWrap w:val="0"/>
                  <w:vAlign w:val="center"/>
                </w:tcPr>
                <w:p w14:paraId="478CF31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Times New Roman PS MT" w:cs="Times New Roman"/>
                      <w:b w:val="0"/>
                      <w:bCs w:val="0"/>
                      <w:color w:val="000000" w:themeColor="text1"/>
                      <w:sz w:val="21"/>
                      <w:szCs w:val="21"/>
                      <w14:textFill>
                        <w14:solidFill>
                          <w14:schemeClr w14:val="tx1"/>
                        </w14:solidFill>
                      </w14:textFill>
                    </w:rPr>
                    <w:t xml:space="preserve">2 </w:t>
                  </w:r>
                  <w:r>
                    <w:rPr>
                      <w:rFonts w:hint="default" w:ascii="Times New Roman" w:hAnsi="Times New Roman" w:eastAsia="宋体" w:cs="Times New Roman"/>
                      <w:b w:val="0"/>
                      <w:bCs w:val="0"/>
                      <w:color w:val="000000" w:themeColor="text1"/>
                      <w:sz w:val="21"/>
                      <w:szCs w:val="21"/>
                      <w14:textFill>
                        <w14:solidFill>
                          <w14:schemeClr w14:val="tx1"/>
                        </w14:solidFill>
                      </w14:textFill>
                    </w:rPr>
                    <w:t>台</w:t>
                  </w:r>
                </w:p>
              </w:tc>
              <w:tc>
                <w:tcPr>
                  <w:tcW w:w="691" w:type="pct"/>
                  <w:tcBorders>
                    <w:tl2br w:val="nil"/>
                    <w:tr2bl w:val="nil"/>
                  </w:tcBorders>
                  <w:shd w:val="clear" w:color="auto" w:fill="auto"/>
                  <w:noWrap w:val="0"/>
                  <w:vAlign w:val="center"/>
                </w:tcPr>
                <w:p w14:paraId="2F9E036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845" w:type="pct"/>
                  <w:tcBorders>
                    <w:tl2br w:val="nil"/>
                    <w:tr2bl w:val="nil"/>
                  </w:tcBorders>
                  <w:shd w:val="clear" w:color="auto" w:fill="auto"/>
                  <w:noWrap w:val="0"/>
                  <w:vAlign w:val="center"/>
                </w:tcPr>
                <w:p w14:paraId="525AF1B8">
                  <w:pPr>
                    <w:jc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p>
              </w:tc>
              <w:tc>
                <w:tcPr>
                  <w:tcW w:w="695" w:type="pct"/>
                  <w:tcBorders>
                    <w:tl2br w:val="nil"/>
                    <w:tr2bl w:val="nil"/>
                  </w:tcBorders>
                  <w:shd w:val="clear" w:color="auto" w:fill="auto"/>
                  <w:noWrap w:val="0"/>
                  <w:vAlign w:val="center"/>
                </w:tcPr>
                <w:p w14:paraId="278C249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412" w:type="pct"/>
                  <w:tcBorders>
                    <w:tl2br w:val="nil"/>
                    <w:tr2bl w:val="nil"/>
                  </w:tcBorders>
                  <w:shd w:val="clear" w:color="auto" w:fill="auto"/>
                  <w:noWrap w:val="0"/>
                  <w:vAlign w:val="center"/>
                </w:tcPr>
                <w:p w14:paraId="02208F0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627" w:type="pct"/>
                  <w:tcBorders>
                    <w:tl2br w:val="nil"/>
                    <w:tr2bl w:val="nil"/>
                  </w:tcBorders>
                  <w:shd w:val="clear" w:color="auto" w:fill="auto"/>
                  <w:noWrap w:val="0"/>
                  <w:vAlign w:val="center"/>
                </w:tcPr>
                <w:p w14:paraId="7ED15809">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破碎</w:t>
                  </w:r>
                </w:p>
              </w:tc>
            </w:tr>
            <w:tr w14:paraId="18AF7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69" w:type="pct"/>
                  <w:tcBorders>
                    <w:tl2br w:val="nil"/>
                    <w:tr2bl w:val="nil"/>
                  </w:tcBorders>
                  <w:shd w:val="clear" w:color="auto" w:fill="auto"/>
                  <w:noWrap w:val="0"/>
                  <w:vAlign w:val="center"/>
                </w:tcPr>
                <w:p w14:paraId="1E97BE89">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p>
              </w:tc>
              <w:tc>
                <w:tcPr>
                  <w:tcW w:w="767" w:type="pct"/>
                  <w:tcBorders>
                    <w:tl2br w:val="nil"/>
                    <w:tr2bl w:val="nil"/>
                  </w:tcBorders>
                  <w:shd w:val="clear" w:color="auto" w:fill="auto"/>
                  <w:noWrap w:val="0"/>
                  <w:vAlign w:val="center"/>
                </w:tcPr>
                <w:p w14:paraId="1635EE9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振动筛</w:t>
                  </w:r>
                </w:p>
              </w:tc>
              <w:tc>
                <w:tcPr>
                  <w:tcW w:w="691" w:type="pct"/>
                  <w:tcBorders>
                    <w:tl2br w:val="nil"/>
                    <w:tr2bl w:val="nil"/>
                  </w:tcBorders>
                  <w:shd w:val="clear" w:color="auto" w:fill="auto"/>
                  <w:noWrap w:val="0"/>
                  <w:vAlign w:val="center"/>
                </w:tcPr>
                <w:p w14:paraId="5C182E59">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Times New Roman PS MT" w:cs="Times New Roman"/>
                      <w:b w:val="0"/>
                      <w:bCs w:val="0"/>
                      <w:color w:val="000000" w:themeColor="text1"/>
                      <w:sz w:val="21"/>
                      <w:szCs w:val="21"/>
                      <w14:textFill>
                        <w14:solidFill>
                          <w14:schemeClr w14:val="tx1"/>
                        </w14:solidFill>
                      </w14:textFill>
                    </w:rPr>
                    <w:t xml:space="preserve">2 </w:t>
                  </w:r>
                  <w:r>
                    <w:rPr>
                      <w:rFonts w:hint="default" w:ascii="Times New Roman" w:hAnsi="Times New Roman" w:eastAsia="宋体" w:cs="Times New Roman"/>
                      <w:b w:val="0"/>
                      <w:bCs w:val="0"/>
                      <w:color w:val="000000" w:themeColor="text1"/>
                      <w:sz w:val="21"/>
                      <w:szCs w:val="21"/>
                      <w14:textFill>
                        <w14:solidFill>
                          <w14:schemeClr w14:val="tx1"/>
                        </w14:solidFill>
                      </w14:textFill>
                    </w:rPr>
                    <w:t>台</w:t>
                  </w:r>
                </w:p>
              </w:tc>
              <w:tc>
                <w:tcPr>
                  <w:tcW w:w="691" w:type="pct"/>
                  <w:tcBorders>
                    <w:tl2br w:val="nil"/>
                    <w:tr2bl w:val="nil"/>
                  </w:tcBorders>
                  <w:shd w:val="clear" w:color="auto" w:fill="auto"/>
                  <w:noWrap w:val="0"/>
                  <w:vAlign w:val="center"/>
                </w:tcPr>
                <w:p w14:paraId="6542B7C3">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振动筛</w:t>
                  </w:r>
                </w:p>
              </w:tc>
              <w:tc>
                <w:tcPr>
                  <w:tcW w:w="845" w:type="pct"/>
                  <w:tcBorders>
                    <w:tl2br w:val="nil"/>
                    <w:tr2bl w:val="nil"/>
                  </w:tcBorders>
                  <w:shd w:val="clear" w:color="auto" w:fill="auto"/>
                  <w:noWrap w:val="0"/>
                  <w:vAlign w:val="center"/>
                </w:tcPr>
                <w:p w14:paraId="1287C736">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200t/h</w:t>
                  </w:r>
                </w:p>
              </w:tc>
              <w:tc>
                <w:tcPr>
                  <w:tcW w:w="695" w:type="pct"/>
                  <w:tcBorders>
                    <w:tl2br w:val="nil"/>
                    <w:tr2bl w:val="nil"/>
                  </w:tcBorders>
                  <w:shd w:val="clear" w:color="auto" w:fill="auto"/>
                  <w:noWrap w:val="0"/>
                  <w:vAlign w:val="center"/>
                </w:tcPr>
                <w:p w14:paraId="0BF1926F">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1台</w:t>
                  </w:r>
                </w:p>
              </w:tc>
              <w:tc>
                <w:tcPr>
                  <w:tcW w:w="412" w:type="pct"/>
                  <w:tcBorders>
                    <w:tl2br w:val="nil"/>
                    <w:tr2bl w:val="nil"/>
                  </w:tcBorders>
                  <w:shd w:val="clear" w:color="auto" w:fill="auto"/>
                  <w:noWrap w:val="0"/>
                  <w:vAlign w:val="center"/>
                </w:tcPr>
                <w:p w14:paraId="1DC26AD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627" w:type="pct"/>
                  <w:tcBorders>
                    <w:tl2br w:val="nil"/>
                    <w:tr2bl w:val="nil"/>
                  </w:tcBorders>
                  <w:shd w:val="clear" w:color="auto" w:fill="auto"/>
                  <w:noWrap w:val="0"/>
                  <w:vAlign w:val="center"/>
                </w:tcPr>
                <w:p w14:paraId="7626A546">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筛分</w:t>
                  </w:r>
                </w:p>
              </w:tc>
            </w:tr>
            <w:tr w14:paraId="65BEA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269" w:type="pct"/>
                  <w:tcBorders>
                    <w:tl2br w:val="nil"/>
                    <w:tr2bl w:val="nil"/>
                  </w:tcBorders>
                  <w:shd w:val="clear" w:color="auto" w:fill="auto"/>
                  <w:noWrap w:val="0"/>
                  <w:vAlign w:val="center"/>
                </w:tcPr>
                <w:p w14:paraId="3EEC6391">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p>
              </w:tc>
              <w:tc>
                <w:tcPr>
                  <w:tcW w:w="767" w:type="pct"/>
                  <w:tcBorders>
                    <w:tl2br w:val="nil"/>
                    <w:tr2bl w:val="nil"/>
                  </w:tcBorders>
                  <w:noWrap w:val="0"/>
                  <w:vAlign w:val="center"/>
                </w:tcPr>
                <w:p w14:paraId="65F26878">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73789039">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1BB14979">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滚筒筛</w:t>
                  </w:r>
                </w:p>
              </w:tc>
              <w:tc>
                <w:tcPr>
                  <w:tcW w:w="845" w:type="pct"/>
                  <w:tcBorders>
                    <w:tl2br w:val="nil"/>
                    <w:tr2bl w:val="nil"/>
                  </w:tcBorders>
                  <w:noWrap w:val="0"/>
                  <w:vAlign w:val="center"/>
                </w:tcPr>
                <w:p w14:paraId="591E1BA8">
                  <w:pPr>
                    <w:jc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200t/h</w:t>
                  </w:r>
                </w:p>
              </w:tc>
              <w:tc>
                <w:tcPr>
                  <w:tcW w:w="695" w:type="pct"/>
                  <w:tcBorders>
                    <w:tl2br w:val="nil"/>
                    <w:tr2bl w:val="nil"/>
                  </w:tcBorders>
                  <w:noWrap w:val="0"/>
                  <w:vAlign w:val="center"/>
                </w:tcPr>
                <w:p w14:paraId="0889D4D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1台</w:t>
                  </w:r>
                </w:p>
              </w:tc>
              <w:tc>
                <w:tcPr>
                  <w:tcW w:w="412" w:type="pct"/>
                  <w:tcBorders>
                    <w:tl2br w:val="nil"/>
                    <w:tr2bl w:val="nil"/>
                  </w:tcBorders>
                  <w:noWrap w:val="0"/>
                  <w:vAlign w:val="center"/>
                </w:tcPr>
                <w:p w14:paraId="2A8F91C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627" w:type="pct"/>
                  <w:tcBorders>
                    <w:tl2br w:val="nil"/>
                    <w:tr2bl w:val="nil"/>
                  </w:tcBorders>
                  <w:noWrap w:val="0"/>
                  <w:vAlign w:val="center"/>
                </w:tcPr>
                <w:p w14:paraId="7F6AFF3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筛分</w:t>
                  </w:r>
                </w:p>
              </w:tc>
            </w:tr>
            <w:tr w14:paraId="7B636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69" w:type="pct"/>
                  <w:tcBorders>
                    <w:tl2br w:val="nil"/>
                    <w:tr2bl w:val="nil"/>
                  </w:tcBorders>
                  <w:shd w:val="clear" w:color="auto" w:fill="auto"/>
                  <w:noWrap w:val="0"/>
                  <w:vAlign w:val="center"/>
                </w:tcPr>
                <w:p w14:paraId="489AE60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p>
              </w:tc>
              <w:tc>
                <w:tcPr>
                  <w:tcW w:w="767" w:type="pct"/>
                  <w:tcBorders>
                    <w:tl2br w:val="nil"/>
                    <w:tr2bl w:val="nil"/>
                  </w:tcBorders>
                  <w:noWrap w:val="0"/>
                  <w:vAlign w:val="center"/>
                </w:tcPr>
                <w:p w14:paraId="1919B89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29E94F2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267910D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水洗滚筒筛</w:t>
                  </w:r>
                </w:p>
              </w:tc>
              <w:tc>
                <w:tcPr>
                  <w:tcW w:w="845" w:type="pct"/>
                  <w:tcBorders>
                    <w:tl2br w:val="nil"/>
                    <w:tr2bl w:val="nil"/>
                  </w:tcBorders>
                  <w:noWrap w:val="0"/>
                  <w:vAlign w:val="center"/>
                </w:tcPr>
                <w:p w14:paraId="4E428756">
                  <w:pPr>
                    <w:jc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200t/h</w:t>
                  </w:r>
                </w:p>
              </w:tc>
              <w:tc>
                <w:tcPr>
                  <w:tcW w:w="695" w:type="pct"/>
                  <w:tcBorders>
                    <w:tl2br w:val="nil"/>
                    <w:tr2bl w:val="nil"/>
                  </w:tcBorders>
                  <w:noWrap w:val="0"/>
                  <w:vAlign w:val="center"/>
                </w:tcPr>
                <w:p w14:paraId="0DA49DC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1条</w:t>
                  </w:r>
                </w:p>
              </w:tc>
              <w:tc>
                <w:tcPr>
                  <w:tcW w:w="412" w:type="pct"/>
                  <w:tcBorders>
                    <w:tl2br w:val="nil"/>
                    <w:tr2bl w:val="nil"/>
                  </w:tcBorders>
                  <w:noWrap w:val="0"/>
                  <w:vAlign w:val="center"/>
                </w:tcPr>
                <w:p w14:paraId="622A155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627" w:type="pct"/>
                  <w:tcBorders>
                    <w:tl2br w:val="nil"/>
                    <w:tr2bl w:val="nil"/>
                  </w:tcBorders>
                  <w:noWrap w:val="0"/>
                  <w:vAlign w:val="center"/>
                </w:tcPr>
                <w:p w14:paraId="3D257CC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水洗筛分</w:t>
                  </w:r>
                </w:p>
              </w:tc>
            </w:tr>
            <w:tr w14:paraId="0FC64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269" w:type="pct"/>
                  <w:tcBorders>
                    <w:tl2br w:val="nil"/>
                    <w:tr2bl w:val="nil"/>
                  </w:tcBorders>
                  <w:shd w:val="clear" w:color="auto" w:fill="auto"/>
                  <w:noWrap w:val="0"/>
                  <w:vAlign w:val="center"/>
                </w:tcPr>
                <w:p w14:paraId="773BC3F6">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w:t>
                  </w:r>
                </w:p>
              </w:tc>
              <w:tc>
                <w:tcPr>
                  <w:tcW w:w="767" w:type="pct"/>
                  <w:tcBorders>
                    <w:tl2br w:val="nil"/>
                    <w:tr2bl w:val="nil"/>
                  </w:tcBorders>
                  <w:noWrap w:val="0"/>
                  <w:vAlign w:val="center"/>
                </w:tcPr>
                <w:p w14:paraId="347564F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5E17C89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6757980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分料机</w:t>
                  </w:r>
                </w:p>
              </w:tc>
              <w:tc>
                <w:tcPr>
                  <w:tcW w:w="845" w:type="pct"/>
                  <w:tcBorders>
                    <w:tl2br w:val="nil"/>
                    <w:tr2bl w:val="nil"/>
                  </w:tcBorders>
                  <w:noWrap w:val="0"/>
                  <w:vAlign w:val="center"/>
                </w:tcPr>
                <w:p w14:paraId="5BB87C4B">
                  <w:pPr>
                    <w:jc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200t/h</w:t>
                  </w:r>
                </w:p>
              </w:tc>
              <w:tc>
                <w:tcPr>
                  <w:tcW w:w="695" w:type="pct"/>
                  <w:tcBorders>
                    <w:tl2br w:val="nil"/>
                    <w:tr2bl w:val="nil"/>
                  </w:tcBorders>
                  <w:noWrap w:val="0"/>
                  <w:vAlign w:val="center"/>
                </w:tcPr>
                <w:p w14:paraId="6401C00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2台</w:t>
                  </w:r>
                </w:p>
              </w:tc>
              <w:tc>
                <w:tcPr>
                  <w:tcW w:w="412" w:type="pct"/>
                  <w:tcBorders>
                    <w:tl2br w:val="nil"/>
                    <w:tr2bl w:val="nil"/>
                  </w:tcBorders>
                  <w:noWrap w:val="0"/>
                  <w:vAlign w:val="center"/>
                </w:tcPr>
                <w:p w14:paraId="1122139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627" w:type="pct"/>
                  <w:tcBorders>
                    <w:tl2br w:val="nil"/>
                    <w:tr2bl w:val="nil"/>
                  </w:tcBorders>
                  <w:noWrap w:val="0"/>
                  <w:vAlign w:val="center"/>
                </w:tcPr>
                <w:p w14:paraId="59165AD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分选</w:t>
                  </w:r>
                </w:p>
              </w:tc>
            </w:tr>
            <w:tr w14:paraId="7D1CB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269" w:type="pct"/>
                  <w:tcBorders>
                    <w:tl2br w:val="nil"/>
                    <w:tr2bl w:val="nil"/>
                  </w:tcBorders>
                  <w:shd w:val="clear" w:color="auto" w:fill="auto"/>
                  <w:noWrap w:val="0"/>
                  <w:vAlign w:val="center"/>
                </w:tcPr>
                <w:p w14:paraId="2EB6124E">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p>
              </w:tc>
              <w:tc>
                <w:tcPr>
                  <w:tcW w:w="767" w:type="pct"/>
                  <w:tcBorders>
                    <w:tl2br w:val="nil"/>
                    <w:tr2bl w:val="nil"/>
                  </w:tcBorders>
                  <w:shd w:val="clear" w:color="auto" w:fill="auto"/>
                  <w:noWrap w:val="0"/>
                  <w:vAlign w:val="center"/>
                </w:tcPr>
                <w:p w14:paraId="37894BC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shd w:val="clear" w:color="auto" w:fill="auto"/>
                  <w:noWrap w:val="0"/>
                  <w:vAlign w:val="center"/>
                </w:tcPr>
                <w:p w14:paraId="12C6F48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shd w:val="clear" w:color="auto" w:fill="auto"/>
                  <w:noWrap w:val="0"/>
                  <w:vAlign w:val="center"/>
                </w:tcPr>
                <w:p w14:paraId="132FA19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水泵</w:t>
                  </w:r>
                </w:p>
              </w:tc>
              <w:tc>
                <w:tcPr>
                  <w:tcW w:w="845" w:type="pct"/>
                  <w:tcBorders>
                    <w:tl2br w:val="nil"/>
                    <w:tr2bl w:val="nil"/>
                  </w:tcBorders>
                  <w:shd w:val="clear" w:color="auto" w:fill="auto"/>
                  <w:noWrap w:val="0"/>
                  <w:vAlign w:val="center"/>
                </w:tcPr>
                <w:p w14:paraId="0E227B33">
                  <w:pPr>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p>
              </w:tc>
              <w:tc>
                <w:tcPr>
                  <w:tcW w:w="695" w:type="pct"/>
                  <w:tcBorders>
                    <w:tl2br w:val="nil"/>
                    <w:tr2bl w:val="nil"/>
                  </w:tcBorders>
                  <w:shd w:val="clear" w:color="auto" w:fill="auto"/>
                  <w:noWrap w:val="0"/>
                  <w:vAlign w:val="center"/>
                </w:tcPr>
                <w:p w14:paraId="0B73D8A1">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w:t>
                  </w:r>
                </w:p>
              </w:tc>
              <w:tc>
                <w:tcPr>
                  <w:tcW w:w="412" w:type="pct"/>
                  <w:tcBorders>
                    <w:tl2br w:val="nil"/>
                    <w:tr2bl w:val="nil"/>
                  </w:tcBorders>
                  <w:shd w:val="clear" w:color="auto" w:fill="auto"/>
                  <w:noWrap w:val="0"/>
                  <w:vAlign w:val="center"/>
                </w:tcPr>
                <w:p w14:paraId="68CEA11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tc>
              <w:tc>
                <w:tcPr>
                  <w:tcW w:w="627" w:type="pct"/>
                  <w:tcBorders>
                    <w:tl2br w:val="nil"/>
                    <w:tr2bl w:val="nil"/>
                  </w:tcBorders>
                  <w:shd w:val="clear" w:color="auto" w:fill="auto"/>
                  <w:noWrap w:val="0"/>
                  <w:vAlign w:val="center"/>
                </w:tcPr>
                <w:p w14:paraId="341FD45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洗砂</w:t>
                  </w:r>
                </w:p>
              </w:tc>
            </w:tr>
            <w:tr w14:paraId="12762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269" w:type="pct"/>
                  <w:tcBorders>
                    <w:tl2br w:val="nil"/>
                    <w:tr2bl w:val="nil"/>
                  </w:tcBorders>
                  <w:shd w:val="clear" w:color="auto" w:fill="auto"/>
                  <w:noWrap w:val="0"/>
                  <w:vAlign w:val="center"/>
                </w:tcPr>
                <w:p w14:paraId="13EE5E54">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w:t>
                  </w:r>
                </w:p>
              </w:tc>
              <w:tc>
                <w:tcPr>
                  <w:tcW w:w="767" w:type="pct"/>
                  <w:tcBorders>
                    <w:tl2br w:val="nil"/>
                    <w:tr2bl w:val="nil"/>
                  </w:tcBorders>
                  <w:noWrap w:val="0"/>
                  <w:vAlign w:val="center"/>
                </w:tcPr>
                <w:p w14:paraId="3A8A097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皮带输送机</w:t>
                  </w:r>
                </w:p>
              </w:tc>
              <w:tc>
                <w:tcPr>
                  <w:tcW w:w="691" w:type="pct"/>
                  <w:tcBorders>
                    <w:tl2br w:val="nil"/>
                    <w:tr2bl w:val="nil"/>
                  </w:tcBorders>
                  <w:noWrap w:val="0"/>
                  <w:vAlign w:val="center"/>
                </w:tcPr>
                <w:p w14:paraId="58D28EC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Times New Roman PS MT" w:cs="Times New Roman"/>
                      <w:b w:val="0"/>
                      <w:bCs w:val="0"/>
                      <w:color w:val="000000" w:themeColor="text1"/>
                      <w:sz w:val="21"/>
                      <w:szCs w:val="21"/>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台</w:t>
                  </w:r>
                </w:p>
              </w:tc>
              <w:tc>
                <w:tcPr>
                  <w:tcW w:w="691" w:type="pct"/>
                  <w:tcBorders>
                    <w:tl2br w:val="nil"/>
                    <w:tr2bl w:val="nil"/>
                  </w:tcBorders>
                  <w:noWrap w:val="0"/>
                  <w:vAlign w:val="center"/>
                </w:tcPr>
                <w:p w14:paraId="5600794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皮带输送机</w:t>
                  </w:r>
                </w:p>
              </w:tc>
              <w:tc>
                <w:tcPr>
                  <w:tcW w:w="845" w:type="pct"/>
                  <w:tcBorders>
                    <w:tl2br w:val="nil"/>
                    <w:tr2bl w:val="nil"/>
                  </w:tcBorders>
                  <w:noWrap w:val="0"/>
                  <w:vAlign w:val="center"/>
                </w:tcPr>
                <w:p w14:paraId="0477115A">
                  <w:pPr>
                    <w:jc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650*18m</w:t>
                  </w:r>
                </w:p>
              </w:tc>
              <w:tc>
                <w:tcPr>
                  <w:tcW w:w="695" w:type="pct"/>
                  <w:tcBorders>
                    <w:tl2br w:val="nil"/>
                    <w:tr2bl w:val="nil"/>
                  </w:tcBorders>
                  <w:noWrap w:val="0"/>
                  <w:vAlign w:val="center"/>
                </w:tcPr>
                <w:p w14:paraId="484D63C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6台</w:t>
                  </w:r>
                </w:p>
              </w:tc>
              <w:tc>
                <w:tcPr>
                  <w:tcW w:w="412" w:type="pct"/>
                  <w:tcBorders>
                    <w:tl2br w:val="nil"/>
                    <w:tr2bl w:val="nil"/>
                  </w:tcBorders>
                  <w:noWrap w:val="0"/>
                  <w:vAlign w:val="center"/>
                </w:tcPr>
                <w:p w14:paraId="12BEED8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627" w:type="pct"/>
                  <w:tcBorders>
                    <w:tl2br w:val="nil"/>
                    <w:tr2bl w:val="nil"/>
                  </w:tcBorders>
                  <w:noWrap w:val="0"/>
                  <w:vAlign w:val="center"/>
                </w:tcPr>
                <w:p w14:paraId="65A80C1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物料运输</w:t>
                  </w:r>
                </w:p>
              </w:tc>
            </w:tr>
            <w:tr w14:paraId="655EB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69" w:type="pct"/>
                  <w:tcBorders>
                    <w:tl2br w:val="nil"/>
                    <w:tr2bl w:val="nil"/>
                  </w:tcBorders>
                  <w:shd w:val="clear" w:color="auto" w:fill="auto"/>
                  <w:noWrap w:val="0"/>
                  <w:vAlign w:val="center"/>
                </w:tcPr>
                <w:p w14:paraId="7DE76CC8">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767" w:type="pct"/>
                  <w:tcBorders>
                    <w:tl2br w:val="nil"/>
                    <w:tr2bl w:val="nil"/>
                  </w:tcBorders>
                  <w:noWrap w:val="0"/>
                  <w:vAlign w:val="center"/>
                </w:tcPr>
                <w:p w14:paraId="4494C3E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洗车台三级沉淀池</w:t>
                  </w:r>
                </w:p>
              </w:tc>
              <w:tc>
                <w:tcPr>
                  <w:tcW w:w="691" w:type="pct"/>
                  <w:tcBorders>
                    <w:tl2br w:val="nil"/>
                    <w:tr2bl w:val="nil"/>
                  </w:tcBorders>
                  <w:noWrap w:val="0"/>
                  <w:vAlign w:val="center"/>
                </w:tcPr>
                <w:p w14:paraId="5E3C90D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1个</w:t>
                  </w:r>
                </w:p>
              </w:tc>
              <w:tc>
                <w:tcPr>
                  <w:tcW w:w="691" w:type="pct"/>
                  <w:tcBorders>
                    <w:tl2br w:val="nil"/>
                    <w:tr2bl w:val="nil"/>
                  </w:tcBorders>
                  <w:noWrap w:val="0"/>
                  <w:vAlign w:val="center"/>
                </w:tcPr>
                <w:p w14:paraId="2A198C2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洗车台三级沉淀池</w:t>
                  </w:r>
                </w:p>
              </w:tc>
              <w:tc>
                <w:tcPr>
                  <w:tcW w:w="845" w:type="pct"/>
                  <w:tcBorders>
                    <w:tl2br w:val="nil"/>
                    <w:tr2bl w:val="nil"/>
                  </w:tcBorders>
                  <w:noWrap w:val="0"/>
                  <w:vAlign w:val="center"/>
                </w:tcPr>
                <w:p w14:paraId="51F3C5B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容积约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3m*2m*1</w:t>
                  </w:r>
                  <w:r>
                    <w:rPr>
                      <w:rFonts w:hint="eastAsia"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m</w:t>
                  </w:r>
                </w:p>
              </w:tc>
              <w:tc>
                <w:tcPr>
                  <w:tcW w:w="695" w:type="pct"/>
                  <w:tcBorders>
                    <w:tl2br w:val="nil"/>
                    <w:tr2bl w:val="nil"/>
                  </w:tcBorders>
                  <w:noWrap w:val="0"/>
                  <w:vAlign w:val="center"/>
                </w:tcPr>
                <w:p w14:paraId="7478893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1个 </w:t>
                  </w:r>
                </w:p>
              </w:tc>
              <w:tc>
                <w:tcPr>
                  <w:tcW w:w="412" w:type="pct"/>
                  <w:tcBorders>
                    <w:tl2br w:val="nil"/>
                    <w:tr2bl w:val="nil"/>
                  </w:tcBorders>
                  <w:noWrap w:val="0"/>
                  <w:vAlign w:val="center"/>
                </w:tcPr>
                <w:p w14:paraId="343D09E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27" w:type="pct"/>
                  <w:tcBorders>
                    <w:tl2br w:val="nil"/>
                    <w:tr2bl w:val="nil"/>
                  </w:tcBorders>
                  <w:noWrap w:val="0"/>
                  <w:vAlign w:val="center"/>
                </w:tcPr>
                <w:p w14:paraId="54B1A37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洗车</w:t>
                  </w:r>
                </w:p>
              </w:tc>
            </w:tr>
            <w:tr w14:paraId="1C17D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69" w:type="pct"/>
                  <w:tcBorders>
                    <w:tl2br w:val="nil"/>
                    <w:tr2bl w:val="nil"/>
                  </w:tcBorders>
                  <w:shd w:val="clear" w:color="auto" w:fill="auto"/>
                  <w:noWrap w:val="0"/>
                  <w:vAlign w:val="center"/>
                </w:tcPr>
                <w:p w14:paraId="469E812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11</w:t>
                  </w:r>
                </w:p>
              </w:tc>
              <w:tc>
                <w:tcPr>
                  <w:tcW w:w="767" w:type="pct"/>
                  <w:tcBorders>
                    <w:tl2br w:val="nil"/>
                    <w:tr2bl w:val="nil"/>
                  </w:tcBorders>
                  <w:noWrap w:val="0"/>
                  <w:vAlign w:val="center"/>
                </w:tcPr>
                <w:p w14:paraId="5C92D97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326E4C0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91" w:type="pct"/>
                  <w:tcBorders>
                    <w:tl2br w:val="nil"/>
                    <w:tr2bl w:val="nil"/>
                  </w:tcBorders>
                  <w:noWrap w:val="0"/>
                  <w:vAlign w:val="center"/>
                </w:tcPr>
                <w:p w14:paraId="4A64A48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洗砂三级沉淀池</w:t>
                  </w:r>
                </w:p>
              </w:tc>
              <w:tc>
                <w:tcPr>
                  <w:tcW w:w="845" w:type="pct"/>
                  <w:tcBorders>
                    <w:tl2br w:val="nil"/>
                    <w:tr2bl w:val="nil"/>
                  </w:tcBorders>
                  <w:noWrap w:val="0"/>
                  <w:vAlign w:val="center"/>
                </w:tcPr>
                <w:p w14:paraId="3067A67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容积约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180</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m*3m*4m</w:t>
                  </w:r>
                </w:p>
              </w:tc>
              <w:tc>
                <w:tcPr>
                  <w:tcW w:w="695" w:type="pct"/>
                  <w:tcBorders>
                    <w:tl2br w:val="nil"/>
                    <w:tr2bl w:val="nil"/>
                  </w:tcBorders>
                  <w:noWrap w:val="0"/>
                  <w:vAlign w:val="center"/>
                </w:tcPr>
                <w:p w14:paraId="1DCF322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1个 </w:t>
                  </w:r>
                </w:p>
              </w:tc>
              <w:tc>
                <w:tcPr>
                  <w:tcW w:w="412" w:type="pct"/>
                  <w:tcBorders>
                    <w:tl2br w:val="nil"/>
                    <w:tr2bl w:val="nil"/>
                  </w:tcBorders>
                  <w:noWrap w:val="0"/>
                  <w:vAlign w:val="center"/>
                </w:tcPr>
                <w:p w14:paraId="0EDAB39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627" w:type="pct"/>
                  <w:tcBorders>
                    <w:tl2br w:val="nil"/>
                    <w:tr2bl w:val="nil"/>
                  </w:tcBorders>
                  <w:noWrap w:val="0"/>
                  <w:vAlign w:val="center"/>
                </w:tcPr>
                <w:p w14:paraId="50C69ED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洗砂</w:t>
                  </w:r>
                </w:p>
              </w:tc>
            </w:tr>
            <w:tr w14:paraId="767B5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69" w:type="pct"/>
                  <w:tcBorders>
                    <w:tl2br w:val="nil"/>
                    <w:tr2bl w:val="nil"/>
                  </w:tcBorders>
                  <w:noWrap w:val="0"/>
                  <w:vAlign w:val="center"/>
                </w:tcPr>
                <w:p w14:paraId="2D1B0AA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12</w:t>
                  </w:r>
                </w:p>
              </w:tc>
              <w:tc>
                <w:tcPr>
                  <w:tcW w:w="767" w:type="pct"/>
                  <w:tcBorders>
                    <w:tl2br w:val="nil"/>
                    <w:tr2bl w:val="nil"/>
                  </w:tcBorders>
                  <w:noWrap w:val="0"/>
                  <w:vAlign w:val="center"/>
                </w:tcPr>
                <w:p w14:paraId="3493F1A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布袋除尘器</w:t>
                  </w:r>
                </w:p>
              </w:tc>
              <w:tc>
                <w:tcPr>
                  <w:tcW w:w="691" w:type="pct"/>
                  <w:tcBorders>
                    <w:tl2br w:val="nil"/>
                    <w:tr2bl w:val="nil"/>
                  </w:tcBorders>
                  <w:noWrap w:val="0"/>
                  <w:vAlign w:val="center"/>
                </w:tcPr>
                <w:p w14:paraId="308E086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1套</w:t>
                  </w:r>
                </w:p>
              </w:tc>
              <w:tc>
                <w:tcPr>
                  <w:tcW w:w="691" w:type="pct"/>
                  <w:tcBorders>
                    <w:tl2br w:val="nil"/>
                    <w:tr2bl w:val="nil"/>
                  </w:tcBorders>
                  <w:noWrap w:val="0"/>
                  <w:vAlign w:val="center"/>
                </w:tcPr>
                <w:p w14:paraId="3510174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布袋除尘器</w:t>
                  </w:r>
                </w:p>
              </w:tc>
              <w:tc>
                <w:tcPr>
                  <w:tcW w:w="845" w:type="pct"/>
                  <w:tcBorders>
                    <w:tl2br w:val="nil"/>
                    <w:tr2bl w:val="nil"/>
                  </w:tcBorders>
                  <w:noWrap w:val="0"/>
                  <w:vAlign w:val="center"/>
                </w:tcPr>
                <w:p w14:paraId="0036AB3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风量30000m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/h</w:t>
                  </w:r>
                </w:p>
              </w:tc>
              <w:tc>
                <w:tcPr>
                  <w:tcW w:w="695" w:type="pct"/>
                  <w:tcBorders>
                    <w:tl2br w:val="nil"/>
                    <w:tr2bl w:val="nil"/>
                  </w:tcBorders>
                  <w:noWrap w:val="0"/>
                  <w:vAlign w:val="center"/>
                </w:tcPr>
                <w:p w14:paraId="624FB3A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1套</w:t>
                  </w:r>
                </w:p>
              </w:tc>
              <w:tc>
                <w:tcPr>
                  <w:tcW w:w="412" w:type="pct"/>
                  <w:tcBorders>
                    <w:tl2br w:val="nil"/>
                    <w:tr2bl w:val="nil"/>
                  </w:tcBorders>
                  <w:noWrap w:val="0"/>
                  <w:vAlign w:val="center"/>
                </w:tcPr>
                <w:p w14:paraId="2BB94E1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27" w:type="pct"/>
                  <w:tcBorders>
                    <w:tl2br w:val="nil"/>
                    <w:tr2bl w:val="nil"/>
                  </w:tcBorders>
                  <w:noWrap w:val="0"/>
                  <w:vAlign w:val="center"/>
                </w:tcPr>
                <w:p w14:paraId="6BB081A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除尘设备</w:t>
                  </w:r>
                </w:p>
              </w:tc>
            </w:tr>
          </w:tbl>
          <w:p w14:paraId="00CE7055">
            <w:pPr>
              <w:adjustRightInd w:val="0"/>
              <w:spacing w:line="240" w:lineRule="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注：本项目不涉及</w:t>
            </w:r>
            <w:r>
              <w:rPr>
                <w:rFonts w:hint="default" w:ascii="Times New Roman" w:hAnsi="Times New Roman" w:cs="Times New Roman"/>
                <w:b w:val="0"/>
                <w:bCs w:val="0"/>
                <w:color w:val="000000" w:themeColor="text1"/>
                <w:sz w:val="21"/>
                <w:szCs w:val="21"/>
                <w:highlight w:val="none"/>
                <w14:textFill>
                  <w14:solidFill>
                    <w14:schemeClr w14:val="tx1"/>
                  </w14:solidFill>
                </w14:textFill>
              </w:rPr>
              <w:t>淘汰</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设备</w:t>
            </w:r>
            <w:r>
              <w:rPr>
                <w:rFonts w:hint="default" w:ascii="Times New Roman" w:hAnsi="Times New Roman" w:cs="Times New Roman"/>
                <w:b w:val="0"/>
                <w:bCs w:val="0"/>
                <w:color w:val="000000" w:themeColor="text1"/>
                <w:sz w:val="21"/>
                <w:szCs w:val="21"/>
                <w:highlight w:val="none"/>
                <w14:textFill>
                  <w14:solidFill>
                    <w14:schemeClr w14:val="tx1"/>
                  </w14:solidFill>
                </w14:textFill>
              </w:rPr>
              <w:t>和高能耗设备</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p w14:paraId="16CD1BF0">
            <w:pPr>
              <w:adjustRightInd w:val="0"/>
              <w:spacing w:line="360" w:lineRule="auto"/>
              <w:ind w:firstLine="482" w:firstLineChars="200"/>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5.主要原辅材料及能源</w:t>
            </w:r>
          </w:p>
          <w:p w14:paraId="006574F7">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11" w:name="_Toc8691_WPSOffice_Level1"/>
            <w:bookmarkStart w:id="12" w:name="_Toc31217_WPSOffice_Level1"/>
            <w:bookmarkStart w:id="13" w:name="_Toc11585_WPSOffice_Level1"/>
            <w:bookmarkStart w:id="14" w:name="_Toc13555_WPSOffice_Level1"/>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改扩建前后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项目原辅材料</w:t>
            </w:r>
            <w:r>
              <w:rPr>
                <w:rFonts w:hint="default" w:ascii="Times New Roman" w:hAnsi="Times New Roman" w:cs="Times New Roman" w:eastAsiaTheme="minorEastAsia"/>
                <w:color w:val="000000" w:themeColor="text1"/>
                <w:sz w:val="24"/>
                <w:highlight w:val="none"/>
                <w14:textFill>
                  <w14:solidFill>
                    <w14:schemeClr w14:val="tx1"/>
                  </w14:solidFill>
                </w14:textFill>
              </w:rPr>
              <w:t>消耗量如下表所示</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p>
          <w:p w14:paraId="4B59B271">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4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原辅材料消耗</w:t>
            </w:r>
            <w:bookmarkEnd w:id="11"/>
            <w:bookmarkEnd w:id="12"/>
            <w:bookmarkEnd w:id="13"/>
            <w:bookmarkEnd w:id="14"/>
            <w:r>
              <w:rPr>
                <w:rFonts w:hint="default" w:ascii="Times New Roman" w:hAnsi="Times New Roman" w:cs="Times New Roman" w:eastAsiaTheme="minorEastAsia"/>
                <w:b/>
                <w:bCs/>
                <w:color w:val="000000" w:themeColor="text1"/>
                <w:sz w:val="24"/>
                <w:highlight w:val="none"/>
                <w14:textFill>
                  <w14:solidFill>
                    <w14:schemeClr w14:val="tx1"/>
                  </w14:solidFill>
                </w14:textFill>
              </w:rPr>
              <w:t>一览表</w:t>
            </w:r>
          </w:p>
          <w:tbl>
            <w:tblPr>
              <w:tblStyle w:val="25"/>
              <w:tblW w:w="79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27"/>
              <w:gridCol w:w="1044"/>
              <w:gridCol w:w="1106"/>
              <w:gridCol w:w="1404"/>
              <w:gridCol w:w="859"/>
              <w:gridCol w:w="681"/>
              <w:gridCol w:w="1425"/>
            </w:tblGrid>
            <w:tr w14:paraId="4B440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67" w:type="pct"/>
                  <w:tcBorders>
                    <w:tl2br w:val="nil"/>
                    <w:tr2bl w:val="nil"/>
                  </w:tcBorders>
                  <w:noWrap w:val="0"/>
                  <w:vAlign w:val="center"/>
                </w:tcPr>
                <w:p w14:paraId="6C0103A7">
                  <w:pPr>
                    <w:numPr>
                      <w:ilvl w:val="0"/>
                      <w:numId w:val="0"/>
                    </w:numPr>
                    <w:spacing w:line="240" w:lineRule="auto"/>
                    <w:ind w:left="0" w:leftChars="0" w:firstLine="0" w:firstLineChars="0"/>
                    <w:jc w:val="center"/>
                    <w:rPr>
                      <w:rFonts w:hint="default" w:ascii="Times New Roman" w:hAnsi="Times New Roman" w:cs="Times New Roman" w:eastAsiaTheme="minorEastAsia"/>
                      <w:b w:val="0"/>
                      <w:bCs w:val="0"/>
                      <w:color w:val="000000" w:themeColor="text1"/>
                      <w:kern w:val="2"/>
                      <w:sz w:val="21"/>
                      <w:szCs w:val="21"/>
                      <w:highlight w:val="none"/>
                      <w:shd w:val="clear" w:color="auto" w:fill="FFFFFF"/>
                      <w:vertAlign w:val="baseline"/>
                      <w:lang w:val="en-US" w:eastAsia="zh-CN" w:bidi="ar-SA"/>
                      <w14:textFill>
                        <w14:solidFill>
                          <w14:schemeClr w14:val="tx1"/>
                        </w14:solidFill>
                      </w14:textFill>
                    </w:rPr>
                  </w:pPr>
                  <w:bookmarkStart w:id="15" w:name="_Toc5477_WPSOffice_Level2"/>
                  <w:bookmarkStart w:id="16" w:name="_Toc11853_WPSOffice_Level2"/>
                  <w:bookmarkStart w:id="17" w:name="_Toc10903_WPSOffice_Level2"/>
                  <w:bookmarkStart w:id="18" w:name="_Toc459118417"/>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644" w:type="pct"/>
                  <w:tcBorders>
                    <w:tl2br w:val="nil"/>
                    <w:tr2bl w:val="nil"/>
                  </w:tcBorders>
                  <w:noWrap w:val="0"/>
                  <w:vAlign w:val="center"/>
                </w:tcPr>
                <w:p w14:paraId="6C8F76AD">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t>名称</w:t>
                  </w:r>
                </w:p>
              </w:tc>
              <w:tc>
                <w:tcPr>
                  <w:tcW w:w="654" w:type="pct"/>
                  <w:tcBorders>
                    <w:tl2br w:val="nil"/>
                    <w:tr2bl w:val="nil"/>
                  </w:tcBorders>
                  <w:noWrap w:val="0"/>
                  <w:vAlign w:val="center"/>
                </w:tcPr>
                <w:p w14:paraId="7BD463E9">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改扩建前</w:t>
                  </w:r>
                  <w: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t>用量</w:t>
                  </w:r>
                </w:p>
              </w:tc>
              <w:tc>
                <w:tcPr>
                  <w:tcW w:w="693" w:type="pct"/>
                  <w:tcBorders>
                    <w:tl2br w:val="nil"/>
                    <w:tr2bl w:val="nil"/>
                  </w:tcBorders>
                  <w:noWrap w:val="0"/>
                  <w:vAlign w:val="center"/>
                </w:tcPr>
                <w:p w14:paraId="415C82EB">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改扩建后用量</w:t>
                  </w:r>
                </w:p>
              </w:tc>
              <w:tc>
                <w:tcPr>
                  <w:tcW w:w="880" w:type="pct"/>
                  <w:tcBorders>
                    <w:tl2br w:val="nil"/>
                    <w:tr2bl w:val="nil"/>
                  </w:tcBorders>
                  <w:noWrap w:val="0"/>
                  <w:vAlign w:val="center"/>
                </w:tcPr>
                <w:p w14:paraId="4B5AF7E0">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t>储存方式</w:t>
                  </w:r>
                </w:p>
              </w:tc>
              <w:tc>
                <w:tcPr>
                  <w:tcW w:w="538" w:type="pct"/>
                  <w:tcBorders>
                    <w:tl2br w:val="nil"/>
                    <w:tr2bl w:val="nil"/>
                  </w:tcBorders>
                  <w:noWrap w:val="0"/>
                  <w:vAlign w:val="center"/>
                </w:tcPr>
                <w:p w14:paraId="66753BF4">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规格</w:t>
                  </w:r>
                </w:p>
              </w:tc>
              <w:tc>
                <w:tcPr>
                  <w:tcW w:w="427" w:type="pct"/>
                  <w:tcBorders>
                    <w:tl2br w:val="nil"/>
                    <w:tr2bl w:val="nil"/>
                  </w:tcBorders>
                  <w:noWrap w:val="0"/>
                  <w:vAlign w:val="center"/>
                </w:tcPr>
                <w:p w14:paraId="53E9EF85">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最大储存量</w:t>
                  </w:r>
                </w:p>
              </w:tc>
              <w:tc>
                <w:tcPr>
                  <w:tcW w:w="893" w:type="pct"/>
                  <w:tcBorders>
                    <w:tl2br w:val="nil"/>
                    <w:tr2bl w:val="nil"/>
                  </w:tcBorders>
                  <w:noWrap w:val="0"/>
                  <w:vAlign w:val="center"/>
                </w:tcPr>
                <w:p w14:paraId="1367BED0">
                  <w:pPr>
                    <w:numPr>
                      <w:ilvl w:val="0"/>
                      <w:numId w:val="0"/>
                    </w:numPr>
                    <w:spacing w:line="240" w:lineRule="auto"/>
                    <w:jc w:val="cente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备注</w:t>
                  </w:r>
                </w:p>
              </w:tc>
            </w:tr>
            <w:tr w14:paraId="35207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67" w:type="pct"/>
                  <w:tcBorders>
                    <w:tl2br w:val="nil"/>
                    <w:tr2bl w:val="nil"/>
                  </w:tcBorders>
                  <w:noWrap w:val="0"/>
                  <w:vAlign w:val="center"/>
                </w:tcPr>
                <w:p w14:paraId="3720769A">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644" w:type="pct"/>
                  <w:tcBorders>
                    <w:tl2br w:val="nil"/>
                    <w:tr2bl w:val="nil"/>
                  </w:tcBorders>
                  <w:shd w:val="clear" w:color="auto" w:fill="auto"/>
                  <w:noWrap w:val="0"/>
                  <w:vAlign w:val="center"/>
                </w:tcPr>
                <w:p w14:paraId="2698FE8B">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矿山硅石料</w:t>
                  </w:r>
                </w:p>
              </w:tc>
              <w:tc>
                <w:tcPr>
                  <w:tcW w:w="654" w:type="pct"/>
                  <w:tcBorders>
                    <w:tl2br w:val="nil"/>
                    <w:tr2bl w:val="nil"/>
                  </w:tcBorders>
                  <w:shd w:val="clear" w:color="auto" w:fill="auto"/>
                  <w:noWrap w:val="0"/>
                  <w:vAlign w:val="center"/>
                </w:tcPr>
                <w:p w14:paraId="2D51A63D">
                  <w:pPr>
                    <w:bidi w:val="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693" w:type="pct"/>
                  <w:tcBorders>
                    <w:tl2br w:val="nil"/>
                    <w:tr2bl w:val="nil"/>
                  </w:tcBorders>
                  <w:shd w:val="clear" w:color="auto" w:fill="auto"/>
                  <w:noWrap w:val="0"/>
                  <w:vAlign w:val="center"/>
                </w:tcPr>
                <w:p w14:paraId="6E8AD549">
                  <w:pPr>
                    <w:bidi w:val="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40万</w:t>
                  </w:r>
                  <w:r>
                    <w:rPr>
                      <w:rFonts w:hint="default" w:ascii="Times New Roman" w:hAnsi="Times New Roman" w:cs="Times New Roman" w:eastAsiaTheme="minorEastAsia"/>
                      <w:b w:val="0"/>
                      <w:bCs w:val="0"/>
                      <w:color w:val="000000" w:themeColor="text1"/>
                      <w:sz w:val="21"/>
                      <w:szCs w:val="21"/>
                      <w:highlight w:val="none"/>
                      <w:shd w:val="clear" w:color="auto" w:fill="FFFFFF"/>
                      <w:vertAlign w:val="baseline"/>
                      <w:lang w:val="en-US" w:eastAsia="zh-CN"/>
                      <w14:textFill>
                        <w14:solidFill>
                          <w14:schemeClr w14:val="tx1"/>
                        </w14:solidFill>
                      </w14:textFill>
                    </w:rPr>
                    <w:t>t/a</w:t>
                  </w:r>
                </w:p>
              </w:tc>
              <w:tc>
                <w:tcPr>
                  <w:tcW w:w="880" w:type="pct"/>
                  <w:tcBorders>
                    <w:tl2br w:val="nil"/>
                    <w:tr2bl w:val="nil"/>
                  </w:tcBorders>
                  <w:shd w:val="clear" w:color="auto" w:fill="auto"/>
                  <w:noWrap w:val="0"/>
                  <w:vAlign w:val="center"/>
                </w:tcPr>
                <w:p w14:paraId="71B67CF3">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原料区堆放</w:t>
                  </w:r>
                </w:p>
              </w:tc>
              <w:tc>
                <w:tcPr>
                  <w:tcW w:w="538" w:type="pct"/>
                  <w:tcBorders>
                    <w:tl2br w:val="nil"/>
                    <w:tr2bl w:val="nil"/>
                  </w:tcBorders>
                  <w:noWrap w:val="0"/>
                  <w:vAlign w:val="center"/>
                </w:tcPr>
                <w:p w14:paraId="64E14460">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cm</w:t>
                  </w:r>
                </w:p>
              </w:tc>
              <w:tc>
                <w:tcPr>
                  <w:tcW w:w="427" w:type="pct"/>
                  <w:tcBorders>
                    <w:tl2br w:val="nil"/>
                    <w:tr2bl w:val="nil"/>
                  </w:tcBorders>
                  <w:noWrap w:val="0"/>
                  <w:vAlign w:val="center"/>
                </w:tcPr>
                <w:p w14:paraId="2F787978">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893" w:type="pct"/>
                  <w:tcBorders>
                    <w:tl2br w:val="nil"/>
                    <w:tr2bl w:val="nil"/>
                  </w:tcBorders>
                  <w:shd w:val="clear" w:color="auto" w:fill="auto"/>
                  <w:noWrap w:val="0"/>
                  <w:vAlign w:val="center"/>
                </w:tcPr>
                <w:p w14:paraId="588B9A46">
                  <w:pPr>
                    <w:bidi w:val="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公司自有（梨树沟矿山）</w:t>
                  </w:r>
                </w:p>
              </w:tc>
            </w:tr>
            <w:tr w14:paraId="6DB3E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67" w:type="pct"/>
                  <w:tcBorders>
                    <w:tl2br w:val="nil"/>
                    <w:tr2bl w:val="nil"/>
                  </w:tcBorders>
                  <w:noWrap w:val="0"/>
                  <w:vAlign w:val="center"/>
                </w:tcPr>
                <w:p w14:paraId="30988756">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644" w:type="pct"/>
                  <w:tcBorders>
                    <w:tl2br w:val="nil"/>
                    <w:tr2bl w:val="nil"/>
                  </w:tcBorders>
                  <w:shd w:val="clear" w:color="auto" w:fill="auto"/>
                  <w:noWrap w:val="0"/>
                  <w:vAlign w:val="center"/>
                </w:tcPr>
                <w:p w14:paraId="0BD1354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润滑油</w:t>
                  </w:r>
                </w:p>
              </w:tc>
              <w:tc>
                <w:tcPr>
                  <w:tcW w:w="654" w:type="pct"/>
                  <w:tcBorders>
                    <w:tl2br w:val="nil"/>
                    <w:tr2bl w:val="nil"/>
                  </w:tcBorders>
                  <w:shd w:val="clear" w:color="auto" w:fill="auto"/>
                  <w:noWrap w:val="0"/>
                  <w:vAlign w:val="center"/>
                </w:tcPr>
                <w:p w14:paraId="17C4A077">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t/a</w:t>
                  </w:r>
                </w:p>
              </w:tc>
              <w:tc>
                <w:tcPr>
                  <w:tcW w:w="693" w:type="pct"/>
                  <w:tcBorders>
                    <w:tl2br w:val="nil"/>
                    <w:tr2bl w:val="nil"/>
                  </w:tcBorders>
                  <w:shd w:val="clear" w:color="auto" w:fill="auto"/>
                  <w:noWrap w:val="0"/>
                  <w:vAlign w:val="center"/>
                </w:tcPr>
                <w:p w14:paraId="2E965FF5">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2t/a</w:t>
                  </w:r>
                </w:p>
              </w:tc>
              <w:tc>
                <w:tcPr>
                  <w:tcW w:w="880" w:type="pct"/>
                  <w:tcBorders>
                    <w:tl2br w:val="nil"/>
                    <w:tr2bl w:val="nil"/>
                  </w:tcBorders>
                  <w:shd w:val="clear" w:color="auto" w:fill="auto"/>
                  <w:noWrap w:val="0"/>
                  <w:vAlign w:val="center"/>
                </w:tcPr>
                <w:p w14:paraId="144F2632">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桶装堆存，存放于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矿物油暂存库</w:t>
                  </w:r>
                </w:p>
              </w:tc>
              <w:tc>
                <w:tcPr>
                  <w:tcW w:w="538" w:type="pct"/>
                  <w:tcBorders>
                    <w:tl2br w:val="nil"/>
                    <w:tr2bl w:val="nil"/>
                  </w:tcBorders>
                  <w:shd w:val="clear" w:color="auto" w:fill="auto"/>
                  <w:noWrap w:val="0"/>
                  <w:vAlign w:val="center"/>
                </w:tcPr>
                <w:p w14:paraId="2E1D0548">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50kg/桶</w:t>
                  </w:r>
                </w:p>
              </w:tc>
              <w:tc>
                <w:tcPr>
                  <w:tcW w:w="427" w:type="pct"/>
                  <w:tcBorders>
                    <w:tl2br w:val="nil"/>
                    <w:tr2bl w:val="nil"/>
                  </w:tcBorders>
                  <w:shd w:val="clear" w:color="auto" w:fill="auto"/>
                  <w:noWrap w:val="0"/>
                  <w:vAlign w:val="center"/>
                </w:tcPr>
                <w:p w14:paraId="4FE5F0E0">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0.25t</w:t>
                  </w:r>
                </w:p>
              </w:tc>
              <w:tc>
                <w:tcPr>
                  <w:tcW w:w="893" w:type="pct"/>
                  <w:tcBorders>
                    <w:tl2br w:val="nil"/>
                    <w:tr2bl w:val="nil"/>
                  </w:tcBorders>
                  <w:shd w:val="clear" w:color="auto" w:fill="auto"/>
                  <w:noWrap w:val="0"/>
                  <w:vAlign w:val="center"/>
                </w:tcPr>
                <w:p w14:paraId="14F4D97A">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外购（设备维护）</w:t>
                  </w:r>
                </w:p>
              </w:tc>
            </w:tr>
            <w:tr w14:paraId="4DDC4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67" w:type="pct"/>
                  <w:tcBorders>
                    <w:tl2br w:val="nil"/>
                    <w:tr2bl w:val="nil"/>
                  </w:tcBorders>
                  <w:noWrap w:val="0"/>
                  <w:vAlign w:val="center"/>
                </w:tcPr>
                <w:p w14:paraId="200DDCE1">
                  <w:pPr>
                    <w:bidi w:val="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644" w:type="pct"/>
                  <w:tcBorders>
                    <w:tl2br w:val="nil"/>
                    <w:tr2bl w:val="nil"/>
                  </w:tcBorders>
                  <w:shd w:val="clear" w:color="auto" w:fill="auto"/>
                  <w:noWrap w:val="0"/>
                  <w:vAlign w:val="center"/>
                </w:tcPr>
                <w:p w14:paraId="423C29F8">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石英石矿</w:t>
                  </w:r>
                </w:p>
              </w:tc>
              <w:tc>
                <w:tcPr>
                  <w:tcW w:w="654" w:type="pct"/>
                  <w:tcBorders>
                    <w:tl2br w:val="nil"/>
                    <w:tr2bl w:val="nil"/>
                  </w:tcBorders>
                  <w:shd w:val="clear" w:color="auto" w:fill="auto"/>
                  <w:noWrap w:val="0"/>
                  <w:vAlign w:val="center"/>
                </w:tcPr>
                <w:p w14:paraId="4C1F750B">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20万吨</w:t>
                  </w:r>
                </w:p>
              </w:tc>
              <w:tc>
                <w:tcPr>
                  <w:tcW w:w="693" w:type="pct"/>
                  <w:tcBorders>
                    <w:tl2br w:val="nil"/>
                    <w:tr2bl w:val="nil"/>
                  </w:tcBorders>
                  <w:shd w:val="clear" w:color="auto" w:fill="auto"/>
                  <w:noWrap w:val="0"/>
                  <w:vAlign w:val="center"/>
                </w:tcPr>
                <w:p w14:paraId="7C5F80C0">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880" w:type="pct"/>
                  <w:tcBorders>
                    <w:tl2br w:val="nil"/>
                    <w:tr2bl w:val="nil"/>
                  </w:tcBorders>
                  <w:shd w:val="clear" w:color="auto" w:fill="auto"/>
                  <w:noWrap w:val="0"/>
                  <w:vAlign w:val="center"/>
                </w:tcPr>
                <w:p w14:paraId="00D272C1">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矿区开采</w:t>
                  </w:r>
                </w:p>
              </w:tc>
              <w:tc>
                <w:tcPr>
                  <w:tcW w:w="538" w:type="pct"/>
                  <w:tcBorders>
                    <w:tl2br w:val="nil"/>
                    <w:tr2bl w:val="nil"/>
                  </w:tcBorders>
                  <w:shd w:val="clear" w:color="auto" w:fill="auto"/>
                  <w:noWrap w:val="0"/>
                  <w:vAlign w:val="center"/>
                </w:tcPr>
                <w:p w14:paraId="4C5A729A">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cm</w:t>
                  </w:r>
                </w:p>
              </w:tc>
              <w:tc>
                <w:tcPr>
                  <w:tcW w:w="427" w:type="pct"/>
                  <w:tcBorders>
                    <w:tl2br w:val="nil"/>
                    <w:tr2bl w:val="nil"/>
                  </w:tcBorders>
                  <w:shd w:val="clear" w:color="auto" w:fill="auto"/>
                  <w:noWrap w:val="0"/>
                  <w:vAlign w:val="center"/>
                </w:tcPr>
                <w:p w14:paraId="18B05BBE">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893" w:type="pct"/>
                  <w:tcBorders>
                    <w:tl2br w:val="nil"/>
                    <w:tr2bl w:val="nil"/>
                  </w:tcBorders>
                  <w:shd w:val="clear" w:color="auto" w:fill="auto"/>
                  <w:noWrap w:val="0"/>
                  <w:vAlign w:val="center"/>
                </w:tcPr>
                <w:p w14:paraId="4102BC4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原有项目矿区开采</w:t>
                  </w:r>
                </w:p>
              </w:tc>
            </w:tr>
          </w:tbl>
          <w:p w14:paraId="444C4280">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改扩建前后</w:t>
            </w:r>
            <w:r>
              <w:rPr>
                <w:rFonts w:hint="default" w:ascii="Times New Roman" w:hAnsi="Times New Roman" w:cs="Times New Roman" w:eastAsiaTheme="minorEastAsia"/>
                <w:color w:val="000000" w:themeColor="text1"/>
                <w:sz w:val="24"/>
                <w:highlight w:val="none"/>
                <w14:textFill>
                  <w14:solidFill>
                    <w14:schemeClr w14:val="tx1"/>
                  </w14:solidFill>
                </w14:textFill>
              </w:rPr>
              <w:t>项目能源消耗情况见下表。</w:t>
            </w:r>
          </w:p>
          <w:p w14:paraId="65A20D23">
            <w:pPr>
              <w:jc w:val="center"/>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4"/>
                <w:highlight w:val="none"/>
                <w14:textFill>
                  <w14:solidFill>
                    <w14:schemeClr w14:val="tx1"/>
                  </w14:solidFill>
                </w14:textFill>
              </w:rPr>
              <w:t xml:space="preserve">  能源消耗一览表</w:t>
            </w:r>
          </w:p>
          <w:tbl>
            <w:tblPr>
              <w:tblStyle w:val="24"/>
              <w:tblW w:w="4991"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63"/>
              <w:gridCol w:w="1271"/>
              <w:gridCol w:w="1251"/>
              <w:gridCol w:w="1251"/>
              <w:gridCol w:w="1900"/>
            </w:tblGrid>
            <w:tr w14:paraId="32BA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trPr>
              <w:tc>
                <w:tcPr>
                  <w:tcW w:w="367" w:type="pct"/>
                  <w:tcBorders>
                    <w:tl2br w:val="nil"/>
                    <w:tr2bl w:val="nil"/>
                  </w:tcBorders>
                  <w:shd w:val="clear" w:color="auto" w:fill="auto"/>
                  <w:noWrap/>
                  <w:vAlign w:val="center"/>
                </w:tcPr>
                <w:p w14:paraId="241EA2BD">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序号</w:t>
                  </w:r>
                </w:p>
              </w:tc>
              <w:tc>
                <w:tcPr>
                  <w:tcW w:w="1049" w:type="pct"/>
                  <w:tcBorders>
                    <w:tl2br w:val="nil"/>
                    <w:tr2bl w:val="nil"/>
                  </w:tcBorders>
                  <w:shd w:val="clear" w:color="auto" w:fill="auto"/>
                  <w:noWrap/>
                  <w:vAlign w:val="center"/>
                </w:tcPr>
                <w:p w14:paraId="004A9B06">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名称</w:t>
                  </w:r>
                </w:p>
              </w:tc>
              <w:tc>
                <w:tcPr>
                  <w:tcW w:w="803" w:type="pct"/>
                  <w:tcBorders>
                    <w:tl2br w:val="nil"/>
                    <w:tr2bl w:val="nil"/>
                  </w:tcBorders>
                  <w:shd w:val="clear" w:color="auto" w:fill="auto"/>
                  <w:noWrap/>
                  <w:vAlign w:val="center"/>
                </w:tcPr>
                <w:p w14:paraId="45DFD470">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单位</w:t>
                  </w:r>
                </w:p>
              </w:tc>
              <w:tc>
                <w:tcPr>
                  <w:tcW w:w="1251" w:type="dxa"/>
                  <w:tcBorders>
                    <w:tl2br w:val="nil"/>
                    <w:tr2bl w:val="nil"/>
                  </w:tcBorders>
                  <w:shd w:val="clear" w:color="auto" w:fill="auto"/>
                  <w:noWrap/>
                  <w:vAlign w:val="center"/>
                </w:tcPr>
                <w:p w14:paraId="7C13CEDA">
                  <w:pPr>
                    <w:numPr>
                      <w:ilvl w:val="0"/>
                      <w:numId w:val="0"/>
                    </w:numPr>
                    <w:spacing w:line="240" w:lineRule="auto"/>
                    <w:ind w:left="0" w:lef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改扩建前消耗</w:t>
                  </w:r>
                  <w:r>
                    <w:rPr>
                      <w:rFonts w:hint="default" w:ascii="Times New Roman" w:hAnsi="Times New Roman" w:cs="Times New Roman" w:eastAsiaTheme="minorEastAsia"/>
                      <w:b/>
                      <w:bCs/>
                      <w:color w:val="000000" w:themeColor="text1"/>
                      <w:sz w:val="21"/>
                      <w:szCs w:val="21"/>
                      <w:highlight w:val="none"/>
                      <w:shd w:val="clear" w:color="auto" w:fill="FFFFFF"/>
                      <w:vertAlign w:val="baseline"/>
                      <w:lang w:eastAsia="zh-CN"/>
                      <w14:textFill>
                        <w14:solidFill>
                          <w14:schemeClr w14:val="tx1"/>
                        </w14:solidFill>
                      </w14:textFill>
                    </w:rPr>
                    <w:t>量</w:t>
                  </w:r>
                </w:p>
              </w:tc>
              <w:tc>
                <w:tcPr>
                  <w:tcW w:w="1251" w:type="dxa"/>
                  <w:tcBorders>
                    <w:tl2br w:val="nil"/>
                    <w:tr2bl w:val="nil"/>
                  </w:tcBorders>
                  <w:shd w:val="clear" w:color="auto" w:fill="auto"/>
                  <w:noWrap/>
                  <w:vAlign w:val="center"/>
                </w:tcPr>
                <w:p w14:paraId="7F7D2881">
                  <w:pPr>
                    <w:numPr>
                      <w:ilvl w:val="0"/>
                      <w:numId w:val="0"/>
                    </w:numPr>
                    <w:spacing w:line="240" w:lineRule="auto"/>
                    <w:ind w:left="0" w:lef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shd w:val="clear" w:color="auto" w:fill="FFFFFF"/>
                      <w:vertAlign w:val="baseline"/>
                      <w:lang w:val="en-US" w:eastAsia="zh-CN"/>
                      <w14:textFill>
                        <w14:solidFill>
                          <w14:schemeClr w14:val="tx1"/>
                        </w14:solidFill>
                      </w14:textFill>
                    </w:rPr>
                    <w:t>改扩建后消耗量</w:t>
                  </w:r>
                </w:p>
              </w:tc>
              <w:tc>
                <w:tcPr>
                  <w:tcW w:w="1197" w:type="pct"/>
                  <w:tcBorders>
                    <w:tl2br w:val="nil"/>
                    <w:tr2bl w:val="nil"/>
                  </w:tcBorders>
                  <w:shd w:val="clear" w:color="auto" w:fill="auto"/>
                  <w:noWrap/>
                  <w:vAlign w:val="center"/>
                </w:tcPr>
                <w:p w14:paraId="1CBAE7B6">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来源</w:t>
                  </w:r>
                </w:p>
              </w:tc>
            </w:tr>
            <w:tr w14:paraId="24F4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67" w:type="pct"/>
                  <w:tcBorders>
                    <w:tl2br w:val="nil"/>
                    <w:tr2bl w:val="nil"/>
                  </w:tcBorders>
                  <w:noWrap/>
                  <w:vAlign w:val="center"/>
                </w:tcPr>
                <w:p w14:paraId="40290E2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p>
              </w:tc>
              <w:tc>
                <w:tcPr>
                  <w:tcW w:w="1049" w:type="pct"/>
                  <w:tcBorders>
                    <w:tl2br w:val="nil"/>
                    <w:tr2bl w:val="nil"/>
                  </w:tcBorders>
                  <w:noWrap/>
                  <w:vAlign w:val="center"/>
                </w:tcPr>
                <w:p w14:paraId="0E212001">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水</w:t>
                  </w:r>
                </w:p>
              </w:tc>
              <w:tc>
                <w:tcPr>
                  <w:tcW w:w="803" w:type="pct"/>
                  <w:tcBorders>
                    <w:tl2br w:val="nil"/>
                    <w:tr2bl w:val="nil"/>
                  </w:tcBorders>
                  <w:noWrap/>
                  <w:vAlign w:val="center"/>
                </w:tcPr>
                <w:p w14:paraId="5D23C566">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m³/a</w:t>
                  </w:r>
                </w:p>
              </w:tc>
              <w:tc>
                <w:tcPr>
                  <w:tcW w:w="790" w:type="pct"/>
                  <w:tcBorders>
                    <w:tl2br w:val="nil"/>
                    <w:tr2bl w:val="nil"/>
                  </w:tcBorders>
                  <w:noWrap/>
                  <w:vAlign w:val="center"/>
                </w:tcPr>
                <w:p w14:paraId="7EEFC9DF">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2070</w:t>
                  </w:r>
                </w:p>
              </w:tc>
              <w:tc>
                <w:tcPr>
                  <w:tcW w:w="790" w:type="pct"/>
                  <w:tcBorders>
                    <w:tl2br w:val="nil"/>
                    <w:tr2bl w:val="nil"/>
                  </w:tcBorders>
                  <w:noWrap/>
                  <w:vAlign w:val="center"/>
                </w:tcPr>
                <w:p w14:paraId="3EA7E01B">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7529.75</w:t>
                  </w:r>
                </w:p>
              </w:tc>
              <w:tc>
                <w:tcPr>
                  <w:tcW w:w="1197" w:type="pct"/>
                  <w:tcBorders>
                    <w:tl2br w:val="nil"/>
                    <w:tr2bl w:val="nil"/>
                  </w:tcBorders>
                  <w:noWrap/>
                  <w:vAlign w:val="center"/>
                </w:tcPr>
                <w:p w14:paraId="79F327FF">
                  <w:pPr>
                    <w:jc w:val="center"/>
                    <w:rPr>
                      <w:rFonts w:hint="default" w:ascii="Times New Roman" w:hAnsi="Times New Roman" w:cs="Times New Roman" w:eastAsiaTheme="minorEastAsia"/>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麻池村拉运</w:t>
                  </w:r>
                </w:p>
              </w:tc>
            </w:tr>
            <w:tr w14:paraId="3A4B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67" w:type="pct"/>
                  <w:tcBorders>
                    <w:tl2br w:val="nil"/>
                    <w:tr2bl w:val="nil"/>
                  </w:tcBorders>
                  <w:noWrap/>
                  <w:vAlign w:val="center"/>
                </w:tcPr>
                <w:p w14:paraId="52F0229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p>
              </w:tc>
              <w:tc>
                <w:tcPr>
                  <w:tcW w:w="1049" w:type="pct"/>
                  <w:tcBorders>
                    <w:tl2br w:val="nil"/>
                    <w:tr2bl w:val="nil"/>
                  </w:tcBorders>
                  <w:noWrap/>
                  <w:vAlign w:val="center"/>
                </w:tcPr>
                <w:p w14:paraId="43C3554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电</w:t>
                  </w:r>
                </w:p>
              </w:tc>
              <w:tc>
                <w:tcPr>
                  <w:tcW w:w="803" w:type="pct"/>
                  <w:tcBorders>
                    <w:tl2br w:val="nil"/>
                    <w:tr2bl w:val="nil"/>
                  </w:tcBorders>
                  <w:noWrap/>
                  <w:vAlign w:val="center"/>
                </w:tcPr>
                <w:p w14:paraId="2F0770E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万kwh/a</w:t>
                  </w:r>
                </w:p>
              </w:tc>
              <w:tc>
                <w:tcPr>
                  <w:tcW w:w="790" w:type="pct"/>
                  <w:tcBorders>
                    <w:tl2br w:val="nil"/>
                    <w:tr2bl w:val="nil"/>
                  </w:tcBorders>
                  <w:noWrap/>
                  <w:vAlign w:val="center"/>
                </w:tcPr>
                <w:p w14:paraId="53F52F01">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30</w:t>
                  </w:r>
                </w:p>
              </w:tc>
              <w:tc>
                <w:tcPr>
                  <w:tcW w:w="790" w:type="pct"/>
                  <w:tcBorders>
                    <w:tl2br w:val="nil"/>
                    <w:tr2bl w:val="nil"/>
                  </w:tcBorders>
                  <w:noWrap/>
                  <w:vAlign w:val="center"/>
                </w:tcPr>
                <w:p w14:paraId="790BDA03">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45</w:t>
                  </w:r>
                </w:p>
              </w:tc>
              <w:tc>
                <w:tcPr>
                  <w:tcW w:w="1197" w:type="pct"/>
                  <w:tcBorders>
                    <w:tl2br w:val="nil"/>
                    <w:tr2bl w:val="nil"/>
                  </w:tcBorders>
                  <w:noWrap/>
                  <w:vAlign w:val="center"/>
                </w:tcPr>
                <w:p w14:paraId="3BE6203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依托市政供电设施</w:t>
                  </w:r>
                </w:p>
              </w:tc>
            </w:tr>
            <w:bookmarkEnd w:id="15"/>
            <w:bookmarkEnd w:id="16"/>
            <w:bookmarkEnd w:id="17"/>
            <w:bookmarkEnd w:id="18"/>
          </w:tbl>
          <w:p w14:paraId="7CC827F8">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给排水</w:t>
            </w:r>
          </w:p>
          <w:p w14:paraId="1A837018">
            <w:pPr>
              <w:spacing w:line="360" w:lineRule="auto"/>
              <w:ind w:firstLine="482" w:firstLineChars="200"/>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供水</w:t>
            </w:r>
          </w:p>
          <w:p w14:paraId="21546BAC">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bCs/>
                <w:color w:val="000000" w:themeColor="text1"/>
                <w:sz w:val="24"/>
                <w:highlight w:val="none"/>
                <w:lang w:val="en-US" w:eastAsia="zh-CN"/>
                <w14:textFill>
                  <w14:solidFill>
                    <w14:schemeClr w14:val="tx1"/>
                  </w14:solidFill>
                </w14:textFill>
              </w:rPr>
              <w:t>由于原有厂内提供食宿，故本项目食宿依托原有项目，厂内人数未增加，故不进行生活污水的核算。</w:t>
            </w:r>
            <w:r>
              <w:rPr>
                <w:rFonts w:hint="default" w:ascii="Times New Roman" w:hAnsi="Times New Roman" w:cs="Times New Roman" w:eastAsiaTheme="minorEastAsia"/>
                <w:bCs/>
                <w:color w:val="000000" w:themeColor="text1"/>
                <w:sz w:val="24"/>
                <w:highlight w:val="none"/>
                <w14:textFill>
                  <w14:solidFill>
                    <w14:schemeClr w14:val="tx1"/>
                  </w14:solidFill>
                </w14:textFill>
              </w:rPr>
              <w:t>本项目水源</w:t>
            </w:r>
            <w:r>
              <w:rPr>
                <w:rFonts w:hint="default" w:ascii="Times New Roman" w:hAnsi="Times New Roman" w:cs="Times New Roman" w:eastAsiaTheme="minorEastAsia"/>
                <w:color w:val="000000" w:themeColor="text1"/>
                <w:sz w:val="24"/>
                <w:highlight w:val="none"/>
                <w14:textFill>
                  <w14:solidFill>
                    <w14:schemeClr w14:val="tx1"/>
                  </w14:solidFill>
                </w14:textFill>
              </w:rPr>
              <w:t>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自麻池村自来水管网</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采用罐车拉运，</w:t>
            </w:r>
            <w:r>
              <w:rPr>
                <w:rFonts w:hint="default" w:ascii="Times New Roman" w:hAnsi="Times New Roman" w:cs="Times New Roman" w:eastAsiaTheme="minorEastAsia"/>
                <w:color w:val="000000" w:themeColor="text1"/>
                <w:sz w:val="24"/>
                <w:highlight w:val="none"/>
                <w14:textFill>
                  <w14:solidFill>
                    <w14:schemeClr w14:val="tx1"/>
                  </w14:solidFill>
                </w14:textFill>
              </w:rPr>
              <w:t>运营期用水主要为生产用水</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洗砂用水、</w:t>
            </w:r>
            <w:r>
              <w:rPr>
                <w:rFonts w:hint="default" w:ascii="Times New Roman" w:hAnsi="Times New Roman" w:eastAsia="宋体" w:cs="Times New Roman"/>
                <w:i w:val="0"/>
                <w:iCs w:val="0"/>
                <w:caps w:val="0"/>
                <w:color w:val="000000" w:themeColor="text1"/>
                <w:spacing w:val="0"/>
                <w:sz w:val="24"/>
                <w:szCs w:val="24"/>
                <w:highlight w:val="none"/>
                <w14:textFill>
                  <w14:solidFill>
                    <w14:schemeClr w14:val="tx1"/>
                  </w14:solidFill>
                </w14:textFill>
              </w:rPr>
              <w:t>车辆清洗</w:t>
            </w:r>
            <w:r>
              <w:rPr>
                <w:rFonts w:hint="default" w:ascii="Times New Roman" w:hAnsi="Times New Roman" w:eastAsia="宋体" w:cs="Times New Roman"/>
                <w:i w:val="0"/>
                <w:iCs w:val="0"/>
                <w:caps w:val="0"/>
                <w:color w:val="000000" w:themeColor="text1"/>
                <w:spacing w:val="0"/>
                <w:sz w:val="24"/>
                <w:szCs w:val="24"/>
                <w:highlight w:val="none"/>
                <w:lang w:val="en-US" w:eastAsia="zh-CN"/>
                <w14:textFill>
                  <w14:solidFill>
                    <w14:schemeClr w14:val="tx1"/>
                  </w14:solidFill>
                </w14:textFill>
              </w:rPr>
              <w:t>用</w:t>
            </w:r>
            <w:r>
              <w:rPr>
                <w:rFonts w:hint="default" w:ascii="Times New Roman" w:hAnsi="Times New Roman" w:eastAsia="宋体" w:cs="Times New Roman"/>
                <w:i w:val="0"/>
                <w:iCs w:val="0"/>
                <w:caps w:val="0"/>
                <w:color w:val="000000" w:themeColor="text1"/>
                <w:spacing w:val="0"/>
                <w:sz w:val="24"/>
                <w:szCs w:val="24"/>
                <w:highlight w:val="none"/>
                <w14:textFill>
                  <w14:solidFill>
                    <w14:schemeClr w14:val="tx1"/>
                  </w14:solidFill>
                </w14:textFill>
              </w:rPr>
              <w:t>水</w:t>
            </w:r>
            <w:r>
              <w:rPr>
                <w:rFonts w:hint="default" w:ascii="Times New Roman" w:hAnsi="Times New Roman" w:eastAsia="宋体" w:cs="Times New Roman"/>
                <w:i w:val="0"/>
                <w:iCs w:val="0"/>
                <w:caps w:val="0"/>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4"/>
                <w:szCs w:val="24"/>
                <w:highlight w:val="none"/>
                <w:lang w:val="en-US" w:eastAsia="zh-CN"/>
                <w14:textFill>
                  <w14:solidFill>
                    <w14:schemeClr w14:val="tx1"/>
                  </w14:solidFill>
                </w14:textFill>
              </w:rPr>
              <w:t>喷雾</w:t>
            </w:r>
            <w:r>
              <w:rPr>
                <w:rFonts w:hint="default" w:ascii="Times New Roman" w:hAnsi="Times New Roman" w:eastAsia="宋体" w:cs="Times New Roman"/>
                <w:i w:val="0"/>
                <w:iCs w:val="0"/>
                <w:caps w:val="0"/>
                <w:color w:val="000000" w:themeColor="text1"/>
                <w:spacing w:val="0"/>
                <w:sz w:val="24"/>
                <w:szCs w:val="24"/>
                <w:highlight w:val="none"/>
                <w:lang w:val="en-US" w:eastAsia="zh-CN"/>
                <w14:textFill>
                  <w14:solidFill>
                    <w14:schemeClr w14:val="tx1"/>
                  </w14:solidFill>
                </w14:textFill>
              </w:rPr>
              <w:t>用</w:t>
            </w:r>
            <w:r>
              <w:rPr>
                <w:rFonts w:hint="default" w:ascii="Times New Roman" w:hAnsi="Times New Roman" w:eastAsia="宋体" w:cs="Times New Roman"/>
                <w:b w:val="0"/>
                <w:bCs w:val="0"/>
                <w:i w:val="0"/>
                <w:iCs w:val="0"/>
                <w:caps w:val="0"/>
                <w:color w:val="000000" w:themeColor="text1"/>
                <w:spacing w:val="0"/>
                <w:sz w:val="24"/>
                <w:szCs w:val="24"/>
                <w:highlight w:val="none"/>
                <w:lang w:val="en-US" w:eastAsia="zh-CN"/>
                <w14:textFill>
                  <w14:solidFill>
                    <w14:schemeClr w14:val="tx1"/>
                  </w14:solidFill>
                </w14:textFill>
              </w:rPr>
              <w:t>水</w:t>
            </w:r>
            <w:r>
              <w:rPr>
                <w:rFonts w:hint="eastAsia" w:ascii="Times New Roman" w:hAnsi="Times New Roman" w:eastAsia="宋体" w:cs="Times New Roman"/>
                <w:b w:val="0"/>
                <w:bCs w:val="0"/>
                <w:i w:val="0"/>
                <w:iCs w:val="0"/>
                <w:caps w:val="0"/>
                <w:color w:val="000000" w:themeColor="text1"/>
                <w:spacing w:val="0"/>
                <w:sz w:val="24"/>
                <w:szCs w:val="24"/>
                <w:highlight w:val="none"/>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物料堆场、道路地面降尘用水</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7DE6FE3F">
            <w:pPr>
              <w:spacing w:line="360" w:lineRule="auto"/>
              <w:ind w:firstLine="480" w:firstLineChars="200"/>
              <w:rPr>
                <w:rFonts w:hint="default" w:ascii="Times New Roman" w:hAnsi="Times New Roman" w:cs="Times New Roman" w:eastAsiaTheme="minorEastAsia"/>
                <w:bCs/>
                <w:color w:val="000000" w:themeColor="text1"/>
                <w:sz w:val="24"/>
                <w:highlight w:val="none"/>
                <w14:textFill>
                  <w14:solidFill>
                    <w14:schemeClr w14:val="tx1"/>
                  </w14:solidFill>
                </w14:textFill>
              </w:rPr>
            </w:pPr>
            <w:r>
              <w:rPr>
                <w:rFonts w:hint="default" w:ascii="Times New Roman" w:hAnsi="Times New Roman" w:cs="Times New Roman" w:eastAsiaTheme="minorEastAsia"/>
                <w:bCs/>
                <w:color w:val="000000" w:themeColor="text1"/>
                <w:sz w:val="24"/>
                <w:highlight w:val="none"/>
                <w14:textFill>
                  <w14:solidFill>
                    <w14:schemeClr w14:val="tx1"/>
                  </w14:solidFill>
                </w14:textFill>
              </w:rPr>
              <w:t>①生产用水</w:t>
            </w:r>
          </w:p>
          <w:p w14:paraId="1BF23B81">
            <w:pPr>
              <w:spacing w:line="360" w:lineRule="auto"/>
              <w:ind w:firstLine="482" w:firstLineChars="200"/>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洗砂用水：</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本项目年产水洗砂约27.4万t/a，参照《排放源统计调查产排污核算方法和系数手册》中“303砖瓦、石材等建筑材料制造行业”的“3039其他建筑材料制造行业”水洗工艺：废水产污系数为0.14t/t-产品，则本项目洗砂废水产生量约为38360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/a(127.87m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/d)。洗砂用水损耗量按10%计</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（包含蒸发损耗、石料带走损耗及污泥含水损耗）</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，则洗砂用水量为42622m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/a(142.07m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/d)。洗砂废水经三级沉淀处理后回用于生产，不外排，则补充水量为4262m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/a(14.21m</w:t>
            </w:r>
            <w:r>
              <w:rPr>
                <w:rFonts w:hint="default" w:ascii="Times New Roman" w:hAnsi="Times New Roman" w:cs="Times New Roman" w:eastAsiaTheme="minorEastAsia"/>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/d)。</w:t>
            </w:r>
          </w:p>
          <w:p w14:paraId="40C453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用水：</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本</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项目在破碎、筛分、皮带输送及物料装卸采用</w:t>
            </w:r>
            <w:r>
              <w:rPr>
                <w:rFonts w:hint="eastAsia" w:ascii="Times New Roman" w:hAnsi="Times New Roman" w:cs="Times New Roman" w:eastAsiaTheme="minorEastAsia"/>
                <w:bCs/>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抑尘，根</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据原有项目的实际生产情况，其用水量约为5m</w:t>
            </w:r>
            <w:r>
              <w:rPr>
                <w:rFonts w:hint="default" w:ascii="Times New Roman" w:hAnsi="Times New Roman" w:cs="Times New Roman" w:eastAsiaTheme="minorEastAsia"/>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/d（1500m</w:t>
            </w:r>
            <w:r>
              <w:rPr>
                <w:rFonts w:hint="default" w:ascii="Times New Roman" w:hAnsi="Times New Roman" w:cs="Times New Roman" w:eastAsiaTheme="minorEastAsia"/>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/a）。</w:t>
            </w:r>
          </w:p>
          <w:p w14:paraId="02A8E0D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车辆冲洗用水：</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为了减少运输过程中产生的扬尘，项目设置1台冲洗台对车辆进行冲洗。</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本项目原料都本项目厂区相距约2.8km，且两个厂区的道路为矿区自建的运输道路，不经过公共道路，故原料在进出场时可不进行冲洗，故车辆冲洗仅针对产品运输车辆进行冲洗，</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根据建设单位提供资料，</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本项目需运输产品约39.4万吨，成品运输车每辆载重15-30吨，故本项目每天需运输车辆约53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车次，车辆冲洗用水量100L/车次，则车辆冲洗用水量约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/d（</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1590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/a），冲洗水在冲洗过程中一部分损耗（包含蒸发损耗、车辆带走损耗及污泥含水损耗），其余经沉淀池沉淀后可回用于车辆冲洗。损耗量约占总用水量的10%，损耗水及时补充，则补充新鲜水量约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0.53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/d（</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159</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/a）。</w:t>
            </w:r>
          </w:p>
          <w:p w14:paraId="763C569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物料堆场、道路地面降尘用水</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项目厂</w:t>
            </w:r>
            <w:r>
              <w:rPr>
                <w:rFonts w:hint="default" w:ascii="Times New Roman" w:hAnsi="Times New Roman" w:cs="Times New Roman"/>
                <w:b w:val="0"/>
                <w:bCs w:val="0"/>
                <w:color w:val="000000" w:themeColor="text1"/>
                <w:sz w:val="24"/>
                <w:szCs w:val="24"/>
                <w:highlight w:val="none"/>
                <w14:textFill>
                  <w14:solidFill>
                    <w14:schemeClr w14:val="tx1"/>
                  </w14:solidFill>
                </w14:textFill>
              </w:rPr>
              <w:t>内道路及</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物料堆场</w:t>
            </w:r>
            <w:r>
              <w:rPr>
                <w:rFonts w:hint="default" w:ascii="Times New Roman" w:hAnsi="Times New Roman" w:cs="Times New Roman"/>
                <w:b w:val="0"/>
                <w:bCs w:val="0"/>
                <w:color w:val="000000" w:themeColor="text1"/>
                <w:sz w:val="24"/>
                <w:szCs w:val="24"/>
                <w:highlight w:val="none"/>
                <w14:textFill>
                  <w14:solidFill>
                    <w14:schemeClr w14:val="tx1"/>
                  </w14:solidFill>
                </w14:textFill>
              </w:rPr>
              <w:t>面</w:t>
            </w:r>
            <w:r>
              <w:rPr>
                <w:rFonts w:hint="default" w:ascii="Times New Roman" w:hAnsi="Times New Roman" w:cs="Times New Roman"/>
                <w:color w:val="000000" w:themeColor="text1"/>
                <w:sz w:val="24"/>
                <w:szCs w:val="24"/>
                <w:highlight w:val="none"/>
                <w14:textFill>
                  <w14:solidFill>
                    <w14:schemeClr w14:val="tx1"/>
                  </w14:solidFill>
                </w14:textFill>
              </w:rPr>
              <w:t>积约为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5200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，每天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定时</w:t>
            </w:r>
            <w:r>
              <w:rPr>
                <w:rFonts w:hint="default" w:ascii="Times New Roman" w:hAnsi="Times New Roman" w:cs="Times New Roman"/>
                <w:color w:val="000000" w:themeColor="text1"/>
                <w:sz w:val="24"/>
                <w:szCs w:val="24"/>
                <w:highlight w:val="none"/>
                <w14:textFill>
                  <w14:solidFill>
                    <w14:schemeClr w14:val="tx1"/>
                  </w14:solidFill>
                </w14:textFill>
              </w:rPr>
              <w:t>洒水（雨天不用），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根据原有项目的实际情况，</w:t>
            </w:r>
            <w:r>
              <w:rPr>
                <w:rFonts w:hint="default" w:ascii="Times New Roman" w:hAnsi="Times New Roman" w:cs="Times New Roman"/>
                <w:color w:val="000000" w:themeColor="text1"/>
                <w:sz w:val="24"/>
                <w:szCs w:val="24"/>
                <w:highlight w:val="none"/>
                <w14:textFill>
                  <w14:solidFill>
                    <w14:schemeClr w14:val="tx1"/>
                  </w14:solidFill>
                </w14:textFill>
              </w:rPr>
              <w:t>按平均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L/</w:t>
            </w:r>
            <w:r>
              <w:rPr>
                <w:rFonts w:hint="default" w:ascii="Times New Roman" w:hAnsi="Times New Roman" w:cs="Times New Roman"/>
                <w:color w:val="000000" w:themeColor="text1"/>
                <w:spacing w:val="-6"/>
                <w:sz w:val="24"/>
                <w:szCs w:val="24"/>
                <w:highlight w:val="none"/>
                <w14:textFill>
                  <w14:solidFill>
                    <w14:schemeClr w14:val="tx1"/>
                  </w14:solidFill>
                </w14:textFill>
              </w:rPr>
              <w:t>（m</w:t>
            </w:r>
            <w:r>
              <w:rPr>
                <w:rFonts w:hint="default" w:ascii="Times New Roman" w:hAnsi="Times New Roman" w:cs="Times New Roman"/>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highlight w:val="none"/>
                <w14:textFill>
                  <w14:solidFill>
                    <w14:schemeClr w14:val="tx1"/>
                  </w14:solidFill>
                </w14:textFill>
              </w:rPr>
              <w:t>·d）</w:t>
            </w:r>
            <w:r>
              <w:rPr>
                <w:rFonts w:hint="default" w:ascii="Times New Roman" w:hAnsi="Times New Roman" w:cs="Times New Roman"/>
                <w:color w:val="000000" w:themeColor="text1"/>
                <w:sz w:val="24"/>
                <w:szCs w:val="24"/>
                <w:highlight w:val="none"/>
                <w14:textFill>
                  <w14:solidFill>
                    <w14:schemeClr w14:val="tx1"/>
                  </w14:solidFill>
                </w14:textFill>
              </w:rPr>
              <w:t>计，本项目年工作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color w:val="000000" w:themeColor="text1"/>
                <w:sz w:val="24"/>
                <w:szCs w:val="24"/>
                <w:highlight w:val="none"/>
                <w14:textFill>
                  <w14:solidFill>
                    <w14:schemeClr w14:val="tx1"/>
                  </w14:solidFill>
                </w14:textFill>
              </w:rPr>
              <w:t>d，非雨天按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150</w:t>
            </w:r>
            <w:r>
              <w:rPr>
                <w:rFonts w:hint="default" w:ascii="Times New Roman" w:hAnsi="Times New Roman" w:cs="Times New Roman"/>
                <w:color w:val="000000" w:themeColor="text1"/>
                <w:sz w:val="24"/>
                <w:szCs w:val="24"/>
                <w:highlight w:val="none"/>
                <w14:textFill>
                  <w14:solidFill>
                    <w14:schemeClr w14:val="tx1"/>
                  </w14:solidFill>
                </w14:textFill>
              </w:rPr>
              <w:t>d计，则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洒水量为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10.4</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bidi="ar"/>
                <w14:textFill>
                  <w14:solidFill>
                    <w14:schemeClr w14:val="tx1"/>
                  </w14:solidFill>
                </w14:textFill>
              </w:rPr>
              <w:t>3</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1560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/a。</w:t>
            </w:r>
          </w:p>
          <w:p w14:paraId="07B85FDC">
            <w:pPr>
              <w:pStyle w:val="4"/>
              <w:ind w:firstLine="482" w:firstLineChars="200"/>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（2）排水</w:t>
            </w:r>
          </w:p>
          <w:p w14:paraId="239D4150">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本项目物料堆场、道路地面降尘</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喷雾</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用水</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全部蒸发损耗；洗砂用水循环使用，不外排；车辆冲洗废水经沉淀池沉淀后回用，不外排。</w:t>
            </w:r>
            <w:r>
              <w:rPr>
                <w:rFonts w:hint="default" w:ascii="Times New Roman" w:hAnsi="Times New Roman" w:cs="Times New Roman" w:eastAsiaTheme="minorEastAsia"/>
                <w:color w:val="000000" w:themeColor="text1"/>
                <w:sz w:val="24"/>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水平衡表</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见</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下表，</w:t>
            </w:r>
            <w:r>
              <w:rPr>
                <w:rFonts w:hint="default" w:ascii="Times New Roman" w:hAnsi="Times New Roman" w:cs="Times New Roman" w:eastAsiaTheme="minorEastAsia"/>
                <w:color w:val="000000" w:themeColor="text1"/>
                <w:sz w:val="24"/>
                <w:highlight w:val="none"/>
                <w14:textFill>
                  <w14:solidFill>
                    <w14:schemeClr w14:val="tx1"/>
                  </w14:solidFill>
                </w14:textFill>
              </w:rPr>
              <w:t>水平衡图见下图。</w:t>
            </w:r>
          </w:p>
          <w:p w14:paraId="12448819">
            <w:pPr>
              <w:spacing w:line="440" w:lineRule="exact"/>
              <w:ind w:firstLine="482" w:firstLineChars="20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表2-6  本</w:t>
            </w:r>
            <w:r>
              <w:rPr>
                <w:rFonts w:hint="default" w:ascii="Times New Roman" w:hAnsi="Times New Roman" w:cs="Times New Roman"/>
                <w:b/>
                <w:color w:val="000000" w:themeColor="text1"/>
                <w:sz w:val="24"/>
                <w14:textFill>
                  <w14:solidFill>
                    <w14:schemeClr w14:val="tx1"/>
                  </w14:solidFill>
                </w14:textFill>
              </w:rPr>
              <w:t>项目</w:t>
            </w:r>
            <w:r>
              <w:rPr>
                <w:rFonts w:hint="eastAsia" w:ascii="Times New Roman" w:hAnsi="Times New Roman" w:eastAsia="宋体" w:cs="Times New Roman"/>
                <w:b/>
                <w:color w:val="000000" w:themeColor="text1"/>
                <w:sz w:val="24"/>
                <w:lang w:val="en-US" w:eastAsia="zh-CN"/>
                <w14:textFill>
                  <w14:solidFill>
                    <w14:schemeClr w14:val="tx1"/>
                  </w14:solidFill>
                </w14:textFill>
              </w:rPr>
              <w:t>新增</w:t>
            </w:r>
            <w:r>
              <w:rPr>
                <w:rFonts w:hint="default" w:ascii="Times New Roman" w:hAnsi="Times New Roman" w:cs="Times New Roman"/>
                <w:b/>
                <w:color w:val="000000" w:themeColor="text1"/>
                <w:sz w:val="24"/>
                <w14:textFill>
                  <w14:solidFill>
                    <w14:schemeClr w14:val="tx1"/>
                  </w14:solidFill>
                </w14:textFill>
              </w:rPr>
              <w:t>用水及污水排放情况一览表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933"/>
              <w:gridCol w:w="1221"/>
              <w:gridCol w:w="1455"/>
              <w:gridCol w:w="604"/>
              <w:gridCol w:w="738"/>
              <w:gridCol w:w="631"/>
              <w:gridCol w:w="690"/>
              <w:gridCol w:w="693"/>
            </w:tblGrid>
            <w:tr w14:paraId="52192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vMerge w:val="restart"/>
                  <w:noWrap w:val="0"/>
                  <w:vAlign w:val="center"/>
                </w:tcPr>
                <w:p w14:paraId="62390D31">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用水单元</w:t>
                  </w:r>
                </w:p>
              </w:tc>
              <w:tc>
                <w:tcPr>
                  <w:tcW w:w="766" w:type="pct"/>
                  <w:vMerge w:val="restart"/>
                  <w:noWrap w:val="0"/>
                  <w:vAlign w:val="center"/>
                </w:tcPr>
                <w:p w14:paraId="3A018E85">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使用人数</w:t>
                  </w:r>
                </w:p>
                <w:p w14:paraId="3DC0C0D1">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或单位数</w:t>
                  </w:r>
                </w:p>
              </w:tc>
              <w:tc>
                <w:tcPr>
                  <w:tcW w:w="913" w:type="pct"/>
                  <w:vMerge w:val="restart"/>
                  <w:noWrap w:val="0"/>
                  <w:vAlign w:val="center"/>
                </w:tcPr>
                <w:p w14:paraId="4315300B">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w:t>
                  </w:r>
                </w:p>
                <w:p w14:paraId="1F9F0BD9">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w:t>
                  </w:r>
                </w:p>
              </w:tc>
              <w:tc>
                <w:tcPr>
                  <w:tcW w:w="377" w:type="pct"/>
                  <w:vMerge w:val="restart"/>
                  <w:noWrap w:val="0"/>
                  <w:vAlign w:val="center"/>
                </w:tcPr>
                <w:p w14:paraId="217B27FD">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年用水</w:t>
                  </w:r>
                </w:p>
                <w:p w14:paraId="2A394FC9">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天数</w:t>
                  </w:r>
                </w:p>
              </w:tc>
              <w:tc>
                <w:tcPr>
                  <w:tcW w:w="859" w:type="pct"/>
                  <w:gridSpan w:val="2"/>
                  <w:noWrap w:val="0"/>
                  <w:vAlign w:val="center"/>
                </w:tcPr>
                <w:p w14:paraId="24CE6EE3">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用水量</w:t>
                  </w:r>
                </w:p>
              </w:tc>
              <w:tc>
                <w:tcPr>
                  <w:tcW w:w="868" w:type="pct"/>
                  <w:gridSpan w:val="2"/>
                  <w:noWrap w:val="0"/>
                  <w:vAlign w:val="center"/>
                </w:tcPr>
                <w:p w14:paraId="73545718">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产生污水量</w:t>
                  </w:r>
                </w:p>
              </w:tc>
            </w:tr>
            <w:tr w14:paraId="21AB7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vMerge w:val="continue"/>
                  <w:noWrap w:val="0"/>
                  <w:vAlign w:val="center"/>
                </w:tcPr>
                <w:p w14:paraId="7690390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66" w:type="pct"/>
                  <w:vMerge w:val="continue"/>
                  <w:noWrap w:val="0"/>
                  <w:vAlign w:val="center"/>
                </w:tcPr>
                <w:p w14:paraId="44B7D32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913" w:type="pct"/>
                  <w:vMerge w:val="continue"/>
                  <w:noWrap w:val="0"/>
                  <w:vAlign w:val="center"/>
                </w:tcPr>
                <w:p w14:paraId="3EA65A0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7" w:type="pct"/>
                  <w:vMerge w:val="continue"/>
                  <w:noWrap w:val="0"/>
                  <w:vAlign w:val="center"/>
                </w:tcPr>
                <w:p w14:paraId="742D9C9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463" w:type="pct"/>
                  <w:noWrap w:val="0"/>
                  <w:vAlign w:val="center"/>
                </w:tcPr>
                <w:p w14:paraId="613745B5">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d</w:t>
                  </w:r>
                </w:p>
              </w:tc>
              <w:tc>
                <w:tcPr>
                  <w:tcW w:w="395" w:type="pct"/>
                  <w:noWrap w:val="0"/>
                  <w:vAlign w:val="center"/>
                </w:tcPr>
                <w:p w14:paraId="099BF898">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/a</w:t>
                  </w:r>
                </w:p>
              </w:tc>
              <w:tc>
                <w:tcPr>
                  <w:tcW w:w="433" w:type="pct"/>
                  <w:noWrap w:val="0"/>
                  <w:vAlign w:val="center"/>
                </w:tcPr>
                <w:p w14:paraId="49FC484E">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/d</w:t>
                  </w:r>
                </w:p>
              </w:tc>
              <w:tc>
                <w:tcPr>
                  <w:tcW w:w="434" w:type="pct"/>
                  <w:noWrap w:val="0"/>
                  <w:vAlign w:val="center"/>
                </w:tcPr>
                <w:p w14:paraId="1AF3BEC3">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/a</w:t>
                  </w:r>
                </w:p>
              </w:tc>
            </w:tr>
            <w:tr w14:paraId="7987C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noWrap w:val="0"/>
                  <w:vAlign w:val="center"/>
                </w:tcPr>
                <w:p w14:paraId="07DD497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洗砂水</w:t>
                  </w:r>
                </w:p>
              </w:tc>
              <w:tc>
                <w:tcPr>
                  <w:tcW w:w="766" w:type="pct"/>
                  <w:noWrap w:val="0"/>
                  <w:vAlign w:val="center"/>
                </w:tcPr>
                <w:p w14:paraId="56E1AD66">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27.4万吨</w:t>
                  </w:r>
                </w:p>
              </w:tc>
              <w:tc>
                <w:tcPr>
                  <w:tcW w:w="913" w:type="pct"/>
                  <w:noWrap w:val="0"/>
                  <w:vAlign w:val="center"/>
                </w:tcPr>
                <w:p w14:paraId="13AD4B74">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0.14t/t-产品</w:t>
                  </w:r>
                </w:p>
              </w:tc>
              <w:tc>
                <w:tcPr>
                  <w:tcW w:w="377" w:type="pct"/>
                  <w:noWrap w:val="0"/>
                  <w:vAlign w:val="center"/>
                </w:tcPr>
                <w:p w14:paraId="3926501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63" w:type="pct"/>
                  <w:noWrap w:val="0"/>
                  <w:vAlign w:val="center"/>
                </w:tcPr>
                <w:p w14:paraId="0A27FBD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14.21</w:t>
                  </w:r>
                </w:p>
              </w:tc>
              <w:tc>
                <w:tcPr>
                  <w:tcW w:w="395" w:type="pct"/>
                  <w:noWrap w:val="0"/>
                  <w:vAlign w:val="center"/>
                </w:tcPr>
                <w:p w14:paraId="5221C2A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4262</w:t>
                  </w:r>
                </w:p>
              </w:tc>
              <w:tc>
                <w:tcPr>
                  <w:tcW w:w="433" w:type="pct"/>
                  <w:shd w:val="clear" w:color="auto" w:fill="auto"/>
                  <w:noWrap w:val="0"/>
                  <w:vAlign w:val="center"/>
                </w:tcPr>
                <w:p w14:paraId="117BF06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34" w:type="pct"/>
                  <w:shd w:val="clear" w:color="auto" w:fill="auto"/>
                  <w:noWrap w:val="0"/>
                  <w:vAlign w:val="center"/>
                </w:tcPr>
                <w:p w14:paraId="43EA6A5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14:paraId="12276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noWrap w:val="0"/>
                  <w:vAlign w:val="center"/>
                </w:tcPr>
                <w:p w14:paraId="400ACFB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喷雾</w:t>
                  </w:r>
                  <w:r>
                    <w:rPr>
                      <w:rFonts w:hint="default" w:ascii="Times New Roman" w:hAnsi="Times New Roman" w:cs="Times New Roman"/>
                      <w:color w:val="000000" w:themeColor="text1"/>
                      <w:sz w:val="21"/>
                      <w:szCs w:val="21"/>
                      <w:lang w:val="en-US" w:eastAsia="zh-CN"/>
                      <w14:textFill>
                        <w14:solidFill>
                          <w14:schemeClr w14:val="tx1"/>
                        </w14:solidFill>
                      </w14:textFill>
                    </w:rPr>
                    <w:t>水</w:t>
                  </w:r>
                </w:p>
              </w:tc>
              <w:tc>
                <w:tcPr>
                  <w:tcW w:w="766" w:type="pct"/>
                  <w:noWrap w:val="0"/>
                  <w:vAlign w:val="center"/>
                </w:tcPr>
                <w:p w14:paraId="3FE23063">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913" w:type="pct"/>
                  <w:noWrap w:val="0"/>
                  <w:vAlign w:val="center"/>
                </w:tcPr>
                <w:p w14:paraId="3F9FBD26">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377" w:type="pct"/>
                  <w:noWrap w:val="0"/>
                  <w:vAlign w:val="center"/>
                </w:tcPr>
                <w:p w14:paraId="4A7B84E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63" w:type="pct"/>
                  <w:noWrap w:val="0"/>
                  <w:vAlign w:val="center"/>
                </w:tcPr>
                <w:p w14:paraId="0DF6983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95" w:type="pct"/>
                  <w:noWrap w:val="0"/>
                  <w:vAlign w:val="center"/>
                </w:tcPr>
                <w:p w14:paraId="78B5DC0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w:t>
                  </w:r>
                </w:p>
              </w:tc>
              <w:tc>
                <w:tcPr>
                  <w:tcW w:w="433" w:type="pct"/>
                  <w:noWrap w:val="0"/>
                  <w:vAlign w:val="center"/>
                </w:tcPr>
                <w:p w14:paraId="56020CF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4" w:type="pct"/>
                  <w:noWrap w:val="0"/>
                  <w:vAlign w:val="center"/>
                </w:tcPr>
                <w:p w14:paraId="17F20D91">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E294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noWrap w:val="0"/>
                  <w:vAlign w:val="center"/>
                </w:tcPr>
                <w:p w14:paraId="69C7B94C">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车辆冲洗水</w:t>
                  </w:r>
                </w:p>
              </w:tc>
              <w:tc>
                <w:tcPr>
                  <w:tcW w:w="766" w:type="pct"/>
                  <w:noWrap w:val="0"/>
                  <w:vAlign w:val="center"/>
                </w:tcPr>
                <w:p w14:paraId="331FA642">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22车次</w:t>
                  </w:r>
                </w:p>
              </w:tc>
              <w:tc>
                <w:tcPr>
                  <w:tcW w:w="913" w:type="pct"/>
                  <w:noWrap w:val="0"/>
                  <w:vAlign w:val="center"/>
                </w:tcPr>
                <w:p w14:paraId="6FAC14E4">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100L/车次</w:t>
                  </w:r>
                </w:p>
              </w:tc>
              <w:tc>
                <w:tcPr>
                  <w:tcW w:w="377" w:type="pct"/>
                  <w:noWrap w:val="0"/>
                  <w:vAlign w:val="center"/>
                </w:tcPr>
                <w:p w14:paraId="48A3A34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63" w:type="pct"/>
                  <w:noWrap w:val="0"/>
                  <w:vAlign w:val="center"/>
                </w:tcPr>
                <w:p w14:paraId="6C0656F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0.53</w:t>
                  </w:r>
                </w:p>
              </w:tc>
              <w:tc>
                <w:tcPr>
                  <w:tcW w:w="395" w:type="pct"/>
                  <w:noWrap w:val="0"/>
                  <w:vAlign w:val="center"/>
                </w:tcPr>
                <w:p w14:paraId="68C2A81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159</w:t>
                  </w:r>
                </w:p>
              </w:tc>
              <w:tc>
                <w:tcPr>
                  <w:tcW w:w="433" w:type="pct"/>
                  <w:noWrap w:val="0"/>
                  <w:vAlign w:val="center"/>
                </w:tcPr>
                <w:p w14:paraId="0737D5C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4" w:type="pct"/>
                  <w:noWrap w:val="0"/>
                  <w:vAlign w:val="center"/>
                </w:tcPr>
                <w:p w14:paraId="62D0C382">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9AC6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14" w:type="pct"/>
                  <w:noWrap w:val="0"/>
                  <w:vAlign w:val="center"/>
                </w:tcPr>
                <w:p w14:paraId="3550792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物料堆场、道路地面降尘水</w:t>
                  </w:r>
                </w:p>
              </w:tc>
              <w:tc>
                <w:tcPr>
                  <w:tcW w:w="766" w:type="pct"/>
                  <w:noWrap w:val="0"/>
                  <w:vAlign w:val="center"/>
                </w:tcPr>
                <w:p w14:paraId="1350E154">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5200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913" w:type="pct"/>
                  <w:noWrap w:val="0"/>
                  <w:vAlign w:val="center"/>
                </w:tcPr>
                <w:p w14:paraId="34E499F1">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L/</w:t>
                  </w:r>
                  <w:r>
                    <w:rPr>
                      <w:rFonts w:hint="default" w:ascii="Times New Roman" w:hAnsi="Times New Roman" w:eastAsia="宋体" w:cs="Times New Roman"/>
                      <w:b w:val="0"/>
                      <w:bCs/>
                      <w:color w:val="000000" w:themeColor="text1"/>
                      <w:spacing w:val="-6"/>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pacing w:val="-6"/>
                      <w:sz w:val="21"/>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pacing w:val="-6"/>
                      <w:sz w:val="21"/>
                      <w:szCs w:val="21"/>
                      <w:highlight w:val="none"/>
                      <w14:textFill>
                        <w14:solidFill>
                          <w14:schemeClr w14:val="tx1"/>
                        </w14:solidFill>
                      </w14:textFill>
                    </w:rPr>
                    <w:t>·d）</w:t>
                  </w:r>
                </w:p>
              </w:tc>
              <w:tc>
                <w:tcPr>
                  <w:tcW w:w="377" w:type="pct"/>
                  <w:noWrap w:val="0"/>
                  <w:vAlign w:val="center"/>
                </w:tcPr>
                <w:p w14:paraId="0C5DF3E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63" w:type="pct"/>
                  <w:noWrap w:val="0"/>
                  <w:vAlign w:val="center"/>
                </w:tcPr>
                <w:p w14:paraId="7888ADC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395" w:type="pct"/>
                  <w:noWrap w:val="0"/>
                  <w:vAlign w:val="center"/>
                </w:tcPr>
                <w:p w14:paraId="25E42A1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1560</w:t>
                  </w:r>
                </w:p>
              </w:tc>
              <w:tc>
                <w:tcPr>
                  <w:tcW w:w="433" w:type="pct"/>
                  <w:noWrap w:val="0"/>
                  <w:vAlign w:val="center"/>
                </w:tcPr>
                <w:p w14:paraId="377465BC">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4" w:type="pct"/>
                  <w:noWrap w:val="0"/>
                  <w:vAlign w:val="center"/>
                </w:tcPr>
                <w:p w14:paraId="16D78252">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12D2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72" w:type="pct"/>
                  <w:gridSpan w:val="4"/>
                  <w:noWrap w:val="0"/>
                  <w:vAlign w:val="center"/>
                </w:tcPr>
                <w:p w14:paraId="275633E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463" w:type="pct"/>
                  <w:noWrap w:val="0"/>
                  <w:vAlign w:val="center"/>
                </w:tcPr>
                <w:p w14:paraId="0905F00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395" w:type="pct"/>
                  <w:noWrap w:val="0"/>
                  <w:vAlign w:val="center"/>
                </w:tcPr>
                <w:p w14:paraId="6AAC62A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7481</w:t>
                  </w:r>
                </w:p>
              </w:tc>
              <w:tc>
                <w:tcPr>
                  <w:tcW w:w="433" w:type="pct"/>
                  <w:noWrap w:val="0"/>
                  <w:vAlign w:val="center"/>
                </w:tcPr>
                <w:p w14:paraId="5650EBFC">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4" w:type="pct"/>
                  <w:noWrap w:val="0"/>
                  <w:vAlign w:val="center"/>
                </w:tcPr>
                <w:p w14:paraId="44D58193">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bl>
          <w:p w14:paraId="17888E06">
            <w:pPr>
              <w:spacing w:line="360" w:lineRule="auto"/>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c">
                  <w:drawing>
                    <wp:inline distT="0" distB="0" distL="114300" distR="114300">
                      <wp:extent cx="5107940" cy="3181350"/>
                      <wp:effectExtent l="0" t="0" r="0" b="0"/>
                      <wp:docPr id="18" name="画布 18"/>
                      <wp:cNvGraphicFramePr/>
                      <a:graphic xmlns:a="http://schemas.openxmlformats.org/drawingml/2006/main">
                        <a:graphicData uri="http://schemas.microsoft.com/office/word/2010/wordprocessingCanvas">
                          <wpc:wpc>
                            <wpc:bg/>
                            <wpc:whole/>
                            <wps:wsp>
                              <wps:cNvPr id="20" name="文本框 40"/>
                              <wps:cNvSpPr txBox="1"/>
                              <wps:spPr>
                                <a:xfrm>
                                  <a:off x="615315" y="1497330"/>
                                  <a:ext cx="66675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1D153C">
                                    <w:pPr>
                                      <w:jc w:val="center"/>
                                      <w:rPr>
                                        <w:rFonts w:hint="eastAsia" w:eastAsia="宋体"/>
                                        <w:sz w:val="24"/>
                                        <w:szCs w:val="24"/>
                                        <w:lang w:val="en-US" w:eastAsia="zh-CN"/>
                                      </w:rPr>
                                    </w:pPr>
                                    <w:r>
                                      <w:rPr>
                                        <w:rFonts w:hint="eastAsia" w:ascii="Times New Roman" w:hAnsi="Times New Roman" w:eastAsia="宋体" w:cs="Times New Roman"/>
                                        <w:sz w:val="24"/>
                                        <w:szCs w:val="24"/>
                                        <w:lang w:val="en-US" w:eastAsia="zh-CN"/>
                                      </w:rPr>
                                      <w:t>新鲜水</w:t>
                                    </w:r>
                                    <w:r>
                                      <w:rPr>
                                        <w:rFonts w:hint="eastAsia" w:eastAsia="宋体"/>
                                        <w:sz w:val="24"/>
                                        <w:szCs w:val="24"/>
                                        <w:lang w:val="en-US"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41"/>
                              <wps:cNvCnPr/>
                              <wps:spPr>
                                <a:xfrm>
                                  <a:off x="725805" y="1737360"/>
                                  <a:ext cx="476250" cy="44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直接连接符 42"/>
                              <wps:cNvCnPr/>
                              <wps:spPr>
                                <a:xfrm>
                                  <a:off x="1211580" y="449580"/>
                                  <a:ext cx="1905" cy="25444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flipV="1">
                                  <a:off x="1211580" y="440055"/>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flipV="1">
                                  <a:off x="1211580" y="2373630"/>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6" name="文本框 46"/>
                              <wps:cNvSpPr txBox="1"/>
                              <wps:spPr>
                                <a:xfrm>
                                  <a:off x="1868805" y="306705"/>
                                  <a:ext cx="84772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C44A94">
                                    <w:pPr>
                                      <w:jc w:val="center"/>
                                      <w:rPr>
                                        <w:rFonts w:hint="default" w:eastAsia="宋体"/>
                                        <w:sz w:val="24"/>
                                        <w:szCs w:val="24"/>
                                        <w:lang w:val="en-US" w:eastAsia="zh-CN"/>
                                      </w:rPr>
                                    </w:pPr>
                                    <w:r>
                                      <w:rPr>
                                        <w:rFonts w:hint="eastAsia" w:eastAsia="宋体"/>
                                        <w:sz w:val="24"/>
                                        <w:szCs w:val="24"/>
                                        <w:lang w:val="en-US" w:eastAsia="zh-CN"/>
                                      </w:rPr>
                                      <w:t>车辆冲洗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849755" y="2230755"/>
                                  <a:ext cx="204724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CA40AC">
                                    <w:pPr>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物料堆场、道路地面降尘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870075" y="2836545"/>
                                  <a:ext cx="66675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D66B6B">
                                    <w:pPr>
                                      <w:jc w:val="center"/>
                                      <w:rPr>
                                        <w:rFonts w:hint="eastAsia"/>
                                        <w:lang w:val="en-US" w:eastAsia="zh-CN"/>
                                      </w:rPr>
                                    </w:pPr>
                                    <w:r>
                                      <w:rPr>
                                        <w:rFonts w:hint="eastAsia"/>
                                        <w:lang w:val="en-US" w:eastAsia="zh-CN"/>
                                      </w:rPr>
                                      <w:t>喷雾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270000" y="2785745"/>
                                  <a:ext cx="44704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6D86C">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1240790" y="211455"/>
                                  <a:ext cx="6280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0E14E">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3917315" y="1725930"/>
                                  <a:ext cx="847090" cy="457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47EEF">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自然蒸发10.4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52"/>
                              <wps:cNvCnPr/>
                              <wps:spPr>
                                <a:xfrm flipV="1">
                                  <a:off x="2754630" y="449580"/>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3" name="直接箭头连接符 53"/>
                              <wps:cNvCnPr/>
                              <wps:spPr>
                                <a:xfrm flipH="1">
                                  <a:off x="3364230" y="492760"/>
                                  <a:ext cx="9525" cy="4711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4" name="直接箭头连接符 54"/>
                              <wps:cNvCnPr/>
                              <wps:spPr>
                                <a:xfrm flipH="1" flipV="1">
                                  <a:off x="2268855" y="897255"/>
                                  <a:ext cx="109537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5" name="直接箭头连接符 55"/>
                              <wps:cNvCnPr/>
                              <wps:spPr>
                                <a:xfrm flipH="1" flipV="1">
                                  <a:off x="2221230" y="1600200"/>
                                  <a:ext cx="9525" cy="30670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6" name="文本框 56"/>
                              <wps:cNvSpPr txBox="1"/>
                              <wps:spPr>
                                <a:xfrm>
                                  <a:off x="2517140" y="649605"/>
                                  <a:ext cx="6280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7E5F8">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573405" y="1696085"/>
                                  <a:ext cx="66548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30799">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30.14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58"/>
                              <wps:cNvCnPr/>
                              <wps:spPr>
                                <a:xfrm flipV="1">
                                  <a:off x="3811905" y="2011680"/>
                                  <a:ext cx="314325" cy="214630"/>
                                </a:xfrm>
                                <a:prstGeom prst="straightConnector1">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59" name="文本框 59"/>
                              <wps:cNvSpPr txBox="1"/>
                              <wps:spPr>
                                <a:xfrm>
                                  <a:off x="1278890" y="2145030"/>
                                  <a:ext cx="5518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4DF4B">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2562860" y="2501900"/>
                                  <a:ext cx="100838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CFFCC">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自然蒸发5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直接箭头连接符 61"/>
                              <wps:cNvCnPr/>
                              <wps:spPr>
                                <a:xfrm flipV="1">
                                  <a:off x="2425700" y="2687320"/>
                                  <a:ext cx="252730" cy="153035"/>
                                </a:xfrm>
                                <a:prstGeom prst="straightConnector1">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22" name="直接箭头连接符 38"/>
                              <wps:cNvCnPr/>
                              <wps:spPr>
                                <a:xfrm flipV="1">
                                  <a:off x="2306955" y="171450"/>
                                  <a:ext cx="212725" cy="130810"/>
                                </a:xfrm>
                                <a:prstGeom prst="straightConnector1">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62" name="文本框 62"/>
                              <wps:cNvSpPr txBox="1"/>
                              <wps:spPr>
                                <a:xfrm>
                                  <a:off x="2517140" y="38100"/>
                                  <a:ext cx="46672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0161C">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箭头连接符 23"/>
                              <wps:cNvCnPr/>
                              <wps:spPr>
                                <a:xfrm flipV="1">
                                  <a:off x="1221105" y="1373505"/>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6" name="文本框 26"/>
                              <wps:cNvSpPr txBox="1"/>
                              <wps:spPr>
                                <a:xfrm>
                                  <a:off x="1859280" y="1240155"/>
                                  <a:ext cx="84772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217AB5">
                                    <w:pPr>
                                      <w:jc w:val="center"/>
                                      <w:rPr>
                                        <w:rFonts w:hint="default" w:eastAsia="宋体"/>
                                        <w:sz w:val="24"/>
                                        <w:szCs w:val="24"/>
                                        <w:lang w:val="en-US" w:eastAsia="zh-CN"/>
                                      </w:rPr>
                                    </w:pPr>
                                    <w:r>
                                      <w:rPr>
                                        <w:rFonts w:hint="eastAsia" w:eastAsia="宋体"/>
                                        <w:sz w:val="24"/>
                                        <w:szCs w:val="24"/>
                                        <w:lang w:val="en-US" w:eastAsia="zh-CN"/>
                                      </w:rPr>
                                      <w:t>洗砂用水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1212215" y="1135380"/>
                                  <a:ext cx="6280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B0289">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14.21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箭头连接符 63"/>
                              <wps:cNvCnPr/>
                              <wps:spPr>
                                <a:xfrm flipV="1">
                                  <a:off x="2707005" y="1383030"/>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 name="直接箭头连接符 64"/>
                              <wps:cNvCnPr/>
                              <wps:spPr>
                                <a:xfrm flipH="1">
                                  <a:off x="3316605" y="1407160"/>
                                  <a:ext cx="9525" cy="4711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5" name="直接箭头连接符 65"/>
                              <wps:cNvCnPr/>
                              <wps:spPr>
                                <a:xfrm flipH="1" flipV="1">
                                  <a:off x="2249805" y="1868805"/>
                                  <a:ext cx="109537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 name="直接箭头连接符 66"/>
                              <wps:cNvCnPr/>
                              <wps:spPr>
                                <a:xfrm flipH="1" flipV="1">
                                  <a:off x="2287905" y="619125"/>
                                  <a:ext cx="9525" cy="30670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 name="直接箭头连接符 38"/>
                              <wps:cNvCnPr/>
                              <wps:spPr>
                                <a:xfrm flipV="1">
                                  <a:off x="2230755" y="1104900"/>
                                  <a:ext cx="212725" cy="130810"/>
                                </a:xfrm>
                                <a:prstGeom prst="straightConnector1">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68" name="文本框 68"/>
                              <wps:cNvSpPr txBox="1"/>
                              <wps:spPr>
                                <a:xfrm>
                                  <a:off x="2450465" y="942975"/>
                                  <a:ext cx="57086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083C0">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14.21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2413000" y="1619250"/>
                                  <a:ext cx="68453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9F8A0">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wps:spPr>
                                <a:xfrm flipV="1">
                                  <a:off x="1211580" y="3002280"/>
                                  <a:ext cx="65722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50.5pt;width:402.2pt;" coordsize="5107940,3181350" editas="canvas" o:gfxdata="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">
                      <o:lock v:ext="edit" aspectratio="f"/>
                      <v:shape id="_x0000_s1026" o:spid="_x0000_s1026" style="position:absolute;left:0;top:0;height:3181350;width:5107940;" filled="f" stroked="f" coordsize="21600,21600" o:gfxdata="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Nsa7EdcAAAAFAQAADwAAAAAAAAABACAAAAAiAAAAZHJzL2Rvd25yZXYueG1sUEsBAhQAFAAA&#10;AAgAh07iQLWwSUssCAAA5VIAAA4AAAAAAAAAAQAgAAAAJgEAAGRycy9lMm9Eb2MueG1sUEsFBgAA&#10;AAAGAAYAWQEAAMQLAAAAAA==&#10;">
                        <v:fill on="f" focussize="0,0"/>
                        <v:stroke on="f"/>
                        <v:imagedata o:title=""/>
                        <o:lock v:ext="edit" aspectratio="f"/>
                      </v:shape>
                      <v:shape id="文本框 40" o:spid="_x0000_s1026" o:spt="202" type="#_x0000_t202" style="position:absolute;left:615315;top:1497330;height:295910;width:666750;" fillcolor="#FFFFFF [3201]" filled="t" stroked="f" coordsize="21600,21600" o:gfxdata="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F7dWtEAAAAFAQAA&#10;DwAAAAAAAAABACAAAAAiAAAAZHJzL2Rvd25yZXYueG1sUEsBAhQAFAAAAAgAh07iQOb2g2ZZAgAA&#10;mwQAAA4AAAAAAAAAAQAgAAAAIAEAAGRycy9lMm9Eb2MueG1sUEsFBgAAAAAGAAYAWQEAAOsFAAAA&#10;AA==&#10;">
                        <v:fill on="t" focussize="0,0"/>
                        <v:stroke on="f" weight="0.5pt"/>
                        <v:imagedata o:title=""/>
                        <o:lock v:ext="edit" aspectratio="f"/>
                        <v:textbox>
                          <w:txbxContent>
                            <w:p w14:paraId="521D153C">
                              <w:pPr>
                                <w:jc w:val="center"/>
                                <w:rPr>
                                  <w:rFonts w:hint="eastAsia" w:eastAsia="宋体"/>
                                  <w:sz w:val="24"/>
                                  <w:szCs w:val="24"/>
                                  <w:lang w:val="en-US" w:eastAsia="zh-CN"/>
                                </w:rPr>
                              </w:pPr>
                              <w:r>
                                <w:rPr>
                                  <w:rFonts w:hint="eastAsia" w:ascii="Times New Roman" w:hAnsi="Times New Roman" w:eastAsia="宋体" w:cs="Times New Roman"/>
                                  <w:sz w:val="24"/>
                                  <w:szCs w:val="24"/>
                                  <w:lang w:val="en-US" w:eastAsia="zh-CN"/>
                                </w:rPr>
                                <w:t>新鲜水</w:t>
                              </w:r>
                              <w:r>
                                <w:rPr>
                                  <w:rFonts w:hint="eastAsia" w:eastAsia="宋体"/>
                                  <w:sz w:val="24"/>
                                  <w:szCs w:val="24"/>
                                  <w:lang w:val="en-US" w:eastAsia="zh-CN"/>
                                </w:rPr>
                                <w:t>水</w:t>
                              </w:r>
                            </w:p>
                          </w:txbxContent>
                        </v:textbox>
                      </v:shape>
                      <v:shape id="直接箭头连接符 41" o:spid="_x0000_s1026" o:spt="32" type="#_x0000_t32" style="position:absolute;left:725805;top:1737360;height:4445;width:476250;" filled="f" stroked="t" coordsize="21600,21600" o:gfxdata="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u2L9dQAAAAFAQAADwAAAAAAAAAB&#10;ACAAAAAiAAAAZHJzL2Rvd25yZXYueG1sUEsBAhQAFAAAAAgAh07iQDIsoxcUAgAA7gMAAA4AAAAA&#10;AAAAAQAgAAAAIwEAAGRycy9lMm9Eb2MueG1sUEsFBgAAAAAGAAYAWQEAAKkFAAAAAA==&#10;">
                        <v:fill on="f" focussize="0,0"/>
                        <v:stroke weight="1pt" color="#000000 [3213]" miterlimit="8" joinstyle="miter" endarrow="open"/>
                        <v:imagedata o:title=""/>
                        <o:lock v:ext="edit" aspectratio="f"/>
                      </v:shape>
                      <v:line id="_x0000_s1026" o:spid="_x0000_s1026" o:spt="20" style="position:absolute;left:1211580;top:449580;height:2544445;width:1905;" filled="f" stroked="t" coordsize="21600,21600" o:gfxdata="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iZ/T1gAAAAUBAAAPAAAAAAAAAAEAIAAAACIAAABkcnMvZG93bnJldi54bWxQSwECFAAUAAAACACH&#10;TuJA+THXvO0BAADCAwAADgAAAAAAAAABACAAAAAlAQAAZHJzL2Uyb0RvYy54bWxQSwUGAAAAAAYA&#10;BgBZAQAAhAUAAAAA&#10;">
                        <v:fill on="f" focussize="0,0"/>
                        <v:stroke weight="1pt" color="#000000 [3213]" miterlimit="8" joinstyle="miter"/>
                        <v:imagedata o:title=""/>
                        <o:lock v:ext="edit" aspectratio="f"/>
                      </v:line>
                      <v:shape id="_x0000_s1026" o:spid="_x0000_s1026" o:spt="32" type="#_x0000_t32" style="position:absolute;left:1211580;top:440055;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HEHjXAAAABQEAAA8A&#10;AAAAAAAAAQAgAAAAIgAAAGRycy9kb3ducmV2LnhtbFBLAQIUABQAAAAIAIdO4kDOVZ/AGAIAAPgD&#10;AAAOAAAAAAAAAAEAIAAAACYBAABkcnMvZTJvRG9jLnhtbFBLBQYAAAAABgAGAFkBAACwBQAAAAA=&#10;">
                        <v:fill on="f" focussize="0,0"/>
                        <v:stroke weight="1pt" color="#000000 [3213]" miterlimit="8" joinstyle="miter" endarrow="open"/>
                        <v:imagedata o:title=""/>
                        <o:lock v:ext="edit" aspectratio="f"/>
                      </v:shape>
                      <v:shape id="_x0000_s1026" o:spid="_x0000_s1026" o:spt="32" type="#_x0000_t32" style="position:absolute;left:1211580;top:2373630;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kcQeNcAAAAFAQAA&#10;DwAAAAAAAAABACAAAAAiAAAAZHJzL2Rvd25yZXYueG1sUEsBAhQAFAAAAAgAh07iQAF7lncaAgAA&#10;+QMAAA4AAAAAAAAAAQAgAAAAJgEAAGRycy9lMm9Eb2MueG1sUEsFBgAAAAAGAAYAWQEAALIFAAAA&#10;AA==&#10;">
                        <v:fill on="f" focussize="0,0"/>
                        <v:stroke weight="1pt" color="#000000 [3213]" miterlimit="8" joinstyle="miter" endarrow="open"/>
                        <v:imagedata o:title=""/>
                        <o:lock v:ext="edit" aspectratio="f"/>
                      </v:shape>
                      <v:shape id="_x0000_s1026" o:spid="_x0000_s1026" o:spt="202" type="#_x0000_t202" style="position:absolute;left:1868805;top:306705;height:295910;width:847725;" fillcolor="#FFFFFF [3201]" filled="t" stroked="t" coordsize="21600,21600" o:gfxdata="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n6XidMAAAAFAQAADwAAAAAAAAABACAAAAAiAAAAZHJzL2Rvd25yZXYueG1sUEsBAhQAFAAA&#10;AAgAh07iQOyV5RpmAgAAwwQAAA4AAAAAAAAAAQAgAAAAIgEAAGRycy9lMm9Eb2MueG1sUEsFBgAA&#10;AAAGAAYAWQEAAPoFAAAAAA==&#10;">
                        <v:fill on="t" focussize="0,0"/>
                        <v:stroke weight="0.5pt" color="#000000 [3204]" joinstyle="round"/>
                        <v:imagedata o:title=""/>
                        <o:lock v:ext="edit" aspectratio="f"/>
                        <v:textbox>
                          <w:txbxContent>
                            <w:p w14:paraId="59C44A94">
                              <w:pPr>
                                <w:jc w:val="center"/>
                                <w:rPr>
                                  <w:rFonts w:hint="default" w:eastAsia="宋体"/>
                                  <w:sz w:val="24"/>
                                  <w:szCs w:val="24"/>
                                  <w:lang w:val="en-US" w:eastAsia="zh-CN"/>
                                </w:rPr>
                              </w:pPr>
                              <w:r>
                                <w:rPr>
                                  <w:rFonts w:hint="eastAsia" w:eastAsia="宋体"/>
                                  <w:sz w:val="24"/>
                                  <w:szCs w:val="24"/>
                                  <w:lang w:val="en-US" w:eastAsia="zh-CN"/>
                                </w:rPr>
                                <w:t>车辆冲洗</w:t>
                              </w:r>
                            </w:p>
                          </w:txbxContent>
                        </v:textbox>
                      </v:shape>
                      <v:shape id="_x0000_s1026" o:spid="_x0000_s1026" o:spt="202" type="#_x0000_t202" style="position:absolute;left:1849755;top:2230755;height:295910;width:2047240;" fillcolor="#FFFFFF [3201]" filled="t" stroked="t" coordsize="21600,21600" o:gfxdata="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n6XidMAAAAFAQAADwAAAAAAAAABACAAAAAiAAAAZHJzL2Rvd25yZXYueG1sUEsBAhQAFAAA&#10;AAgAh07iQEp/DPVmAgAAxQQAAA4AAAAAAAAAAQAgAAAAIgEAAGRycy9lMm9Eb2MueG1sUEsFBgAA&#10;AAAGAAYAWQEAAPoFAAAAAA==&#10;">
                        <v:fill on="t" focussize="0,0"/>
                        <v:stroke weight="0.5pt" color="#000000 [3204]" joinstyle="round"/>
                        <v:imagedata o:title=""/>
                        <o:lock v:ext="edit" aspectratio="f"/>
                        <v:textbox>
                          <w:txbxContent>
                            <w:p w14:paraId="4FCA40AC">
                              <w:pPr>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物料堆场、道路地面降尘</w:t>
                              </w:r>
                            </w:p>
                          </w:txbxContent>
                        </v:textbox>
                      </v:shape>
                      <v:shape id="_x0000_s1026" o:spid="_x0000_s1026" o:spt="202" type="#_x0000_t202" style="position:absolute;left:1870075;top:2836545;height:295910;width:666750;" fillcolor="#FFFFFF [3201]" filled="t" stroked="t" coordsize="21600,21600" o:gfxdata="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fpeJ0wAAAAUBAAAPAAAAAAAAAAEAIAAAACIAAABkcnMvZG93bnJldi54bWxQSwECFAAUAAAA&#10;CACHTuJAFnNX9mUCAADEBAAADgAAAAAAAAABACAAAAAiAQAAZHJzL2Uyb0RvYy54bWxQSwUGAAAA&#10;AAYABgBZAQAA+QUAAAAA&#10;">
                        <v:fill on="t" focussize="0,0"/>
                        <v:stroke weight="0.5pt" color="#000000 [3204]" joinstyle="round"/>
                        <v:imagedata o:title=""/>
                        <o:lock v:ext="edit" aspectratio="f"/>
                        <v:textbox>
                          <w:txbxContent>
                            <w:p w14:paraId="57D66B6B">
                              <w:pPr>
                                <w:jc w:val="center"/>
                                <w:rPr>
                                  <w:rFonts w:hint="eastAsia"/>
                                  <w:lang w:val="en-US" w:eastAsia="zh-CN"/>
                                </w:rPr>
                              </w:pPr>
                              <w:r>
                                <w:rPr>
                                  <w:rFonts w:hint="eastAsia"/>
                                  <w:lang w:val="en-US" w:eastAsia="zh-CN"/>
                                </w:rPr>
                                <w:t>喷雾</w:t>
                              </w:r>
                            </w:p>
                          </w:txbxContent>
                        </v:textbox>
                      </v:shape>
                      <v:shape id="_x0000_s1026" o:spid="_x0000_s1026" o:spt="202" type="#_x0000_t202" style="position:absolute;left:1270000;top:2785745;height:267335;width:447040;"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ofp/XAAAABQEAAA8AAAAAAAAAAQAg&#10;AAAAIgAAAGRycy9kb3ducmV2LnhtbFBLAQIUABQAAAAIAIdO4kAI34uDSAIAAHMEAAAOAAAAAAAA&#10;AAEAIAAAACYBAABkcnMvZTJvRG9jLnhtbFBLBQYAAAAABgAGAFkBAADgBQAAAAA=&#10;">
                        <v:fill on="f" focussize="0,0"/>
                        <v:stroke on="f" weight="0.5pt"/>
                        <v:imagedata o:title=""/>
                        <o:lock v:ext="edit" aspectratio="f"/>
                        <v:textbox>
                          <w:txbxContent>
                            <w:p w14:paraId="49F6D86C">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xbxContent>
                        </v:textbox>
                      </v:shape>
                      <v:shape id="_x0000_s1026" o:spid="_x0000_s1026" o:spt="202" type="#_x0000_t202" style="position:absolute;left:1240790;top:211455;height:267335;width:62801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Fofp/XAAAABQEAAA8AAAAAAAAAAQAgAAAA&#10;IgAAAGRycy9kb3ducmV2LnhtbFBLAQIUABQAAAAIAIdO4kDKlXOiRQIAAHIEAAAOAAAAAAAAAAEA&#10;IAAAACYBAABkcnMvZTJvRG9jLnhtbFBLBQYAAAAABgAGAFkBAADdBQAAAAA=&#10;">
                        <v:fill on="f" focussize="0,0"/>
                        <v:stroke on="f" weight="0.5pt"/>
                        <v:imagedata o:title=""/>
                        <o:lock v:ext="edit" aspectratio="f"/>
                        <v:textbox>
                          <w:txbxContent>
                            <w:p w14:paraId="5DC0E14E">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0.53</w:t>
                              </w:r>
                            </w:p>
                          </w:txbxContent>
                        </v:textbox>
                      </v:shape>
                      <v:shape id="_x0000_s1026" o:spid="_x0000_s1026" o:spt="202" type="#_x0000_t202" style="position:absolute;left:3917315;top:1725930;height:457835;width:847090;"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aH6f1wAAAAUBAAAPAAAAAAAAAAEAIAAA&#10;ACIAAABkcnMvZG93bnJldi54bWxQSwECFAAUAAAACACHTuJAI3GC/UYCAABzBAAADgAAAAAAAAAB&#10;ACAAAAAmAQAAZHJzL2Uyb0RvYy54bWxQSwUGAAAAAAYABgBZAQAA3gUAAAAA&#10;">
                        <v:fill on="f" focussize="0,0"/>
                        <v:stroke on="f" weight="0.5pt"/>
                        <v:imagedata o:title=""/>
                        <o:lock v:ext="edit" aspectratio="f"/>
                        <v:textbox>
                          <w:txbxContent>
                            <w:p w14:paraId="02847EEF">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自然蒸发10.4</w:t>
                              </w:r>
                            </w:p>
                          </w:txbxContent>
                        </v:textbox>
                      </v:shape>
                      <v:shape id="_x0000_s1026" o:spid="_x0000_s1026" o:spt="32" type="#_x0000_t32" style="position:absolute;left:2754630;top:449580;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kcQeNcAAAAFAQAA&#10;DwAAAAAAAAABACAAAAAiAAAAZHJzL2Rvd25yZXYueG1sUEsBAhQAFAAAAAgAh07iQACxO4gaAgAA&#10;+AMAAA4AAAAAAAAAAQAgAAAAJgEAAGRycy9lMm9Eb2MueG1sUEsFBgAAAAAGAAYAWQEAALIFAAAA&#10;AA==&#10;">
                        <v:fill on="f" focussize="0,0"/>
                        <v:stroke weight="1pt" color="#000000 [3213]" miterlimit="8" joinstyle="miter" endarrow="open"/>
                        <v:imagedata o:title=""/>
                        <o:lock v:ext="edit" aspectratio="f"/>
                      </v:shape>
                      <v:shape id="_x0000_s1026" o:spid="_x0000_s1026" o:spt="32" type="#_x0000_t32" style="position:absolute;left:3364230;top:492760;flip:x;height:471170;width:95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RxB41wAAAAUB&#10;AAAPAAAAAAAAAAEAIAAAACIAAABkcnMvZG93bnJldi54bWxQSwECFAAUAAAACACHTuJAmQ1dgRwC&#10;AAD4AwAADgAAAAAAAAABACAAAAAmAQAAZHJzL2Uyb0RvYy54bWxQSwUGAAAAAAYABgBZAQAAtAUA&#10;AAAA&#10;">
                        <v:fill on="f" focussize="0,0"/>
                        <v:stroke weight="1pt" color="#000000 [3213]" miterlimit="8" joinstyle="miter" endarrow="open"/>
                        <v:imagedata o:title=""/>
                        <o:lock v:ext="edit" aspectratio="f"/>
                      </v:shape>
                      <v:shape id="_x0000_s1026" o:spid="_x0000_s1026" o:spt="32" type="#_x0000_t32" style="position:absolute;left:2268855;top:897255;flip:x y;height:5080;width:1095375;" filled="f" stroked="t" coordsize="21600,21600" o:gfxdata="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WKeQtYA&#10;AAAFAQAADwAAAAAAAAABACAAAAAiAAAAZHJzL2Rvd25yZXYueG1sUEsBAhQAFAAAAAgAh07iQKSD&#10;FcchAgAAAwQAAA4AAAAAAAAAAQAgAAAAJQEAAGRycy9lMm9Eb2MueG1sUEsFBgAAAAAGAAYAWQEA&#10;ALgFAAAAAA==&#10;">
                        <v:fill on="f" focussize="0,0"/>
                        <v:stroke weight="1pt" color="#000000 [3213]" miterlimit="8" joinstyle="miter" endarrow="open"/>
                        <v:imagedata o:title=""/>
                        <o:lock v:ext="edit" aspectratio="f"/>
                      </v:shape>
                      <v:shape id="_x0000_s1026" o:spid="_x0000_s1026" o:spt="32" type="#_x0000_t32" style="position:absolute;left:2221230;top:1600200;flip:x y;height:306705;width:9525;" filled="f" stroked="t" coordsize="21600,21600" o:gfxdata="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FinkLWAAAA&#10;BQEAAA8AAAAAAAAAAQAgAAAAIgAAAGRycy9kb3ducmV2LnhtbFBLAQIUABQAAAAIAIdO4kAv+oKG&#10;HwIAAAMEAAAOAAAAAAAAAAEAIAAAACUBAABkcnMvZTJvRG9jLnhtbFBLBQYAAAAABgAGAFkBAAC2&#10;BQAAAAA=&#10;">
                        <v:fill on="f" focussize="0,0"/>
                        <v:stroke weight="1pt" color="#000000 [3213]" miterlimit="8" joinstyle="miter" endarrow="open"/>
                        <v:imagedata o:title=""/>
                        <o:lock v:ext="edit" aspectratio="f"/>
                      </v:shape>
                      <v:shape id="_x0000_s1026" o:spid="_x0000_s1026" o:spt="202" type="#_x0000_t202" style="position:absolute;left:2517140;top:649605;height:267335;width:62801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ofp/XAAAABQEAAA8AAAAAAAAAAQAg&#10;AAAAIgAAAGRycy9kb3ducmV2LnhtbFBLAQIUABQAAAAIAIdO4kDb3JIhSAIAAHIEAAAOAAAAAAAA&#10;AAEAIAAAACYBAABkcnMvZTJvRG9jLnhtbFBLBQYAAAAABgAGAFkBAADgBQAAAAA=&#10;">
                        <v:fill on="f" focussize="0,0"/>
                        <v:stroke on="f" weight="0.5pt"/>
                        <v:imagedata o:title=""/>
                        <o:lock v:ext="edit" aspectratio="f"/>
                        <v:textbox>
                          <w:txbxContent>
                            <w:p w14:paraId="6107E5F8">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6.75</w:t>
                              </w:r>
                            </w:p>
                          </w:txbxContent>
                        </v:textbox>
                      </v:shape>
                      <v:shape id="_x0000_s1026" o:spid="_x0000_s1026" o:spt="202" type="#_x0000_t202" style="position:absolute;left:573405;top:1696085;height:267335;width:665480;"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ofp/XAAAABQEAAA8AAAAAAAAAAQAg&#10;AAAAIgAAAGRycy9kb3ducmV2LnhtbFBLAQIUABQAAAAIAIdO4kD0bo/SSAIAAHIEAAAOAAAAAAAA&#10;AAEAIAAAACYBAABkcnMvZTJvRG9jLnhtbFBLBQYAAAAABgAGAFkBAADgBQAAAAA=&#10;">
                        <v:fill on="f" focussize="0,0"/>
                        <v:stroke on="f" weight="0.5pt"/>
                        <v:imagedata o:title=""/>
                        <o:lock v:ext="edit" aspectratio="f"/>
                        <v:textbox>
                          <w:txbxContent>
                            <w:p w14:paraId="2C030799">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30.14</w:t>
                              </w:r>
                            </w:p>
                          </w:txbxContent>
                        </v:textbox>
                      </v:shape>
                      <v:shape id="_x0000_s1026" o:spid="_x0000_s1026" o:spt="32" type="#_x0000_t32" style="position:absolute;left:3811905;top:2011680;flip:y;height:214630;width:314325;" filled="f" stroked="t" coordsize="21600,21600" o:gfxdata="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XzNbSAAAABQEAAA8A&#10;AAAAAAAAAQAgAAAAIgAAAGRycy9kb3ducmV2LnhtbFBLAQIUABQAAAAIAIdO4kCV2IEJHQIAAP0D&#10;AAAOAAAAAAAAAAEAIAAAACEBAABkcnMvZTJvRG9jLnhtbFBLBQYAAAAABgAGAFkBAACwBQAAAAA=&#10;">
                        <v:fill on="f" focussize="0,0"/>
                        <v:stroke weight="1pt" color="#000000 [3213]" miterlimit="8" joinstyle="miter" dashstyle="3 1" endarrow="open"/>
                        <v:imagedata o:title=""/>
                        <o:lock v:ext="edit" aspectratio="f"/>
                      </v:shape>
                      <v:shape id="_x0000_s1026" o:spid="_x0000_s1026" o:spt="202" type="#_x0000_t202" style="position:absolute;left:1278890;top:2145030;height:267335;width:55181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ofp/XAAAABQEAAA8AAAAAAAAAAQAg&#10;AAAAIgAAAGRycy9kb3ducmV2LnhtbFBLAQIUABQAAAAIAIdO4kA0zryFSAIAAHMEAAAOAAAAAAAA&#10;AAEAIAAAACYBAABkcnMvZTJvRG9jLnhtbFBLBQYAAAAABgAGAFkBAADgBQAAAAA=&#10;">
                        <v:fill on="f" focussize="0,0"/>
                        <v:stroke on="f" weight="0.5pt"/>
                        <v:imagedata o:title=""/>
                        <o:lock v:ext="edit" aspectratio="f"/>
                        <v:textbox>
                          <w:txbxContent>
                            <w:p w14:paraId="70A4DF4B">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10.4</w:t>
                              </w:r>
                            </w:p>
                          </w:txbxContent>
                        </v:textbox>
                      </v:shape>
                      <v:shape id="_x0000_s1026" o:spid="_x0000_s1026" o:spt="202" type="#_x0000_t202" style="position:absolute;left:2562860;top:2501900;height:305435;width:1008380;"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Wh+n9cAAAAFAQAADwAAAAAAAAABACAAAAAi&#10;AAAAZHJzL2Rvd25yZXYueG1sUEsBAhQAFAAAAAgAh07iQL9RyeREAgAAdAQAAA4AAAAAAAAAAQAg&#10;AAAAJgEAAGRycy9lMm9Eb2MueG1sUEsFBgAAAAAGAAYAWQEAANwFAAAAAA==&#10;">
                        <v:fill on="f" focussize="0,0"/>
                        <v:stroke on="f" weight="0.5pt"/>
                        <v:imagedata o:title=""/>
                        <o:lock v:ext="edit" aspectratio="f"/>
                        <v:textbox>
                          <w:txbxContent>
                            <w:p w14:paraId="6ABCFFCC">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自然蒸发5</w:t>
                              </w:r>
                            </w:p>
                          </w:txbxContent>
                        </v:textbox>
                      </v:shape>
                      <v:shape id="_x0000_s1026" o:spid="_x0000_s1026" o:spt="32" type="#_x0000_t32" style="position:absolute;left:2425700;top:2687320;flip:y;height:153035;width:252730;" filled="f" stroked="t" coordsize="21600,21600" o:gfxdata="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XzNbSAAAABQEAAA8A&#10;AAAAAAAAAQAgAAAAIgAAAGRycy9kb3ducmV2LnhtbFBLAQIUABQAAAAIAIdO4kD1JBn3HQIAAP0D&#10;AAAOAAAAAAAAAAEAIAAAACEBAABkcnMvZTJvRG9jLnhtbFBLBQYAAAAABgAGAFkBAACwBQAAAAA=&#10;">
                        <v:fill on="f" focussize="0,0"/>
                        <v:stroke weight="1pt" color="#000000 [3213]" miterlimit="8" joinstyle="miter" dashstyle="3 1" endarrow="open"/>
                        <v:imagedata o:title=""/>
                        <o:lock v:ext="edit" aspectratio="f"/>
                      </v:shape>
                      <v:shape id="直接箭头连接符 38" o:spid="_x0000_s1026" o:spt="32" type="#_x0000_t32" style="position:absolute;left:2306955;top:171450;flip:y;height:130810;width:212725;" filled="f" stroked="t" coordsize="21600,21600" o:gfxdata="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FfM1tIAAAAFAQAADwAA&#10;AAAAAAABACAAAAAiAAAAZHJzL2Rvd25yZXYueG1sUEsBAhQAFAAAAAgAh07iQDEMD3ccAgAA/AMA&#10;AA4AAAAAAAAAAQAgAAAAIQEAAGRycy9lMm9Eb2MueG1sUEsFBgAAAAAGAAYAWQEAAK8FAAAAAA==&#10;">
                        <v:fill on="f" focussize="0,0"/>
                        <v:stroke weight="1pt" color="#000000 [3213]" miterlimit="8" joinstyle="miter" dashstyle="3 1" endarrow="open"/>
                        <v:imagedata o:title=""/>
                        <o:lock v:ext="edit" aspectratio="f"/>
                      </v:shape>
                      <v:shape id="_x0000_s1026" o:spid="_x0000_s1026" o:spt="202" type="#_x0000_t202" style="position:absolute;left:2517140;top:38100;height:306070;width:46672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aH6f1wAAAAUBAAAPAAAAAAAAAAEAIAAA&#10;ACIAAABkcnMvZG93bnJldi54bWxQSwECFAAUAAAACACHTuJA+U9/NUYCAABxBAAADgAAAAAAAAAB&#10;ACAAAAAmAQAAZHJzL2Uyb0RvYy54bWxQSwUGAAAAAAYABgBZAQAA3gUAAAAA&#10;">
                        <v:fill on="f" focussize="0,0"/>
                        <v:stroke on="f" weight="0.5pt"/>
                        <v:imagedata o:title=""/>
                        <o:lock v:ext="edit" aspectratio="f"/>
                        <v:textbox>
                          <w:txbxContent>
                            <w:p w14:paraId="0B90161C">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0.53</w:t>
                              </w:r>
                            </w:p>
                          </w:txbxContent>
                        </v:textbox>
                      </v:shape>
                      <v:shape id="_x0000_s1026" o:spid="_x0000_s1026" o:spt="32" type="#_x0000_t32" style="position:absolute;left:1221105;top:1373505;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RxB41wAAAAUBAAAP&#10;AAAAAAAAAAEAIAAAACIAAABkcnMvZG93bnJldi54bWxQSwECFAAUAAAACACHTuJAXhFn5hkCAAD5&#10;AwAADgAAAAAAAAABACAAAAAmAQAAZHJzL2Uyb0RvYy54bWxQSwUGAAAAAAYABgBZAQAAsQUAAAAA&#10;">
                        <v:fill on="f" focussize="0,0"/>
                        <v:stroke weight="1pt" color="#000000 [3213]" miterlimit="8" joinstyle="miter" endarrow="open"/>
                        <v:imagedata o:title=""/>
                        <o:lock v:ext="edit" aspectratio="f"/>
                      </v:shape>
                      <v:shape id="_x0000_s1026" o:spid="_x0000_s1026" o:spt="202" type="#_x0000_t202" style="position:absolute;left:1859280;top:1240155;height:295910;width:847725;" fillcolor="#FFFFFF [3201]" filled="t" stroked="t" coordsize="21600,21600" o:gfxdata="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J+l4nTAAAABQEAAA8AAAAAAAAAAQAgAAAAIgAAAGRycy9kb3ducmV2LnhtbFBLAQIUABQA&#10;AAAIAIdO4kB1cUntZwIAAMQEAAAOAAAAAAAAAAEAIAAAACIBAABkcnMvZTJvRG9jLnhtbFBLBQYA&#10;AAAABgAGAFkBAAD7BQAAAAA=&#10;">
                        <v:fill on="t" focussize="0,0"/>
                        <v:stroke weight="0.5pt" color="#000000 [3204]" joinstyle="round"/>
                        <v:imagedata o:title=""/>
                        <o:lock v:ext="edit" aspectratio="f"/>
                        <v:textbox>
                          <w:txbxContent>
                            <w:p w14:paraId="6B217AB5">
                              <w:pPr>
                                <w:jc w:val="center"/>
                                <w:rPr>
                                  <w:rFonts w:hint="default" w:eastAsia="宋体"/>
                                  <w:sz w:val="24"/>
                                  <w:szCs w:val="24"/>
                                  <w:lang w:val="en-US" w:eastAsia="zh-CN"/>
                                </w:rPr>
                              </w:pPr>
                              <w:r>
                                <w:rPr>
                                  <w:rFonts w:hint="eastAsia" w:eastAsia="宋体"/>
                                  <w:sz w:val="24"/>
                                  <w:szCs w:val="24"/>
                                  <w:lang w:val="en-US" w:eastAsia="zh-CN"/>
                                </w:rPr>
                                <w:t>洗砂用水</w:t>
                              </w:r>
                            </w:p>
                          </w:txbxContent>
                        </v:textbox>
                      </v:shape>
                      <v:shape id="_x0000_s1026" o:spid="_x0000_s1026" o:spt="202" type="#_x0000_t202" style="position:absolute;left:1212215;top:1135380;height:267335;width:62801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Fofp/XAAAABQEAAA8AAAAAAAAAAQAgAAAA&#10;IgAAAGRycy9kb3ducmV2LnhtbFBLAQIUABQAAAAIAIdO4kAsbyFsRQIAAHMEAAAOAAAAAAAAAAEA&#10;IAAAACYBAABkcnMvZTJvRG9jLnhtbFBLBQYAAAAABgAGAFkBAADdBQAAAAA=&#10;">
                        <v:fill on="f" focussize="0,0"/>
                        <v:stroke on="f" weight="0.5pt"/>
                        <v:imagedata o:title=""/>
                        <o:lock v:ext="edit" aspectratio="f"/>
                        <v:textbox>
                          <w:txbxContent>
                            <w:p w14:paraId="5E4B0289">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14.21</w:t>
                              </w:r>
                            </w:p>
                          </w:txbxContent>
                        </v:textbox>
                      </v:shape>
                      <v:shape id="_x0000_s1026" o:spid="_x0000_s1026" o:spt="32" type="#_x0000_t32" style="position:absolute;left:2707005;top:1383030;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kcQeNcAAAAFAQAA&#10;DwAAAAAAAAABACAAAAAiAAAAZHJzL2Rvd25yZXYueG1sUEsBAhQAFAAAAAgAh07iQEaGfk8aAgAA&#10;+QMAAA4AAAAAAAAAAQAgAAAAJgEAAGRycy9lMm9Eb2MueG1sUEsFBgAAAAAGAAYAWQEAALIFAAAA&#10;AA==&#10;">
                        <v:fill on="f" focussize="0,0"/>
                        <v:stroke weight="1pt" color="#000000 [3213]" miterlimit="8" joinstyle="miter" endarrow="open"/>
                        <v:imagedata o:title=""/>
                        <o:lock v:ext="edit" aspectratio="f"/>
                      </v:shape>
                      <v:shape id="_x0000_s1026" o:spid="_x0000_s1026" o:spt="32" type="#_x0000_t32" style="position:absolute;left:3316605;top:1407160;flip:x;height:471170;width:95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RxB41wAAAAUB&#10;AAAPAAAAAAAAAAEAIAAAACIAAABkcnMvZG93bnJldi54bWxQSwECFAAUAAAACACHTuJA3yiRQBwC&#10;AAD5AwAADgAAAAAAAAABACAAAAAmAQAAZHJzL2Uyb0RvYy54bWxQSwUGAAAAAAYABgBZAQAAtAUA&#10;AAAA&#10;">
                        <v:fill on="f" focussize="0,0"/>
                        <v:stroke weight="1pt" color="#000000 [3213]" miterlimit="8" joinstyle="miter" endarrow="open"/>
                        <v:imagedata o:title=""/>
                        <o:lock v:ext="edit" aspectratio="f"/>
                      </v:shape>
                      <v:shape id="_x0000_s1026" o:spid="_x0000_s1026" o:spt="32" type="#_x0000_t32" style="position:absolute;left:2249805;top:1868805;flip:x y;height:5080;width:1095375;" filled="f" stroked="t" coordsize="21600,21600" o:gfxdata="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Yp5C1gAA&#10;AAUBAAAPAAAAAAAAAAEAIAAAACIAAABkcnMvZG93bnJldi54bWxQSwECFAAUAAAACACHTuJAVBHy&#10;piACAAAEBAAADgAAAAAAAAABACAAAAAlAQAAZHJzL2Uyb0RvYy54bWxQSwUGAAAAAAYABgBZAQAA&#10;twUAAAAA&#10;">
                        <v:fill on="f" focussize="0,0"/>
                        <v:stroke weight="1pt" color="#000000 [3213]" miterlimit="8" joinstyle="miter" endarrow="open"/>
                        <v:imagedata o:title=""/>
                        <o:lock v:ext="edit" aspectratio="f"/>
                      </v:shape>
                      <v:shape id="_x0000_s1026" o:spid="_x0000_s1026" o:spt="32" type="#_x0000_t32" style="position:absolute;left:2287905;top:619125;flip:x y;height:306705;width:9525;" filled="f" stroked="t" coordsize="21600,21600" o:gfxdata="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KeQtYAAAAF&#10;AQAADwAAAAAAAAABACAAAAAiAAAAZHJzL2Rvd25yZXYueG1sUEsBAhQAFAAAAAgAh07iQP1y+Xoe&#10;AgAAAgQAAA4AAAAAAAAAAQAgAAAAJQEAAGRycy9lMm9Eb2MueG1sUEsFBgAAAAAGAAYAWQEAALUF&#10;AAAAAA==&#10;">
                        <v:fill on="f" focussize="0,0"/>
                        <v:stroke weight="1pt" color="#000000 [3213]" miterlimit="8" joinstyle="miter" endarrow="open"/>
                        <v:imagedata o:title=""/>
                        <o:lock v:ext="edit" aspectratio="f"/>
                      </v:shape>
                      <v:shape id="直接箭头连接符 38" o:spid="_x0000_s1026" o:spt="32" type="#_x0000_t32" style="position:absolute;left:2230755;top:1104900;flip:y;height:130810;width:212725;" filled="f" stroked="t" coordsize="21600,21600" o:gfxdata="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XzNbSAAAABQEAAA8A&#10;AAAAAAAAAQAgAAAAIgAAAGRycy9kb3ducmV2LnhtbFBLAQIUABQAAAAIAIdO4kCECDfUHQIAAP0D&#10;AAAOAAAAAAAAAAEAIAAAACEBAABkcnMvZTJvRG9jLnhtbFBLBQYAAAAABgAGAFkBAACwBQAAAAA=&#10;">
                        <v:fill on="f" focussize="0,0"/>
                        <v:stroke weight="1pt" color="#000000 [3213]" miterlimit="8" joinstyle="miter" dashstyle="3 1" endarrow="open"/>
                        <v:imagedata o:title=""/>
                        <o:lock v:ext="edit" aspectratio="f"/>
                      </v:shape>
                      <v:shape id="_x0000_s1026" o:spid="_x0000_s1026" o:spt="202" type="#_x0000_t202" style="position:absolute;left:2450465;top:942975;height:306070;width:570865;"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ofp/XAAAABQEAAA8AAAAAAAAAAQAg&#10;AAAAIgAAAGRycy9kb3ducmV2LnhtbFBLAQIUABQAAAAIAIdO4kCE41HuSAIAAHIEAAAOAAAAAAAA&#10;AAEAIAAAACYBAABkcnMvZTJvRG9jLnhtbFBLBQYAAAAABgAGAFkBAADgBQAAAAA=&#10;">
                        <v:fill on="f" focussize="0,0"/>
                        <v:stroke on="f" weight="0.5pt"/>
                        <v:imagedata o:title=""/>
                        <o:lock v:ext="edit" aspectratio="f"/>
                        <v:textbox>
                          <w:txbxContent>
                            <w:p w14:paraId="51A083C0">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14.21</w:t>
                              </w:r>
                            </w:p>
                          </w:txbxContent>
                        </v:textbox>
                      </v:shape>
                      <v:shape id="_x0000_s1026" o:spid="_x0000_s1026" o:spt="202" type="#_x0000_t202" style="position:absolute;left:2413000;top:1619250;height:306070;width:684530;" filled="f" stroked="f" coordsize="21600,21600" o:gfxdata="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aH6f1wAAAAUBAAAPAAAAAAAAAAEAIAAA&#10;ACIAAABkcnMvZG93bnJldi54bWxQSwECFAAUAAAACACHTuJAXpMFd0YCAABzBAAADgAAAAAAAAAB&#10;ACAAAAAmAQAAZHJzL2Uyb0RvYy54bWxQSwUGAAAAAAYABgBZAQAA3gUAAAAA&#10;">
                        <v:fill on="f" focussize="0,0"/>
                        <v:stroke on="f" weight="0.5pt"/>
                        <v:imagedata o:title=""/>
                        <o:lock v:ext="edit" aspectratio="f"/>
                        <v:textbox>
                          <w:txbxContent>
                            <w:p w14:paraId="6389F8A0">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135</w:t>
                              </w:r>
                            </w:p>
                          </w:txbxContent>
                        </v:textbox>
                      </v:shape>
                      <v:shape id="_x0000_s1026" o:spid="_x0000_s1026" o:spt="32" type="#_x0000_t32" style="position:absolute;left:1211580;top:3002280;flip:y;height:5080;width:657225;" filled="f" stroked="t" coordsize="21600,21600" o:gfxdata="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HEHjXAAAABQEAAA8A&#10;AAAAAAAAAQAgAAAAIgAAAGRycy9kb3ducmV2LnhtbFBLAQIUABQAAAAIAIdO4kB9HfaqGAIAAPkD&#10;AAAOAAAAAAAAAAEAIAAAACYBAABkcnMvZTJvRG9jLnhtbFBLBQYAAAAABgAGAFkBAACwBQAAAAA=&#10;">
                        <v:fill on="f" focussize="0,0"/>
                        <v:stroke weight="1pt" color="#000000 [3213]" miterlimit="8" joinstyle="miter" endarrow="open"/>
                        <v:imagedata o:title=""/>
                        <o:lock v:ext="edit" aspectratio="f"/>
                      </v:shape>
                      <w10:wrap type="none"/>
                      <w10:anchorlock/>
                    </v:group>
                  </w:pict>
                </mc:Fallback>
              </mc:AlternateContent>
            </w:r>
          </w:p>
          <w:p w14:paraId="4921ECDE">
            <w:pPr>
              <w:jc w:val="center"/>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图2-1  水平衡图     m</w:t>
            </w:r>
            <w:r>
              <w:rPr>
                <w:rFonts w:hint="default" w:ascii="Times New Roman" w:hAnsi="Times New Roman" w:cs="Times New Roman" w:eastAsiaTheme="minorEastAsia"/>
                <w:b/>
                <w:color w:val="000000" w:themeColor="text1"/>
                <w:sz w:val="24"/>
                <w:highlight w:val="none"/>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4"/>
                <w:highlight w:val="none"/>
                <w14:textFill>
                  <w14:solidFill>
                    <w14:schemeClr w14:val="tx1"/>
                  </w14:solidFill>
                </w14:textFill>
              </w:rPr>
              <w:t>/d</w:t>
            </w:r>
          </w:p>
          <w:p w14:paraId="1B4D7792">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.劳动定员及工作制度</w:t>
            </w:r>
          </w:p>
          <w:p w14:paraId="0A655F3D">
            <w:pPr>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根据企业提供的资料，本项目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不新增劳动定员</w:t>
            </w:r>
            <w:r>
              <w:rPr>
                <w:rFonts w:hint="default" w:ascii="Times New Roman" w:hAnsi="Times New Roman" w:cs="Times New Roman" w:eastAsiaTheme="minorEastAsia"/>
                <w:color w:val="000000" w:themeColor="text1"/>
                <w:sz w:val="24"/>
                <w:highlight w:val="none"/>
                <w14:textFill>
                  <w14:solidFill>
                    <w14:schemeClr w14:val="tx1"/>
                  </w14:solidFill>
                </w14:textFill>
              </w:rPr>
              <w:t>，年工作</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4"/>
                <w:highlight w:val="none"/>
                <w14:textFill>
                  <w14:solidFill>
                    <w14:schemeClr w14:val="tx1"/>
                  </w14:solidFill>
                </w14:textFill>
              </w:rPr>
              <w:t>天</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，实行8h一班制。</w:t>
            </w:r>
          </w:p>
          <w:p w14:paraId="4FA9CA13">
            <w:pPr>
              <w:widowControl w:val="0"/>
              <w:spacing w:line="360" w:lineRule="auto"/>
              <w:ind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8.平面布置</w:t>
            </w:r>
          </w:p>
          <w:p w14:paraId="7DC3BDA4">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本项目在购买的宝鸡皓顺硅业有限公司原石英矿石的矿石加工区内进行技改扩建，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总平面布置根据建设选址的地形特点等基础设施条件，因地制宜，合理规划，做到功能分区、系统分明、布置整齐；生产、辅助和运输布置既要考虑项目生产的需要，又要方便作业，尽量避免物流与人流相互交叉、往复；场地利用要科学合理，规范确定建筑物、构筑物间距，保证生产营运和消防安全，项目各功能区之间规划合理，方便作业，本项目平面布置图详见附图2。</w:t>
            </w:r>
          </w:p>
        </w:tc>
      </w:tr>
      <w:tr w14:paraId="25D93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398" w:type="pct"/>
            <w:tcBorders>
              <w:tl2br w:val="nil"/>
              <w:tr2bl w:val="nil"/>
            </w:tcBorders>
            <w:noWrap/>
            <w:vAlign w:val="center"/>
          </w:tcPr>
          <w:p w14:paraId="6A9F0024">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工艺流程和产排污环节</w:t>
            </w:r>
          </w:p>
        </w:tc>
        <w:tc>
          <w:tcPr>
            <w:tcW w:w="4601" w:type="pct"/>
            <w:tcBorders>
              <w:tl2br w:val="nil"/>
              <w:tr2bl w:val="nil"/>
            </w:tcBorders>
            <w:noWrap/>
          </w:tcPr>
          <w:p w14:paraId="536925F5">
            <w:pPr>
              <w:pStyle w:val="56"/>
              <w:spacing w:beforeLines="0"/>
              <w:ind w:firstLine="482"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施工期工艺流程</w:t>
            </w:r>
          </w:p>
          <w:p w14:paraId="7D90B514">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根据现场调查，项目场地以前为石料加工场地，目前场地现有设备完好，环保设备完好，生产车间完好，</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水洗设备已到场，</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原料库和成品车间未建设。</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施工期主要污染影响为工程建设过程中产生的施工废气、废水、噪声及施工固体废物</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施工期主要为少量土建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工作</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施工期较短</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对周围环境影响较小。</w:t>
            </w:r>
          </w:p>
          <w:p w14:paraId="0F3EB9B7">
            <w:pPr>
              <w:pStyle w:val="56"/>
              <w:spacing w:beforeLine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运营期工艺流程</w:t>
            </w:r>
          </w:p>
          <w:p w14:paraId="34D225C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本项目运营流程及产污环节如下所示：</w:t>
            </w:r>
          </w:p>
          <w:p w14:paraId="0B4C5CD1">
            <w:pPr>
              <w:widowControl/>
              <w:tabs>
                <w:tab w:val="left" w:pos="1057"/>
                <w:tab w:val="left" w:pos="2809"/>
                <w:tab w:val="center" w:pos="4153"/>
                <w:tab w:val="left" w:pos="6937"/>
              </w:tabs>
              <w:spacing w:line="360" w:lineRule="auto"/>
              <w:jc w:val="center"/>
              <w:rPr>
                <w:rFonts w:hint="default" w:ascii="Times New Roman" w:hAnsi="Times New Roman" w:cs="Times New Roman" w:eastAsiaTheme="minorEastAsia"/>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eastAsia="zh-CN"/>
                <w14:textFill>
                  <w14:solidFill>
                    <w14:schemeClr w14:val="tx1"/>
                  </w14:solidFill>
                </w14:textFill>
              </w:rPr>
              <w:object>
                <v:shape id="_x0000_i1025" o:spt="75" type="#_x0000_t75" style="height:298.45pt;width:288.7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08A6AD21">
            <w:pPr>
              <w:widowControl/>
              <w:tabs>
                <w:tab w:val="left" w:pos="1057"/>
                <w:tab w:val="left" w:pos="2809"/>
                <w:tab w:val="center" w:pos="4153"/>
                <w:tab w:val="left" w:pos="6937"/>
              </w:tabs>
              <w:spacing w:line="360" w:lineRule="auto"/>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图2-</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 xml:space="preserve">  生产工艺流程及产污环节图</w:t>
            </w:r>
          </w:p>
          <w:p w14:paraId="08E11FE6">
            <w:pPr>
              <w:widowControl/>
              <w:tabs>
                <w:tab w:val="left" w:pos="1057"/>
                <w:tab w:val="left" w:pos="2809"/>
                <w:tab w:val="center" w:pos="4153"/>
                <w:tab w:val="left" w:pos="6937"/>
              </w:tabs>
              <w:spacing w:line="360" w:lineRule="auto"/>
              <w:ind w:firstLine="482" w:firstLineChars="200"/>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工艺流程及产污说明：</w:t>
            </w:r>
          </w:p>
          <w:p w14:paraId="1B3A6FF6">
            <w:pPr>
              <w:spacing w:line="360" w:lineRule="auto"/>
              <w:ind w:firstLine="480" w:firstLineChars="200"/>
              <w:rPr>
                <w:color w:val="000000" w:themeColor="text1"/>
                <w14:textFill>
                  <w14:solidFill>
                    <w14:schemeClr w14:val="tx1"/>
                  </w14:solidFill>
                </w14:textFill>
              </w:rPr>
            </w:pPr>
            <w:bookmarkStart w:id="19" w:name="3.2.1.2焊装车间污染因素分析"/>
            <w:bookmarkEnd w:id="19"/>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原材料从运输车辆卸至原料间暂存</w:t>
            </w:r>
            <w:r>
              <w:rPr>
                <w:rFonts w:hint="default" w:ascii="Times New Roman" w:hAnsi="Times New Roman" w:cs="Times New Roman" w:eastAsiaTheme="minorEastAsia"/>
                <w:color w:val="000000" w:themeColor="text1"/>
                <w:sz w:val="24"/>
                <w:highlight w:val="none"/>
                <w14:textFill>
                  <w14:solidFill>
                    <w14:schemeClr w14:val="tx1"/>
                  </w14:solidFill>
                </w14:textFill>
              </w:rPr>
              <w:t>，使用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装载机运输至喂料机</w:t>
            </w:r>
            <w:r>
              <w:rPr>
                <w:rFonts w:hint="default" w:ascii="Times New Roman" w:hAnsi="Times New Roman" w:cs="Times New Roman" w:eastAsiaTheme="minorEastAsia"/>
                <w:color w:val="000000" w:themeColor="text1"/>
                <w:sz w:val="24"/>
                <w:highlight w:val="none"/>
                <w14:textFill>
                  <w14:solidFill>
                    <w14:schemeClr w14:val="tx1"/>
                  </w14:solidFill>
                </w14:textFill>
              </w:rPr>
              <w:t>进入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颚式破碎机进行破碎，破碎完之后经皮带输送机运送至振动筛进行筛分，筛分后由皮带输送至滚筒筛进行二次筛分，其中筛下物（硅渣）作为成品外售，筛上物的20%小粒径作为产品外售，另一部分筛上物进入水洗滚筒筛进行水洗，水洗后经皮带输送进入分拣区进行人工分拣，分拣后即为成品，杂石、杂志集中堆放，外售处理。</w:t>
            </w:r>
          </w:p>
          <w:p w14:paraId="5622F20B">
            <w:pPr>
              <w:bidi w:val="0"/>
              <w:spacing w:line="360" w:lineRule="auto"/>
              <w:ind w:firstLine="480" w:firstLineChars="200"/>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w:t>
            </w:r>
            <w:r>
              <w:rPr>
                <w:rFonts w:hint="default" w:ascii="Times New Roman" w:hAnsi="Times New Roman" w:cs="Times New Roman"/>
                <w:color w:val="000000" w:themeColor="text1"/>
                <w:kern w:val="0"/>
                <w:sz w:val="24"/>
                <w:lang w:val="en-US" w:eastAsia="zh-CN"/>
                <w14:textFill>
                  <w14:solidFill>
                    <w14:schemeClr w14:val="tx1"/>
                  </w14:solidFill>
                </w14:textFill>
              </w:rPr>
              <w:t>废气主要为</w:t>
            </w:r>
            <w:r>
              <w:rPr>
                <w:rFonts w:hint="default" w:ascii="Times New Roman" w:hAnsi="Times New Roman" w:eastAsia="宋体" w:cs="Times New Roman"/>
                <w:color w:val="000000" w:themeColor="text1"/>
                <w:sz w:val="24"/>
                <w:szCs w:val="24"/>
                <w:highlight w:val="none"/>
                <w14:textFill>
                  <w14:solidFill>
                    <w14:schemeClr w14:val="tx1"/>
                  </w14:solidFill>
                </w14:textFill>
              </w:rPr>
              <w:t>原料破碎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筛分粉尘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物料装卸</w:t>
            </w:r>
            <w:r>
              <w:rPr>
                <w:rFonts w:hint="default" w:ascii="Times New Roman" w:hAnsi="Times New Roman" w:cs="Times New Roman"/>
                <w:b w:val="0"/>
                <w:bCs w:val="0"/>
                <w:color w:val="000000" w:themeColor="text1"/>
                <w:sz w:val="24"/>
                <w:highlight w:val="none"/>
                <w14:textFill>
                  <w14:solidFill>
                    <w14:schemeClr w14:val="tx1"/>
                  </w14:solidFill>
                </w14:textFill>
              </w:rPr>
              <w:t>粉尘</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堆场扬尘</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车辆运输扬尘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噪声为</w:t>
            </w:r>
            <w:r>
              <w:rPr>
                <w:rFonts w:hint="eastAsia" w:ascii="Times New Roman" w:hAnsi="Times New Roman" w:cs="Times New Roman"/>
                <w:color w:val="000000" w:themeColor="text1"/>
                <w:kern w:val="0"/>
                <w:sz w:val="24"/>
                <w:lang w:val="en-US" w:eastAsia="zh-CN"/>
                <w14:textFill>
                  <w14:solidFill>
                    <w14:schemeClr w14:val="tx1"/>
                  </w14:solidFill>
                </w14:textFill>
              </w:rPr>
              <w:t>设备</w:t>
            </w:r>
            <w:r>
              <w:rPr>
                <w:rFonts w:hint="default" w:ascii="Times New Roman" w:hAnsi="Times New Roman" w:cs="Times New Roman"/>
                <w:color w:val="000000" w:themeColor="text1"/>
                <w:kern w:val="0"/>
                <w:sz w:val="24"/>
                <w:lang w:val="en-US" w:eastAsia="zh-CN"/>
                <w14:textFill>
                  <w14:solidFill>
                    <w14:schemeClr w14:val="tx1"/>
                  </w14:solidFill>
                </w14:textFill>
              </w:rPr>
              <w:t>运转噪声</w:t>
            </w:r>
            <w:r>
              <w:rPr>
                <w:rFonts w:hint="eastAsia" w:ascii="Times New Roman" w:hAnsi="Times New Roman" w:cs="Times New Roman"/>
                <w:color w:val="000000" w:themeColor="text1"/>
                <w:kern w:val="0"/>
                <w:sz w:val="24"/>
                <w:lang w:val="en-US" w:eastAsia="zh-CN"/>
                <w14:textFill>
                  <w14:solidFill>
                    <w14:schemeClr w14:val="tx1"/>
                  </w14:solidFill>
                </w14:textFill>
              </w:rPr>
              <w:t>，固废主要为布袋收尘灰、沉降粉尘、分拣杂质、沉淀池沉渣</w:t>
            </w:r>
            <w:r>
              <w:rPr>
                <w:rFonts w:hint="default" w:ascii="Times New Roman" w:hAnsi="Times New Roman" w:cs="Times New Roman"/>
                <w:color w:val="000000" w:themeColor="text1"/>
                <w:kern w:val="0"/>
                <w:sz w:val="24"/>
                <w:lang w:eastAsia="zh-CN"/>
                <w14:textFill>
                  <w14:solidFill>
                    <w14:schemeClr w14:val="tx1"/>
                  </w14:solidFill>
                </w14:textFill>
              </w:rPr>
              <w:t>。</w:t>
            </w:r>
          </w:p>
          <w:p w14:paraId="17BEE5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各污染物来源途径见表2-</w:t>
            </w:r>
            <w:r>
              <w:rPr>
                <w:rFonts w:hint="default" w:ascii="Times New Roman" w:hAnsi="Times New Roman" w:cs="Times New Roman"/>
                <w:bCs/>
                <w:color w:val="000000" w:themeColor="text1"/>
                <w:sz w:val="24"/>
                <w:lang w:val="en-US" w:eastAsia="zh-CN"/>
                <w14:textFill>
                  <w14:solidFill>
                    <w14:schemeClr w14:val="tx1"/>
                  </w14:solidFill>
                </w14:textFill>
              </w:rPr>
              <w:t>6</w:t>
            </w:r>
            <w:r>
              <w:rPr>
                <w:rFonts w:hint="default" w:ascii="Times New Roman" w:hAnsi="Times New Roman" w:cs="Times New Roman"/>
                <w:bCs/>
                <w:color w:val="000000" w:themeColor="text1"/>
                <w:sz w:val="24"/>
                <w14:textFill>
                  <w14:solidFill>
                    <w14:schemeClr w14:val="tx1"/>
                  </w14:solidFill>
                </w14:textFill>
              </w:rPr>
              <w:t>。</w:t>
            </w:r>
          </w:p>
          <w:p w14:paraId="61F01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表2-6 主要污染物一览表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99"/>
              <w:gridCol w:w="1001"/>
              <w:gridCol w:w="1418"/>
              <w:gridCol w:w="2875"/>
              <w:gridCol w:w="1081"/>
              <w:gridCol w:w="1094"/>
            </w:tblGrid>
            <w:tr w14:paraId="7E474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noWrap w:val="0"/>
                  <w:vAlign w:val="center"/>
                </w:tcPr>
                <w:p w14:paraId="224B87F1">
                  <w:pPr>
                    <w:pStyle w:val="41"/>
                    <w:kinsoku w:val="0"/>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污染</w:t>
                  </w:r>
                  <w:r>
                    <w:rPr>
                      <w:rFonts w:hint="default" w:ascii="Times New Roman" w:hAnsi="Times New Roman" w:cs="Times New Roman"/>
                      <w:b/>
                      <w:bCs/>
                      <w:color w:val="000000" w:themeColor="text1"/>
                      <w:sz w:val="21"/>
                      <w:szCs w:val="21"/>
                      <w14:textFill>
                        <w14:solidFill>
                          <w14:schemeClr w14:val="tx1"/>
                        </w14:solidFill>
                      </w14:textFill>
                    </w:rPr>
                    <w:t>类型</w:t>
                  </w:r>
                </w:p>
              </w:tc>
              <w:tc>
                <w:tcPr>
                  <w:tcW w:w="1418" w:type="dxa"/>
                  <w:noWrap w:val="0"/>
                  <w:vAlign w:val="center"/>
                </w:tcPr>
                <w:p w14:paraId="22499625">
                  <w:pPr>
                    <w:pStyle w:val="41"/>
                    <w:kinsoku w:val="0"/>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产生工序</w:t>
                  </w:r>
                </w:p>
              </w:tc>
              <w:tc>
                <w:tcPr>
                  <w:tcW w:w="2875" w:type="dxa"/>
                  <w:noWrap w:val="0"/>
                  <w:vAlign w:val="center"/>
                </w:tcPr>
                <w:p w14:paraId="47620D0A">
                  <w:pPr>
                    <w:pStyle w:val="41"/>
                    <w:kinsoku w:val="0"/>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主要污染物</w:t>
                  </w:r>
                </w:p>
              </w:tc>
              <w:tc>
                <w:tcPr>
                  <w:tcW w:w="1081" w:type="dxa"/>
                  <w:noWrap w:val="0"/>
                  <w:vAlign w:val="center"/>
                </w:tcPr>
                <w:p w14:paraId="3CD5B8B5">
                  <w:pPr>
                    <w:pStyle w:val="41"/>
                    <w:kinsoku w:val="0"/>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产生位置</w:t>
                  </w:r>
                </w:p>
              </w:tc>
              <w:tc>
                <w:tcPr>
                  <w:tcW w:w="1094" w:type="dxa"/>
                  <w:noWrap w:val="0"/>
                  <w:vAlign w:val="center"/>
                </w:tcPr>
                <w:p w14:paraId="6F35E2B9">
                  <w:pPr>
                    <w:pStyle w:val="41"/>
                    <w:kinsoku w:val="0"/>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排放方式</w:t>
                  </w:r>
                </w:p>
              </w:tc>
            </w:tr>
            <w:tr w14:paraId="184A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dxa"/>
                  <w:vMerge w:val="restart"/>
                  <w:noWrap w:val="0"/>
                  <w:vAlign w:val="center"/>
                </w:tcPr>
                <w:p w14:paraId="56999AC4">
                  <w:pPr>
                    <w:pStyle w:val="41"/>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1001" w:type="dxa"/>
                  <w:noWrap w:val="0"/>
                  <w:vAlign w:val="center"/>
                </w:tcPr>
                <w:p w14:paraId="504B9581">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破碎、筛分粉尘</w:t>
                  </w:r>
                </w:p>
              </w:tc>
              <w:tc>
                <w:tcPr>
                  <w:tcW w:w="1418" w:type="dxa"/>
                  <w:noWrap w:val="0"/>
                  <w:vAlign w:val="center"/>
                </w:tcPr>
                <w:p w14:paraId="5DBCEDEC">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破碎、筛分</w:t>
                  </w:r>
                </w:p>
              </w:tc>
              <w:tc>
                <w:tcPr>
                  <w:tcW w:w="2875" w:type="dxa"/>
                  <w:noWrap w:val="0"/>
                  <w:vAlign w:val="center"/>
                </w:tcPr>
                <w:p w14:paraId="2A5FEEAB">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081" w:type="dxa"/>
                  <w:noWrap w:val="0"/>
                  <w:vAlign w:val="center"/>
                </w:tcPr>
                <w:p w14:paraId="42F8740C">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w:t>
                  </w:r>
                </w:p>
              </w:tc>
              <w:tc>
                <w:tcPr>
                  <w:tcW w:w="1094" w:type="dxa"/>
                  <w:noWrap w:val="0"/>
                  <w:vAlign w:val="center"/>
                </w:tcPr>
                <w:p w14:paraId="575449EA">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r w14:paraId="01935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dxa"/>
                  <w:vMerge w:val="continue"/>
                  <w:noWrap w:val="0"/>
                  <w:vAlign w:val="center"/>
                </w:tcPr>
                <w:p w14:paraId="3DFA4D2B">
                  <w:pPr>
                    <w:pStyle w:val="41"/>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1001" w:type="dxa"/>
                  <w:noWrap w:val="0"/>
                  <w:vAlign w:val="center"/>
                </w:tcPr>
                <w:p w14:paraId="25911F64">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物料装卸粉尘</w:t>
                  </w:r>
                </w:p>
              </w:tc>
              <w:tc>
                <w:tcPr>
                  <w:tcW w:w="1418" w:type="dxa"/>
                  <w:noWrap w:val="0"/>
                  <w:vAlign w:val="center"/>
                </w:tcPr>
                <w:p w14:paraId="78D86001">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物料装卸</w:t>
                  </w:r>
                </w:p>
              </w:tc>
              <w:tc>
                <w:tcPr>
                  <w:tcW w:w="2875" w:type="dxa"/>
                  <w:noWrap w:val="0"/>
                  <w:vAlign w:val="center"/>
                </w:tcPr>
                <w:p w14:paraId="0F7C7F0F">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081" w:type="dxa"/>
                  <w:noWrap w:val="0"/>
                  <w:vAlign w:val="center"/>
                </w:tcPr>
                <w:p w14:paraId="5F8C41FB">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原料车间、成品车间</w:t>
                  </w:r>
                </w:p>
              </w:tc>
              <w:tc>
                <w:tcPr>
                  <w:tcW w:w="1094" w:type="dxa"/>
                  <w:noWrap w:val="0"/>
                  <w:vAlign w:val="center"/>
                </w:tcPr>
                <w:p w14:paraId="7C1397EF">
                  <w:pPr>
                    <w:pStyle w:val="41"/>
                    <w:kinsoku w:val="0"/>
                    <w:overflowPunct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室内、间歇</w:t>
                  </w:r>
                </w:p>
              </w:tc>
            </w:tr>
            <w:tr w14:paraId="2581D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dxa"/>
                  <w:vMerge w:val="continue"/>
                  <w:noWrap w:val="0"/>
                  <w:vAlign w:val="center"/>
                </w:tcPr>
                <w:p w14:paraId="6C590B5C">
                  <w:pPr>
                    <w:pStyle w:val="41"/>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1001" w:type="dxa"/>
                  <w:noWrap w:val="0"/>
                  <w:vAlign w:val="center"/>
                </w:tcPr>
                <w:p w14:paraId="7C88D692">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堆场扬尘</w:t>
                  </w:r>
                </w:p>
              </w:tc>
              <w:tc>
                <w:tcPr>
                  <w:tcW w:w="1418" w:type="dxa"/>
                  <w:noWrap w:val="0"/>
                  <w:vAlign w:val="center"/>
                </w:tcPr>
                <w:p w14:paraId="63E7BD1D">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物料堆场</w:t>
                  </w:r>
                </w:p>
              </w:tc>
              <w:tc>
                <w:tcPr>
                  <w:tcW w:w="2875" w:type="dxa"/>
                  <w:noWrap w:val="0"/>
                  <w:vAlign w:val="center"/>
                </w:tcPr>
                <w:p w14:paraId="5680A7E5">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081" w:type="dxa"/>
                  <w:noWrap w:val="0"/>
                  <w:vAlign w:val="center"/>
                </w:tcPr>
                <w:p w14:paraId="06AA94F8">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原料车间、成品车间</w:t>
                  </w:r>
                </w:p>
              </w:tc>
              <w:tc>
                <w:tcPr>
                  <w:tcW w:w="1094" w:type="dxa"/>
                  <w:noWrap w:val="0"/>
                  <w:vAlign w:val="center"/>
                </w:tcPr>
                <w:p w14:paraId="72542BAB">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室内、间歇</w:t>
                  </w:r>
                </w:p>
              </w:tc>
            </w:tr>
            <w:tr w14:paraId="121E3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dxa"/>
                  <w:vMerge w:val="continue"/>
                  <w:noWrap w:val="0"/>
                  <w:vAlign w:val="center"/>
                </w:tcPr>
                <w:p w14:paraId="42EB7473">
                  <w:pPr>
                    <w:pStyle w:val="41"/>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1001" w:type="dxa"/>
                  <w:noWrap w:val="0"/>
                  <w:vAlign w:val="center"/>
                </w:tcPr>
                <w:p w14:paraId="4EB2C834">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运输扬尘</w:t>
                  </w:r>
                </w:p>
              </w:tc>
              <w:tc>
                <w:tcPr>
                  <w:tcW w:w="1418" w:type="dxa"/>
                  <w:noWrap w:val="0"/>
                  <w:vAlign w:val="center"/>
                </w:tcPr>
                <w:p w14:paraId="03065F4E">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车辆运输扬尘</w:t>
                  </w:r>
                </w:p>
              </w:tc>
              <w:tc>
                <w:tcPr>
                  <w:tcW w:w="2875" w:type="dxa"/>
                  <w:noWrap w:val="0"/>
                  <w:vAlign w:val="center"/>
                </w:tcPr>
                <w:p w14:paraId="749655FE">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081" w:type="dxa"/>
                  <w:noWrap w:val="0"/>
                  <w:vAlign w:val="center"/>
                </w:tcPr>
                <w:p w14:paraId="514C886A">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厂内道路</w:t>
                  </w:r>
                </w:p>
              </w:tc>
              <w:tc>
                <w:tcPr>
                  <w:tcW w:w="1094" w:type="dxa"/>
                  <w:noWrap w:val="0"/>
                  <w:vAlign w:val="center"/>
                </w:tcPr>
                <w:p w14:paraId="7820C3E7">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室外、间歇</w:t>
                  </w:r>
                </w:p>
              </w:tc>
            </w:tr>
            <w:tr w14:paraId="38D5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noWrap w:val="0"/>
                  <w:vAlign w:val="center"/>
                </w:tcPr>
                <w:p w14:paraId="654414F3">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418" w:type="dxa"/>
                  <w:noWrap w:val="0"/>
                  <w:vAlign w:val="center"/>
                </w:tcPr>
                <w:p w14:paraId="637DF21B">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设备运转</w:t>
                  </w:r>
                </w:p>
              </w:tc>
              <w:tc>
                <w:tcPr>
                  <w:tcW w:w="2875" w:type="dxa"/>
                  <w:noWrap w:val="0"/>
                  <w:vAlign w:val="center"/>
                </w:tcPr>
                <w:p w14:paraId="01F6F781">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设备噪声</w:t>
                  </w:r>
                </w:p>
              </w:tc>
              <w:tc>
                <w:tcPr>
                  <w:tcW w:w="1081" w:type="dxa"/>
                  <w:noWrap w:val="0"/>
                  <w:vAlign w:val="center"/>
                </w:tcPr>
                <w:p w14:paraId="40A9D8FF">
                  <w:pPr>
                    <w:pStyle w:val="41"/>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w:t>
                  </w:r>
                </w:p>
              </w:tc>
              <w:tc>
                <w:tcPr>
                  <w:tcW w:w="1094" w:type="dxa"/>
                  <w:noWrap w:val="0"/>
                  <w:vAlign w:val="center"/>
                </w:tcPr>
                <w:p w14:paraId="5CA0465B">
                  <w:pPr>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r w14:paraId="23BA1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vMerge w:val="restart"/>
                  <w:noWrap w:val="0"/>
                  <w:vAlign w:val="center"/>
                </w:tcPr>
                <w:p w14:paraId="4551FF3C">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固废</w:t>
                  </w:r>
                </w:p>
              </w:tc>
              <w:tc>
                <w:tcPr>
                  <w:tcW w:w="1418" w:type="dxa"/>
                  <w:noWrap w:val="0"/>
                  <w:vAlign w:val="center"/>
                </w:tcPr>
                <w:p w14:paraId="5B45C1CC">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布袋收尘灰</w:t>
                  </w:r>
                </w:p>
              </w:tc>
              <w:tc>
                <w:tcPr>
                  <w:tcW w:w="2875" w:type="dxa"/>
                  <w:noWrap w:val="0"/>
                  <w:vAlign w:val="center"/>
                </w:tcPr>
                <w:p w14:paraId="1E1CE7F0">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081" w:type="dxa"/>
                  <w:noWrap w:val="0"/>
                  <w:vAlign w:val="center"/>
                </w:tcPr>
                <w:p w14:paraId="6377E7A8">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布袋除尘器</w:t>
                  </w:r>
                </w:p>
              </w:tc>
              <w:tc>
                <w:tcPr>
                  <w:tcW w:w="1094" w:type="dxa"/>
                  <w:noWrap w:val="0"/>
                  <w:vAlign w:val="center"/>
                </w:tcPr>
                <w:p w14:paraId="3122EA42">
                  <w:pPr>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不排放</w:t>
                  </w:r>
                </w:p>
              </w:tc>
            </w:tr>
            <w:tr w14:paraId="12025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vMerge w:val="continue"/>
                  <w:noWrap w:val="0"/>
                  <w:vAlign w:val="center"/>
                </w:tcPr>
                <w:p w14:paraId="6CCBEBBB">
                  <w:pPr>
                    <w:pStyle w:val="41"/>
                    <w:kinsoku w:val="0"/>
                    <w:overflowPunct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418" w:type="dxa"/>
                  <w:noWrap w:val="0"/>
                  <w:vAlign w:val="center"/>
                </w:tcPr>
                <w:p w14:paraId="75ADCD55">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沉降粉尘</w:t>
                  </w:r>
                </w:p>
              </w:tc>
              <w:tc>
                <w:tcPr>
                  <w:tcW w:w="2875" w:type="dxa"/>
                  <w:noWrap w:val="0"/>
                  <w:vAlign w:val="center"/>
                </w:tcPr>
                <w:p w14:paraId="63846C09">
                  <w:pPr>
                    <w:pStyle w:val="41"/>
                    <w:kinsoku w:val="0"/>
                    <w:overflowPunct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081" w:type="dxa"/>
                  <w:noWrap w:val="0"/>
                  <w:vAlign w:val="center"/>
                </w:tcPr>
                <w:p w14:paraId="6B2D3C30">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车间</w:t>
                  </w:r>
                </w:p>
              </w:tc>
              <w:tc>
                <w:tcPr>
                  <w:tcW w:w="1094" w:type="dxa"/>
                  <w:noWrap w:val="0"/>
                  <w:vAlign w:val="center"/>
                </w:tcPr>
                <w:p w14:paraId="42D3667F">
                  <w:pPr>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不排放</w:t>
                  </w:r>
                </w:p>
              </w:tc>
            </w:tr>
            <w:tr w14:paraId="479BD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vMerge w:val="continue"/>
                  <w:noWrap w:val="0"/>
                  <w:vAlign w:val="center"/>
                </w:tcPr>
                <w:p w14:paraId="6BA5BDC1">
                  <w:pPr>
                    <w:pStyle w:val="41"/>
                    <w:kinsoku w:val="0"/>
                    <w:overflowPunct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418" w:type="dxa"/>
                  <w:noWrap w:val="0"/>
                  <w:vAlign w:val="center"/>
                </w:tcPr>
                <w:p w14:paraId="66813169">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分拣杂质</w:t>
                  </w:r>
                </w:p>
              </w:tc>
              <w:tc>
                <w:tcPr>
                  <w:tcW w:w="2875" w:type="dxa"/>
                  <w:noWrap w:val="0"/>
                  <w:vAlign w:val="center"/>
                </w:tcPr>
                <w:p w14:paraId="250EF83F">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废石</w:t>
                  </w:r>
                </w:p>
              </w:tc>
              <w:tc>
                <w:tcPr>
                  <w:tcW w:w="1081" w:type="dxa"/>
                  <w:noWrap w:val="0"/>
                  <w:vAlign w:val="center"/>
                </w:tcPr>
                <w:p w14:paraId="6B9C1FF1">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人工分拣</w:t>
                  </w:r>
                </w:p>
              </w:tc>
              <w:tc>
                <w:tcPr>
                  <w:tcW w:w="1094" w:type="dxa"/>
                  <w:noWrap w:val="0"/>
                  <w:vAlign w:val="center"/>
                </w:tcPr>
                <w:p w14:paraId="2858E8EC">
                  <w:pPr>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不排放</w:t>
                  </w:r>
                </w:p>
              </w:tc>
            </w:tr>
            <w:tr w14:paraId="74EAE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0" w:type="dxa"/>
                  <w:gridSpan w:val="2"/>
                  <w:vMerge w:val="continue"/>
                  <w:noWrap w:val="0"/>
                  <w:vAlign w:val="center"/>
                </w:tcPr>
                <w:p w14:paraId="355A765F">
                  <w:pPr>
                    <w:pStyle w:val="41"/>
                    <w:kinsoku w:val="0"/>
                    <w:overflowPunct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418" w:type="dxa"/>
                  <w:noWrap w:val="0"/>
                  <w:vAlign w:val="center"/>
                </w:tcPr>
                <w:p w14:paraId="4506A719">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沉淀池沉渣</w:t>
                  </w:r>
                </w:p>
              </w:tc>
              <w:tc>
                <w:tcPr>
                  <w:tcW w:w="2875" w:type="dxa"/>
                  <w:noWrap w:val="0"/>
                  <w:vAlign w:val="center"/>
                </w:tcPr>
                <w:p w14:paraId="7277F9D6">
                  <w:pPr>
                    <w:pStyle w:val="41"/>
                    <w:kinsoku w:val="0"/>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污泥</w:t>
                  </w:r>
                </w:p>
              </w:tc>
              <w:tc>
                <w:tcPr>
                  <w:tcW w:w="1081" w:type="dxa"/>
                  <w:noWrap w:val="0"/>
                  <w:vAlign w:val="center"/>
                </w:tcPr>
                <w:p w14:paraId="7D6FB6E2">
                  <w:pPr>
                    <w:pStyle w:val="41"/>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沉淀池</w:t>
                  </w:r>
                </w:p>
              </w:tc>
              <w:tc>
                <w:tcPr>
                  <w:tcW w:w="1094" w:type="dxa"/>
                  <w:noWrap w:val="0"/>
                  <w:vAlign w:val="center"/>
                </w:tcPr>
                <w:p w14:paraId="07F45CA1">
                  <w:pPr>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不排放</w:t>
                  </w:r>
                </w:p>
              </w:tc>
            </w:tr>
          </w:tbl>
          <w:p w14:paraId="4EB77EC6">
            <w:pPr>
              <w:pStyle w:val="22"/>
              <w:rPr>
                <w:rFonts w:hint="default"/>
                <w:color w:val="000000" w:themeColor="text1"/>
                <w14:textFill>
                  <w14:solidFill>
                    <w14:schemeClr w14:val="tx1"/>
                  </w14:solidFill>
                </w14:textFill>
              </w:rPr>
            </w:pPr>
          </w:p>
        </w:tc>
      </w:tr>
      <w:tr w14:paraId="7DB35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pct"/>
            <w:tcBorders>
              <w:tl2br w:val="nil"/>
              <w:tr2bl w:val="nil"/>
            </w:tcBorders>
            <w:noWrap/>
            <w:vAlign w:val="center"/>
          </w:tcPr>
          <w:p w14:paraId="0BEC938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与项目有关的原有环境污染问题</w:t>
            </w:r>
          </w:p>
        </w:tc>
        <w:tc>
          <w:tcPr>
            <w:tcW w:w="4601" w:type="pct"/>
            <w:tcBorders>
              <w:tl2br w:val="nil"/>
              <w:tr2bl w:val="nil"/>
            </w:tcBorders>
            <w:noWrap/>
            <w:vAlign w:val="center"/>
          </w:tcPr>
          <w:p w14:paraId="302F39B8">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由于本次环评只涉及原有项目加工区的内容，故本次与原有项目有关的原有污染问题不涉及原有项目开采区内容。</w:t>
            </w:r>
          </w:p>
          <w:p w14:paraId="1CCBEAF5">
            <w:pPr>
              <w:keepNext/>
              <w:keepLines/>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1"/>
              <w:rPr>
                <w:rFonts w:hint="default" w:ascii="Times New Roman" w:hAnsi="Times New Roman" w:eastAsia="黑体" w:cs="Times New Roman"/>
                <w:bCs/>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Cs/>
                <w:color w:val="000000" w:themeColor="text1"/>
                <w:sz w:val="28"/>
                <w:szCs w:val="28"/>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、原有项目环评及验收情况</w:t>
            </w:r>
          </w:p>
          <w:p w14:paraId="2BB8404E">
            <w:pPr>
              <w:keepNext w:val="0"/>
              <w:keepLines w:val="0"/>
              <w:pageBreakBefore w:val="0"/>
              <w:kinsoku/>
              <w:wordWrap w:val="0"/>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宝鸡皓顺硅业有限公司</w:t>
            </w:r>
            <w:r>
              <w:rPr>
                <w:rFonts w:hint="default" w:ascii="Times New Roman" w:hAnsi="Times New Roman" w:cs="Times New Roman"/>
                <w:color w:val="000000" w:themeColor="text1"/>
                <w:sz w:val="24"/>
                <w:lang w:val="en-US" w:eastAsia="zh-CN"/>
                <w14:textFill>
                  <w14:solidFill>
                    <w14:schemeClr w14:val="tx1"/>
                  </w14:solidFill>
                </w14:textFill>
              </w:rPr>
              <w:t>于2017年进行环境影响评价，并于2017年4月25日取得</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关于陈仓区麻池石英矿扩建项目环境影响报告书的</w:t>
            </w:r>
            <w:r>
              <w:rPr>
                <w:rFonts w:hint="default" w:ascii="Times New Roman" w:hAnsi="Times New Roman" w:eastAsia="宋体" w:cs="Times New Roman"/>
                <w:color w:val="000000" w:themeColor="text1"/>
                <w:sz w:val="24"/>
                <w:szCs w:val="24"/>
                <w14:textFill>
                  <w14:solidFill>
                    <w14:schemeClr w14:val="tx1"/>
                  </w14:solidFill>
                </w14:textFill>
              </w:rPr>
              <w:t>批复》（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宝市</w:t>
            </w:r>
            <w:r>
              <w:rPr>
                <w:rFonts w:hint="default" w:ascii="Times New Roman" w:hAnsi="Times New Roman" w:eastAsia="宋体" w:cs="Times New Roman"/>
                <w:color w:val="000000" w:themeColor="text1"/>
                <w:sz w:val="24"/>
                <w:szCs w:val="24"/>
                <w:lang w:eastAsia="zh-CN"/>
                <w14:textFill>
                  <w14:solidFill>
                    <w14:schemeClr w14:val="tx1"/>
                  </w14:solidFill>
                </w14:textFill>
              </w:rPr>
              <w:t>环函〔201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155</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2019年4月由于勘探矿产资源储量发生变化，向原宝鸡市环境保护局提交了《关于报送陈仓区麻池石英矿扩建项目环境影响变更说明的请示》，2019年4月15日取得宝鸡市生态环境局《关于确认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陈仓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麻池石英矿扩建项目环境影响变更的函》（宝市环函</w:t>
            </w:r>
            <w:r>
              <w:rPr>
                <w:rFonts w:hint="default" w:ascii="Times New Roman" w:hAnsi="Times New Roman" w:eastAsia="宋体" w:cs="Times New Roman"/>
                <w:color w:val="000000" w:themeColor="text1"/>
                <w:sz w:val="24"/>
                <w:szCs w:val="24"/>
                <w:lang w:eastAsia="zh-CN"/>
                <w14:textFill>
                  <w14:solidFill>
                    <w14:schemeClr w14:val="tx1"/>
                  </w14:solidFill>
                </w14:textFill>
              </w:rPr>
              <w:t>〔201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），于2020年7月进行项目竣工环境保护验收，并通过验收。</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1056"/>
              <w:gridCol w:w="682"/>
              <w:gridCol w:w="986"/>
              <w:gridCol w:w="1869"/>
              <w:gridCol w:w="1128"/>
            </w:tblGrid>
            <w:tr w14:paraId="62826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520B37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原有项目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三同时</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情况</w:t>
                  </w:r>
                </w:p>
              </w:tc>
            </w:tr>
            <w:tr w14:paraId="17F3E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pct"/>
                  <w:vMerge w:val="restart"/>
                  <w:tcBorders>
                    <w:tl2br w:val="nil"/>
                    <w:tr2bl w:val="nil"/>
                  </w:tcBorders>
                  <w:noWrap w:val="0"/>
                  <w:vAlign w:val="center"/>
                </w:tcPr>
                <w:p w14:paraId="766B2B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项目名称</w:t>
                  </w:r>
                </w:p>
              </w:tc>
              <w:tc>
                <w:tcPr>
                  <w:tcW w:w="2882" w:type="pct"/>
                  <w:gridSpan w:val="4"/>
                  <w:tcBorders>
                    <w:tl2br w:val="nil"/>
                    <w:tr2bl w:val="nil"/>
                  </w:tcBorders>
                  <w:noWrap w:val="0"/>
                  <w:vAlign w:val="center"/>
                </w:tcPr>
                <w:p w14:paraId="3EBB89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环评审批情况</w:t>
                  </w:r>
                </w:p>
              </w:tc>
              <w:tc>
                <w:tcPr>
                  <w:tcW w:w="706" w:type="pct"/>
                  <w:tcBorders>
                    <w:tl2br w:val="nil"/>
                    <w:tr2bl w:val="nil"/>
                  </w:tcBorders>
                  <w:noWrap w:val="0"/>
                  <w:vAlign w:val="center"/>
                </w:tcPr>
                <w:p w14:paraId="67058B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验收情况</w:t>
                  </w:r>
                </w:p>
              </w:tc>
            </w:tr>
            <w:tr w14:paraId="7141C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pct"/>
                  <w:vMerge w:val="continue"/>
                  <w:tcBorders>
                    <w:tl2br w:val="nil"/>
                    <w:tr2bl w:val="nil"/>
                  </w:tcBorders>
                  <w:noWrap w:val="0"/>
                  <w:vAlign w:val="center"/>
                </w:tcPr>
                <w:p w14:paraId="560F8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662" w:type="pct"/>
                  <w:tcBorders>
                    <w:tl2br w:val="nil"/>
                    <w:tr2bl w:val="nil"/>
                  </w:tcBorders>
                  <w:noWrap w:val="0"/>
                  <w:vAlign w:val="center"/>
                </w:tcPr>
                <w:p w14:paraId="7AABC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时间</w:t>
                  </w:r>
                </w:p>
              </w:tc>
              <w:tc>
                <w:tcPr>
                  <w:tcW w:w="1047" w:type="pct"/>
                  <w:gridSpan w:val="2"/>
                  <w:tcBorders>
                    <w:tl2br w:val="nil"/>
                    <w:tr2bl w:val="nil"/>
                  </w:tcBorders>
                  <w:noWrap w:val="0"/>
                  <w:vAlign w:val="center"/>
                </w:tcPr>
                <w:p w14:paraId="516DB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部门</w:t>
                  </w:r>
                </w:p>
              </w:tc>
              <w:tc>
                <w:tcPr>
                  <w:tcW w:w="1172" w:type="pct"/>
                  <w:tcBorders>
                    <w:tl2br w:val="nil"/>
                    <w:tr2bl w:val="nil"/>
                  </w:tcBorders>
                  <w:noWrap w:val="0"/>
                  <w:vAlign w:val="center"/>
                </w:tcPr>
                <w:p w14:paraId="3730D8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文号</w:t>
                  </w:r>
                </w:p>
              </w:tc>
              <w:tc>
                <w:tcPr>
                  <w:tcW w:w="706" w:type="pct"/>
                  <w:tcBorders>
                    <w:tl2br w:val="nil"/>
                    <w:tr2bl w:val="nil"/>
                  </w:tcBorders>
                  <w:noWrap w:val="0"/>
                  <w:vAlign w:val="center"/>
                </w:tcPr>
                <w:p w14:paraId="44B15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时间</w:t>
                  </w:r>
                </w:p>
              </w:tc>
            </w:tr>
            <w:tr w14:paraId="3CE28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pct"/>
                  <w:tcBorders>
                    <w:tl2br w:val="nil"/>
                    <w:tr2bl w:val="nil"/>
                  </w:tcBorders>
                  <w:noWrap w:val="0"/>
                  <w:vAlign w:val="center"/>
                </w:tcPr>
                <w:p w14:paraId="6C8EFC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陈仓区麻池石英矿扩建项目</w:t>
                  </w:r>
                </w:p>
              </w:tc>
              <w:tc>
                <w:tcPr>
                  <w:tcW w:w="662" w:type="pct"/>
                  <w:tcBorders>
                    <w:tl2br w:val="nil"/>
                    <w:tr2bl w:val="nil"/>
                  </w:tcBorders>
                  <w:noWrap w:val="0"/>
                  <w:vAlign w:val="center"/>
                </w:tcPr>
                <w:p w14:paraId="58AB1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2017.4.25</w:t>
                  </w:r>
                </w:p>
              </w:tc>
              <w:tc>
                <w:tcPr>
                  <w:tcW w:w="1047" w:type="pct"/>
                  <w:gridSpan w:val="2"/>
                  <w:tcBorders>
                    <w:tl2br w:val="nil"/>
                    <w:tr2bl w:val="nil"/>
                  </w:tcBorders>
                  <w:noWrap w:val="0"/>
                  <w:vAlign w:val="center"/>
                </w:tcPr>
                <w:p w14:paraId="38A70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原宝鸡市环境保护局</w:t>
                  </w:r>
                </w:p>
              </w:tc>
              <w:tc>
                <w:tcPr>
                  <w:tcW w:w="1172" w:type="pct"/>
                  <w:tcBorders>
                    <w:tl2br w:val="nil"/>
                    <w:tr2bl w:val="nil"/>
                  </w:tcBorders>
                  <w:noWrap w:val="0"/>
                  <w:vAlign w:val="center"/>
                </w:tcPr>
                <w:p w14:paraId="0E1FC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宝市环函〔2017〕155号</w:t>
                  </w:r>
                </w:p>
              </w:tc>
              <w:tc>
                <w:tcPr>
                  <w:tcW w:w="706" w:type="pct"/>
                  <w:tcBorders>
                    <w:tl2br w:val="nil"/>
                    <w:tr2bl w:val="nil"/>
                  </w:tcBorders>
                  <w:noWrap w:val="0"/>
                  <w:vAlign w:val="center"/>
                </w:tcPr>
                <w:p w14:paraId="6CDA9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w:t>
                  </w:r>
                </w:p>
              </w:tc>
            </w:tr>
            <w:tr w14:paraId="17CE4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pct"/>
                  <w:tcBorders>
                    <w:tl2br w:val="nil"/>
                    <w:tr2bl w:val="nil"/>
                  </w:tcBorders>
                  <w:noWrap w:val="0"/>
                  <w:vAlign w:val="center"/>
                </w:tcPr>
                <w:p w14:paraId="27274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变更说明</w:t>
                  </w:r>
                </w:p>
              </w:tc>
              <w:tc>
                <w:tcPr>
                  <w:tcW w:w="662" w:type="pct"/>
                  <w:tcBorders>
                    <w:tl2br w:val="nil"/>
                    <w:tr2bl w:val="nil"/>
                  </w:tcBorders>
                  <w:noWrap w:val="0"/>
                  <w:vAlign w:val="center"/>
                </w:tcPr>
                <w:p w14:paraId="1D549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2019.4.15</w:t>
                  </w:r>
                </w:p>
              </w:tc>
              <w:tc>
                <w:tcPr>
                  <w:tcW w:w="1047" w:type="pct"/>
                  <w:gridSpan w:val="2"/>
                  <w:tcBorders>
                    <w:tl2br w:val="nil"/>
                    <w:tr2bl w:val="nil"/>
                  </w:tcBorders>
                  <w:noWrap w:val="0"/>
                  <w:vAlign w:val="center"/>
                </w:tcPr>
                <w:p w14:paraId="4386B7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宝鸡市生态环境局</w:t>
                  </w:r>
                </w:p>
              </w:tc>
              <w:tc>
                <w:tcPr>
                  <w:tcW w:w="1172" w:type="pct"/>
                  <w:tcBorders>
                    <w:tl2br w:val="nil"/>
                    <w:tr2bl w:val="nil"/>
                  </w:tcBorders>
                  <w:noWrap w:val="0"/>
                  <w:vAlign w:val="center"/>
                </w:tcPr>
                <w:p w14:paraId="16CEF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宝市环函〔2019〕144号</w:t>
                  </w:r>
                </w:p>
              </w:tc>
              <w:tc>
                <w:tcPr>
                  <w:tcW w:w="706" w:type="pct"/>
                  <w:tcBorders>
                    <w:tl2br w:val="nil"/>
                    <w:tr2bl w:val="nil"/>
                  </w:tcBorders>
                  <w:noWrap w:val="0"/>
                  <w:vAlign w:val="center"/>
                </w:tcPr>
                <w:p w14:paraId="205A0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2020.7</w:t>
                  </w:r>
                </w:p>
              </w:tc>
            </w:tr>
            <w:tr w14:paraId="7DE5D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4E86B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排污许可执行情况</w:t>
                  </w:r>
                </w:p>
              </w:tc>
            </w:tr>
            <w:tr w14:paraId="67E73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gridSpan w:val="3"/>
                  <w:tcBorders>
                    <w:tl2br w:val="nil"/>
                    <w:tr2bl w:val="nil"/>
                  </w:tcBorders>
                  <w:noWrap w:val="0"/>
                  <w:vAlign w:val="center"/>
                </w:tcPr>
                <w:p w14:paraId="165A0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许可证编号</w:t>
                  </w:r>
                </w:p>
              </w:tc>
              <w:tc>
                <w:tcPr>
                  <w:tcW w:w="2499" w:type="pct"/>
                  <w:gridSpan w:val="3"/>
                  <w:tcBorders>
                    <w:tl2br w:val="nil"/>
                    <w:tr2bl w:val="nil"/>
                  </w:tcBorders>
                  <w:noWrap w:val="0"/>
                  <w:vAlign w:val="center"/>
                </w:tcPr>
                <w:p w14:paraId="0C782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有效期</w:t>
                  </w:r>
                </w:p>
              </w:tc>
            </w:tr>
            <w:tr w14:paraId="7BE44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gridSpan w:val="3"/>
                  <w:tcBorders>
                    <w:tl2br w:val="nil"/>
                    <w:tr2bl w:val="nil"/>
                  </w:tcBorders>
                  <w:noWrap w:val="0"/>
                  <w:vAlign w:val="center"/>
                </w:tcPr>
                <w:p w14:paraId="66CE4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91610304305561917N001X</w:t>
                  </w:r>
                </w:p>
              </w:tc>
              <w:tc>
                <w:tcPr>
                  <w:tcW w:w="2499" w:type="pct"/>
                  <w:gridSpan w:val="3"/>
                  <w:tcBorders>
                    <w:tl2br w:val="nil"/>
                    <w:tr2bl w:val="nil"/>
                  </w:tcBorders>
                  <w:noWrap w:val="0"/>
                  <w:vAlign w:val="center"/>
                </w:tcPr>
                <w:p w14:paraId="3D66E6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2020-03-25至2025-03-24</w:t>
                  </w:r>
                </w:p>
              </w:tc>
            </w:tr>
          </w:tbl>
          <w:p w14:paraId="73F523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2、原有工程污染物实际排放总量</w:t>
            </w:r>
          </w:p>
          <w:p w14:paraId="5D20C9BB">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与本项目有关的原有工程污染物排放量核算：经查阅排污许可证申请与核发技术规范，无该行业技术规范，原有项目排污许可证为登记管理，排污及原有项目验收均无污染物监测计划，故原有项目的污染物核算依据原有项目的验收报告。</w:t>
            </w:r>
          </w:p>
          <w:p w14:paraId="0407DC80">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（1）废水：原有项目无生产废水排放，</w:t>
            </w:r>
            <w:r>
              <w:rPr>
                <w:rFonts w:hint="default" w:ascii="Times New Roman" w:hAnsi="Times New Roman" w:eastAsia="宋体" w:cs="Times New Roman"/>
                <w:b w:val="0"/>
                <w:bCs w:val="0"/>
                <w:color w:val="000000" w:themeColor="text1"/>
                <w:sz w:val="24"/>
                <w:szCs w:val="24"/>
                <w14:textFill>
                  <w14:solidFill>
                    <w14:schemeClr w14:val="tx1"/>
                  </w14:solidFill>
                </w14:textFill>
              </w:rPr>
              <w:t>项目设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化粪池</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定期清掏用作附近农田施肥，项目主要废水为职工日常生活清洁用水，经沉淀池沉淀后用于场内植被绿化，不外排。</w:t>
            </w:r>
          </w:p>
          <w:p w14:paraId="7475D554">
            <w:pPr>
              <w:keepNext/>
              <w:keepLines/>
              <w:widowControl/>
              <w:spacing w:line="360" w:lineRule="auto"/>
              <w:ind w:firstLine="480" w:firstLineChars="200"/>
              <w:outlineLvl w:val="1"/>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（2）废气：</w:t>
            </w:r>
            <w:r>
              <w:rPr>
                <w:rFonts w:hint="default" w:ascii="Times New Roman" w:hAnsi="Times New Roman" w:eastAsia="宋体" w:cs="Times New Roman"/>
                <w:b w:val="0"/>
                <w:bCs w:val="0"/>
                <w:color w:val="000000" w:themeColor="text1"/>
                <w:sz w:val="24"/>
                <w:szCs w:val="24"/>
                <w14:textFill>
                  <w14:solidFill>
                    <w14:schemeClr w14:val="tx1"/>
                  </w14:solidFill>
                </w14:textFill>
              </w:rPr>
              <w:t>项目配置有一台洒水车，担负道路区、堆场区、物料装卸过程洒水降尘，厂区的物料运输车辆采取篷布遮盖 或密闭车厢的运输方式；加工厂周围设置高</w:t>
            </w:r>
            <w:r>
              <w:rPr>
                <w:rFonts w:hint="default" w:ascii="Times New Roman" w:hAnsi="Times New Roman" w:eastAsia="Times New Roman PS MT" w:cs="Times New Roman"/>
                <w:b w:val="0"/>
                <w:bCs w:val="0"/>
                <w:color w:val="000000" w:themeColor="text1"/>
                <w:sz w:val="24"/>
                <w:szCs w:val="24"/>
                <w14:textFill>
                  <w14:solidFill>
                    <w14:schemeClr w14:val="tx1"/>
                  </w14:solidFill>
                </w14:textFill>
              </w:rPr>
              <w:t>6m</w:t>
            </w:r>
            <w:r>
              <w:rPr>
                <w:rFonts w:hint="default" w:ascii="Times New Roman" w:hAnsi="Times New Roman" w:eastAsia="宋体" w:cs="Times New Roman"/>
                <w:b w:val="0"/>
                <w:bCs w:val="0"/>
                <w:color w:val="000000" w:themeColor="text1"/>
                <w:sz w:val="24"/>
                <w:szCs w:val="24"/>
                <w14:textFill>
                  <w14:solidFill>
                    <w14:schemeClr w14:val="tx1"/>
                  </w14:solidFill>
                </w14:textFill>
              </w:rPr>
              <w:t>的防风抑尘网和喷洒水装置。整个破碎筛分生产区建设于密闭的封闭厂房内，采用封闭式矿石输送皮带</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机</w:t>
            </w:r>
            <w:r>
              <w:rPr>
                <w:rFonts w:hint="default" w:ascii="Times New Roman" w:hAnsi="Times New Roman" w:eastAsia="宋体" w:cs="Times New Roman"/>
                <w:b w:val="0"/>
                <w:bCs w:val="0"/>
                <w:color w:val="000000" w:themeColor="text1"/>
                <w:sz w:val="24"/>
                <w:szCs w:val="24"/>
                <w14:textFill>
                  <w14:solidFill>
                    <w14:schemeClr w14:val="tx1"/>
                  </w14:solidFill>
                </w14:textFill>
              </w:rPr>
              <w:t>并</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设置喷雾</w:t>
            </w:r>
            <w:r>
              <w:rPr>
                <w:rFonts w:hint="default" w:ascii="Times New Roman" w:hAnsi="Times New Roman" w:eastAsia="宋体" w:cs="Times New Roman"/>
                <w:b w:val="0"/>
                <w:bCs w:val="0"/>
                <w:color w:val="000000" w:themeColor="text1"/>
                <w:sz w:val="24"/>
                <w:szCs w:val="24"/>
                <w14:textFill>
                  <w14:solidFill>
                    <w14:schemeClr w14:val="tx1"/>
                  </w14:solidFill>
                </w14:textFill>
              </w:rPr>
              <w:t>装置，矿石破碎、筛分等工序产生的粉尘经过布袋收尘器处理后，通过</w:t>
            </w:r>
            <w:r>
              <w:rPr>
                <w:rFonts w:hint="default" w:ascii="Times New Roman" w:hAnsi="Times New Roman" w:eastAsia="Times New Roman PS MT" w:cs="Times New Roman"/>
                <w:b w:val="0"/>
                <w:bCs w:val="0"/>
                <w:color w:val="000000" w:themeColor="text1"/>
                <w:sz w:val="24"/>
                <w:szCs w:val="24"/>
                <w14:textFill>
                  <w14:solidFill>
                    <w14:schemeClr w14:val="tx1"/>
                  </w14:solidFill>
                </w14:textFill>
              </w:rPr>
              <w:t xml:space="preserve">15m </w:t>
            </w:r>
            <w:r>
              <w:rPr>
                <w:rFonts w:hint="default" w:ascii="Times New Roman" w:hAnsi="Times New Roman" w:eastAsia="宋体" w:cs="Times New Roman"/>
                <w:b w:val="0"/>
                <w:bCs w:val="0"/>
                <w:color w:val="000000" w:themeColor="text1"/>
                <w:sz w:val="24"/>
                <w:szCs w:val="24"/>
                <w14:textFill>
                  <w14:solidFill>
                    <w14:schemeClr w14:val="tx1"/>
                  </w14:solidFill>
                </w14:textFill>
              </w:rPr>
              <w:t>排气筒高空排放</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根据陕西驭腾测试技术有限公司于2020年6月24日~2020年6月25日对原有项目监测报告可知，原有项目的破碎筛分排气筒的排放速率为0.03kg/h，排放浓度为21.8mg/m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，布袋除尘器排气筒出口处颗粒物排放浓度及速率均低于《大气污染物综合排放标准》（GB16297-1996）中表2排放监控限值要求（排放浓度≤120mg/m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，排放速率≤3.5kg/h。原有项目年工作300天，每天8h，故年排放量为颗粒物0.07t/a。</w:t>
            </w:r>
          </w:p>
          <w:p w14:paraId="6B69604A">
            <w:pPr>
              <w:keepNext/>
              <w:keepLines/>
              <w:widowControl/>
              <w:spacing w:line="360" w:lineRule="auto"/>
              <w:ind w:firstLine="480" w:firstLineChars="200"/>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（3）噪声：</w:t>
            </w:r>
            <w:r>
              <w:rPr>
                <w:rFonts w:hint="default" w:ascii="Times New Roman" w:hAnsi="Times New Roman" w:eastAsia="宋体" w:cs="Times New Roman"/>
                <w:color w:val="000000" w:themeColor="text1"/>
                <w:sz w:val="24"/>
                <w:szCs w:val="24"/>
                <w:lang w:eastAsia="zh-CN"/>
                <w14:textFill>
                  <w14:solidFill>
                    <w14:schemeClr w14:val="tx1"/>
                  </w14:solidFill>
                </w14:textFill>
              </w:rPr>
              <w:t>原有项目运营过程中产生的噪声主要来源于生产设备，项目选用低噪设备；破碎机、筛分机等设备布置于封闭厂房内、利用厂房隔声，空压机布置在空压机房内，利用建筑隔声，夜间不进行生产，工业场地周边种植树木，采用绿化降噪。</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根据西驭腾测试技术有限公司于2020年6月24日~2020年6月25日对原有项目监测报告，具体监测数据见下表：</w:t>
            </w:r>
          </w:p>
          <w:p w14:paraId="0DC20C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表2-8   厂界现状噪声监测一览表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1992"/>
              <w:gridCol w:w="912"/>
              <w:gridCol w:w="1081"/>
              <w:gridCol w:w="1993"/>
            </w:tblGrid>
            <w:tr w14:paraId="58956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restart"/>
                  <w:tcBorders>
                    <w:tl2br w:val="nil"/>
                    <w:tr2bl w:val="nil"/>
                  </w:tcBorders>
                  <w:noWrap w:val="0"/>
                  <w:vAlign w:val="center"/>
                </w:tcPr>
                <w:p w14:paraId="355D99B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监测日期</w:t>
                  </w:r>
                </w:p>
              </w:tc>
              <w:tc>
                <w:tcPr>
                  <w:tcW w:w="1250" w:type="pct"/>
                  <w:vMerge w:val="restart"/>
                  <w:tcBorders>
                    <w:tl2br w:val="nil"/>
                    <w:tr2bl w:val="nil"/>
                  </w:tcBorders>
                  <w:noWrap w:val="0"/>
                  <w:vAlign w:val="center"/>
                </w:tcPr>
                <w:p w14:paraId="7728AC9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监测点位</w:t>
                  </w:r>
                </w:p>
              </w:tc>
              <w:tc>
                <w:tcPr>
                  <w:tcW w:w="1250" w:type="pct"/>
                  <w:gridSpan w:val="2"/>
                  <w:tcBorders>
                    <w:tl2br w:val="nil"/>
                    <w:tr2bl w:val="nil"/>
                  </w:tcBorders>
                  <w:noWrap w:val="0"/>
                  <w:vAlign w:val="center"/>
                </w:tcPr>
                <w:p w14:paraId="1624C35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监测时段</w:t>
                  </w:r>
                </w:p>
              </w:tc>
              <w:tc>
                <w:tcPr>
                  <w:tcW w:w="1250" w:type="pct"/>
                  <w:vMerge w:val="restart"/>
                  <w:tcBorders>
                    <w:tl2br w:val="nil"/>
                    <w:tr2bl w:val="nil"/>
                  </w:tcBorders>
                  <w:noWrap w:val="0"/>
                  <w:vAlign w:val="center"/>
                </w:tcPr>
                <w:p w14:paraId="15A0B05A">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执行标准</w:t>
                  </w:r>
                </w:p>
              </w:tc>
            </w:tr>
            <w:tr w14:paraId="0DD46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pct"/>
                  <w:vMerge w:val="continue"/>
                  <w:tcBorders>
                    <w:tl2br w:val="nil"/>
                    <w:tr2bl w:val="nil"/>
                  </w:tcBorders>
                  <w:noWrap w:val="0"/>
                  <w:vAlign w:val="center"/>
                </w:tcPr>
                <w:p w14:paraId="1B2EDE70">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vMerge w:val="continue"/>
                  <w:tcBorders>
                    <w:tl2br w:val="nil"/>
                    <w:tr2bl w:val="nil"/>
                  </w:tcBorders>
                  <w:noWrap w:val="0"/>
                  <w:vAlign w:val="center"/>
                </w:tcPr>
                <w:p w14:paraId="2A5F400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572" w:type="pct"/>
                  <w:tcBorders>
                    <w:tl2br w:val="nil"/>
                    <w:tr2bl w:val="nil"/>
                  </w:tcBorders>
                  <w:noWrap w:val="0"/>
                  <w:vAlign w:val="center"/>
                </w:tcPr>
                <w:p w14:paraId="3A203B9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678" w:type="pct"/>
                  <w:tcBorders>
                    <w:tl2br w:val="nil"/>
                    <w:tr2bl w:val="nil"/>
                  </w:tcBorders>
                  <w:noWrap w:val="0"/>
                  <w:vAlign w:val="center"/>
                </w:tcPr>
                <w:p w14:paraId="51B6DE4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夜间</w:t>
                  </w:r>
                </w:p>
              </w:tc>
              <w:tc>
                <w:tcPr>
                  <w:tcW w:w="1250" w:type="pct"/>
                  <w:vMerge w:val="continue"/>
                  <w:tcBorders>
                    <w:tl2br w:val="nil"/>
                    <w:tr2bl w:val="nil"/>
                  </w:tcBorders>
                  <w:noWrap w:val="0"/>
                  <w:vAlign w:val="center"/>
                </w:tcPr>
                <w:p w14:paraId="4AA1827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764B2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7" w:type="pct"/>
                  <w:vMerge w:val="restart"/>
                  <w:tcBorders>
                    <w:tl2br w:val="nil"/>
                    <w:tr2bl w:val="nil"/>
                  </w:tcBorders>
                  <w:noWrap w:val="0"/>
                  <w:vAlign w:val="center"/>
                </w:tcPr>
                <w:p w14:paraId="147119C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2020.06.24</w:t>
                  </w:r>
                </w:p>
              </w:tc>
              <w:tc>
                <w:tcPr>
                  <w:tcW w:w="1250" w:type="pct"/>
                  <w:tcBorders>
                    <w:tl2br w:val="nil"/>
                    <w:tr2bl w:val="nil"/>
                  </w:tcBorders>
                  <w:noWrap w:val="0"/>
                  <w:vAlign w:val="center"/>
                </w:tcPr>
                <w:p w14:paraId="00307A9E">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加工厂厂界东</w:t>
                  </w:r>
                </w:p>
              </w:tc>
              <w:tc>
                <w:tcPr>
                  <w:tcW w:w="572" w:type="pct"/>
                  <w:tcBorders>
                    <w:tl2br w:val="nil"/>
                    <w:tr2bl w:val="nil"/>
                  </w:tcBorders>
                  <w:noWrap w:val="0"/>
                  <w:vAlign w:val="center"/>
                </w:tcPr>
                <w:p w14:paraId="5E63169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w:t>
                  </w:r>
                </w:p>
              </w:tc>
              <w:tc>
                <w:tcPr>
                  <w:tcW w:w="678" w:type="pct"/>
                  <w:tcBorders>
                    <w:tl2br w:val="nil"/>
                    <w:tr2bl w:val="nil"/>
                  </w:tcBorders>
                  <w:noWrap w:val="0"/>
                  <w:vAlign w:val="center"/>
                </w:tcPr>
                <w:p w14:paraId="2CBD4EDF">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41.2</w:t>
                  </w:r>
                </w:p>
              </w:tc>
              <w:tc>
                <w:tcPr>
                  <w:tcW w:w="1250" w:type="pct"/>
                  <w:vMerge w:val="restart"/>
                  <w:tcBorders>
                    <w:tl2br w:val="nil"/>
                    <w:tr2bl w:val="nil"/>
                  </w:tcBorders>
                  <w:noWrap w:val="0"/>
                  <w:vAlign w:val="center"/>
                </w:tcPr>
                <w:p w14:paraId="5027F7F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《工业企业厂界环境噪</w:t>
                  </w:r>
                  <w:r>
                    <w:rPr>
                      <w:rFonts w:hint="default" w:ascii="Times New Roman" w:hAnsi="Times New Roman" w:eastAsia="宋体" w:cs="Times New Roman"/>
                      <w:color w:val="000000" w:themeColor="text1"/>
                      <w:lang w:val="en-US" w:eastAsia="zh-CN"/>
                      <w14:textFill>
                        <w14:solidFill>
                          <w14:schemeClr w14:val="tx1"/>
                        </w14:solidFill>
                      </w14:textFill>
                    </w:rPr>
                    <w:t>声排放</w:t>
                  </w:r>
                  <w:r>
                    <w:rPr>
                      <w:rFonts w:hint="default" w:ascii="Times New Roman" w:hAnsi="Times New Roman" w:cs="Times New Roman"/>
                      <w:color w:val="000000" w:themeColor="text1"/>
                      <w:lang w:val="en-US" w:eastAsia="zh-CN"/>
                      <w14:textFill>
                        <w14:solidFill>
                          <w14:schemeClr w14:val="tx1"/>
                        </w14:solidFill>
                      </w14:textFill>
                    </w:rPr>
                    <w:t>标准》GB12348-200</w:t>
                  </w:r>
                  <w:r>
                    <w:rPr>
                      <w:rFonts w:hint="default" w:ascii="Times New Roman" w:hAnsi="Times New Roman" w:eastAsia="宋体" w:cs="Times New Roman"/>
                      <w:color w:val="000000" w:themeColor="text1"/>
                      <w:lang w:val="en-US" w:eastAsia="zh-CN"/>
                      <w14:textFill>
                        <w14:solidFill>
                          <w14:schemeClr w14:val="tx1"/>
                        </w14:solidFill>
                      </w14:textFill>
                    </w:rPr>
                    <w:t>8中2类</w:t>
                  </w:r>
                </w:p>
              </w:tc>
            </w:tr>
            <w:tr w14:paraId="0639C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77976DCD">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6A617DF8">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加工厂厂界南</w:t>
                  </w:r>
                </w:p>
              </w:tc>
              <w:tc>
                <w:tcPr>
                  <w:tcW w:w="572" w:type="pct"/>
                  <w:tcBorders>
                    <w:tl2br w:val="nil"/>
                    <w:tr2bl w:val="nil"/>
                  </w:tcBorders>
                  <w:noWrap w:val="0"/>
                  <w:vAlign w:val="center"/>
                </w:tcPr>
                <w:p w14:paraId="74B0E98A">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52.1</w:t>
                  </w:r>
                </w:p>
              </w:tc>
              <w:tc>
                <w:tcPr>
                  <w:tcW w:w="678" w:type="pct"/>
                  <w:tcBorders>
                    <w:tl2br w:val="nil"/>
                    <w:tr2bl w:val="nil"/>
                  </w:tcBorders>
                  <w:noWrap w:val="0"/>
                  <w:vAlign w:val="center"/>
                </w:tcPr>
                <w:p w14:paraId="1103E50F">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41.7</w:t>
                  </w:r>
                </w:p>
              </w:tc>
              <w:tc>
                <w:tcPr>
                  <w:tcW w:w="1250" w:type="pct"/>
                  <w:vMerge w:val="continue"/>
                  <w:tcBorders>
                    <w:tl2br w:val="nil"/>
                    <w:tr2bl w:val="nil"/>
                  </w:tcBorders>
                  <w:noWrap w:val="0"/>
                  <w:vAlign w:val="center"/>
                </w:tcPr>
                <w:p w14:paraId="6C36D3A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2FA8D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4569BE0F">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6D45BC5E">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加工厂厂界西</w:t>
                  </w:r>
                </w:p>
              </w:tc>
              <w:tc>
                <w:tcPr>
                  <w:tcW w:w="572" w:type="pct"/>
                  <w:tcBorders>
                    <w:tl2br w:val="nil"/>
                    <w:tr2bl w:val="nil"/>
                  </w:tcBorders>
                  <w:noWrap w:val="0"/>
                  <w:vAlign w:val="center"/>
                </w:tcPr>
                <w:p w14:paraId="6D677C3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52.6</w:t>
                  </w:r>
                </w:p>
              </w:tc>
              <w:tc>
                <w:tcPr>
                  <w:tcW w:w="678" w:type="pct"/>
                  <w:tcBorders>
                    <w:tl2br w:val="nil"/>
                    <w:tr2bl w:val="nil"/>
                  </w:tcBorders>
                  <w:noWrap w:val="0"/>
                  <w:vAlign w:val="center"/>
                </w:tcPr>
                <w:p w14:paraId="30CD358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42.3</w:t>
                  </w:r>
                </w:p>
              </w:tc>
              <w:tc>
                <w:tcPr>
                  <w:tcW w:w="1250" w:type="pct"/>
                  <w:vMerge w:val="continue"/>
                  <w:tcBorders>
                    <w:tl2br w:val="nil"/>
                    <w:tr2bl w:val="nil"/>
                  </w:tcBorders>
                  <w:noWrap w:val="0"/>
                  <w:vAlign w:val="center"/>
                </w:tcPr>
                <w:p w14:paraId="5944736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04BCF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4DD2000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0D08226E">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加工厂厂界北</w:t>
                  </w:r>
                </w:p>
              </w:tc>
              <w:tc>
                <w:tcPr>
                  <w:tcW w:w="572" w:type="pct"/>
                  <w:tcBorders>
                    <w:tl2br w:val="nil"/>
                    <w:tr2bl w:val="nil"/>
                  </w:tcBorders>
                  <w:noWrap w:val="0"/>
                  <w:vAlign w:val="center"/>
                </w:tcPr>
                <w:p w14:paraId="5ED06500">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53.0</w:t>
                  </w:r>
                </w:p>
              </w:tc>
              <w:tc>
                <w:tcPr>
                  <w:tcW w:w="678" w:type="pct"/>
                  <w:tcBorders>
                    <w:tl2br w:val="nil"/>
                    <w:tr2bl w:val="nil"/>
                  </w:tcBorders>
                  <w:noWrap w:val="0"/>
                  <w:vAlign w:val="center"/>
                </w:tcPr>
                <w:p w14:paraId="38B7EE9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41.5</w:t>
                  </w:r>
                </w:p>
              </w:tc>
              <w:tc>
                <w:tcPr>
                  <w:tcW w:w="1250" w:type="pct"/>
                  <w:vMerge w:val="continue"/>
                  <w:tcBorders>
                    <w:tl2br w:val="nil"/>
                    <w:tr2bl w:val="nil"/>
                  </w:tcBorders>
                  <w:noWrap w:val="0"/>
                  <w:vAlign w:val="center"/>
                </w:tcPr>
                <w:p w14:paraId="3202938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30A0D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restart"/>
                  <w:tcBorders>
                    <w:tl2br w:val="nil"/>
                    <w:tr2bl w:val="nil"/>
                  </w:tcBorders>
                  <w:noWrap w:val="0"/>
                  <w:vAlign w:val="center"/>
                </w:tcPr>
                <w:p w14:paraId="73F5098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2020.06.25</w:t>
                  </w:r>
                </w:p>
              </w:tc>
              <w:tc>
                <w:tcPr>
                  <w:tcW w:w="1250" w:type="pct"/>
                  <w:tcBorders>
                    <w:tl2br w:val="nil"/>
                    <w:tr2bl w:val="nil"/>
                  </w:tcBorders>
                  <w:shd w:val="clear" w:color="auto" w:fill="auto"/>
                  <w:noWrap w:val="0"/>
                  <w:vAlign w:val="center"/>
                </w:tcPr>
                <w:p w14:paraId="109BD025">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加工厂厂界东</w:t>
                  </w:r>
                </w:p>
              </w:tc>
              <w:tc>
                <w:tcPr>
                  <w:tcW w:w="572" w:type="pct"/>
                  <w:tcBorders>
                    <w:tl2br w:val="nil"/>
                    <w:tr2bl w:val="nil"/>
                  </w:tcBorders>
                  <w:noWrap w:val="0"/>
                  <w:vAlign w:val="center"/>
                </w:tcPr>
                <w:p w14:paraId="15D01C9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53.2</w:t>
                  </w:r>
                </w:p>
              </w:tc>
              <w:tc>
                <w:tcPr>
                  <w:tcW w:w="678" w:type="pct"/>
                  <w:tcBorders>
                    <w:tl2br w:val="nil"/>
                    <w:tr2bl w:val="nil"/>
                  </w:tcBorders>
                  <w:noWrap w:val="0"/>
                  <w:vAlign w:val="center"/>
                </w:tcPr>
                <w:p w14:paraId="209962F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41.9</w:t>
                  </w:r>
                </w:p>
              </w:tc>
              <w:tc>
                <w:tcPr>
                  <w:tcW w:w="1250" w:type="pct"/>
                  <w:vMerge w:val="continue"/>
                  <w:tcBorders>
                    <w:tl2br w:val="nil"/>
                    <w:tr2bl w:val="nil"/>
                  </w:tcBorders>
                  <w:noWrap w:val="0"/>
                  <w:vAlign w:val="center"/>
                </w:tcPr>
                <w:p w14:paraId="60FD067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67CD7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294B1F8A">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shd w:val="clear" w:color="auto" w:fill="auto"/>
                  <w:noWrap w:val="0"/>
                  <w:vAlign w:val="center"/>
                </w:tcPr>
                <w:p w14:paraId="7B60A148">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加工厂厂界南</w:t>
                  </w:r>
                </w:p>
              </w:tc>
              <w:tc>
                <w:tcPr>
                  <w:tcW w:w="572" w:type="pct"/>
                  <w:tcBorders>
                    <w:tl2br w:val="nil"/>
                    <w:tr2bl w:val="nil"/>
                  </w:tcBorders>
                  <w:noWrap w:val="0"/>
                  <w:vAlign w:val="center"/>
                </w:tcPr>
                <w:p w14:paraId="59171E20">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52.3</w:t>
                  </w:r>
                </w:p>
              </w:tc>
              <w:tc>
                <w:tcPr>
                  <w:tcW w:w="678" w:type="pct"/>
                  <w:tcBorders>
                    <w:tl2br w:val="nil"/>
                    <w:tr2bl w:val="nil"/>
                  </w:tcBorders>
                  <w:noWrap w:val="0"/>
                  <w:vAlign w:val="center"/>
                </w:tcPr>
                <w:p w14:paraId="791070B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42.3</w:t>
                  </w:r>
                </w:p>
              </w:tc>
              <w:tc>
                <w:tcPr>
                  <w:tcW w:w="1250" w:type="pct"/>
                  <w:vMerge w:val="continue"/>
                  <w:tcBorders>
                    <w:tl2br w:val="nil"/>
                    <w:tr2bl w:val="nil"/>
                  </w:tcBorders>
                  <w:noWrap w:val="0"/>
                  <w:vAlign w:val="center"/>
                </w:tcPr>
                <w:p w14:paraId="3074CDE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18F76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716007C1">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shd w:val="clear" w:color="auto" w:fill="auto"/>
                  <w:noWrap w:val="0"/>
                  <w:vAlign w:val="center"/>
                </w:tcPr>
                <w:p w14:paraId="1FFE3F72">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加工厂厂界西</w:t>
                  </w:r>
                </w:p>
              </w:tc>
              <w:tc>
                <w:tcPr>
                  <w:tcW w:w="572" w:type="pct"/>
                  <w:tcBorders>
                    <w:tl2br w:val="nil"/>
                    <w:tr2bl w:val="nil"/>
                  </w:tcBorders>
                  <w:noWrap w:val="0"/>
                  <w:vAlign w:val="center"/>
                </w:tcPr>
                <w:p w14:paraId="547DD89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52.7</w:t>
                  </w:r>
                </w:p>
              </w:tc>
              <w:tc>
                <w:tcPr>
                  <w:tcW w:w="678" w:type="pct"/>
                  <w:tcBorders>
                    <w:tl2br w:val="nil"/>
                    <w:tr2bl w:val="nil"/>
                  </w:tcBorders>
                  <w:noWrap w:val="0"/>
                  <w:vAlign w:val="center"/>
                </w:tcPr>
                <w:p w14:paraId="584DF45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42.7</w:t>
                  </w:r>
                </w:p>
              </w:tc>
              <w:tc>
                <w:tcPr>
                  <w:tcW w:w="1250" w:type="pct"/>
                  <w:vMerge w:val="continue"/>
                  <w:tcBorders>
                    <w:tl2br w:val="nil"/>
                    <w:tr2bl w:val="nil"/>
                  </w:tcBorders>
                  <w:noWrap w:val="0"/>
                  <w:vAlign w:val="center"/>
                </w:tcPr>
                <w:p w14:paraId="4D50F32D">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3039F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0567D0BF">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shd w:val="clear" w:color="auto" w:fill="auto"/>
                  <w:noWrap w:val="0"/>
                  <w:vAlign w:val="center"/>
                </w:tcPr>
                <w:p w14:paraId="354EDE15">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加工厂厂界北</w:t>
                  </w:r>
                </w:p>
              </w:tc>
              <w:tc>
                <w:tcPr>
                  <w:tcW w:w="572" w:type="pct"/>
                  <w:tcBorders>
                    <w:tl2br w:val="nil"/>
                    <w:tr2bl w:val="nil"/>
                  </w:tcBorders>
                  <w:noWrap w:val="0"/>
                  <w:vAlign w:val="center"/>
                </w:tcPr>
                <w:p w14:paraId="374946D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52.9</w:t>
                  </w:r>
                </w:p>
              </w:tc>
              <w:tc>
                <w:tcPr>
                  <w:tcW w:w="678" w:type="pct"/>
                  <w:tcBorders>
                    <w:tl2br w:val="nil"/>
                    <w:tr2bl w:val="nil"/>
                  </w:tcBorders>
                  <w:noWrap w:val="0"/>
                  <w:vAlign w:val="center"/>
                </w:tcPr>
                <w:p w14:paraId="4DE0010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41.3</w:t>
                  </w:r>
                </w:p>
              </w:tc>
              <w:tc>
                <w:tcPr>
                  <w:tcW w:w="1250" w:type="pct"/>
                  <w:vMerge w:val="continue"/>
                  <w:tcBorders>
                    <w:tl2br w:val="nil"/>
                    <w:tr2bl w:val="nil"/>
                  </w:tcBorders>
                  <w:noWrap w:val="0"/>
                  <w:vAlign w:val="center"/>
                </w:tcPr>
                <w:p w14:paraId="375121B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bl>
          <w:p w14:paraId="0B6AB719">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根据监测结果可知，项目厂界四周环境噪声值满足《工业企业厂界环境噪声排放标准》GB12348-200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8中2类。</w:t>
            </w:r>
          </w:p>
          <w:p w14:paraId="0A3D68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（4）固废：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原有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项目运营期产生的矿石破碎加工过程产生的颗粒较细的土粉和石粉全部外售给宝鸡市众喜金陵河水泥有限公司</w:t>
            </w:r>
            <w:r>
              <w:rPr>
                <w:rFonts w:hint="default" w:ascii="Times New Roman" w:hAnsi="Times New Roman" w:eastAsia="宋体" w:cs="Times New Roman"/>
                <w:color w:val="000000" w:themeColor="text1"/>
                <w:sz w:val="24"/>
                <w:szCs w:val="24"/>
                <w14:textFill>
                  <w14:solidFill>
                    <w14:schemeClr w14:val="tx1"/>
                  </w14:solidFill>
                </w14:textFill>
              </w:rPr>
              <w:t>；本项目产生的危废主要是机械维修产生的废机油，建设单位建设了危废暂存间1处，并与有资质的单位签订了危废处理协议，委托有资质的单位陕西宝鸡恒兴石化科技有限公司进行处置。根据现场调查，建设单位签定了生活垃圾清运协议，运营期产生的生活垃圾由专人统一收集后，定期运往当地环卫部门指定地点处置。</w:t>
            </w:r>
          </w:p>
          <w:p w14:paraId="0F13105D">
            <w:pPr>
              <w:pStyle w:val="31"/>
              <w:spacing w:line="360" w:lineRule="auto"/>
              <w:ind w:firstLine="482" w:firstLineChars="200"/>
              <w:jc w:val="both"/>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原有项目污染物排放量清单</w:t>
            </w:r>
          </w:p>
          <w:p w14:paraId="3484D0ED">
            <w:pPr>
              <w:pStyle w:val="31"/>
              <w:jc w:val="center"/>
              <w:rPr>
                <w:rFonts w:hint="default" w:ascii="Times New Roman" w:hAnsi="Times New Roman" w:eastAsia="宋体" w:cs="Times New Roman"/>
                <w:b/>
                <w:bCs w:val="0"/>
                <w:color w:val="000000" w:themeColor="text1"/>
                <w:sz w:val="21"/>
                <w:szCs w:val="18"/>
                <w14:textFill>
                  <w14:solidFill>
                    <w14:schemeClr w14:val="tx1"/>
                  </w14:solidFill>
                </w14:textFill>
              </w:rPr>
            </w:pPr>
            <w:r>
              <w:rPr>
                <w:rFonts w:hint="default" w:ascii="Times New Roman" w:hAnsi="Times New Roman" w:eastAsia="宋体" w:cs="Times New Roman"/>
                <w:b/>
                <w:bCs w:val="0"/>
                <w:color w:val="000000" w:themeColor="text1"/>
                <w:sz w:val="21"/>
                <w:szCs w:val="18"/>
                <w14:textFill>
                  <w14:solidFill>
                    <w14:schemeClr w14:val="tx1"/>
                  </w14:solidFill>
                </w14:textFill>
              </w:rPr>
              <w:t>表</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1"/>
                <w:szCs w:val="18"/>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18"/>
                <w14:textFill>
                  <w14:solidFill>
                    <w14:schemeClr w14:val="tx1"/>
                  </w14:solidFill>
                </w14:textFill>
              </w:rPr>
              <w:t xml:space="preserve"> 原有项目污染物排放量汇总表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591"/>
              <w:gridCol w:w="2070"/>
              <w:gridCol w:w="1381"/>
              <w:gridCol w:w="1335"/>
            </w:tblGrid>
            <w:tr w14:paraId="51A05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noWrap w:val="0"/>
                  <w:vAlign w:val="center"/>
                </w:tcPr>
                <w:p w14:paraId="1C955404">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类别</w:t>
                  </w:r>
                </w:p>
              </w:tc>
              <w:tc>
                <w:tcPr>
                  <w:tcW w:w="998" w:type="pct"/>
                  <w:tcBorders>
                    <w:tl2br w:val="nil"/>
                    <w:tr2bl w:val="nil"/>
                  </w:tcBorders>
                  <w:noWrap w:val="0"/>
                  <w:vAlign w:val="center"/>
                </w:tcPr>
                <w:p w14:paraId="5FFE6458">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污染源</w:t>
                  </w:r>
                </w:p>
              </w:tc>
              <w:tc>
                <w:tcPr>
                  <w:tcW w:w="1298" w:type="pct"/>
                  <w:tcBorders>
                    <w:tl2br w:val="nil"/>
                    <w:tr2bl w:val="nil"/>
                  </w:tcBorders>
                  <w:noWrap w:val="0"/>
                  <w:vAlign w:val="center"/>
                </w:tcPr>
                <w:p w14:paraId="154F8A6E">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污染物</w:t>
                  </w:r>
                </w:p>
              </w:tc>
              <w:tc>
                <w:tcPr>
                  <w:tcW w:w="866" w:type="pct"/>
                  <w:tcBorders>
                    <w:tl2br w:val="nil"/>
                    <w:tr2bl w:val="nil"/>
                  </w:tcBorders>
                  <w:noWrap w:val="0"/>
                  <w:vAlign w:val="center"/>
                </w:tcPr>
                <w:p w14:paraId="1F29F0CC">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产生</w:t>
                  </w:r>
                  <w:r>
                    <w:rPr>
                      <w:rFonts w:hint="default" w:ascii="Times New Roman" w:hAnsi="Times New Roman" w:eastAsia="宋体" w:cs="Times New Roman"/>
                      <w:bCs/>
                      <w:color w:val="000000" w:themeColor="text1"/>
                      <w:sz w:val="21"/>
                      <w:szCs w:val="18"/>
                      <w14:textFill>
                        <w14:solidFill>
                          <w14:schemeClr w14:val="tx1"/>
                        </w14:solidFill>
                      </w14:textFill>
                    </w:rPr>
                    <w:t>量（t/a）</w:t>
                  </w:r>
                </w:p>
              </w:tc>
              <w:tc>
                <w:tcPr>
                  <w:tcW w:w="837" w:type="pct"/>
                  <w:tcBorders>
                    <w:tl2br w:val="nil"/>
                    <w:tr2bl w:val="nil"/>
                  </w:tcBorders>
                  <w:noWrap w:val="0"/>
                  <w:vAlign w:val="center"/>
                </w:tcPr>
                <w:p w14:paraId="05E52F12">
                  <w:pPr>
                    <w:pStyle w:val="31"/>
                    <w:jc w:val="cente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排放量</w:t>
                  </w:r>
                  <w:r>
                    <w:rPr>
                      <w:rFonts w:hint="default" w:ascii="Times New Roman" w:hAnsi="Times New Roman" w:eastAsia="宋体" w:cs="Times New Roman"/>
                      <w:bCs/>
                      <w:color w:val="000000" w:themeColor="text1"/>
                      <w:sz w:val="21"/>
                      <w:szCs w:val="18"/>
                      <w14:textFill>
                        <w14:solidFill>
                          <w14:schemeClr w14:val="tx1"/>
                        </w14:solidFill>
                      </w14:textFill>
                    </w:rPr>
                    <w:t>（t/a）</w:t>
                  </w:r>
                </w:p>
              </w:tc>
            </w:tr>
            <w:tr w14:paraId="74727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noWrap w:val="0"/>
                  <w:vAlign w:val="center"/>
                </w:tcPr>
                <w:p w14:paraId="55FDD5C5">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废气</w:t>
                  </w:r>
                </w:p>
              </w:tc>
              <w:tc>
                <w:tcPr>
                  <w:tcW w:w="998" w:type="pct"/>
                  <w:tcBorders>
                    <w:tl2br w:val="nil"/>
                    <w:tr2bl w:val="nil"/>
                  </w:tcBorders>
                  <w:noWrap w:val="0"/>
                  <w:vAlign w:val="center"/>
                </w:tcPr>
                <w:p w14:paraId="53D0560B">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破碎、筛分</w:t>
                  </w:r>
                </w:p>
              </w:tc>
              <w:tc>
                <w:tcPr>
                  <w:tcW w:w="1298" w:type="pct"/>
                  <w:tcBorders>
                    <w:tl2br w:val="nil"/>
                    <w:tr2bl w:val="nil"/>
                  </w:tcBorders>
                  <w:noWrap w:val="0"/>
                  <w:vAlign w:val="center"/>
                </w:tcPr>
                <w:p w14:paraId="2F641E8C">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颗粒物</w:t>
                  </w:r>
                </w:p>
              </w:tc>
              <w:tc>
                <w:tcPr>
                  <w:tcW w:w="866" w:type="pct"/>
                  <w:tcBorders>
                    <w:tl2br w:val="nil"/>
                    <w:tr2bl w:val="nil"/>
                  </w:tcBorders>
                  <w:noWrap w:val="0"/>
                  <w:vAlign w:val="center"/>
                </w:tcPr>
                <w:p w14:paraId="3C2FC089">
                  <w:pPr>
                    <w:pStyle w:val="31"/>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837" w:type="pct"/>
                  <w:tcBorders>
                    <w:tl2br w:val="nil"/>
                    <w:tr2bl w:val="nil"/>
                  </w:tcBorders>
                  <w:noWrap w:val="0"/>
                  <w:vAlign w:val="center"/>
                </w:tcPr>
                <w:p w14:paraId="3B496FD7">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0.07</w:t>
                  </w:r>
                </w:p>
              </w:tc>
            </w:tr>
            <w:tr w14:paraId="3DD3B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noWrap w:val="0"/>
                  <w:vAlign w:val="center"/>
                </w:tcPr>
                <w:p w14:paraId="16123E6E">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生活污水</w:t>
                  </w:r>
                </w:p>
              </w:tc>
              <w:tc>
                <w:tcPr>
                  <w:tcW w:w="998" w:type="pct"/>
                  <w:tcBorders>
                    <w:tl2br w:val="nil"/>
                    <w:tr2bl w:val="nil"/>
                  </w:tcBorders>
                  <w:noWrap w:val="0"/>
                  <w:vAlign w:val="center"/>
                </w:tcPr>
                <w:p w14:paraId="1A4EF35A">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食堂、宿舍</w:t>
                  </w:r>
                </w:p>
              </w:tc>
              <w:tc>
                <w:tcPr>
                  <w:tcW w:w="1298" w:type="pct"/>
                  <w:tcBorders>
                    <w:tl2br w:val="nil"/>
                    <w:tr2bl w:val="nil"/>
                  </w:tcBorders>
                  <w:noWrap w:val="0"/>
                  <w:vAlign w:val="center"/>
                </w:tcPr>
                <w:p w14:paraId="3B6A851D">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SS、COD、BOD、氨氮、动植物油等</w:t>
                  </w:r>
                </w:p>
              </w:tc>
              <w:tc>
                <w:tcPr>
                  <w:tcW w:w="866" w:type="pct"/>
                  <w:tcBorders>
                    <w:tl2br w:val="nil"/>
                    <w:tr2bl w:val="nil"/>
                  </w:tcBorders>
                  <w:noWrap w:val="0"/>
                  <w:vAlign w:val="center"/>
                </w:tcPr>
                <w:p w14:paraId="479AB9AF">
                  <w:pPr>
                    <w:pStyle w:val="31"/>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450</w:t>
                  </w:r>
                </w:p>
              </w:tc>
              <w:tc>
                <w:tcPr>
                  <w:tcW w:w="837" w:type="pct"/>
                  <w:tcBorders>
                    <w:tl2br w:val="nil"/>
                    <w:tr2bl w:val="nil"/>
                  </w:tcBorders>
                  <w:noWrap w:val="0"/>
                  <w:vAlign w:val="center"/>
                </w:tcPr>
                <w:p w14:paraId="579B82AC">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w:t>
                  </w:r>
                </w:p>
              </w:tc>
            </w:tr>
            <w:tr w14:paraId="4D6C7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Merge w:val="restart"/>
                  <w:tcBorders>
                    <w:tl2br w:val="nil"/>
                    <w:tr2bl w:val="nil"/>
                  </w:tcBorders>
                  <w:noWrap w:val="0"/>
                  <w:vAlign w:val="center"/>
                </w:tcPr>
                <w:p w14:paraId="008E65FE">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固废</w:t>
                  </w:r>
                </w:p>
              </w:tc>
              <w:tc>
                <w:tcPr>
                  <w:tcW w:w="998" w:type="pct"/>
                  <w:tcBorders>
                    <w:tl2br w:val="nil"/>
                    <w:tr2bl w:val="nil"/>
                  </w:tcBorders>
                  <w:noWrap w:val="0"/>
                  <w:vAlign w:val="center"/>
                </w:tcPr>
                <w:p w14:paraId="07E972AE">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生活垃圾</w:t>
                  </w:r>
                </w:p>
              </w:tc>
              <w:tc>
                <w:tcPr>
                  <w:tcW w:w="1298" w:type="pct"/>
                  <w:tcBorders>
                    <w:tl2br w:val="nil"/>
                    <w:tr2bl w:val="nil"/>
                  </w:tcBorders>
                  <w:noWrap w:val="0"/>
                  <w:vAlign w:val="center"/>
                </w:tcPr>
                <w:p w14:paraId="17DC167C">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生活垃圾</w:t>
                  </w:r>
                </w:p>
              </w:tc>
              <w:tc>
                <w:tcPr>
                  <w:tcW w:w="866" w:type="pct"/>
                  <w:tcBorders>
                    <w:tl2br w:val="nil"/>
                    <w:tr2bl w:val="nil"/>
                  </w:tcBorders>
                  <w:noWrap w:val="0"/>
                  <w:vAlign w:val="center"/>
                </w:tcPr>
                <w:p w14:paraId="0CD32315">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4.05</w:t>
                  </w:r>
                </w:p>
              </w:tc>
              <w:tc>
                <w:tcPr>
                  <w:tcW w:w="837" w:type="pct"/>
                  <w:tcBorders>
                    <w:tl2br w:val="nil"/>
                    <w:tr2bl w:val="nil"/>
                  </w:tcBorders>
                  <w:noWrap w:val="0"/>
                  <w:vAlign w:val="center"/>
                </w:tcPr>
                <w:p w14:paraId="0A4AAE9F">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0</w:t>
                  </w:r>
                </w:p>
              </w:tc>
            </w:tr>
            <w:tr w14:paraId="216F4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Merge w:val="continue"/>
                  <w:tcBorders>
                    <w:tl2br w:val="nil"/>
                    <w:tr2bl w:val="nil"/>
                  </w:tcBorders>
                  <w:noWrap w:val="0"/>
                  <w:vAlign w:val="center"/>
                </w:tcPr>
                <w:p w14:paraId="500359EE">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998" w:type="pct"/>
                  <w:tcBorders>
                    <w:tl2br w:val="nil"/>
                    <w:tr2bl w:val="nil"/>
                  </w:tcBorders>
                  <w:noWrap w:val="0"/>
                  <w:vAlign w:val="center"/>
                </w:tcPr>
                <w:p w14:paraId="6DF506E6">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一般固废</w:t>
                  </w:r>
                </w:p>
              </w:tc>
              <w:tc>
                <w:tcPr>
                  <w:tcW w:w="1298" w:type="pct"/>
                  <w:tcBorders>
                    <w:tl2br w:val="nil"/>
                    <w:tr2bl w:val="nil"/>
                  </w:tcBorders>
                  <w:noWrap w:val="0"/>
                  <w:vAlign w:val="center"/>
                </w:tcPr>
                <w:p w14:paraId="7B1DCA50">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土粉、石粉</w:t>
                  </w:r>
                </w:p>
              </w:tc>
              <w:tc>
                <w:tcPr>
                  <w:tcW w:w="866" w:type="pct"/>
                  <w:tcBorders>
                    <w:tl2br w:val="nil"/>
                    <w:tr2bl w:val="nil"/>
                  </w:tcBorders>
                  <w:noWrap w:val="0"/>
                  <w:vAlign w:val="center"/>
                </w:tcPr>
                <w:p w14:paraId="74FCAC90">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3600</w:t>
                  </w:r>
                </w:p>
              </w:tc>
              <w:tc>
                <w:tcPr>
                  <w:tcW w:w="837" w:type="pct"/>
                  <w:tcBorders>
                    <w:tl2br w:val="nil"/>
                    <w:tr2bl w:val="nil"/>
                  </w:tcBorders>
                  <w:noWrap w:val="0"/>
                  <w:vAlign w:val="center"/>
                </w:tcPr>
                <w:p w14:paraId="604ADEF0">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0</w:t>
                  </w:r>
                </w:p>
              </w:tc>
            </w:tr>
            <w:tr w14:paraId="667B5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Merge w:val="continue"/>
                  <w:tcBorders>
                    <w:tl2br w:val="nil"/>
                    <w:tr2bl w:val="nil"/>
                  </w:tcBorders>
                  <w:noWrap w:val="0"/>
                  <w:vAlign w:val="center"/>
                </w:tcPr>
                <w:p w14:paraId="634DFBDE">
                  <w:pPr>
                    <w:pStyle w:val="31"/>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998" w:type="pct"/>
                  <w:tcBorders>
                    <w:tl2br w:val="nil"/>
                    <w:tr2bl w:val="nil"/>
                  </w:tcBorders>
                  <w:noWrap w:val="0"/>
                  <w:vAlign w:val="center"/>
                </w:tcPr>
                <w:p w14:paraId="3555F157">
                  <w:pPr>
                    <w:pStyle w:val="31"/>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危险废物</w:t>
                  </w:r>
                </w:p>
              </w:tc>
              <w:tc>
                <w:tcPr>
                  <w:tcW w:w="1298" w:type="pct"/>
                  <w:tcBorders>
                    <w:tl2br w:val="nil"/>
                    <w:tr2bl w:val="nil"/>
                  </w:tcBorders>
                  <w:noWrap w:val="0"/>
                  <w:vAlign w:val="center"/>
                </w:tcPr>
                <w:p w14:paraId="64F6792C">
                  <w:pPr>
                    <w:pStyle w:val="31"/>
                    <w:jc w:val="cente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废机油</w:t>
                  </w:r>
                </w:p>
              </w:tc>
              <w:tc>
                <w:tcPr>
                  <w:tcW w:w="866" w:type="pct"/>
                  <w:tcBorders>
                    <w:tl2br w:val="nil"/>
                    <w:tr2bl w:val="nil"/>
                  </w:tcBorders>
                  <w:noWrap w:val="0"/>
                  <w:vAlign w:val="center"/>
                </w:tcPr>
                <w:p w14:paraId="6143AC3A">
                  <w:pPr>
                    <w:pStyle w:val="31"/>
                    <w:jc w:val="cente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t>0.7</w:t>
                  </w:r>
                </w:p>
              </w:tc>
              <w:tc>
                <w:tcPr>
                  <w:tcW w:w="837" w:type="pct"/>
                  <w:tcBorders>
                    <w:tl2br w:val="nil"/>
                    <w:tr2bl w:val="nil"/>
                  </w:tcBorders>
                  <w:noWrap w:val="0"/>
                  <w:vAlign w:val="center"/>
                </w:tcPr>
                <w:p w14:paraId="76FF8EDF">
                  <w:pPr>
                    <w:pStyle w:val="31"/>
                    <w:jc w:val="cente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18"/>
                      <w:lang w:val="en-US" w:eastAsia="zh-CN" w:bidi="ar-SA"/>
                      <w14:textFill>
                        <w14:solidFill>
                          <w14:schemeClr w14:val="tx1"/>
                        </w14:solidFill>
                      </w14:textFill>
                    </w:rPr>
                    <w:t>0</w:t>
                  </w:r>
                </w:p>
              </w:tc>
            </w:tr>
          </w:tbl>
          <w:p w14:paraId="50A8D5D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default" w:ascii="Times New Roman" w:hAnsi="Times New Roman" w:cs="Times New Roman"/>
                <w:color w:val="000000" w:themeColor="text1"/>
                <w:szCs w:val="21"/>
                <w:highlight w:val="yellow"/>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4、存在的环境问题及“以新带老”措施</w:t>
            </w:r>
          </w:p>
          <w:p w14:paraId="31C891F4">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14:textFill>
                  <w14:solidFill>
                    <w14:schemeClr w14:val="tx1"/>
                  </w14:solidFill>
                </w14:textFill>
              </w:rPr>
              <w:t>）存在问题</w:t>
            </w:r>
          </w:p>
          <w:p w14:paraId="23CB0209">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根据现场勘察，现有场地内存在一下问题：</w:t>
            </w:r>
          </w:p>
          <w:p w14:paraId="115AB05A">
            <w:pPr>
              <w:pStyle w:val="17"/>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项目的原料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露天堆放，无原料棚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7503AA3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现有项目未建设成品库。</w:t>
            </w:r>
          </w:p>
          <w:p w14:paraId="0DFF69C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“以新带老”措施</w:t>
            </w:r>
          </w:p>
          <w:p w14:paraId="46CF5FFF">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1、建设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封闭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原料车间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27E20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2、建设封闭成品库。</w:t>
            </w:r>
          </w:p>
          <w:p w14:paraId="3264A67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493F83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F198F4F">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35FF064">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DA35F88">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6EA6F59">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E4D9CC8">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63B4EB4">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F72DB27">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3128AC7">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6AB8F7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03FD16D">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CC25A7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C2704F7">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BD3165C">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D958018">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6EFD17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CB72B2E">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353B48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E3F07D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261562C">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F24BCDC">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3920CF5">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6EB25D8">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tc>
      </w:tr>
    </w:tbl>
    <w:p w14:paraId="4E6485CC">
      <w:pP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br w:type="page"/>
      </w:r>
    </w:p>
    <w:p w14:paraId="5079F3C0">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三、区域环境质量现状、环境保护目标及评价标准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545"/>
      </w:tblGrid>
      <w:tr w14:paraId="7029F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tcBorders>
              <w:tl2br w:val="nil"/>
              <w:tr2bl w:val="nil"/>
            </w:tcBorders>
            <w:noWrap/>
            <w:vAlign w:val="center"/>
          </w:tcPr>
          <w:p w14:paraId="05BD494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区域</w:t>
            </w:r>
          </w:p>
          <w:p w14:paraId="5366C77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环境</w:t>
            </w:r>
          </w:p>
          <w:p w14:paraId="04464DE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质量</w:t>
            </w:r>
          </w:p>
          <w:p w14:paraId="75B72A0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现状</w:t>
            </w:r>
          </w:p>
        </w:tc>
        <w:tc>
          <w:tcPr>
            <w:tcW w:w="4599" w:type="pct"/>
            <w:tcBorders>
              <w:tl2br w:val="nil"/>
              <w:tr2bl w:val="nil"/>
            </w:tcBorders>
            <w:noWrap/>
            <w:vAlign w:val="center"/>
          </w:tcPr>
          <w:p w14:paraId="674CD616">
            <w:pPr>
              <w:spacing w:line="360" w:lineRule="auto"/>
              <w:ind w:firstLine="482" w:firstLineChars="200"/>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1.大气环境</w:t>
            </w:r>
          </w:p>
          <w:p w14:paraId="7A334A4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（1）空气质量达标区判定</w:t>
            </w:r>
          </w:p>
          <w:p w14:paraId="5B13D5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本项目位于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宝鸡市陈仓区阳香泉镇麻池村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，属于二类环境空气功能区。</w:t>
            </w:r>
            <w:r>
              <w:rPr>
                <w:rFonts w:hint="default" w:ascii="Times New Roman" w:hAnsi="Times New Roman" w:eastAsia="宋体" w:cs="Times New Roman"/>
                <w:color w:val="000000" w:themeColor="text1"/>
                <w:sz w:val="24"/>
                <w:szCs w:val="24"/>
                <w:highlight w:val="none"/>
                <w14:textFill>
                  <w14:solidFill>
                    <w14:schemeClr w14:val="tx1"/>
                  </w14:solidFill>
                </w14:textFill>
              </w:rPr>
              <w:t>本次评价基本污染物环境质量现状采用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宝鸡市</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局</w:t>
            </w:r>
            <w:r>
              <w:rPr>
                <w:rFonts w:hint="default" w:ascii="Times New Roman" w:hAnsi="Times New Roman" w:eastAsia="宋体" w:cs="Times New Roman"/>
                <w:color w:val="000000" w:themeColor="text1"/>
                <w:sz w:val="24"/>
                <w:szCs w:val="24"/>
                <w:highlight w:val="none"/>
                <w14:textFill>
                  <w14:solidFill>
                    <w14:schemeClr w14:val="tx1"/>
                  </w14:solidFill>
                </w14:textFill>
              </w:rPr>
              <w:t>办公室发布的《202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年1~12月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份各县（区）</w:t>
            </w:r>
            <w:r>
              <w:rPr>
                <w:rFonts w:hint="default" w:ascii="Times New Roman" w:hAnsi="Times New Roman" w:eastAsia="宋体" w:cs="Times New Roman"/>
                <w:color w:val="000000" w:themeColor="text1"/>
                <w:sz w:val="24"/>
                <w:szCs w:val="24"/>
                <w:highlight w:val="none"/>
                <w14:textFill>
                  <w14:solidFill>
                    <w14:schemeClr w14:val="tx1"/>
                  </w14:solidFill>
                </w14:textFill>
              </w:rPr>
              <w:t>空气质量状况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统计</w:t>
            </w:r>
            <w:r>
              <w:rPr>
                <w:rFonts w:hint="default" w:ascii="Times New Roman" w:hAnsi="Times New Roman" w:eastAsia="宋体" w:cs="Times New Roman"/>
                <w:color w:val="000000" w:themeColor="text1"/>
                <w:sz w:val="24"/>
                <w:szCs w:val="24"/>
                <w:highlight w:val="none"/>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陈仓区</w:t>
            </w:r>
            <w:r>
              <w:rPr>
                <w:rFonts w:hint="default" w:ascii="Times New Roman" w:hAnsi="Times New Roman" w:eastAsia="宋体" w:cs="Times New Roman"/>
                <w:color w:val="000000" w:themeColor="text1"/>
                <w:sz w:val="24"/>
                <w:szCs w:val="24"/>
                <w:highlight w:val="none"/>
                <w14:textFill>
                  <w14:solidFill>
                    <w14:schemeClr w14:val="tx1"/>
                  </w14:solidFill>
                </w14:textFill>
              </w:rPr>
              <w:t>的统计数据，如表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所示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4E1BC29">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表3-1  常规污染物现状达标情况</w:t>
            </w:r>
          </w:p>
          <w:tbl>
            <w:tblPr>
              <w:tblStyle w:val="24"/>
              <w:tblW w:w="837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54"/>
              <w:gridCol w:w="3159"/>
              <w:gridCol w:w="1139"/>
              <w:gridCol w:w="1125"/>
              <w:gridCol w:w="981"/>
              <w:gridCol w:w="1118"/>
            </w:tblGrid>
            <w:tr w14:paraId="7255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4" w:hRule="atLeast"/>
              </w:trPr>
              <w:tc>
                <w:tcPr>
                  <w:tcW w:w="509" w:type="pct"/>
                  <w:tcBorders>
                    <w:tl2br w:val="nil"/>
                    <w:tr2bl w:val="nil"/>
                  </w:tcBorders>
                  <w:shd w:val="clear" w:color="auto" w:fill="FFFFFF" w:themeFill="background1"/>
                  <w:vAlign w:val="center"/>
                </w:tcPr>
                <w:p w14:paraId="2832C93C">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885" w:type="pct"/>
                  <w:tcBorders>
                    <w:tl2br w:val="nil"/>
                    <w:tr2bl w:val="nil"/>
                  </w:tcBorders>
                  <w:shd w:val="clear" w:color="auto" w:fill="FFFFFF" w:themeFill="background1"/>
                  <w:vAlign w:val="center"/>
                </w:tcPr>
                <w:p w14:paraId="1DE80B37">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年评价指标</w:t>
                  </w:r>
                </w:p>
              </w:tc>
              <w:tc>
                <w:tcPr>
                  <w:tcW w:w="679" w:type="pct"/>
                  <w:tcBorders>
                    <w:tl2br w:val="nil"/>
                    <w:tr2bl w:val="nil"/>
                  </w:tcBorders>
                  <w:shd w:val="clear" w:color="auto" w:fill="FFFFFF" w:themeFill="background1"/>
                  <w:vAlign w:val="center"/>
                </w:tcPr>
                <w:p w14:paraId="78D38452">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671" w:type="pct"/>
                  <w:tcBorders>
                    <w:tl2br w:val="nil"/>
                    <w:tr2bl w:val="nil"/>
                  </w:tcBorders>
                  <w:shd w:val="clear" w:color="auto" w:fill="FFFFFF" w:themeFill="background1"/>
                  <w:vAlign w:val="center"/>
                </w:tcPr>
                <w:p w14:paraId="0B48108A">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585" w:type="pct"/>
                  <w:tcBorders>
                    <w:tl2br w:val="nil"/>
                    <w:tr2bl w:val="nil"/>
                  </w:tcBorders>
                  <w:shd w:val="clear" w:color="auto" w:fill="FFFFFF" w:themeFill="background1"/>
                  <w:vAlign w:val="center"/>
                </w:tcPr>
                <w:p w14:paraId="15FF3DD6">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占标率（%）</w:t>
                  </w:r>
                </w:p>
              </w:tc>
              <w:tc>
                <w:tcPr>
                  <w:tcW w:w="667" w:type="pct"/>
                  <w:tcBorders>
                    <w:tl2br w:val="nil"/>
                    <w:tr2bl w:val="nil"/>
                  </w:tcBorders>
                  <w:shd w:val="clear" w:color="auto" w:fill="FFFFFF" w:themeFill="background1"/>
                  <w:vAlign w:val="center"/>
                </w:tcPr>
                <w:p w14:paraId="575BC49C">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达标情况</w:t>
                  </w:r>
                </w:p>
              </w:tc>
            </w:tr>
            <w:tr w14:paraId="42FF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318B1DC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885" w:type="pct"/>
                  <w:tcBorders>
                    <w:tl2br w:val="nil"/>
                    <w:tr2bl w:val="nil"/>
                  </w:tcBorders>
                  <w:shd w:val="clear" w:color="auto" w:fill="FFFFFF" w:themeFill="background1"/>
                  <w:vAlign w:val="center"/>
                </w:tcPr>
                <w:p w14:paraId="08744E4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年平均浓度</w:t>
                  </w:r>
                </w:p>
              </w:tc>
              <w:tc>
                <w:tcPr>
                  <w:tcW w:w="679" w:type="pct"/>
                  <w:tcBorders>
                    <w:tl2br w:val="nil"/>
                    <w:tr2bl w:val="nil"/>
                  </w:tcBorders>
                  <w:shd w:val="clear" w:color="auto" w:fill="FFFFFF" w:themeFill="background1"/>
                  <w:vAlign w:val="center"/>
                </w:tcPr>
                <w:p w14:paraId="212411B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w:t>
                  </w:r>
                </w:p>
              </w:tc>
              <w:tc>
                <w:tcPr>
                  <w:tcW w:w="671" w:type="pct"/>
                  <w:tcBorders>
                    <w:tl2br w:val="nil"/>
                    <w:tr2bl w:val="nil"/>
                  </w:tcBorders>
                  <w:shd w:val="clear" w:color="auto" w:fill="FFFFFF" w:themeFill="background1"/>
                  <w:vAlign w:val="center"/>
                </w:tcPr>
                <w:p w14:paraId="5219376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585" w:type="pct"/>
                  <w:tcBorders>
                    <w:tl2br w:val="nil"/>
                    <w:tr2bl w:val="nil"/>
                  </w:tcBorders>
                  <w:shd w:val="clear" w:color="auto" w:fill="FFFFFF" w:themeFill="background1"/>
                  <w:vAlign w:val="center"/>
                </w:tcPr>
                <w:p w14:paraId="77D8D43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101.7</w:t>
                  </w:r>
                </w:p>
              </w:tc>
              <w:tc>
                <w:tcPr>
                  <w:tcW w:w="667" w:type="pct"/>
                  <w:tcBorders>
                    <w:tl2br w:val="nil"/>
                    <w:tr2bl w:val="nil"/>
                  </w:tcBorders>
                  <w:shd w:val="clear" w:color="auto" w:fill="FFFFFF" w:themeFill="background1"/>
                  <w:vAlign w:val="center"/>
                </w:tcPr>
                <w:p w14:paraId="7D97B257">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EA4C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049CFEB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885" w:type="pct"/>
                  <w:tcBorders>
                    <w:tl2br w:val="nil"/>
                    <w:tr2bl w:val="nil"/>
                  </w:tcBorders>
                  <w:shd w:val="clear" w:color="auto" w:fill="FFFFFF" w:themeFill="background1"/>
                  <w:vAlign w:val="center"/>
                </w:tcPr>
                <w:p w14:paraId="0528CB79">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年平均浓度</w:t>
                  </w:r>
                </w:p>
              </w:tc>
              <w:tc>
                <w:tcPr>
                  <w:tcW w:w="679" w:type="pct"/>
                  <w:tcBorders>
                    <w:tl2br w:val="nil"/>
                    <w:tr2bl w:val="nil"/>
                  </w:tcBorders>
                  <w:shd w:val="clear" w:color="auto" w:fill="FFFFFF" w:themeFill="background1"/>
                  <w:vAlign w:val="center"/>
                </w:tcPr>
                <w:p w14:paraId="7C15BE6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35.2</w:t>
                  </w:r>
                </w:p>
              </w:tc>
              <w:tc>
                <w:tcPr>
                  <w:tcW w:w="671" w:type="pct"/>
                  <w:tcBorders>
                    <w:tl2br w:val="nil"/>
                    <w:tr2bl w:val="nil"/>
                  </w:tcBorders>
                  <w:shd w:val="clear" w:color="auto" w:fill="FFFFFF" w:themeFill="background1"/>
                  <w:vAlign w:val="center"/>
                </w:tcPr>
                <w:p w14:paraId="53CEF09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585" w:type="pct"/>
                  <w:tcBorders>
                    <w:tl2br w:val="nil"/>
                    <w:tr2bl w:val="nil"/>
                  </w:tcBorders>
                  <w:shd w:val="clear" w:color="auto" w:fill="FFFFFF" w:themeFill="background1"/>
                  <w:vAlign w:val="center"/>
                </w:tcPr>
                <w:p w14:paraId="24C1102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117.3</w:t>
                  </w:r>
                </w:p>
              </w:tc>
              <w:tc>
                <w:tcPr>
                  <w:tcW w:w="667" w:type="pct"/>
                  <w:tcBorders>
                    <w:tl2br w:val="nil"/>
                    <w:tr2bl w:val="nil"/>
                  </w:tcBorders>
                  <w:shd w:val="clear" w:color="auto" w:fill="FFFFFF" w:themeFill="background1"/>
                  <w:vAlign w:val="center"/>
                </w:tcPr>
                <w:p w14:paraId="0EC53F5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p>
              </w:tc>
            </w:tr>
            <w:tr w14:paraId="5FD77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4B78015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85" w:type="pct"/>
                  <w:tcBorders>
                    <w:tl2br w:val="nil"/>
                    <w:tr2bl w:val="nil"/>
                  </w:tcBorders>
                  <w:shd w:val="clear" w:color="auto" w:fill="FFFFFF" w:themeFill="background1"/>
                  <w:vAlign w:val="center"/>
                </w:tcPr>
                <w:p w14:paraId="680F27B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年平均浓度</w:t>
                  </w:r>
                </w:p>
              </w:tc>
              <w:tc>
                <w:tcPr>
                  <w:tcW w:w="679" w:type="pct"/>
                  <w:tcBorders>
                    <w:tl2br w:val="nil"/>
                    <w:tr2bl w:val="nil"/>
                  </w:tcBorders>
                  <w:shd w:val="clear" w:color="auto" w:fill="FFFFFF" w:themeFill="background1"/>
                  <w:vAlign w:val="center"/>
                </w:tcPr>
                <w:p w14:paraId="13B957B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671" w:type="pct"/>
                  <w:tcBorders>
                    <w:tl2br w:val="nil"/>
                    <w:tr2bl w:val="nil"/>
                  </w:tcBorders>
                  <w:shd w:val="clear" w:color="auto" w:fill="FFFFFF" w:themeFill="background1"/>
                  <w:vAlign w:val="center"/>
                </w:tcPr>
                <w:p w14:paraId="28775EF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585" w:type="pct"/>
                  <w:tcBorders>
                    <w:tl2br w:val="nil"/>
                    <w:tr2bl w:val="nil"/>
                  </w:tcBorders>
                  <w:shd w:val="clear" w:color="auto" w:fill="FFFFFF" w:themeFill="background1"/>
                  <w:vAlign w:val="center"/>
                </w:tcPr>
                <w:p w14:paraId="443523E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28.3</w:t>
                  </w:r>
                </w:p>
              </w:tc>
              <w:tc>
                <w:tcPr>
                  <w:tcW w:w="667" w:type="pct"/>
                  <w:tcBorders>
                    <w:tl2br w:val="nil"/>
                    <w:tr2bl w:val="nil"/>
                  </w:tcBorders>
                  <w:shd w:val="clear" w:color="auto" w:fill="FFFFFF" w:themeFill="background1"/>
                  <w:vAlign w:val="center"/>
                </w:tcPr>
                <w:p w14:paraId="0750261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F16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20AE772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85" w:type="pct"/>
                  <w:tcBorders>
                    <w:tl2br w:val="nil"/>
                    <w:tr2bl w:val="nil"/>
                  </w:tcBorders>
                  <w:shd w:val="clear" w:color="auto" w:fill="FFFFFF" w:themeFill="background1"/>
                  <w:vAlign w:val="center"/>
                </w:tcPr>
                <w:p w14:paraId="19611977">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年平均浓度</w:t>
                  </w:r>
                </w:p>
              </w:tc>
              <w:tc>
                <w:tcPr>
                  <w:tcW w:w="679" w:type="pct"/>
                  <w:tcBorders>
                    <w:tl2br w:val="nil"/>
                    <w:tr2bl w:val="nil"/>
                  </w:tcBorders>
                  <w:shd w:val="clear" w:color="auto" w:fill="FFFFFF" w:themeFill="background1"/>
                  <w:vAlign w:val="center"/>
                </w:tcPr>
                <w:p w14:paraId="1BC250C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671" w:type="pct"/>
                  <w:tcBorders>
                    <w:tl2br w:val="nil"/>
                    <w:tr2bl w:val="nil"/>
                  </w:tcBorders>
                  <w:shd w:val="clear" w:color="auto" w:fill="FFFFFF" w:themeFill="background1"/>
                  <w:vAlign w:val="center"/>
                </w:tcPr>
                <w:p w14:paraId="5273C61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585" w:type="pct"/>
                  <w:tcBorders>
                    <w:tl2br w:val="nil"/>
                    <w:tr2bl w:val="nil"/>
                  </w:tcBorders>
                  <w:shd w:val="clear" w:color="auto" w:fill="FFFFFF" w:themeFill="background1"/>
                  <w:vAlign w:val="center"/>
                </w:tcPr>
                <w:p w14:paraId="5402C14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67.5</w:t>
                  </w:r>
                </w:p>
              </w:tc>
              <w:tc>
                <w:tcPr>
                  <w:tcW w:w="667" w:type="pct"/>
                  <w:tcBorders>
                    <w:tl2br w:val="nil"/>
                    <w:tr2bl w:val="nil"/>
                  </w:tcBorders>
                  <w:shd w:val="clear" w:color="auto" w:fill="FFFFFF" w:themeFill="background1"/>
                  <w:vAlign w:val="center"/>
                </w:tcPr>
                <w:p w14:paraId="11B9EC0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6385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9" w:type="pct"/>
                  <w:tcBorders>
                    <w:tl2br w:val="nil"/>
                    <w:tr2bl w:val="nil"/>
                  </w:tcBorders>
                  <w:shd w:val="clear" w:color="auto" w:fill="FFFFFF" w:themeFill="background1"/>
                  <w:vAlign w:val="center"/>
                </w:tcPr>
                <w:p w14:paraId="2A83D6A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885" w:type="pct"/>
                  <w:tcBorders>
                    <w:tl2br w:val="nil"/>
                    <w:tr2bl w:val="nil"/>
                  </w:tcBorders>
                  <w:shd w:val="clear" w:color="auto" w:fill="FFFFFF" w:themeFill="background1"/>
                  <w:vAlign w:val="center"/>
                </w:tcPr>
                <w:p w14:paraId="5B4AD8E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24小时平均第95百分位数</w:t>
                  </w:r>
                </w:p>
              </w:tc>
              <w:tc>
                <w:tcPr>
                  <w:tcW w:w="679" w:type="pct"/>
                  <w:tcBorders>
                    <w:tl2br w:val="nil"/>
                    <w:tr2bl w:val="nil"/>
                  </w:tcBorders>
                  <w:shd w:val="clear" w:color="auto" w:fill="FFFFFF" w:themeFill="background1"/>
                  <w:vAlign w:val="center"/>
                </w:tcPr>
                <w:p w14:paraId="0460012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671" w:type="pct"/>
                  <w:tcBorders>
                    <w:tl2br w:val="nil"/>
                    <w:tr2bl w:val="nil"/>
                  </w:tcBorders>
                  <w:shd w:val="clear" w:color="auto" w:fill="FFFFFF" w:themeFill="background1"/>
                  <w:vAlign w:val="center"/>
                </w:tcPr>
                <w:p w14:paraId="7A4A808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585" w:type="pct"/>
                  <w:tcBorders>
                    <w:tl2br w:val="nil"/>
                    <w:tr2bl w:val="nil"/>
                  </w:tcBorders>
                  <w:shd w:val="clear" w:color="auto" w:fill="FFFFFF" w:themeFill="background1"/>
                  <w:vAlign w:val="center"/>
                </w:tcPr>
                <w:p w14:paraId="3672BBE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667" w:type="pct"/>
                  <w:tcBorders>
                    <w:tl2br w:val="nil"/>
                    <w:tr2bl w:val="nil"/>
                  </w:tcBorders>
                  <w:shd w:val="clear" w:color="auto" w:fill="FFFFFF" w:themeFill="background1"/>
                  <w:vAlign w:val="center"/>
                </w:tcPr>
                <w:p w14:paraId="5BA7AE7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D62D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09" w:type="pct"/>
                  <w:tcBorders>
                    <w:tl2br w:val="nil"/>
                    <w:tr2bl w:val="nil"/>
                  </w:tcBorders>
                  <w:shd w:val="clear" w:color="auto" w:fill="FFFFFF" w:themeFill="background1"/>
                  <w:vAlign w:val="center"/>
                </w:tcPr>
                <w:p w14:paraId="6C37DF49">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O3</w:t>
                  </w:r>
                </w:p>
              </w:tc>
              <w:tc>
                <w:tcPr>
                  <w:tcW w:w="1885" w:type="pct"/>
                  <w:tcBorders>
                    <w:tl2br w:val="nil"/>
                    <w:tr2bl w:val="nil"/>
                  </w:tcBorders>
                  <w:shd w:val="clear" w:color="auto" w:fill="FFFFFF" w:themeFill="background1"/>
                  <w:vAlign w:val="center"/>
                </w:tcPr>
                <w:p w14:paraId="4C7D6BA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日最大8小时平均第90百分位数</w:t>
                  </w:r>
                </w:p>
              </w:tc>
              <w:tc>
                <w:tcPr>
                  <w:tcW w:w="679" w:type="pct"/>
                  <w:tcBorders>
                    <w:tl2br w:val="nil"/>
                    <w:tr2bl w:val="nil"/>
                  </w:tcBorders>
                  <w:shd w:val="clear" w:color="auto" w:fill="FFFFFF" w:themeFill="background1"/>
                  <w:vAlign w:val="center"/>
                </w:tcPr>
                <w:p w14:paraId="53FAF4C5">
                  <w:pPr>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w:t>
                  </w:r>
                </w:p>
              </w:tc>
              <w:tc>
                <w:tcPr>
                  <w:tcW w:w="671" w:type="pct"/>
                  <w:tcBorders>
                    <w:tl2br w:val="nil"/>
                    <w:tr2bl w:val="nil"/>
                  </w:tcBorders>
                  <w:shd w:val="clear" w:color="auto" w:fill="FFFFFF" w:themeFill="background1"/>
                  <w:vAlign w:val="center"/>
                </w:tcPr>
                <w:p w14:paraId="5F09598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585" w:type="pct"/>
                  <w:tcBorders>
                    <w:tl2br w:val="nil"/>
                    <w:tr2bl w:val="nil"/>
                  </w:tcBorders>
                  <w:shd w:val="clear" w:color="auto" w:fill="FFFFFF" w:themeFill="background1"/>
                  <w:vAlign w:val="center"/>
                </w:tcPr>
                <w:p w14:paraId="3A9F9DD3">
                  <w:pPr>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92.5</w:t>
                  </w:r>
                </w:p>
              </w:tc>
              <w:tc>
                <w:tcPr>
                  <w:tcW w:w="667" w:type="pct"/>
                  <w:tcBorders>
                    <w:tl2br w:val="nil"/>
                    <w:tr2bl w:val="nil"/>
                  </w:tcBorders>
                  <w:shd w:val="clear" w:color="auto" w:fill="FFFFFF" w:themeFill="background1"/>
                  <w:vAlign w:val="center"/>
                </w:tcPr>
                <w:p w14:paraId="18A5B0E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72B6D61D">
            <w:pPr>
              <w:spacing w:line="360" w:lineRule="auto"/>
              <w:ind w:firstLine="480"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根据表3-1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陈仓区202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环境空气中的SO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、CO、O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和NO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均达到</w:t>
            </w:r>
            <w:r>
              <w:rPr>
                <w:rFonts w:hint="default" w:ascii="Times New Roman" w:hAnsi="Times New Roman" w:cs="Times New Roman"/>
                <w:color w:val="000000" w:themeColor="text1"/>
                <w:sz w:val="24"/>
                <w:szCs w:val="24"/>
                <w14:textFill>
                  <w14:solidFill>
                    <w14:schemeClr w14:val="tx1"/>
                  </w14:solidFill>
                </w14:textFill>
              </w:rPr>
              <w:t>《环境空气质量标准》（GB3095-20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26</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表1中过渡阶段浓度限值的</w:t>
            </w:r>
            <w:r>
              <w:rPr>
                <w:rFonts w:hint="default" w:ascii="Times New Roman" w:hAnsi="Times New Roman" w:eastAsia="宋体" w:cs="Times New Roman"/>
                <w:color w:val="000000" w:themeColor="text1"/>
                <w:sz w:val="24"/>
                <w:szCs w:val="24"/>
                <w:highlight w:val="none"/>
                <w14:textFill>
                  <w14:solidFill>
                    <w14:schemeClr w14:val="tx1"/>
                  </w14:solidFill>
                </w14:textFill>
              </w:rPr>
              <w:t>二级标准，PM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均超过</w:t>
            </w:r>
            <w:r>
              <w:rPr>
                <w:rFonts w:hint="default" w:ascii="Times New Roman" w:hAnsi="Times New Roman" w:cs="Times New Roman"/>
                <w:color w:val="000000" w:themeColor="text1"/>
                <w:sz w:val="24"/>
                <w:szCs w:val="24"/>
                <w14:textFill>
                  <w14:solidFill>
                    <w14:schemeClr w14:val="tx1"/>
                  </w14:solidFill>
                </w14:textFill>
              </w:rPr>
              <w:t>《环境空气质量标准》（GB3095-20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26</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表1中过渡阶段浓度限值的</w:t>
            </w:r>
            <w:r>
              <w:rPr>
                <w:rFonts w:hint="default" w:ascii="Times New Roman" w:hAnsi="Times New Roman" w:eastAsia="宋体" w:cs="Times New Roman"/>
                <w:color w:val="000000" w:themeColor="text1"/>
                <w:sz w:val="24"/>
                <w:szCs w:val="24"/>
                <w:highlight w:val="none"/>
                <w14:textFill>
                  <w14:solidFill>
                    <w14:schemeClr w14:val="tx1"/>
                  </w14:solidFill>
                </w14:textFill>
              </w:rPr>
              <w:t>二级标准。因此，项目所在地区域为不达标区。</w:t>
            </w:r>
          </w:p>
          <w:p w14:paraId="5D5943B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（2）其他污染物环境质量现状</w:t>
            </w:r>
          </w:p>
          <w:p w14:paraId="53A9FD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为了解项目区域与项目有关的其他污染物达标情况，本次环评引用陕西明铖检测技术有限公司于2025年5月18日至5月20日对《宝鸡市陈仓区梨树沟冶金用脉石英矿生产项目环境影响报告表》所在区域TSP环境质量现状监测数据，引用项目位于本项目北侧2.863km处（＜5km）。</w:t>
            </w:r>
          </w:p>
          <w:p w14:paraId="2A7FFB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1）监测因子：TSP监测点位：引用项目所在地</w:t>
            </w:r>
          </w:p>
          <w:p w14:paraId="7C6FE8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2）监测时间及频次：监测3天</w:t>
            </w:r>
          </w:p>
          <w:p w14:paraId="33242331">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表3-2  大气环境现状监测结果</w:t>
            </w:r>
          </w:p>
          <w:tbl>
            <w:tblPr>
              <w:tblStyle w:val="25"/>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223"/>
              <w:gridCol w:w="863"/>
              <w:gridCol w:w="620"/>
              <w:gridCol w:w="1223"/>
              <w:gridCol w:w="1251"/>
              <w:gridCol w:w="922"/>
              <w:gridCol w:w="647"/>
              <w:gridCol w:w="523"/>
            </w:tblGrid>
            <w:tr w14:paraId="5C0A0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7" w:type="pct"/>
                  <w:tcBorders>
                    <w:tl2br w:val="nil"/>
                    <w:tr2bl w:val="nil"/>
                  </w:tcBorders>
                  <w:vAlign w:val="center"/>
                </w:tcPr>
                <w:p w14:paraId="71AB2F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监测点位</w:t>
                  </w:r>
                </w:p>
              </w:tc>
              <w:tc>
                <w:tcPr>
                  <w:tcW w:w="737" w:type="pct"/>
                  <w:tcBorders>
                    <w:tl2br w:val="nil"/>
                    <w:tr2bl w:val="nil"/>
                  </w:tcBorders>
                  <w:vAlign w:val="center"/>
                </w:tcPr>
                <w:p w14:paraId="62A60F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监测时间</w:t>
                  </w:r>
                </w:p>
              </w:tc>
              <w:tc>
                <w:tcPr>
                  <w:tcW w:w="520" w:type="pct"/>
                  <w:tcBorders>
                    <w:tl2br w:val="nil"/>
                    <w:tr2bl w:val="nil"/>
                  </w:tcBorders>
                  <w:vAlign w:val="center"/>
                </w:tcPr>
                <w:p w14:paraId="266C62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污染物</w:t>
                  </w:r>
                </w:p>
              </w:tc>
              <w:tc>
                <w:tcPr>
                  <w:tcW w:w="373" w:type="pct"/>
                  <w:tcBorders>
                    <w:tl2br w:val="nil"/>
                    <w:tr2bl w:val="nil"/>
                  </w:tcBorders>
                  <w:vAlign w:val="center"/>
                </w:tcPr>
                <w:p w14:paraId="5A3702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平均时间</w:t>
                  </w:r>
                </w:p>
              </w:tc>
              <w:tc>
                <w:tcPr>
                  <w:tcW w:w="737" w:type="pct"/>
                  <w:tcBorders>
                    <w:tl2br w:val="nil"/>
                    <w:tr2bl w:val="nil"/>
                  </w:tcBorders>
                  <w:vAlign w:val="center"/>
                </w:tcPr>
                <w:p w14:paraId="29F6E1C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评价标准（</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μg/m</w:t>
                  </w:r>
                  <w:r>
                    <w:rPr>
                      <w:rFonts w:hint="default" w:ascii="Times New Roman" w:hAnsi="Times New Roman" w:eastAsia="宋体" w:cs="Times New Roman"/>
                      <w:b/>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p>
              </w:tc>
              <w:tc>
                <w:tcPr>
                  <w:tcW w:w="753" w:type="pct"/>
                  <w:tcBorders>
                    <w:tl2br w:val="nil"/>
                    <w:tr2bl w:val="nil"/>
                  </w:tcBorders>
                  <w:vAlign w:val="center"/>
                </w:tcPr>
                <w:p w14:paraId="25C67B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监测浓度范围（</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μg/m</w:t>
                  </w:r>
                  <w:r>
                    <w:rPr>
                      <w:rFonts w:hint="default" w:ascii="Times New Roman" w:hAnsi="Times New Roman" w:eastAsia="宋体" w:cs="Times New Roman"/>
                      <w:b/>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p>
              </w:tc>
              <w:tc>
                <w:tcPr>
                  <w:tcW w:w="555" w:type="pct"/>
                  <w:tcBorders>
                    <w:tl2br w:val="nil"/>
                    <w:tr2bl w:val="nil"/>
                  </w:tcBorders>
                  <w:vAlign w:val="center"/>
                </w:tcPr>
                <w:p w14:paraId="06D01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最大浓度占标率/%</w:t>
                  </w:r>
                </w:p>
              </w:tc>
              <w:tc>
                <w:tcPr>
                  <w:tcW w:w="390" w:type="pct"/>
                  <w:tcBorders>
                    <w:tl2br w:val="nil"/>
                    <w:tr2bl w:val="nil"/>
                  </w:tcBorders>
                  <w:vAlign w:val="center"/>
                </w:tcPr>
                <w:p w14:paraId="53BDCA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超标率/%</w:t>
                  </w:r>
                </w:p>
              </w:tc>
              <w:tc>
                <w:tcPr>
                  <w:tcW w:w="315" w:type="pct"/>
                  <w:tcBorders>
                    <w:tl2br w:val="nil"/>
                    <w:tr2bl w:val="nil"/>
                  </w:tcBorders>
                  <w:vAlign w:val="center"/>
                </w:tcPr>
                <w:p w14:paraId="3AD77C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vertAlign w:val="baseline"/>
                      <w:lang w:val="en-US" w:eastAsia="zh-CN" w:bidi="ar"/>
                      <w14:textFill>
                        <w14:solidFill>
                          <w14:schemeClr w14:val="tx1"/>
                        </w14:solidFill>
                      </w14:textFill>
                    </w:rPr>
                    <w:t>达标情况</w:t>
                  </w:r>
                </w:p>
              </w:tc>
            </w:tr>
            <w:tr w14:paraId="728A2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l2br w:val="nil"/>
                    <w:tr2bl w:val="nil"/>
                  </w:tcBorders>
                  <w:vAlign w:val="center"/>
                </w:tcPr>
                <w:p w14:paraId="10304F2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引用项目所在地</w:t>
                  </w:r>
                </w:p>
              </w:tc>
              <w:tc>
                <w:tcPr>
                  <w:tcW w:w="737" w:type="pct"/>
                  <w:tcBorders>
                    <w:tl2br w:val="nil"/>
                    <w:tr2bl w:val="nil"/>
                  </w:tcBorders>
                  <w:vAlign w:val="center"/>
                </w:tcPr>
                <w:p w14:paraId="539FD2F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5月18日</w:t>
                  </w:r>
                </w:p>
              </w:tc>
              <w:tc>
                <w:tcPr>
                  <w:tcW w:w="520" w:type="pct"/>
                  <w:vMerge w:val="restart"/>
                  <w:tcBorders>
                    <w:tl2br w:val="nil"/>
                    <w:tr2bl w:val="nil"/>
                  </w:tcBorders>
                  <w:vAlign w:val="center"/>
                </w:tcPr>
                <w:p w14:paraId="6F7BD4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TSP</w:t>
                  </w:r>
                </w:p>
              </w:tc>
              <w:tc>
                <w:tcPr>
                  <w:tcW w:w="373" w:type="pct"/>
                  <w:vMerge w:val="restart"/>
                  <w:tcBorders>
                    <w:tl2br w:val="nil"/>
                    <w:tr2bl w:val="nil"/>
                  </w:tcBorders>
                  <w:vAlign w:val="center"/>
                </w:tcPr>
                <w:p w14:paraId="5E4F43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24小时</w:t>
                  </w:r>
                </w:p>
              </w:tc>
              <w:tc>
                <w:tcPr>
                  <w:tcW w:w="737" w:type="pct"/>
                  <w:vMerge w:val="restart"/>
                  <w:tcBorders>
                    <w:tl2br w:val="nil"/>
                    <w:tr2bl w:val="nil"/>
                  </w:tcBorders>
                  <w:vAlign w:val="center"/>
                </w:tcPr>
                <w:p w14:paraId="46AFF8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300</w:t>
                  </w:r>
                </w:p>
              </w:tc>
              <w:tc>
                <w:tcPr>
                  <w:tcW w:w="753" w:type="pct"/>
                  <w:tcBorders>
                    <w:tl2br w:val="nil"/>
                    <w:tr2bl w:val="nil"/>
                  </w:tcBorders>
                  <w:vAlign w:val="center"/>
                </w:tcPr>
                <w:p w14:paraId="426A81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230</w:t>
                  </w:r>
                </w:p>
              </w:tc>
              <w:tc>
                <w:tcPr>
                  <w:tcW w:w="555" w:type="pct"/>
                  <w:tcBorders>
                    <w:tl2br w:val="nil"/>
                    <w:tr2bl w:val="nil"/>
                  </w:tcBorders>
                  <w:vAlign w:val="center"/>
                </w:tcPr>
                <w:p w14:paraId="361179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76.6</w:t>
                  </w:r>
                </w:p>
              </w:tc>
              <w:tc>
                <w:tcPr>
                  <w:tcW w:w="390" w:type="pct"/>
                  <w:tcBorders>
                    <w:tl2br w:val="nil"/>
                    <w:tr2bl w:val="nil"/>
                  </w:tcBorders>
                  <w:vAlign w:val="center"/>
                </w:tcPr>
                <w:p w14:paraId="42F974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0</w:t>
                  </w:r>
                </w:p>
              </w:tc>
              <w:tc>
                <w:tcPr>
                  <w:tcW w:w="315" w:type="pct"/>
                  <w:vMerge w:val="restart"/>
                  <w:tcBorders>
                    <w:tl2br w:val="nil"/>
                    <w:tr2bl w:val="nil"/>
                  </w:tcBorders>
                  <w:vAlign w:val="center"/>
                </w:tcPr>
                <w:p w14:paraId="331763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达标</w:t>
                  </w:r>
                </w:p>
              </w:tc>
            </w:tr>
            <w:tr w14:paraId="16F40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l2br w:val="nil"/>
                    <w:tr2bl w:val="nil"/>
                  </w:tcBorders>
                  <w:vAlign w:val="center"/>
                </w:tcPr>
                <w:p w14:paraId="48BB43A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37" w:type="pct"/>
                  <w:tcBorders>
                    <w:tl2br w:val="nil"/>
                    <w:tr2bl w:val="nil"/>
                  </w:tcBorders>
                  <w:vAlign w:val="center"/>
                </w:tcPr>
                <w:p w14:paraId="1C04A6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5月19日</w:t>
                  </w:r>
                </w:p>
              </w:tc>
              <w:tc>
                <w:tcPr>
                  <w:tcW w:w="520" w:type="pct"/>
                  <w:vMerge w:val="continue"/>
                  <w:tcBorders>
                    <w:tl2br w:val="nil"/>
                    <w:tr2bl w:val="nil"/>
                  </w:tcBorders>
                  <w:vAlign w:val="center"/>
                </w:tcPr>
                <w:p w14:paraId="4453DB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373" w:type="pct"/>
                  <w:vMerge w:val="continue"/>
                  <w:tcBorders>
                    <w:tl2br w:val="nil"/>
                    <w:tr2bl w:val="nil"/>
                  </w:tcBorders>
                  <w:vAlign w:val="center"/>
                </w:tcPr>
                <w:p w14:paraId="565C1F2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37" w:type="pct"/>
                  <w:vMerge w:val="continue"/>
                  <w:tcBorders>
                    <w:tl2br w:val="nil"/>
                    <w:tr2bl w:val="nil"/>
                  </w:tcBorders>
                  <w:vAlign w:val="center"/>
                </w:tcPr>
                <w:p w14:paraId="5145499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53" w:type="pct"/>
                  <w:tcBorders>
                    <w:tl2br w:val="nil"/>
                    <w:tr2bl w:val="nil"/>
                  </w:tcBorders>
                  <w:vAlign w:val="center"/>
                </w:tcPr>
                <w:p w14:paraId="094C349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104</w:t>
                  </w:r>
                </w:p>
              </w:tc>
              <w:tc>
                <w:tcPr>
                  <w:tcW w:w="555" w:type="pct"/>
                  <w:tcBorders>
                    <w:tl2br w:val="nil"/>
                    <w:tr2bl w:val="nil"/>
                  </w:tcBorders>
                  <w:vAlign w:val="center"/>
                </w:tcPr>
                <w:p w14:paraId="0502D3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34.6</w:t>
                  </w:r>
                </w:p>
              </w:tc>
              <w:tc>
                <w:tcPr>
                  <w:tcW w:w="390" w:type="pct"/>
                  <w:tcBorders>
                    <w:tl2br w:val="nil"/>
                    <w:tr2bl w:val="nil"/>
                  </w:tcBorders>
                  <w:vAlign w:val="center"/>
                </w:tcPr>
                <w:p w14:paraId="29450A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0</w:t>
                  </w:r>
                </w:p>
              </w:tc>
              <w:tc>
                <w:tcPr>
                  <w:tcW w:w="315" w:type="pct"/>
                  <w:vMerge w:val="continue"/>
                  <w:tcBorders>
                    <w:tl2br w:val="nil"/>
                    <w:tr2bl w:val="nil"/>
                  </w:tcBorders>
                  <w:vAlign w:val="center"/>
                </w:tcPr>
                <w:p w14:paraId="1879E8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r>
            <w:tr w14:paraId="5F5E5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l2br w:val="nil"/>
                    <w:tr2bl w:val="nil"/>
                  </w:tcBorders>
                  <w:vAlign w:val="center"/>
                </w:tcPr>
                <w:p w14:paraId="07B43A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37" w:type="pct"/>
                  <w:tcBorders>
                    <w:tl2br w:val="nil"/>
                    <w:tr2bl w:val="nil"/>
                  </w:tcBorders>
                  <w:vAlign w:val="center"/>
                </w:tcPr>
                <w:p w14:paraId="7CA702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5月20日</w:t>
                  </w:r>
                </w:p>
              </w:tc>
              <w:tc>
                <w:tcPr>
                  <w:tcW w:w="520" w:type="pct"/>
                  <w:vMerge w:val="continue"/>
                  <w:tcBorders>
                    <w:tl2br w:val="nil"/>
                    <w:tr2bl w:val="nil"/>
                  </w:tcBorders>
                  <w:vAlign w:val="center"/>
                </w:tcPr>
                <w:p w14:paraId="28E151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373" w:type="pct"/>
                  <w:vMerge w:val="continue"/>
                  <w:tcBorders>
                    <w:tl2br w:val="nil"/>
                    <w:tr2bl w:val="nil"/>
                  </w:tcBorders>
                  <w:vAlign w:val="center"/>
                </w:tcPr>
                <w:p w14:paraId="78C0B3F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37" w:type="pct"/>
                  <w:vMerge w:val="continue"/>
                  <w:tcBorders>
                    <w:tl2br w:val="nil"/>
                    <w:tr2bl w:val="nil"/>
                  </w:tcBorders>
                  <w:vAlign w:val="center"/>
                </w:tcPr>
                <w:p w14:paraId="0FC07B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c>
                <w:tcPr>
                  <w:tcW w:w="753" w:type="pct"/>
                  <w:tcBorders>
                    <w:tl2br w:val="nil"/>
                    <w:tr2bl w:val="nil"/>
                  </w:tcBorders>
                  <w:vAlign w:val="center"/>
                </w:tcPr>
                <w:p w14:paraId="0769C89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98</w:t>
                  </w:r>
                </w:p>
              </w:tc>
              <w:tc>
                <w:tcPr>
                  <w:tcW w:w="555" w:type="pct"/>
                  <w:tcBorders>
                    <w:tl2br w:val="nil"/>
                    <w:tr2bl w:val="nil"/>
                  </w:tcBorders>
                  <w:vAlign w:val="center"/>
                </w:tcPr>
                <w:p w14:paraId="3C997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32.6</w:t>
                  </w:r>
                </w:p>
              </w:tc>
              <w:tc>
                <w:tcPr>
                  <w:tcW w:w="390" w:type="pct"/>
                  <w:tcBorders>
                    <w:tl2br w:val="nil"/>
                    <w:tr2bl w:val="nil"/>
                  </w:tcBorders>
                  <w:vAlign w:val="center"/>
                </w:tcPr>
                <w:p w14:paraId="76C8EE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t>0</w:t>
                  </w:r>
                </w:p>
              </w:tc>
              <w:tc>
                <w:tcPr>
                  <w:tcW w:w="315" w:type="pct"/>
                  <w:vMerge w:val="continue"/>
                  <w:tcBorders>
                    <w:tl2br w:val="nil"/>
                    <w:tr2bl w:val="nil"/>
                  </w:tcBorders>
                  <w:vAlign w:val="center"/>
                </w:tcPr>
                <w:p w14:paraId="4C91EA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宋体" w:cs="Times New Roman"/>
                      <w:color w:val="000000" w:themeColor="text1"/>
                      <w:spacing w:val="2"/>
                      <w:kern w:val="2"/>
                      <w:sz w:val="24"/>
                      <w:szCs w:val="24"/>
                      <w:highlight w:val="none"/>
                      <w:vertAlign w:val="baseline"/>
                      <w:lang w:val="en-US" w:eastAsia="zh-CN" w:bidi="ar"/>
                      <w14:textFill>
                        <w14:solidFill>
                          <w14:schemeClr w14:val="tx1"/>
                        </w14:solidFill>
                      </w14:textFill>
                    </w:rPr>
                  </w:pPr>
                </w:p>
              </w:tc>
            </w:tr>
          </w:tbl>
          <w:p w14:paraId="22AD1D8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8" w:firstLineChars="200"/>
              <w:jc w:val="both"/>
              <w:textAlignment w:val="auto"/>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lang w:val="en-US" w:eastAsia="zh-CN" w:bidi="ar"/>
                <w14:textFill>
                  <w14:solidFill>
                    <w14:schemeClr w14:val="tx1"/>
                  </w14:solidFill>
                </w14:textFill>
              </w:rPr>
              <w:t>从监</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测结果可以看出，该目所在区域环境空气指标TSP可达到《环境空气质量标准》（GB3095-2026）中的二级标准浓度限值。</w:t>
            </w:r>
          </w:p>
          <w:p w14:paraId="57D32F3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right="0"/>
              <w:jc w:val="both"/>
              <w:textAlignment w:val="auto"/>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285740" cy="4685030"/>
                  <wp:effectExtent l="0" t="0" r="10160" b="127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4"/>
                          <a:stretch>
                            <a:fillRect/>
                          </a:stretch>
                        </pic:blipFill>
                        <pic:spPr>
                          <a:xfrm>
                            <a:off x="0" y="0"/>
                            <a:ext cx="5285740" cy="4685030"/>
                          </a:xfrm>
                          <a:prstGeom prst="rect">
                            <a:avLst/>
                          </a:prstGeom>
                          <a:noFill/>
                          <a:ln>
                            <a:noFill/>
                          </a:ln>
                        </pic:spPr>
                      </pic:pic>
                    </a:graphicData>
                  </a:graphic>
                </wp:inline>
              </w:drawing>
            </w:r>
          </w:p>
          <w:p w14:paraId="3D3DDF76">
            <w:pPr>
              <w:spacing w:line="360" w:lineRule="auto"/>
              <w:jc w:val="cente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图2-1  引用项目与本项目的位置关系图</w:t>
            </w:r>
          </w:p>
          <w:p w14:paraId="241FA7B8">
            <w:pPr>
              <w:spacing w:line="360" w:lineRule="auto"/>
              <w:ind w:firstLine="482" w:firstLineChars="200"/>
              <w:rPr>
                <w:rFonts w:hint="default" w:ascii="Times New Roman" w:hAnsi="Times New Roman" w:cs="Times New Roman" w:eastAsiaTheme="minorEastAsia"/>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2.地表水环境</w:t>
            </w:r>
          </w:p>
          <w:p w14:paraId="04D27187">
            <w:pPr>
              <w:pStyle w:val="2"/>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本项目物料堆场、道路地面降尘</w:t>
            </w:r>
            <w:r>
              <w:rPr>
                <w:rFonts w:hint="default"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喷雾</w:t>
            </w:r>
            <w:r>
              <w:rPr>
                <w:rFonts w:hint="default"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用水</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全部蒸发损耗；洗砂用水循环使用，不外排；车辆冲洗废水经沉淀池沉淀后回用，不外排。</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本项目不向地表水水体排放污水，因此本次不进行地表水环境质量现状调查。</w:t>
            </w:r>
          </w:p>
          <w:p w14:paraId="587A4968">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3.声环境</w:t>
            </w:r>
          </w:p>
          <w:p w14:paraId="5348B6F2">
            <w:pPr>
              <w:pStyle w:val="56"/>
              <w:pageBreakBefore w:val="0"/>
              <w:widowControl w:val="0"/>
              <w:kinsoku/>
              <w:wordWrap/>
              <w:overflowPunct/>
              <w:topLinePunct w:val="0"/>
              <w:autoSpaceDE/>
              <w:autoSpaceDN/>
              <w:bidi w:val="0"/>
              <w:adjustRightInd/>
              <w:snapToGrid/>
              <w:spacing w:beforeLines="0"/>
              <w:ind w:firstLine="480" w:firstLineChars="200"/>
              <w:textAlignment w:val="auto"/>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根据《建设项目环境影响报告表编制技术指南（生态影响类）试行》和《建设项目环境影响报告表编制技术指南（污染影响类）试行》，区域环境质量现状对声环境的监测要求，厂界外周边50m范围内</w:t>
            </w:r>
            <w:r>
              <w:rPr>
                <w:rFonts w:hint="eastAsia"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不</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存在声环境保护目标的建设项目，应监测保护目标声环境质量现状并评价达标情况。</w:t>
            </w:r>
          </w:p>
          <w:p w14:paraId="71E69A50">
            <w:pPr>
              <w:pStyle w:val="56"/>
              <w:pageBreakBefore w:val="0"/>
              <w:widowControl w:val="0"/>
              <w:kinsoku/>
              <w:wordWrap/>
              <w:overflowPunct/>
              <w:topLinePunct w:val="0"/>
              <w:autoSpaceDE/>
              <w:autoSpaceDN/>
              <w:bidi w:val="0"/>
              <w:adjustRightInd/>
              <w:snapToGrid/>
              <w:spacing w:beforeLines="0"/>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本项目位于宝鸡市陈仓区香泉镇麻池村，项目厂界外周边50m范围内无声环境保护目标，因此不需要开展声环境质量现状监测。</w:t>
            </w:r>
          </w:p>
        </w:tc>
      </w:tr>
      <w:tr w14:paraId="28CB9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400" w:type="pct"/>
            <w:tcBorders>
              <w:tl2br w:val="nil"/>
              <w:tr2bl w:val="nil"/>
            </w:tcBorders>
            <w:noWrap/>
            <w:vAlign w:val="center"/>
          </w:tcPr>
          <w:p w14:paraId="6605155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环境</w:t>
            </w:r>
          </w:p>
          <w:p w14:paraId="1311DCD7">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保护</w:t>
            </w:r>
          </w:p>
          <w:p w14:paraId="662B888C">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目标</w:t>
            </w:r>
          </w:p>
        </w:tc>
        <w:tc>
          <w:tcPr>
            <w:tcW w:w="4599" w:type="pct"/>
            <w:tcBorders>
              <w:tl2br w:val="nil"/>
              <w:tr2bl w:val="nil"/>
            </w:tcBorders>
            <w:noWrap/>
            <w:vAlign w:val="center"/>
          </w:tcPr>
          <w:p w14:paraId="1A0FDEDC">
            <w:pPr>
              <w:spacing w:line="360" w:lineRule="auto"/>
              <w:ind w:firstLine="480" w:firstLineChars="200"/>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pPr>
            <w:bookmarkStart w:id="20" w:name="_Toc23422_WPSOffice_Level1"/>
            <w:bookmarkStart w:id="21" w:name="_Toc19960_WPSOffice_Level1"/>
            <w:bookmarkStart w:id="22" w:name="_Toc28744_WPSOffice_Level1"/>
            <w:r>
              <w:rPr>
                <w:rFonts w:hint="default" w:ascii="Times New Roman" w:hAnsi="Times New Roman" w:cs="Times New Roman"/>
                <w:color w:val="000000" w:themeColor="text1"/>
                <w:sz w:val="24"/>
                <w:highlight w:val="none"/>
                <w14:textFill>
                  <w14:solidFill>
                    <w14:schemeClr w14:val="tx1"/>
                  </w14:solidFill>
                </w14:textFill>
              </w:rPr>
              <w:t>本项目厂界外500米范围内无自然保护区、风景名胜区等保护目标，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500米范围内不</w:t>
            </w:r>
            <w:r>
              <w:rPr>
                <w:rFonts w:hint="default" w:ascii="Times New Roman" w:hAnsi="Times New Roman" w:cs="Times New Roman"/>
                <w:color w:val="000000" w:themeColor="text1"/>
                <w:sz w:val="24"/>
                <w:highlight w:val="none"/>
                <w14:textFill>
                  <w14:solidFill>
                    <w14:schemeClr w14:val="tx1"/>
                  </w14:solidFill>
                </w14:textFill>
              </w:rPr>
              <w:t>涉及大气环境保护目标；本项目厂界外50m范围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w:t>
            </w:r>
            <w:r>
              <w:rPr>
                <w:rFonts w:hint="default" w:ascii="Times New Roman" w:hAnsi="Times New Roman" w:cs="Times New Roman"/>
                <w:color w:val="000000" w:themeColor="text1"/>
                <w:sz w:val="24"/>
                <w:highlight w:val="none"/>
                <w14:textFill>
                  <w14:solidFill>
                    <w14:schemeClr w14:val="tx1"/>
                  </w14:solidFill>
                </w14:textFill>
              </w:rPr>
              <w:t>声环境保护目标；本项目厂界外500米范围内无地下水集中式饮用水水源和热水、矿泉水、温泉等特殊地下水资源；本项目用地范围内无生态环境保护目标</w:t>
            </w:r>
            <w:bookmarkEnd w:id="20"/>
            <w:bookmarkEnd w:id="21"/>
            <w:bookmarkEnd w:id="22"/>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tc>
      </w:tr>
      <w:tr w14:paraId="47E2B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tcBorders>
              <w:tl2br w:val="nil"/>
              <w:tr2bl w:val="nil"/>
            </w:tcBorders>
            <w:noWrap/>
            <w:tcMar>
              <w:left w:w="28" w:type="dxa"/>
              <w:right w:w="28" w:type="dxa"/>
            </w:tcMar>
            <w:vAlign w:val="center"/>
          </w:tcPr>
          <w:p w14:paraId="139A582C">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污染</w:t>
            </w:r>
          </w:p>
          <w:p w14:paraId="26363164">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物排</w:t>
            </w:r>
          </w:p>
          <w:p w14:paraId="2EA0B9A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放控</w:t>
            </w:r>
          </w:p>
          <w:p w14:paraId="59C7CDE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制标</w:t>
            </w:r>
          </w:p>
          <w:p w14:paraId="5A27EFE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准</w:t>
            </w:r>
          </w:p>
        </w:tc>
        <w:tc>
          <w:tcPr>
            <w:tcW w:w="4599" w:type="pct"/>
            <w:tcBorders>
              <w:tl2br w:val="nil"/>
              <w:tr2bl w:val="nil"/>
            </w:tcBorders>
            <w:noWrap/>
            <w:vAlign w:val="center"/>
          </w:tcPr>
          <w:p w14:paraId="5D6B1CB9">
            <w:pPr>
              <w:pStyle w:val="12"/>
              <w:adjustRightInd w:val="0"/>
              <w:spacing w:line="360" w:lineRule="auto"/>
              <w:ind w:left="0" w:leftChars="0" w:firstLine="482" w:firstLineChars="200"/>
              <w:jc w:val="left"/>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1.废气排放标准</w:t>
            </w:r>
          </w:p>
          <w:p w14:paraId="193833DD">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项目施工期扬尘执行施工场界扬尘排放限值（DB611078-2017）中相关限值；运营期废气</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排放执行</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《大气污染物综合排放标准》（GB16297-1996）中二级标准及无组织排放标准</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p>
          <w:p w14:paraId="208B0A67">
            <w:pPr>
              <w:widowControl w:val="0"/>
              <w:spacing w:line="14" w:lineRule="exact"/>
              <w:jc w:val="both"/>
              <w:rPr>
                <w:rFonts w:hint="default" w:ascii="Times New Roman" w:hAnsi="Times New Roman" w:cs="Times New Roman"/>
                <w:color w:val="000000" w:themeColor="text1"/>
                <w:highlight w:val="none"/>
                <w:lang w:eastAsia="zh-CN"/>
                <w14:textFill>
                  <w14:solidFill>
                    <w14:schemeClr w14:val="tx1"/>
                  </w14:solidFill>
                </w14:textFill>
              </w:rPr>
            </w:pPr>
          </w:p>
          <w:p w14:paraId="59BD2018">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w:t>
            </w:r>
            <w:r>
              <w:rPr>
                <w:rFonts w:hint="eastAsia" w:cs="Times New Roman" w:eastAsiaTheme="minorEastAsia"/>
                <w:color w:val="000000" w:themeColor="text1"/>
                <w:sz w:val="24"/>
                <w:szCs w:val="22"/>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 xml:space="preserve">  施工场界扬尘排放限值一览表</w:t>
            </w:r>
          </w:p>
          <w:tbl>
            <w:tblPr>
              <w:tblStyle w:val="25"/>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144"/>
              <w:gridCol w:w="1299"/>
              <w:gridCol w:w="1636"/>
              <w:gridCol w:w="1606"/>
              <w:gridCol w:w="1752"/>
            </w:tblGrid>
            <w:tr w14:paraId="09815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2" w:type="dxa"/>
                  <w:tcBorders>
                    <w:tl2br w:val="nil"/>
                    <w:tr2bl w:val="nil"/>
                  </w:tcBorders>
                  <w:noWrap w:val="0"/>
                  <w:vAlign w:val="center"/>
                </w:tcPr>
                <w:p w14:paraId="7CE0A5E7">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序号</w:t>
                  </w:r>
                </w:p>
              </w:tc>
              <w:tc>
                <w:tcPr>
                  <w:tcW w:w="1147" w:type="dxa"/>
                  <w:tcBorders>
                    <w:tl2br w:val="nil"/>
                    <w:tr2bl w:val="nil"/>
                  </w:tcBorders>
                  <w:noWrap w:val="0"/>
                  <w:vAlign w:val="center"/>
                </w:tcPr>
                <w:p w14:paraId="53DE3D40">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污染物</w:t>
                  </w:r>
                </w:p>
              </w:tc>
              <w:tc>
                <w:tcPr>
                  <w:tcW w:w="1302" w:type="dxa"/>
                  <w:tcBorders>
                    <w:tl2br w:val="nil"/>
                    <w:tr2bl w:val="nil"/>
                  </w:tcBorders>
                  <w:noWrap w:val="0"/>
                  <w:vAlign w:val="center"/>
                </w:tcPr>
                <w:p w14:paraId="088D2B8E">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监控点</w:t>
                  </w:r>
                </w:p>
              </w:tc>
              <w:tc>
                <w:tcPr>
                  <w:tcW w:w="1640" w:type="dxa"/>
                  <w:tcBorders>
                    <w:tl2br w:val="nil"/>
                    <w:tr2bl w:val="nil"/>
                  </w:tcBorders>
                  <w:noWrap w:val="0"/>
                  <w:vAlign w:val="center"/>
                </w:tcPr>
                <w:p w14:paraId="68835292">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施工阶段</w:t>
                  </w:r>
                </w:p>
              </w:tc>
              <w:tc>
                <w:tcPr>
                  <w:tcW w:w="1610" w:type="dxa"/>
                  <w:tcBorders>
                    <w:tl2br w:val="nil"/>
                    <w:tr2bl w:val="nil"/>
                  </w:tcBorders>
                  <w:noWrap w:val="0"/>
                  <w:vAlign w:val="center"/>
                </w:tcPr>
                <w:p w14:paraId="056F268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小时平均浓度限值mg/m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3</w:t>
                  </w:r>
                </w:p>
              </w:tc>
              <w:tc>
                <w:tcPr>
                  <w:tcW w:w="1756" w:type="dxa"/>
                  <w:tcBorders>
                    <w:tl2br w:val="nil"/>
                    <w:tr2bl w:val="nil"/>
                  </w:tcBorders>
                  <w:noWrap w:val="0"/>
                  <w:vAlign w:val="center"/>
                </w:tcPr>
                <w:p w14:paraId="3D03A576">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执行标准</w:t>
                  </w:r>
                </w:p>
              </w:tc>
            </w:tr>
            <w:tr w14:paraId="013C8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82" w:type="dxa"/>
                  <w:tcBorders>
                    <w:tl2br w:val="nil"/>
                    <w:tr2bl w:val="nil"/>
                  </w:tcBorders>
                  <w:noWrap w:val="0"/>
                  <w:vAlign w:val="center"/>
                </w:tcPr>
                <w:p w14:paraId="6E163D17">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p>
              </w:tc>
              <w:tc>
                <w:tcPr>
                  <w:tcW w:w="1147" w:type="dxa"/>
                  <w:vMerge w:val="restart"/>
                  <w:tcBorders>
                    <w:tl2br w:val="nil"/>
                    <w:tr2bl w:val="nil"/>
                  </w:tcBorders>
                  <w:noWrap w:val="0"/>
                  <w:vAlign w:val="center"/>
                </w:tcPr>
                <w:p w14:paraId="5AEFF157">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施工扬尘（TSP）</w:t>
                  </w:r>
                </w:p>
              </w:tc>
              <w:tc>
                <w:tcPr>
                  <w:tcW w:w="1302" w:type="dxa"/>
                  <w:vMerge w:val="restart"/>
                  <w:tcBorders>
                    <w:tl2br w:val="nil"/>
                    <w:tr2bl w:val="nil"/>
                  </w:tcBorders>
                  <w:noWrap w:val="0"/>
                  <w:vAlign w:val="center"/>
                </w:tcPr>
                <w:p w14:paraId="57B5EBC0">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周界外浓度最高点</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a</w:t>
                  </w:r>
                </w:p>
              </w:tc>
              <w:tc>
                <w:tcPr>
                  <w:tcW w:w="1640" w:type="dxa"/>
                  <w:tcBorders>
                    <w:tl2br w:val="nil"/>
                    <w:tr2bl w:val="nil"/>
                  </w:tcBorders>
                  <w:noWrap w:val="0"/>
                  <w:vAlign w:val="center"/>
                </w:tcPr>
                <w:p w14:paraId="75A43A3D">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拆除、土方及地基处理工程</w:t>
                  </w:r>
                </w:p>
              </w:tc>
              <w:tc>
                <w:tcPr>
                  <w:tcW w:w="1610" w:type="dxa"/>
                  <w:tcBorders>
                    <w:tl2br w:val="nil"/>
                    <w:tr2bl w:val="nil"/>
                  </w:tcBorders>
                  <w:noWrap w:val="0"/>
                  <w:vAlign w:val="center"/>
                </w:tcPr>
                <w:p w14:paraId="3C86098A">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≤0.8</w:t>
                  </w:r>
                </w:p>
              </w:tc>
              <w:tc>
                <w:tcPr>
                  <w:tcW w:w="1756" w:type="dxa"/>
                  <w:vMerge w:val="restart"/>
                  <w:tcBorders>
                    <w:tl2br w:val="nil"/>
                    <w:tr2bl w:val="nil"/>
                  </w:tcBorders>
                  <w:noWrap w:val="0"/>
                  <w:vAlign w:val="center"/>
                </w:tcPr>
                <w:p w14:paraId="1C23CE7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《施工场界扬尘排放限值》（DB161/1078-2017）</w:t>
                  </w:r>
                </w:p>
              </w:tc>
            </w:tr>
            <w:tr w14:paraId="13AD5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2" w:type="dxa"/>
                  <w:tcBorders>
                    <w:tl2br w:val="nil"/>
                    <w:tr2bl w:val="nil"/>
                  </w:tcBorders>
                  <w:noWrap w:val="0"/>
                  <w:vAlign w:val="center"/>
                </w:tcPr>
                <w:p w14:paraId="22ECA6F2">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p>
              </w:tc>
              <w:tc>
                <w:tcPr>
                  <w:tcW w:w="1147" w:type="dxa"/>
                  <w:vMerge w:val="continue"/>
                  <w:tcBorders>
                    <w:tl2br w:val="nil"/>
                    <w:tr2bl w:val="nil"/>
                  </w:tcBorders>
                  <w:noWrap w:val="0"/>
                  <w:vAlign w:val="center"/>
                </w:tcPr>
                <w:p w14:paraId="1BAD7737">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1302" w:type="dxa"/>
                  <w:vMerge w:val="continue"/>
                  <w:tcBorders>
                    <w:tl2br w:val="nil"/>
                    <w:tr2bl w:val="nil"/>
                  </w:tcBorders>
                  <w:noWrap w:val="0"/>
                  <w:vAlign w:val="center"/>
                </w:tcPr>
                <w:p w14:paraId="4B855AAC">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1640" w:type="dxa"/>
                  <w:tcBorders>
                    <w:tl2br w:val="nil"/>
                    <w:tr2bl w:val="nil"/>
                  </w:tcBorders>
                  <w:noWrap w:val="0"/>
                  <w:vAlign w:val="center"/>
                </w:tcPr>
                <w:p w14:paraId="0987AB8F">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基础、主体结构及装饰工程</w:t>
                  </w:r>
                </w:p>
              </w:tc>
              <w:tc>
                <w:tcPr>
                  <w:tcW w:w="1610" w:type="dxa"/>
                  <w:tcBorders>
                    <w:tl2br w:val="nil"/>
                    <w:tr2bl w:val="nil"/>
                  </w:tcBorders>
                  <w:noWrap w:val="0"/>
                  <w:vAlign w:val="center"/>
                </w:tcPr>
                <w:p w14:paraId="7E190736">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≤0.7</w:t>
                  </w:r>
                </w:p>
              </w:tc>
              <w:tc>
                <w:tcPr>
                  <w:tcW w:w="1756" w:type="dxa"/>
                  <w:vMerge w:val="continue"/>
                  <w:tcBorders>
                    <w:tl2br w:val="nil"/>
                    <w:tr2bl w:val="nil"/>
                  </w:tcBorders>
                  <w:noWrap w:val="0"/>
                  <w:vAlign w:val="center"/>
                </w:tcPr>
                <w:p w14:paraId="19A4933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r>
            <w:tr w14:paraId="77BEE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237" w:type="dxa"/>
                  <w:gridSpan w:val="6"/>
                  <w:tcBorders>
                    <w:tl2br w:val="nil"/>
                    <w:tr2bl w:val="nil"/>
                  </w:tcBorders>
                  <w:noWrap w:val="0"/>
                  <w:vAlign w:val="center"/>
                </w:tcPr>
                <w:p w14:paraId="3C6D835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a周界外浓度最高点一般应设置于无组织排放源下风向的单位周界外10m范围内，若预计无组织排放的最大落地浓度点超出10m范围，可将监控点移至该预计浓度最高点附近。</w:t>
                  </w:r>
                </w:p>
              </w:tc>
            </w:tr>
          </w:tbl>
          <w:p w14:paraId="4CA2B512">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w:t>
            </w:r>
            <w:r>
              <w:rPr>
                <w:rFonts w:hint="eastAsia" w:cs="Times New Roman" w:eastAsiaTheme="minorEastAsia"/>
                <w:color w:val="000000" w:themeColor="text1"/>
                <w:sz w:val="24"/>
                <w:szCs w:val="22"/>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 xml:space="preserve">  运营期废气颗粒物排放限值</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500"/>
              <w:gridCol w:w="865"/>
              <w:gridCol w:w="1298"/>
              <w:gridCol w:w="2005"/>
              <w:gridCol w:w="1516"/>
            </w:tblGrid>
            <w:tr w14:paraId="64580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93" w:type="dxa"/>
                  <w:vMerge w:val="restart"/>
                  <w:tcBorders>
                    <w:tl2br w:val="nil"/>
                    <w:tr2bl w:val="nil"/>
                  </w:tcBorders>
                  <w:vAlign w:val="center"/>
                </w:tcPr>
                <w:p w14:paraId="67166913">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污染物</w:t>
                  </w:r>
                </w:p>
              </w:tc>
              <w:tc>
                <w:tcPr>
                  <w:tcW w:w="1500" w:type="dxa"/>
                  <w:vMerge w:val="restart"/>
                  <w:tcBorders>
                    <w:tl2br w:val="nil"/>
                    <w:tr2bl w:val="nil"/>
                  </w:tcBorders>
                  <w:vAlign w:val="center"/>
                </w:tcPr>
                <w:p w14:paraId="22D7C531">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最高允许排放浓度（mg/m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w:t>
                  </w:r>
                </w:p>
              </w:tc>
              <w:tc>
                <w:tcPr>
                  <w:tcW w:w="2163" w:type="dxa"/>
                  <w:gridSpan w:val="2"/>
                  <w:tcBorders>
                    <w:tl2br w:val="nil"/>
                    <w:tr2bl w:val="nil"/>
                  </w:tcBorders>
                  <w:vAlign w:val="center"/>
                </w:tcPr>
                <w:p w14:paraId="58B86434">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最高允许排放速率</w:t>
                  </w:r>
                </w:p>
              </w:tc>
              <w:tc>
                <w:tcPr>
                  <w:tcW w:w="3521" w:type="dxa"/>
                  <w:gridSpan w:val="2"/>
                  <w:tcBorders>
                    <w:tl2br w:val="nil"/>
                    <w:tr2bl w:val="nil"/>
                  </w:tcBorders>
                  <w:vAlign w:val="center"/>
                </w:tcPr>
                <w:p w14:paraId="600D6C07">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无组织排放监控浓度限值</w:t>
                  </w:r>
                </w:p>
              </w:tc>
            </w:tr>
            <w:tr w14:paraId="78C70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93" w:type="dxa"/>
                  <w:vMerge w:val="continue"/>
                  <w:tcBorders>
                    <w:tl2br w:val="nil"/>
                    <w:tr2bl w:val="nil"/>
                  </w:tcBorders>
                  <w:vAlign w:val="center"/>
                </w:tcPr>
                <w:p w14:paraId="3F9DDD54">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c>
                <w:tcPr>
                  <w:tcW w:w="1500" w:type="dxa"/>
                  <w:vMerge w:val="continue"/>
                  <w:tcBorders>
                    <w:tl2br w:val="nil"/>
                    <w:tr2bl w:val="nil"/>
                  </w:tcBorders>
                  <w:vAlign w:val="center"/>
                </w:tcPr>
                <w:p w14:paraId="341EF44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c>
                <w:tcPr>
                  <w:tcW w:w="865" w:type="dxa"/>
                  <w:tcBorders>
                    <w:tl2br w:val="nil"/>
                    <w:tr2bl w:val="nil"/>
                  </w:tcBorders>
                  <w:vAlign w:val="center"/>
                </w:tcPr>
                <w:p w14:paraId="1A1995A5">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排气筒</w:t>
                  </w:r>
                </w:p>
              </w:tc>
              <w:tc>
                <w:tcPr>
                  <w:tcW w:w="1298" w:type="dxa"/>
                  <w:tcBorders>
                    <w:tl2br w:val="nil"/>
                    <w:tr2bl w:val="nil"/>
                  </w:tcBorders>
                  <w:vAlign w:val="center"/>
                </w:tcPr>
                <w:p w14:paraId="73E809FF">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标准限值（kg/h）</w:t>
                  </w:r>
                </w:p>
              </w:tc>
              <w:tc>
                <w:tcPr>
                  <w:tcW w:w="2005" w:type="dxa"/>
                  <w:tcBorders>
                    <w:tl2br w:val="nil"/>
                    <w:tr2bl w:val="nil"/>
                  </w:tcBorders>
                  <w:vAlign w:val="center"/>
                </w:tcPr>
                <w:p w14:paraId="3ACE3722">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监控点</w:t>
                  </w:r>
                </w:p>
              </w:tc>
              <w:tc>
                <w:tcPr>
                  <w:tcW w:w="1516" w:type="dxa"/>
                  <w:tcBorders>
                    <w:tl2br w:val="nil"/>
                    <w:tr2bl w:val="nil"/>
                  </w:tcBorders>
                  <w:vAlign w:val="center"/>
                </w:tcPr>
                <w:p w14:paraId="3CE5BEB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浓度（mg/m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w:t>
                  </w:r>
                </w:p>
              </w:tc>
            </w:tr>
            <w:tr w14:paraId="355C5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93" w:type="dxa"/>
                  <w:tcBorders>
                    <w:tl2br w:val="nil"/>
                    <w:tr2bl w:val="nil"/>
                  </w:tcBorders>
                  <w:vAlign w:val="center"/>
                </w:tcPr>
                <w:p w14:paraId="349734E5">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颗粒物</w:t>
                  </w:r>
                </w:p>
              </w:tc>
              <w:tc>
                <w:tcPr>
                  <w:tcW w:w="1500" w:type="dxa"/>
                  <w:tcBorders>
                    <w:tl2br w:val="nil"/>
                    <w:tr2bl w:val="nil"/>
                  </w:tcBorders>
                  <w:vAlign w:val="center"/>
                </w:tcPr>
                <w:p w14:paraId="24AB8BB9">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120</w:t>
                  </w:r>
                </w:p>
              </w:tc>
              <w:tc>
                <w:tcPr>
                  <w:tcW w:w="865" w:type="dxa"/>
                  <w:tcBorders>
                    <w:tl2br w:val="nil"/>
                    <w:tr2bl w:val="nil"/>
                  </w:tcBorders>
                  <w:vAlign w:val="center"/>
                </w:tcPr>
                <w:p w14:paraId="7EDD4128">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15m</w:t>
                  </w:r>
                </w:p>
              </w:tc>
              <w:tc>
                <w:tcPr>
                  <w:tcW w:w="1298" w:type="dxa"/>
                  <w:tcBorders>
                    <w:tl2br w:val="nil"/>
                    <w:tr2bl w:val="nil"/>
                  </w:tcBorders>
                  <w:vAlign w:val="center"/>
                </w:tcPr>
                <w:p w14:paraId="3A5D9669">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3.5</w:t>
                  </w:r>
                </w:p>
              </w:tc>
              <w:tc>
                <w:tcPr>
                  <w:tcW w:w="2005" w:type="dxa"/>
                  <w:tcBorders>
                    <w:tl2br w:val="nil"/>
                    <w:tr2bl w:val="nil"/>
                  </w:tcBorders>
                  <w:vAlign w:val="center"/>
                </w:tcPr>
                <w:p w14:paraId="799F9B0F">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周界外浓度最高点</w:t>
                  </w:r>
                </w:p>
              </w:tc>
              <w:tc>
                <w:tcPr>
                  <w:tcW w:w="1516" w:type="dxa"/>
                  <w:tcBorders>
                    <w:tl2br w:val="nil"/>
                    <w:tr2bl w:val="nil"/>
                  </w:tcBorders>
                  <w:vAlign w:val="center"/>
                </w:tcPr>
                <w:p w14:paraId="52F8FE2D">
                  <w:pPr>
                    <w:pStyle w:val="57"/>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w:t>
                  </w:r>
                </w:p>
              </w:tc>
            </w:tr>
          </w:tbl>
          <w:p w14:paraId="356A0253">
            <w:pPr>
              <w:spacing w:line="360" w:lineRule="auto"/>
              <w:ind w:firstLine="482" w:firstLineChars="200"/>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2.废水排放标准</w:t>
            </w:r>
          </w:p>
          <w:p w14:paraId="3E4FA220">
            <w:pPr>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项目运</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营</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期废水不外排。</w:t>
            </w:r>
          </w:p>
          <w:p w14:paraId="62B0F9E5">
            <w:pPr>
              <w:pStyle w:val="12"/>
              <w:adjustRightInd w:val="0"/>
              <w:spacing w:line="360" w:lineRule="auto"/>
              <w:ind w:left="0" w:leftChars="0" w:firstLine="482" w:firstLineChars="200"/>
              <w:jc w:val="left"/>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.噪声排放标准</w:t>
            </w:r>
          </w:p>
          <w:p w14:paraId="2853FA7E">
            <w:pPr>
              <w:widowControl w:val="0"/>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施工期施工现场执行《建筑施工场界环境噪声排放标准》（GB12523-2011）中的相关规定；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宝鸡市陈仓区阳香泉镇麻池村，为2类区</w:t>
            </w:r>
            <w:r>
              <w:rPr>
                <w:rFonts w:hint="default" w:ascii="Times New Roman" w:hAnsi="Times New Roman" w:cs="Times New Roman" w:eastAsiaTheme="minorEastAsia"/>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运营期厂界噪声执行《工业企业厂界环境噪声排放标准》（GB12348-2008）中的2类标准。</w:t>
            </w:r>
          </w:p>
          <w:p w14:paraId="59920F0F">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w:t>
            </w:r>
            <w:r>
              <w:rPr>
                <w:rFonts w:hint="eastAsia" w:cs="Times New Roman" w:eastAsiaTheme="minorEastAsia"/>
                <w:color w:val="000000" w:themeColor="text1"/>
                <w:sz w:val="24"/>
                <w:szCs w:val="22"/>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 xml:space="preserve">  建筑施工场界环境噪声排放标准  单位：dB（A）</w:t>
            </w:r>
          </w:p>
          <w:tbl>
            <w:tblPr>
              <w:tblStyle w:val="25"/>
              <w:tblW w:w="49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5"/>
              <w:gridCol w:w="1363"/>
              <w:gridCol w:w="980"/>
            </w:tblGrid>
            <w:tr w14:paraId="42E2B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10" w:type="dxa"/>
                  <w:tcBorders>
                    <w:tl2br w:val="nil"/>
                    <w:tr2bl w:val="nil"/>
                  </w:tcBorders>
                  <w:noWrap w:val="0"/>
                  <w:vAlign w:val="center"/>
                </w:tcPr>
                <w:p w14:paraId="1E0D5556">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标准</w:t>
                  </w:r>
                </w:p>
              </w:tc>
              <w:tc>
                <w:tcPr>
                  <w:tcW w:w="1366" w:type="dxa"/>
                  <w:tcBorders>
                    <w:tl2br w:val="nil"/>
                    <w:tr2bl w:val="nil"/>
                  </w:tcBorders>
                  <w:noWrap w:val="0"/>
                  <w:vAlign w:val="center"/>
                </w:tcPr>
                <w:p w14:paraId="68D2747F">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昼间</w:t>
                  </w:r>
                </w:p>
              </w:tc>
              <w:tc>
                <w:tcPr>
                  <w:tcW w:w="982" w:type="dxa"/>
                  <w:tcBorders>
                    <w:tl2br w:val="nil"/>
                    <w:tr2bl w:val="nil"/>
                  </w:tcBorders>
                  <w:noWrap w:val="0"/>
                  <w:vAlign w:val="center"/>
                </w:tcPr>
                <w:p w14:paraId="40A7BD45">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夜间</w:t>
                  </w:r>
                </w:p>
              </w:tc>
            </w:tr>
            <w:tr w14:paraId="1DF6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910" w:type="dxa"/>
                  <w:tcBorders>
                    <w:tl2br w:val="nil"/>
                    <w:tr2bl w:val="nil"/>
                  </w:tcBorders>
                  <w:noWrap w:val="0"/>
                  <w:vAlign w:val="center"/>
                </w:tcPr>
                <w:p w14:paraId="2DA92E99">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《建筑施工场界环境噪声排放标准》（GB12523-2011）</w:t>
                  </w:r>
                </w:p>
              </w:tc>
              <w:tc>
                <w:tcPr>
                  <w:tcW w:w="1366" w:type="dxa"/>
                  <w:tcBorders>
                    <w:tl2br w:val="nil"/>
                    <w:tr2bl w:val="nil"/>
                  </w:tcBorders>
                  <w:noWrap w:val="0"/>
                  <w:vAlign w:val="center"/>
                </w:tcPr>
                <w:p w14:paraId="16504EFF">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70</w:t>
                  </w:r>
                </w:p>
              </w:tc>
              <w:tc>
                <w:tcPr>
                  <w:tcW w:w="982" w:type="dxa"/>
                  <w:tcBorders>
                    <w:tl2br w:val="nil"/>
                    <w:tr2bl w:val="nil"/>
                  </w:tcBorders>
                  <w:noWrap w:val="0"/>
                  <w:vAlign w:val="center"/>
                </w:tcPr>
                <w:p w14:paraId="4B2D8456">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55</w:t>
                  </w:r>
                </w:p>
              </w:tc>
            </w:tr>
          </w:tbl>
          <w:p w14:paraId="507979E5">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表3-</w:t>
            </w:r>
            <w:r>
              <w:rPr>
                <w:rFonts w:hint="eastAsia" w:cs="Times New Roman" w:eastAsiaTheme="minorEastAsia"/>
                <w:color w:val="000000" w:themeColor="text1"/>
                <w:sz w:val="24"/>
                <w:szCs w:val="22"/>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 xml:space="preserve">  《工业企业厂界环境噪声排放标准》  单位：dB（A）</w:t>
            </w:r>
          </w:p>
          <w:tbl>
            <w:tblPr>
              <w:tblStyle w:val="25"/>
              <w:tblW w:w="49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2"/>
              <w:gridCol w:w="986"/>
              <w:gridCol w:w="1362"/>
              <w:gridCol w:w="976"/>
            </w:tblGrid>
            <w:tr w14:paraId="6AFEC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933" w:type="dxa"/>
                  <w:gridSpan w:val="2"/>
                  <w:tcBorders>
                    <w:tl2br w:val="nil"/>
                    <w:tr2bl w:val="nil"/>
                  </w:tcBorders>
                  <w:noWrap w:val="0"/>
                  <w:vAlign w:val="center"/>
                </w:tcPr>
                <w:p w14:paraId="36D22E5B">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标准</w:t>
                  </w:r>
                </w:p>
              </w:tc>
              <w:tc>
                <w:tcPr>
                  <w:tcW w:w="1365" w:type="dxa"/>
                  <w:tcBorders>
                    <w:tl2br w:val="nil"/>
                    <w:tr2bl w:val="nil"/>
                  </w:tcBorders>
                  <w:noWrap w:val="0"/>
                  <w:vAlign w:val="center"/>
                </w:tcPr>
                <w:p w14:paraId="5A04266A">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昼间</w:t>
                  </w:r>
                </w:p>
              </w:tc>
              <w:tc>
                <w:tcPr>
                  <w:tcW w:w="978" w:type="dxa"/>
                  <w:tcBorders>
                    <w:tl2br w:val="nil"/>
                    <w:tr2bl w:val="nil"/>
                  </w:tcBorders>
                  <w:noWrap w:val="0"/>
                  <w:vAlign w:val="center"/>
                </w:tcPr>
                <w:p w14:paraId="6D8C5156">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夜间</w:t>
                  </w:r>
                </w:p>
              </w:tc>
            </w:tr>
            <w:tr w14:paraId="0030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45" w:type="dxa"/>
                  <w:tcBorders>
                    <w:tl2br w:val="nil"/>
                    <w:tr2bl w:val="nil"/>
                  </w:tcBorders>
                  <w:noWrap w:val="0"/>
                  <w:vAlign w:val="center"/>
                </w:tcPr>
                <w:p w14:paraId="1EEE5026">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《工业企业厂界环境噪声排放标准》（GB12348-2008）</w:t>
                  </w:r>
                </w:p>
              </w:tc>
              <w:tc>
                <w:tcPr>
                  <w:tcW w:w="988" w:type="dxa"/>
                  <w:tcBorders>
                    <w:tl2br w:val="nil"/>
                    <w:tr2bl w:val="nil"/>
                  </w:tcBorders>
                  <w:noWrap w:val="0"/>
                  <w:vAlign w:val="center"/>
                </w:tcPr>
                <w:p w14:paraId="494020DC">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2类</w:t>
                  </w:r>
                </w:p>
              </w:tc>
              <w:tc>
                <w:tcPr>
                  <w:tcW w:w="1365" w:type="dxa"/>
                  <w:tcBorders>
                    <w:tl2br w:val="nil"/>
                    <w:tr2bl w:val="nil"/>
                  </w:tcBorders>
                  <w:noWrap w:val="0"/>
                  <w:vAlign w:val="center"/>
                </w:tcPr>
                <w:p w14:paraId="0DECD74E">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60</w:t>
                  </w:r>
                </w:p>
              </w:tc>
              <w:tc>
                <w:tcPr>
                  <w:tcW w:w="978" w:type="dxa"/>
                  <w:tcBorders>
                    <w:tl2br w:val="nil"/>
                    <w:tr2bl w:val="nil"/>
                  </w:tcBorders>
                  <w:noWrap w:val="0"/>
                  <w:vAlign w:val="center"/>
                </w:tcPr>
                <w:p w14:paraId="1ED69A42">
                  <w:pPr>
                    <w:pStyle w:val="5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50</w:t>
                  </w:r>
                </w:p>
              </w:tc>
            </w:tr>
          </w:tbl>
          <w:p w14:paraId="78CBDF87">
            <w:pPr>
              <w:pStyle w:val="12"/>
              <w:adjustRightInd w:val="0"/>
              <w:spacing w:line="360" w:lineRule="auto"/>
              <w:ind w:left="0" w:leftChars="0" w:firstLine="482" w:firstLineChars="200"/>
              <w:jc w:val="left"/>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.固体废物执行标准</w:t>
            </w:r>
          </w:p>
          <w:p w14:paraId="01886826">
            <w:pPr>
              <w:spacing w:line="360" w:lineRule="auto"/>
              <w:ind w:firstLine="480" w:firstLineChars="200"/>
              <w:jc w:val="left"/>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shd w:val="clear" w:color="auto" w:fill="FFFFFF"/>
                <w14:textFill>
                  <w14:solidFill>
                    <w14:schemeClr w14:val="tx1"/>
                  </w14:solidFill>
                </w14:textFill>
              </w:rPr>
              <w:t>一般固废贮存、处置满足</w:t>
            </w:r>
            <w:r>
              <w:rPr>
                <w:rFonts w:hint="default" w:ascii="Times New Roman" w:hAnsi="Times New Roman" w:eastAsia="宋体" w:cs="Times New Roman"/>
                <w:color w:val="000000" w:themeColor="text1"/>
                <w:sz w:val="24"/>
                <w:highlight w:val="none"/>
                <w:shd w:val="clear" w:color="auto" w:fill="FFFFFF"/>
                <w:lang w:eastAsia="zh-CN"/>
                <w14:textFill>
                  <w14:solidFill>
                    <w14:schemeClr w14:val="tx1"/>
                  </w14:solidFill>
                </w14:textFill>
              </w:rPr>
              <w:t>“</w:t>
            </w:r>
            <w:r>
              <w:rPr>
                <w:rFonts w:hint="default" w:ascii="Times New Roman" w:hAnsi="Times New Roman" w:cs="Times New Roman"/>
                <w:color w:val="000000" w:themeColor="text1"/>
                <w:sz w:val="24"/>
                <w:highlight w:val="none"/>
                <w:shd w:val="clear" w:color="auto" w:fill="FFFFFF"/>
                <w14:textFill>
                  <w14:solidFill>
                    <w14:schemeClr w14:val="tx1"/>
                  </w14:solidFill>
                </w14:textFill>
              </w:rPr>
              <w:t>防渗漏、防雨淋、防扬尘</w:t>
            </w:r>
            <w:r>
              <w:rPr>
                <w:rFonts w:hint="default" w:ascii="Times New Roman" w:hAnsi="Times New Roman" w:eastAsia="宋体" w:cs="Times New Roman"/>
                <w:color w:val="000000" w:themeColor="text1"/>
                <w:sz w:val="24"/>
                <w:highlight w:val="none"/>
                <w:shd w:val="clear" w:color="auto" w:fill="FFFFFF"/>
                <w:lang w:eastAsia="zh-CN"/>
                <w14:textFill>
                  <w14:solidFill>
                    <w14:schemeClr w14:val="tx1"/>
                  </w14:solidFill>
                </w14:textFill>
              </w:rPr>
              <w:t>”</w:t>
            </w:r>
            <w:r>
              <w:rPr>
                <w:rFonts w:hint="default" w:ascii="Times New Roman" w:hAnsi="Times New Roman" w:cs="Times New Roman"/>
                <w:color w:val="000000" w:themeColor="text1"/>
                <w:sz w:val="24"/>
                <w:highlight w:val="none"/>
                <w:shd w:val="clear" w:color="auto" w:fill="FFFFFF"/>
                <w14:textFill>
                  <w14:solidFill>
                    <w14:schemeClr w14:val="tx1"/>
                  </w14:solidFill>
                </w14:textFill>
              </w:rPr>
              <w:t>要求；危险废物贮存执行《危险废物贮存污染控制标准》（GB18597-20</w:t>
            </w:r>
            <w:r>
              <w:rPr>
                <w:rFonts w:hint="default" w:ascii="Times New Roman" w:hAnsi="Times New Roman" w:cs="Times New Roman"/>
                <w:color w:val="000000" w:themeColor="text1"/>
                <w:sz w:val="24"/>
                <w:highlight w:val="none"/>
                <w:shd w:val="clear" w:color="auto" w:fill="FFFFFF"/>
                <w:lang w:val="en-US" w:eastAsia="zh-CN"/>
                <w14:textFill>
                  <w14:solidFill>
                    <w14:schemeClr w14:val="tx1"/>
                  </w14:solidFill>
                </w14:textFill>
              </w:rPr>
              <w:t>23</w:t>
            </w:r>
            <w:r>
              <w:rPr>
                <w:rFonts w:hint="default" w:ascii="Times New Roman" w:hAnsi="Times New Roman" w:cs="Times New Roman"/>
                <w:color w:val="000000" w:themeColor="text1"/>
                <w:sz w:val="24"/>
                <w:highlight w:val="none"/>
                <w:shd w:val="clear" w:color="auto" w:fill="FFFFFF"/>
                <w14:textFill>
                  <w14:solidFill>
                    <w14:schemeClr w14:val="tx1"/>
                  </w14:solidFill>
                </w14:textFill>
              </w:rPr>
              <w:t>）及《危险废物识别标志设置技术规范》（HJ1276-2022）中相关要求</w:t>
            </w:r>
            <w:r>
              <w:rPr>
                <w:rFonts w:hint="default" w:ascii="Times New Roman" w:hAnsi="Times New Roman" w:eastAsia="宋体" w:cs="Times New Roman"/>
                <w:color w:val="000000" w:themeColor="text1"/>
                <w:sz w:val="24"/>
                <w:highlight w:val="none"/>
                <w:shd w:val="clear" w:color="auto" w:fill="FFFFFF"/>
                <w:lang w:eastAsia="zh-CN"/>
                <w14:textFill>
                  <w14:solidFill>
                    <w14:schemeClr w14:val="tx1"/>
                  </w14:solidFill>
                </w14:textFill>
              </w:rPr>
              <w:t>。</w:t>
            </w:r>
          </w:p>
        </w:tc>
      </w:tr>
      <w:tr w14:paraId="37196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09" w:hRule="atLeast"/>
          <w:jc w:val="center"/>
        </w:trPr>
        <w:tc>
          <w:tcPr>
            <w:tcW w:w="400" w:type="pct"/>
            <w:tcBorders>
              <w:tl2br w:val="nil"/>
              <w:tr2bl w:val="nil"/>
            </w:tcBorders>
            <w:noWrap/>
            <w:vAlign w:val="center"/>
          </w:tcPr>
          <w:p w14:paraId="0678BC4E">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总量</w:t>
            </w:r>
          </w:p>
          <w:p w14:paraId="001E7AF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控制</w:t>
            </w:r>
          </w:p>
          <w:p w14:paraId="057A22A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指标</w:t>
            </w:r>
          </w:p>
        </w:tc>
        <w:tc>
          <w:tcPr>
            <w:tcW w:w="4599" w:type="pct"/>
            <w:tcBorders>
              <w:tl2br w:val="nil"/>
              <w:tr2bl w:val="nil"/>
            </w:tcBorders>
            <w:noWrap/>
            <w:vAlign w:val="center"/>
          </w:tcPr>
          <w:p w14:paraId="606276A1">
            <w:pPr>
              <w:jc w:val="both"/>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pPr>
          </w:p>
          <w:p w14:paraId="13A8952D">
            <w:pPr>
              <w:jc w:val="center"/>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pPr>
          </w:p>
          <w:p w14:paraId="1C2DE6F2">
            <w:pPr>
              <w:jc w:val="center"/>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t>无</w:t>
            </w:r>
          </w:p>
          <w:p w14:paraId="1FA3D94F">
            <w:pPr>
              <w:jc w:val="center"/>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pPr>
          </w:p>
          <w:p w14:paraId="3B7C122C">
            <w:pPr>
              <w:jc w:val="both"/>
              <w:rPr>
                <w:rFonts w:hint="default" w:ascii="Times New Roman" w:hAnsi="Times New Roman" w:cs="Times New Roman" w:eastAsiaTheme="minorEastAsia"/>
                <w:color w:val="000000" w:themeColor="text1"/>
                <w:sz w:val="24"/>
                <w:highlight w:val="none"/>
                <w:shd w:val="clear" w:color="auto" w:fill="FFFFFF"/>
                <w:lang w:val="en-US" w:eastAsia="zh-CN"/>
                <w14:textFill>
                  <w14:solidFill>
                    <w14:schemeClr w14:val="tx1"/>
                  </w14:solidFill>
                </w14:textFill>
              </w:rPr>
            </w:pPr>
          </w:p>
        </w:tc>
      </w:tr>
      <w:bookmarkEnd w:id="1"/>
      <w:bookmarkEnd w:id="2"/>
      <w:bookmarkEnd w:id="3"/>
    </w:tbl>
    <w:p w14:paraId="16774761">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14:paraId="4B43F39C">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四、主要环境影响和保护措施</w:t>
      </w:r>
    </w:p>
    <w:tbl>
      <w:tblPr>
        <w:tblStyle w:val="24"/>
        <w:tblW w:w="50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659"/>
      </w:tblGrid>
      <w:tr w14:paraId="4C2C4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tcBorders>
              <w:tl2br w:val="nil"/>
              <w:tr2bl w:val="nil"/>
            </w:tcBorders>
            <w:noWrap/>
            <w:tcMar>
              <w:left w:w="28" w:type="dxa"/>
              <w:right w:w="28" w:type="dxa"/>
            </w:tcMar>
            <w:vAlign w:val="center"/>
          </w:tcPr>
          <w:p w14:paraId="6082436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施工</w:t>
            </w:r>
          </w:p>
          <w:p w14:paraId="17F27A69">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期环</w:t>
            </w:r>
          </w:p>
          <w:p w14:paraId="668349D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境保</w:t>
            </w:r>
          </w:p>
          <w:p w14:paraId="4999501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护措</w:t>
            </w:r>
          </w:p>
          <w:p w14:paraId="3E21B92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施</w:t>
            </w:r>
          </w:p>
        </w:tc>
        <w:tc>
          <w:tcPr>
            <w:tcW w:w="4661" w:type="pct"/>
            <w:tcBorders>
              <w:tl2br w:val="nil"/>
              <w:tr2bl w:val="nil"/>
            </w:tcBorders>
            <w:noWrap/>
            <w:vAlign w:val="center"/>
          </w:tcPr>
          <w:p w14:paraId="3FE175D5">
            <w:pPr>
              <w:pStyle w:val="19"/>
              <w:widowControl w:val="0"/>
              <w:spacing w:before="120" w:beforeLines="50" w:beforeAutospacing="0" w:after="0" w:afterAutospacing="0" w:line="360" w:lineRule="auto"/>
              <w:jc w:val="both"/>
              <w:rPr>
                <w:rFonts w:hint="default" w:ascii="Times New Roman" w:hAnsi="Times New Roman" w:cs="Times New Roman"/>
                <w:b/>
                <w:bCs/>
                <w:color w:val="000000" w:themeColor="text1"/>
                <w:highlight w:val="none"/>
                <w14:textFill>
                  <w14:solidFill>
                    <w14:schemeClr w14:val="tx1"/>
                  </w14:solidFill>
                </w14:textFill>
              </w:rPr>
            </w:pPr>
            <w:bookmarkStart w:id="23" w:name="3.1.2.2施工期废水污染源分析"/>
            <w:bookmarkEnd w:id="23"/>
            <w:r>
              <w:rPr>
                <w:rFonts w:hint="default" w:ascii="Times New Roman" w:hAnsi="Times New Roman" w:cs="Times New Roman"/>
                <w:b/>
                <w:bCs/>
                <w:color w:val="000000" w:themeColor="text1"/>
                <w:highlight w:val="none"/>
                <w14:textFill>
                  <w14:solidFill>
                    <w14:schemeClr w14:val="tx1"/>
                  </w14:solidFill>
                </w14:textFill>
              </w:rPr>
              <w:t>施工期环境</w:t>
            </w:r>
            <w:r>
              <w:rPr>
                <w:rFonts w:hint="default" w:ascii="Times New Roman" w:hAnsi="Times New Roman" w:cs="Times New Roman"/>
                <w:b/>
                <w:bCs/>
                <w:color w:val="000000" w:themeColor="text1"/>
                <w:highlight w:val="none"/>
                <w:lang w:eastAsia="zh-CN"/>
                <w14:textFill>
                  <w14:solidFill>
                    <w14:schemeClr w14:val="tx1"/>
                  </w14:solidFill>
                </w14:textFill>
              </w:rPr>
              <w:t>保护</w:t>
            </w:r>
            <w:r>
              <w:rPr>
                <w:rFonts w:hint="default" w:ascii="Times New Roman" w:hAnsi="Times New Roman" w:cs="Times New Roman"/>
                <w:b/>
                <w:bCs/>
                <w:color w:val="000000" w:themeColor="text1"/>
                <w:highlight w:val="none"/>
                <w14:textFill>
                  <w14:solidFill>
                    <w14:schemeClr w14:val="tx1"/>
                  </w14:solidFill>
                </w14:textFill>
              </w:rPr>
              <w:t>防治措施</w:t>
            </w:r>
          </w:p>
          <w:p w14:paraId="2F13B491">
            <w:pPr>
              <w:pStyle w:val="19"/>
              <w:widowControl w:val="0"/>
              <w:spacing w:before="0" w:beforeAutospacing="0" w:after="0" w:afterAutospacing="0" w:line="360" w:lineRule="auto"/>
              <w:ind w:firstLine="480" w:firstLineChars="200"/>
              <w:jc w:val="both"/>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施工期主要为少量土建，施工期较短，对周围环境影响较小。</w:t>
            </w:r>
            <w:r>
              <w:rPr>
                <w:rFonts w:hint="default" w:ascii="Times New Roman" w:hAnsi="Times New Roman" w:cs="Times New Roman"/>
                <w:color w:val="000000" w:themeColor="text1"/>
                <w:sz w:val="24"/>
                <w:szCs w:val="24"/>
                <w:highlight w:val="none"/>
                <w:lang w:eastAsia="zh-CN"/>
                <w14:textFill>
                  <w14:solidFill>
                    <w14:schemeClr w14:val="tx1"/>
                  </w14:solidFill>
                </w14:textFill>
              </w:rPr>
              <w:t>施工期主要污染影响为工程建设过程中产生的施工废气、废水、噪声及施工固体废物。本环评项目施工过程中应采取以下环境保护措施：</w:t>
            </w:r>
          </w:p>
          <w:p w14:paraId="6184265C">
            <w:pPr>
              <w:pStyle w:val="19"/>
              <w:widowControl w:val="0"/>
              <w:spacing w:before="0" w:beforeAutospacing="0" w:after="0" w:afterAutospacing="0" w:line="360" w:lineRule="auto"/>
              <w:ind w:firstLine="480" w:firstLineChars="200"/>
              <w:jc w:val="both"/>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1</w:t>
            </w:r>
            <w:r>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
                <w:bCs/>
                <w:color w:val="000000" w:themeColor="text1"/>
                <w:szCs w:val="24"/>
                <w:highlight w:val="none"/>
                <w14:textFill>
                  <w14:solidFill>
                    <w14:schemeClr w14:val="tx1"/>
                  </w14:solidFill>
                </w14:textFill>
              </w:rPr>
              <w:t>施工期扬尘防治措施</w:t>
            </w:r>
          </w:p>
          <w:p w14:paraId="6CDA8EB7">
            <w:pPr>
              <w:pStyle w:val="19"/>
              <w:widowControl w:val="0"/>
              <w:spacing w:before="0" w:beforeAutospacing="0" w:after="0" w:afterAutospacing="0" w:line="360" w:lineRule="auto"/>
              <w:ind w:firstLine="480" w:firstLineChars="200"/>
              <w:jc w:val="both"/>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项目施工期产生的废气主要为建筑施工扬尘和运输车辆</w:t>
            </w:r>
            <w:r>
              <w:rPr>
                <w:rFonts w:hint="default" w:ascii="Times New Roman" w:hAnsi="Times New Roman" w:cs="Times New Roman"/>
                <w:color w:val="000000" w:themeColor="text1"/>
                <w:szCs w:val="24"/>
                <w:highlight w:val="none"/>
                <w:lang w:val="en-US" w:eastAsia="zh-CN"/>
                <w14:textFill>
                  <w14:solidFill>
                    <w14:schemeClr w14:val="tx1"/>
                  </w14:solidFill>
                </w14:textFill>
              </w:rPr>
              <w:t>尾气</w:t>
            </w:r>
            <w:r>
              <w:rPr>
                <w:rFonts w:hint="default" w:ascii="Times New Roman" w:hAnsi="Times New Roman" w:cs="Times New Roman"/>
                <w:color w:val="000000" w:themeColor="text1"/>
                <w:szCs w:val="24"/>
                <w:highlight w:val="none"/>
                <w14:textFill>
                  <w14:solidFill>
                    <w14:schemeClr w14:val="tx1"/>
                  </w14:solidFill>
                </w14:textFill>
              </w:rPr>
              <w:t>。</w:t>
            </w:r>
          </w:p>
          <w:p w14:paraId="761F3DAB">
            <w:pPr>
              <w:spacing w:line="360" w:lineRule="auto"/>
              <w:ind w:firstLine="482"/>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本项目施工</w:t>
            </w:r>
            <w:r>
              <w:rPr>
                <w:rFonts w:hint="default" w:ascii="Times New Roman" w:hAnsi="Times New Roman" w:cs="Times New Roman"/>
                <w:color w:val="000000" w:themeColor="text1"/>
                <w:sz w:val="24"/>
                <w:highlight w:val="none"/>
                <w:lang w:eastAsia="zh-CN"/>
                <w14:textFill>
                  <w14:solidFill>
                    <w14:schemeClr w14:val="tx1"/>
                  </w14:solidFill>
                </w14:textFill>
              </w:rPr>
              <w:t>期间</w:t>
            </w:r>
            <w:r>
              <w:rPr>
                <w:rFonts w:hint="default" w:ascii="Times New Roman" w:hAnsi="Times New Roman" w:cs="Times New Roman"/>
                <w:color w:val="000000" w:themeColor="text1"/>
                <w:sz w:val="24"/>
                <w:highlight w:val="none"/>
                <w14:textFill>
                  <w14:solidFill>
                    <w14:schemeClr w14:val="tx1"/>
                  </w14:solidFill>
                </w14:textFill>
              </w:rPr>
              <w:t>严格按照《陕西省大气污染防治条例》《宝鸡</w:t>
            </w:r>
            <w:r>
              <w:rPr>
                <w:rFonts w:hint="default" w:ascii="Times New Roman" w:hAnsi="Times New Roman" w:cs="Times New Roman"/>
                <w:color w:val="000000" w:themeColor="text1"/>
                <w:sz w:val="24"/>
                <w:highlight w:val="none"/>
                <w:lang w:val="en-US" w:eastAsia="zh-CN"/>
                <w14:textFill>
                  <w14:solidFill>
                    <w14:schemeClr w14:val="tx1"/>
                  </w14:solidFill>
                </w14:textFill>
              </w:rPr>
              <w:t>市</w:t>
            </w:r>
            <w:r>
              <w:rPr>
                <w:rFonts w:hint="default" w:ascii="Times New Roman" w:hAnsi="Times New Roman" w:cs="Times New Roman"/>
                <w:color w:val="000000" w:themeColor="text1"/>
                <w:sz w:val="24"/>
                <w:highlight w:val="none"/>
                <w14:textFill>
                  <w14:solidFill>
                    <w14:schemeClr w14:val="tx1"/>
                  </w14:solidFill>
                </w14:textFill>
              </w:rPr>
              <w:t>大气污染防治条例》《宝鸡市大气污染治理专项行动方案》（2023-2027年）等文件和规定中关于交通运输污染和扬尘污染防治的相关规定落实，施工过程中必须实施“六个100%管理+红黄绿牌结果管理”的防治联动制度，即施工区域100%标准围挡、裸露黄土100%覆盖、施工道路100%硬化、渣土运输车辆100%密闭拉运、施工现场出入车辆100%冲洗清洁</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建筑物拆除100%湿法作业</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多尘物料应使用帆布覆盖，采用封闭的运输车或篷布覆盖的运输车进行运输，不得超载，并控制车辆行驶速度，防止运输过程中的飞扬和洒落</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施</w:t>
            </w:r>
            <w:r>
              <w:rPr>
                <w:rFonts w:hint="default" w:ascii="Times New Roman" w:hAnsi="Times New Roman" w:cs="Times New Roman"/>
                <w:color w:val="000000" w:themeColor="text1"/>
                <w:sz w:val="24"/>
                <w:highlight w:val="none"/>
                <w14:textFill>
                  <w14:solidFill>
                    <w14:schemeClr w14:val="tx1"/>
                  </w14:solidFill>
                </w14:textFill>
              </w:rPr>
              <w:t>工</w:t>
            </w:r>
            <w:r>
              <w:rPr>
                <w:rFonts w:hint="default" w:ascii="Times New Roman" w:hAnsi="Times New Roman" w:cs="Times New Roman"/>
                <w:color w:val="000000" w:themeColor="text1"/>
                <w:sz w:val="24"/>
                <w:highlight w:val="none"/>
                <w:lang w:eastAsia="zh-CN"/>
                <w14:textFill>
                  <w14:solidFill>
                    <w14:schemeClr w14:val="tx1"/>
                  </w14:solidFill>
                </w14:textFill>
              </w:rPr>
              <w:t>期间</w:t>
            </w:r>
            <w:r>
              <w:rPr>
                <w:rFonts w:hint="default" w:ascii="Times New Roman" w:hAnsi="Times New Roman" w:cs="Times New Roman"/>
                <w:color w:val="000000" w:themeColor="text1"/>
                <w:sz w:val="24"/>
                <w:highlight w:val="none"/>
                <w14:textFill>
                  <w14:solidFill>
                    <w14:schemeClr w14:val="tx1"/>
                  </w14:solidFill>
                </w14:textFill>
              </w:rPr>
              <w:t>使用混凝土应使用预拌商品混凝土，不得现场露天搅拌混凝土、消化石灰</w:t>
            </w:r>
            <w:r>
              <w:rPr>
                <w:rFonts w:hint="default" w:ascii="Times New Roman" w:hAnsi="Times New Roman" w:cs="Times New Roman"/>
                <w:color w:val="000000" w:themeColor="text1"/>
                <w:sz w:val="24"/>
                <w:highlight w:val="none"/>
                <w:lang w:eastAsia="zh-CN"/>
                <w14:textFill>
                  <w14:solidFill>
                    <w14:schemeClr w14:val="tx1"/>
                  </w14:solidFill>
                </w14:textFill>
              </w:rPr>
              <w:t>及预</w:t>
            </w:r>
            <w:r>
              <w:rPr>
                <w:rFonts w:hint="default" w:ascii="Times New Roman" w:hAnsi="Times New Roman" w:cs="Times New Roman"/>
                <w:color w:val="000000" w:themeColor="text1"/>
                <w:sz w:val="24"/>
                <w:highlight w:val="none"/>
                <w14:textFill>
                  <w14:solidFill>
                    <w14:schemeClr w14:val="tx1"/>
                  </w14:solidFill>
                </w14:textFill>
              </w:rPr>
              <w:t>拌石灰土</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所有运输沙石、水泥、土方等易产生扬尘的车辆，必须符合规定的要求，封闭严密，不许撒漏。沙、渣土、灰土等易产生扬尘的物料，必须采取覆盖等防尘措施，不得露天堆放。</w:t>
            </w:r>
          </w:p>
          <w:p w14:paraId="4B0644F6">
            <w:pPr>
              <w:adjustRightInd w:val="0"/>
              <w:snapToGrid w:val="0"/>
              <w:spacing w:line="360" w:lineRule="auto"/>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施工期废水防治措施</w:t>
            </w:r>
          </w:p>
          <w:p w14:paraId="7583D8D9">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施工期产生的废水主要是施工废水和生活污水。</w:t>
            </w:r>
          </w:p>
          <w:p w14:paraId="5EC58A87">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施工期生产废水和生活污水若不妥善处理将会对地表水造成一定的环境污染，因此建议施工期废水做好以下防治措施：</w:t>
            </w:r>
          </w:p>
          <w:p w14:paraId="3BB90170">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①施工</w:t>
            </w:r>
            <w:r>
              <w:rPr>
                <w:rFonts w:hint="default" w:ascii="Times New Roman" w:hAnsi="Times New Roman" w:cs="Times New Roman"/>
                <w:color w:val="000000" w:themeColor="text1"/>
                <w:sz w:val="24"/>
                <w:highlight w:val="none"/>
                <w:lang w:eastAsia="zh-CN"/>
                <w14:textFill>
                  <w14:solidFill>
                    <w14:schemeClr w14:val="tx1"/>
                  </w14:solidFill>
                </w14:textFill>
              </w:rPr>
              <w:t>期间</w:t>
            </w:r>
            <w:r>
              <w:rPr>
                <w:rFonts w:hint="default" w:ascii="Times New Roman" w:hAnsi="Times New Roman" w:cs="Times New Roman"/>
                <w:color w:val="000000" w:themeColor="text1"/>
                <w:sz w:val="24"/>
                <w:highlight w:val="none"/>
                <w14:textFill>
                  <w14:solidFill>
                    <w14:schemeClr w14:val="tx1"/>
                  </w14:solidFill>
                </w14:textFill>
              </w:rPr>
              <w:t>生活污水依托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原有项目化粪池</w:t>
            </w:r>
            <w:r>
              <w:rPr>
                <w:rFonts w:hint="default" w:ascii="Times New Roman" w:hAnsi="Times New Roman" w:cs="Times New Roman"/>
                <w:color w:val="000000" w:themeColor="text1"/>
                <w:sz w:val="24"/>
                <w:highlight w:val="none"/>
                <w14:textFill>
                  <w14:solidFill>
                    <w14:schemeClr w14:val="tx1"/>
                  </w14:solidFill>
                </w14:textFill>
              </w:rPr>
              <w:t>；</w:t>
            </w:r>
          </w:p>
          <w:p w14:paraId="43E9ABC1">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②施工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期间</w:t>
            </w:r>
            <w:r>
              <w:rPr>
                <w:rFonts w:hint="default" w:ascii="Times New Roman" w:hAnsi="Times New Roman" w:cs="Times New Roman"/>
                <w:color w:val="000000" w:themeColor="text1"/>
                <w:sz w:val="24"/>
                <w:highlight w:val="none"/>
                <w14:textFill>
                  <w14:solidFill>
                    <w14:schemeClr w14:val="tx1"/>
                  </w14:solidFill>
                </w14:textFill>
              </w:rPr>
              <w:t>施工单位应严格执行《建设工程施工场地文明施工及环境管理暂行规定》，对地面水的排放进行组织设计，严禁乱排、乱流污染道路、水体；</w:t>
            </w:r>
          </w:p>
          <w:p w14:paraId="033BCA28">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③施工单位</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将</w:t>
            </w:r>
            <w:r>
              <w:rPr>
                <w:rFonts w:hint="default" w:ascii="Times New Roman" w:hAnsi="Times New Roman" w:cs="Times New Roman"/>
                <w:color w:val="000000" w:themeColor="text1"/>
                <w:sz w:val="24"/>
                <w:highlight w:val="none"/>
                <w14:textFill>
                  <w14:solidFill>
                    <w14:schemeClr w14:val="tx1"/>
                  </w14:solidFill>
                </w14:textFill>
              </w:rPr>
              <w:t>施工废水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排入现有洗车台三级沉淀池</w:t>
            </w:r>
            <w:r>
              <w:rPr>
                <w:rFonts w:hint="default" w:ascii="Times New Roman" w:hAnsi="Times New Roman" w:cs="Times New Roman"/>
                <w:color w:val="000000" w:themeColor="text1"/>
                <w:sz w:val="24"/>
                <w:highlight w:val="none"/>
                <w14:textFill>
                  <w14:solidFill>
                    <w14:schemeClr w14:val="tx1"/>
                  </w14:solidFill>
                </w14:textFill>
              </w:rPr>
              <w:t>进行处理后回用，能有效地控制对水体的污染，施工期对水环境的影响较小，且将随着施工期的结束而消失。</w:t>
            </w:r>
          </w:p>
          <w:p w14:paraId="0C235A3B">
            <w:pPr>
              <w:adjustRightInd w:val="0"/>
              <w:snapToGrid w:val="0"/>
              <w:spacing w:line="360" w:lineRule="auto"/>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施工噪声防治措施</w:t>
            </w:r>
          </w:p>
          <w:p w14:paraId="264F7EC4">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针对项目特点，项目施工期应采取如下防治措施：</w:t>
            </w:r>
          </w:p>
          <w:p w14:paraId="70299F66">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在满足生产的前提下，合理布置施工场地高噪声源位置，项目施工须围墙隔挡，要求将噪声设备尽量安置在距离敏感点较远的地方，且严格控制施工时间，根据不同季节正常作息时间，合理安排施工计划，尽可能避开夜间（22:00-6:00）昼间午休时间动用高噪声设备，以免产生扰民现象。</w:t>
            </w:r>
          </w:p>
          <w:p w14:paraId="7281C4B1">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②选用低噪声施工机械设备，严格限制或禁止使用高噪声的气锤打桩方式，推行混凝土灌注桩和静压桩等低噪音新工艺</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083E798A">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③合理安排运输车辆管理，控制运输车辆不得在靠近敏感点的位置鸣笛，减少运输车辆噪声的影响。</w:t>
            </w:r>
          </w:p>
          <w:p w14:paraId="1EE9AD36">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了有效地控制施工噪声影响，除落实有关的控制措施外，还必须加强施工环境管理，由环保部门实施统一的监督管理，建设单位与施工单位在工程承包时，应将环境保护内容列入承包合同，落实各项施工噪声的控制措施和有关主管部门的要求。控制施工机械噪声符合《建筑施工场界环境噪声排放标准》（GB12523-2011），做到施工场界噪声达标排放。</w:t>
            </w:r>
          </w:p>
          <w:p w14:paraId="201C6E0E">
            <w:pPr>
              <w:spacing w:line="360" w:lineRule="auto"/>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施工期固体废物防治措施</w:t>
            </w:r>
          </w:p>
          <w:p w14:paraId="541C992F">
            <w:pPr>
              <w:pStyle w:val="62"/>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项目在施工过程中产生的固体废物主要是施工过程产生的建筑垃圾、施工人员日常生活产生的生活垃圾。 </w:t>
            </w:r>
          </w:p>
          <w:p w14:paraId="3B9CB7AA">
            <w:pPr>
              <w:pStyle w:val="62"/>
              <w:spacing w:line="360" w:lineRule="auto"/>
              <w:ind w:firstLine="482" w:firstLineChars="200"/>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cs="Times New Roman"/>
                <w:b/>
                <w:bCs/>
                <w:color w:val="000000" w:themeColor="text1"/>
                <w:sz w:val="24"/>
                <w:szCs w:val="28"/>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8"/>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建筑垃圾</w:t>
            </w:r>
          </w:p>
          <w:p w14:paraId="1BB7059A">
            <w:pPr>
              <w:pStyle w:val="62"/>
              <w:spacing w:line="360" w:lineRule="auto"/>
              <w:ind w:firstLine="480" w:firstLineChars="200"/>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项目在施工过程中会产生少量的建筑垃圾，主要包括砂石、金属边角料等杂物，本环评要求对建筑垃圾分类处理，建筑垃圾集中收集后尽量回收利用，不能回收利用的运至指定地点处置。</w:t>
            </w:r>
          </w:p>
          <w:p w14:paraId="22FE0483">
            <w:pPr>
              <w:pStyle w:val="62"/>
              <w:spacing w:line="360" w:lineRule="auto"/>
              <w:ind w:firstLine="482" w:firstLineChars="200"/>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cs="Times New Roman"/>
                <w:b/>
                <w:bCs/>
                <w:color w:val="000000" w:themeColor="text1"/>
                <w:sz w:val="24"/>
                <w:szCs w:val="28"/>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 xml:space="preserve">生活垃圾 </w:t>
            </w:r>
          </w:p>
          <w:p w14:paraId="1669C50E">
            <w:pPr>
              <w:pStyle w:val="62"/>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本项目施工人员生活垃圾</w:t>
            </w: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依托原有项目</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由</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麻池村</w:t>
            </w:r>
            <w:r>
              <w:rPr>
                <w:rFonts w:hint="default" w:ascii="Times New Roman" w:hAnsi="Times New Roman" w:eastAsia="宋体" w:cs="Times New Roman"/>
                <w:color w:val="000000" w:themeColor="text1"/>
                <w:sz w:val="24"/>
                <w:szCs w:val="28"/>
                <w:highlight w:val="none"/>
                <w14:textFill>
                  <w14:solidFill>
                    <w14:schemeClr w14:val="tx1"/>
                  </w14:solidFill>
                </w14:textFill>
              </w:rPr>
              <w:t>村民转运，交由香泉镇环卫部门处置。</w:t>
            </w:r>
          </w:p>
          <w:p w14:paraId="2DF30F51">
            <w:pPr>
              <w:pStyle w:val="62"/>
              <w:spacing w:line="360" w:lineRule="auto"/>
              <w:ind w:firstLine="480" w:firstLineChars="200"/>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在采取上述污染防治措施后，可有效将施工期固废不利影响控制在最低程度和范围内，防治措施可行。 </w:t>
            </w:r>
          </w:p>
        </w:tc>
      </w:tr>
      <w:tr w14:paraId="35A9D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8" w:type="pct"/>
            <w:tcBorders>
              <w:tl2br w:val="nil"/>
              <w:tr2bl w:val="nil"/>
            </w:tcBorders>
            <w:noWrap/>
            <w:tcMar>
              <w:left w:w="28" w:type="dxa"/>
              <w:right w:w="28" w:type="dxa"/>
            </w:tcMar>
            <w:vAlign w:val="center"/>
          </w:tcPr>
          <w:p w14:paraId="5A6C55B1">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运营</w:t>
            </w:r>
          </w:p>
          <w:p w14:paraId="523C871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期环</w:t>
            </w:r>
          </w:p>
          <w:p w14:paraId="1AB7A21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境影</w:t>
            </w:r>
          </w:p>
          <w:p w14:paraId="06D1C2BD">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响和</w:t>
            </w:r>
          </w:p>
          <w:p w14:paraId="75EC82DB">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保护</w:t>
            </w:r>
          </w:p>
          <w:p w14:paraId="79DB829C">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措施</w:t>
            </w:r>
          </w:p>
        </w:tc>
        <w:tc>
          <w:tcPr>
            <w:tcW w:w="4661" w:type="pct"/>
            <w:tcBorders>
              <w:tl2br w:val="nil"/>
              <w:tr2bl w:val="nil"/>
            </w:tcBorders>
            <w:noWrap/>
            <w:vAlign w:val="center"/>
          </w:tcPr>
          <w:p w14:paraId="376FFF98">
            <w:pPr>
              <w:widowControl w:val="0"/>
              <w:spacing w:line="360" w:lineRule="auto"/>
              <w:ind w:firstLine="482" w:firstLineChars="200"/>
              <w:jc w:val="both"/>
              <w:rPr>
                <w:rFonts w:hint="default" w:ascii="Times New Roman" w:hAnsi="Times New Roman" w:cs="Times New Roman" w:eastAsiaTheme="majorEastAsia"/>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1.</w:t>
            </w:r>
            <w:r>
              <w:rPr>
                <w:rFonts w:hint="default" w:ascii="Times New Roman" w:hAnsi="Times New Roman" w:cs="Times New Roman" w:eastAsiaTheme="majorEastAsia"/>
                <w:b/>
                <w:bCs/>
                <w:color w:val="000000" w:themeColor="text1"/>
                <w:sz w:val="24"/>
                <w:szCs w:val="24"/>
                <w:highlight w:val="none"/>
                <w:lang w:eastAsia="zh-CN"/>
                <w14:textFill>
                  <w14:solidFill>
                    <w14:schemeClr w14:val="tx1"/>
                  </w14:solidFill>
                </w14:textFill>
              </w:rPr>
              <w:t>废气</w:t>
            </w:r>
          </w:p>
          <w:p w14:paraId="2DF42288">
            <w:pPr>
              <w:bidi w:val="0"/>
              <w:spacing w:line="360" w:lineRule="auto"/>
              <w:ind w:firstLine="480"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本项目运营期废气主要为原料破碎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筛分粉尘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物料装卸</w:t>
            </w:r>
            <w:r>
              <w:rPr>
                <w:rFonts w:hint="default" w:ascii="Times New Roman" w:hAnsi="Times New Roman" w:cs="Times New Roman"/>
                <w:b w:val="0"/>
                <w:bCs w:val="0"/>
                <w:color w:val="000000" w:themeColor="text1"/>
                <w:sz w:val="24"/>
                <w:highlight w:val="none"/>
                <w14:textFill>
                  <w14:solidFill>
                    <w14:schemeClr w14:val="tx1"/>
                  </w14:solidFill>
                </w14:textFill>
              </w:rPr>
              <w:t>粉尘</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堆场扬尘</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车辆运输扬尘</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0AC17E5">
            <w:pPr>
              <w:widowControl w:val="0"/>
              <w:spacing w:line="360" w:lineRule="auto"/>
              <w:ind w:firstLine="482" w:firstLineChars="200"/>
              <w:jc w:val="both"/>
              <w:rPr>
                <w:rFonts w:hint="default" w:ascii="Times New Roman" w:hAnsi="Times New Roman" w:cs="Times New Roman" w:eastAsiaTheme="majorEastAsia"/>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ajorEastAsia"/>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ajorEastAsia"/>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废气污染物产生情况</w:t>
            </w:r>
          </w:p>
          <w:p w14:paraId="5E5FCEC1">
            <w:pPr>
              <w:bidi w:val="0"/>
              <w:spacing w:line="360" w:lineRule="auto"/>
              <w:ind w:firstLine="480"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①有组织</w:t>
            </w:r>
          </w:p>
          <w:p w14:paraId="2E5662D2">
            <w:pPr>
              <w:pStyle w:val="43"/>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表4-1  废气污染物产生情况一览表</w:t>
            </w:r>
          </w:p>
          <w:tbl>
            <w:tblPr>
              <w:tblStyle w:val="25"/>
              <w:tblW w:w="84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7"/>
              <w:gridCol w:w="1485"/>
              <w:gridCol w:w="2058"/>
              <w:gridCol w:w="895"/>
              <w:gridCol w:w="1119"/>
              <w:gridCol w:w="1084"/>
              <w:gridCol w:w="1174"/>
            </w:tblGrid>
            <w:tr w14:paraId="5D49C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0" w:type="pct"/>
                  <w:gridSpan w:val="3"/>
                  <w:tcBorders>
                    <w:tl2br w:val="nil"/>
                    <w:tr2bl w:val="nil"/>
                  </w:tcBorders>
                  <w:vAlign w:val="center"/>
                </w:tcPr>
                <w:p w14:paraId="12D18D63">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产排污环节</w:t>
                  </w:r>
                </w:p>
              </w:tc>
              <w:tc>
                <w:tcPr>
                  <w:tcW w:w="1753" w:type="pct"/>
                  <w:gridSpan w:val="2"/>
                  <w:tcBorders>
                    <w:tl2br w:val="nil"/>
                    <w:tr2bl w:val="nil"/>
                  </w:tcBorders>
                  <w:vAlign w:val="center"/>
                </w:tcPr>
                <w:p w14:paraId="73E4FAD8">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t>破碎、筛分</w:t>
                  </w:r>
                </w:p>
              </w:tc>
              <w:tc>
                <w:tcPr>
                  <w:tcW w:w="664" w:type="pct"/>
                  <w:tcBorders>
                    <w:tl2br w:val="nil"/>
                    <w:tr2bl w:val="nil"/>
                  </w:tcBorders>
                  <w:vAlign w:val="center"/>
                </w:tcPr>
                <w:p w14:paraId="6C552A11">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t>物料装卸</w:t>
                  </w:r>
                </w:p>
              </w:tc>
              <w:tc>
                <w:tcPr>
                  <w:tcW w:w="643" w:type="pct"/>
                  <w:tcBorders>
                    <w:tl2br w:val="nil"/>
                    <w:tr2bl w:val="nil"/>
                  </w:tcBorders>
                  <w:vAlign w:val="center"/>
                </w:tcPr>
                <w:p w14:paraId="486A0086">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t>物料堆场</w:t>
                  </w:r>
                </w:p>
              </w:tc>
              <w:tc>
                <w:tcPr>
                  <w:tcW w:w="697" w:type="pct"/>
                  <w:tcBorders>
                    <w:tl2br w:val="nil"/>
                    <w:tr2bl w:val="nil"/>
                  </w:tcBorders>
                  <w:vAlign w:val="center"/>
                </w:tcPr>
                <w:p w14:paraId="27285BB0">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t>车辆运输</w:t>
                  </w:r>
                </w:p>
              </w:tc>
            </w:tr>
            <w:tr w14:paraId="1D7E2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40" w:type="pct"/>
                  <w:gridSpan w:val="3"/>
                  <w:tcBorders>
                    <w:tl2br w:val="nil"/>
                    <w:tr2bl w:val="nil"/>
                  </w:tcBorders>
                  <w:vAlign w:val="center"/>
                </w:tcPr>
                <w:p w14:paraId="5FC53DA6">
                  <w:pPr>
                    <w:jc w:val="cente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污染物种类</w:t>
                  </w:r>
                </w:p>
              </w:tc>
              <w:tc>
                <w:tcPr>
                  <w:tcW w:w="1753" w:type="pct"/>
                  <w:gridSpan w:val="2"/>
                  <w:tcBorders>
                    <w:tl2br w:val="nil"/>
                    <w:tr2bl w:val="nil"/>
                  </w:tcBorders>
                  <w:vAlign w:val="center"/>
                </w:tcPr>
                <w:p w14:paraId="7A825E99">
                  <w:pPr>
                    <w:jc w:val="cente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破碎、筛分废气</w:t>
                  </w:r>
                </w:p>
              </w:tc>
              <w:tc>
                <w:tcPr>
                  <w:tcW w:w="664" w:type="pct"/>
                  <w:tcBorders>
                    <w:tl2br w:val="nil"/>
                    <w:tr2bl w:val="nil"/>
                  </w:tcBorders>
                  <w:vAlign w:val="center"/>
                </w:tcPr>
                <w:p w14:paraId="0F7B6359">
                  <w:pPr>
                    <w:jc w:val="cente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装卸粉尘</w:t>
                  </w:r>
                </w:p>
              </w:tc>
              <w:tc>
                <w:tcPr>
                  <w:tcW w:w="643" w:type="pct"/>
                  <w:tcBorders>
                    <w:tl2br w:val="nil"/>
                    <w:tr2bl w:val="nil"/>
                  </w:tcBorders>
                  <w:vAlign w:val="center"/>
                </w:tcPr>
                <w:p w14:paraId="585222FA">
                  <w:pPr>
                    <w:jc w:val="cente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堆场扬尘</w:t>
                  </w:r>
                </w:p>
              </w:tc>
              <w:tc>
                <w:tcPr>
                  <w:tcW w:w="697" w:type="pct"/>
                  <w:tcBorders>
                    <w:tl2br w:val="nil"/>
                    <w:tr2bl w:val="nil"/>
                  </w:tcBorders>
                  <w:vAlign w:val="center"/>
                </w:tcPr>
                <w:p w14:paraId="7027F328">
                  <w:pPr>
                    <w:jc w:val="cente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运输扬尘</w:t>
                  </w:r>
                </w:p>
              </w:tc>
            </w:tr>
            <w:tr w14:paraId="3342A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0" w:type="pct"/>
                  <w:gridSpan w:val="3"/>
                  <w:tcBorders>
                    <w:tl2br w:val="nil"/>
                    <w:tr2bl w:val="nil"/>
                  </w:tcBorders>
                  <w:vAlign w:val="center"/>
                </w:tcPr>
                <w:p w14:paraId="546033D5">
                  <w:pPr>
                    <w:jc w:val="center"/>
                    <w:rPr>
                      <w:rFonts w:hint="default" w:ascii="Times New Roman" w:hAnsi="Times New Roman" w:cs="Times New Roman" w:eastAsiaTheme="minorEastAsia"/>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w:t>
                  </w:r>
                </w:p>
              </w:tc>
              <w:tc>
                <w:tcPr>
                  <w:tcW w:w="1753" w:type="pct"/>
                  <w:gridSpan w:val="2"/>
                  <w:tcBorders>
                    <w:tl2br w:val="nil"/>
                    <w:tr2bl w:val="nil"/>
                  </w:tcBorders>
                  <w:vAlign w:val="center"/>
                </w:tcPr>
                <w:p w14:paraId="3276B599">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颗粒物</w:t>
                  </w:r>
                </w:p>
              </w:tc>
              <w:tc>
                <w:tcPr>
                  <w:tcW w:w="664" w:type="pct"/>
                  <w:tcBorders>
                    <w:tl2br w:val="nil"/>
                    <w:tr2bl w:val="nil"/>
                  </w:tcBorders>
                  <w:vAlign w:val="center"/>
                </w:tcPr>
                <w:p w14:paraId="422AF5F4">
                  <w:pPr>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颗粒物</w:t>
                  </w:r>
                </w:p>
              </w:tc>
              <w:tc>
                <w:tcPr>
                  <w:tcW w:w="643" w:type="pct"/>
                  <w:tcBorders>
                    <w:tl2br w:val="nil"/>
                    <w:tr2bl w:val="nil"/>
                  </w:tcBorders>
                  <w:vAlign w:val="center"/>
                </w:tcPr>
                <w:p w14:paraId="1D4D9EF3">
                  <w:pPr>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颗粒物</w:t>
                  </w:r>
                </w:p>
              </w:tc>
              <w:tc>
                <w:tcPr>
                  <w:tcW w:w="697" w:type="pct"/>
                  <w:tcBorders>
                    <w:tl2br w:val="nil"/>
                    <w:tr2bl w:val="nil"/>
                  </w:tcBorders>
                  <w:vAlign w:val="center"/>
                </w:tcPr>
                <w:p w14:paraId="04C0DDF3">
                  <w:pPr>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颗粒物</w:t>
                  </w:r>
                </w:p>
              </w:tc>
            </w:tr>
            <w:tr w14:paraId="64A74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0" w:type="pct"/>
                  <w:gridSpan w:val="3"/>
                  <w:tcBorders>
                    <w:tl2br w:val="nil"/>
                    <w:tr2bl w:val="nil"/>
                  </w:tcBorders>
                  <w:vAlign w:val="center"/>
                </w:tcPr>
                <w:p w14:paraId="2B08F484">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污染物产生量（t/a）</w:t>
                  </w:r>
                </w:p>
              </w:tc>
              <w:tc>
                <w:tcPr>
                  <w:tcW w:w="1753" w:type="pct"/>
                  <w:gridSpan w:val="2"/>
                  <w:tcBorders>
                    <w:tl2br w:val="nil"/>
                    <w:tr2bl w:val="nil"/>
                  </w:tcBorders>
                  <w:vAlign w:val="center"/>
                </w:tcPr>
                <w:p w14:paraId="0B759132">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756</w:t>
                  </w:r>
                </w:p>
              </w:tc>
              <w:tc>
                <w:tcPr>
                  <w:tcW w:w="664" w:type="pct"/>
                  <w:tcBorders>
                    <w:tl2br w:val="nil"/>
                    <w:tr2bl w:val="nil"/>
                  </w:tcBorders>
                  <w:vAlign w:val="center"/>
                </w:tcPr>
                <w:p w14:paraId="6E1A187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4.08</w:t>
                  </w:r>
                </w:p>
              </w:tc>
              <w:tc>
                <w:tcPr>
                  <w:tcW w:w="643" w:type="pct"/>
                  <w:tcBorders>
                    <w:tl2br w:val="nil"/>
                    <w:tr2bl w:val="nil"/>
                  </w:tcBorders>
                  <w:vAlign w:val="center"/>
                </w:tcPr>
                <w:p w14:paraId="37410029">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1.59</w:t>
                  </w:r>
                </w:p>
              </w:tc>
              <w:tc>
                <w:tcPr>
                  <w:tcW w:w="697" w:type="pct"/>
                  <w:tcBorders>
                    <w:tl2br w:val="nil"/>
                    <w:tr2bl w:val="nil"/>
                  </w:tcBorders>
                  <w:vAlign w:val="center"/>
                </w:tcPr>
                <w:p w14:paraId="06384B54">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1.07×10</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p>
              </w:tc>
            </w:tr>
            <w:tr w14:paraId="2C3B9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40" w:type="pct"/>
                  <w:gridSpan w:val="3"/>
                  <w:tcBorders>
                    <w:tl2br w:val="nil"/>
                    <w:tr2bl w:val="nil"/>
                  </w:tcBorders>
                  <w:vAlign w:val="center"/>
                </w:tcPr>
                <w:p w14:paraId="33926B16">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污染物产生速率（</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kg/h</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1753" w:type="pct"/>
                  <w:gridSpan w:val="2"/>
                  <w:tcBorders>
                    <w:tl2br w:val="nil"/>
                    <w:tr2bl w:val="nil"/>
                  </w:tcBorders>
                  <w:vAlign w:val="center"/>
                </w:tcPr>
                <w:p w14:paraId="2FE35EB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315</w:t>
                  </w:r>
                </w:p>
              </w:tc>
              <w:tc>
                <w:tcPr>
                  <w:tcW w:w="664" w:type="pct"/>
                  <w:tcBorders>
                    <w:tl2br w:val="nil"/>
                    <w:tr2bl w:val="nil"/>
                  </w:tcBorders>
                  <w:vAlign w:val="center"/>
                </w:tcPr>
                <w:p w14:paraId="7EABE14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vAlign w:val="center"/>
                </w:tcPr>
                <w:p w14:paraId="520D9319">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vAlign w:val="center"/>
                </w:tcPr>
                <w:p w14:paraId="122AD97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7C54E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pct"/>
                  <w:gridSpan w:val="3"/>
                  <w:tcBorders>
                    <w:tl2br w:val="nil"/>
                    <w:tr2bl w:val="nil"/>
                  </w:tcBorders>
                  <w:vAlign w:val="center"/>
                </w:tcPr>
                <w:p w14:paraId="618CE40C">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污染物产生浓度（</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1753" w:type="pct"/>
                  <w:gridSpan w:val="2"/>
                  <w:tcBorders>
                    <w:tl2br w:val="nil"/>
                    <w:tr2bl w:val="nil"/>
                  </w:tcBorders>
                  <w:vAlign w:val="center"/>
                </w:tcPr>
                <w:p w14:paraId="56CC89E2">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10500</w:t>
                  </w:r>
                </w:p>
              </w:tc>
              <w:tc>
                <w:tcPr>
                  <w:tcW w:w="664" w:type="pct"/>
                  <w:tcBorders>
                    <w:tl2br w:val="nil"/>
                    <w:tr2bl w:val="nil"/>
                  </w:tcBorders>
                  <w:vAlign w:val="center"/>
                </w:tcPr>
                <w:p w14:paraId="6AF467E3">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vAlign w:val="center"/>
                </w:tcPr>
                <w:p w14:paraId="6D9ABE6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vAlign w:val="center"/>
                </w:tcPr>
                <w:p w14:paraId="6ACD961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3ABEF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0" w:type="pct"/>
                  <w:gridSpan w:val="3"/>
                  <w:tcBorders>
                    <w:tl2br w:val="nil"/>
                    <w:tr2bl w:val="nil"/>
                  </w:tcBorders>
                  <w:vAlign w:val="center"/>
                </w:tcPr>
                <w:p w14:paraId="71F511D5">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排放形式</w:t>
                  </w:r>
                </w:p>
              </w:tc>
              <w:tc>
                <w:tcPr>
                  <w:tcW w:w="1222" w:type="pct"/>
                  <w:tcBorders>
                    <w:tl2br w:val="nil"/>
                    <w:tr2bl w:val="nil"/>
                  </w:tcBorders>
                  <w:vAlign w:val="center"/>
                </w:tcPr>
                <w:p w14:paraId="56520B3F">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有组织</w:t>
                  </w:r>
                </w:p>
              </w:tc>
              <w:tc>
                <w:tcPr>
                  <w:tcW w:w="531" w:type="pct"/>
                  <w:tcBorders>
                    <w:tl2br w:val="nil"/>
                    <w:tr2bl w:val="nil"/>
                  </w:tcBorders>
                  <w:vAlign w:val="center"/>
                </w:tcPr>
                <w:p w14:paraId="12DFB6B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无组织</w:t>
                  </w:r>
                </w:p>
              </w:tc>
              <w:tc>
                <w:tcPr>
                  <w:tcW w:w="664" w:type="pct"/>
                  <w:tcBorders>
                    <w:tl2br w:val="nil"/>
                    <w:tr2bl w:val="nil"/>
                  </w:tcBorders>
                  <w:vAlign w:val="center"/>
                </w:tcPr>
                <w:p w14:paraId="3CD882D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无组织</w:t>
                  </w:r>
                </w:p>
              </w:tc>
              <w:tc>
                <w:tcPr>
                  <w:tcW w:w="643" w:type="pct"/>
                  <w:tcBorders>
                    <w:tl2br w:val="nil"/>
                    <w:tr2bl w:val="nil"/>
                  </w:tcBorders>
                  <w:vAlign w:val="center"/>
                </w:tcPr>
                <w:p w14:paraId="618CD465">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无组织</w:t>
                  </w:r>
                </w:p>
              </w:tc>
              <w:tc>
                <w:tcPr>
                  <w:tcW w:w="697" w:type="pct"/>
                  <w:tcBorders>
                    <w:tl2br w:val="nil"/>
                    <w:tr2bl w:val="nil"/>
                  </w:tcBorders>
                  <w:vAlign w:val="center"/>
                </w:tcPr>
                <w:p w14:paraId="60A32BFD">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无组织</w:t>
                  </w:r>
                </w:p>
              </w:tc>
            </w:tr>
            <w:tr w14:paraId="27A71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318" w:type="pct"/>
                  <w:vMerge w:val="restart"/>
                  <w:tcBorders>
                    <w:tl2br w:val="nil"/>
                    <w:tr2bl w:val="nil"/>
                  </w:tcBorders>
                  <w:vAlign w:val="center"/>
                </w:tcPr>
                <w:p w14:paraId="00EA56E9">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治理</w:t>
                  </w:r>
                </w:p>
                <w:p w14:paraId="7E5AFE85">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设施</w:t>
                  </w:r>
                </w:p>
              </w:tc>
              <w:tc>
                <w:tcPr>
                  <w:tcW w:w="921" w:type="pct"/>
                  <w:gridSpan w:val="2"/>
                  <w:tcBorders>
                    <w:tl2br w:val="nil"/>
                    <w:tr2bl w:val="nil"/>
                  </w:tcBorders>
                  <w:vAlign w:val="center"/>
                </w:tcPr>
                <w:p w14:paraId="62C25455">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名称</w:t>
                  </w:r>
                </w:p>
              </w:tc>
              <w:tc>
                <w:tcPr>
                  <w:tcW w:w="1222" w:type="pct"/>
                  <w:tcBorders>
                    <w:tl2br w:val="nil"/>
                    <w:tr2bl w:val="nil"/>
                  </w:tcBorders>
                  <w:vAlign w:val="center"/>
                </w:tcPr>
                <w:p w14:paraId="02C03C52">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集气罩</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1套布袋除尘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+15m排气筒</w:t>
                  </w:r>
                </w:p>
              </w:tc>
              <w:tc>
                <w:tcPr>
                  <w:tcW w:w="531" w:type="pct"/>
                  <w:tcBorders>
                    <w:tl2br w:val="nil"/>
                    <w:tr2bl w:val="nil"/>
                  </w:tcBorders>
                  <w:vAlign w:val="center"/>
                </w:tcPr>
                <w:p w14:paraId="649DCE9B">
                  <w:pPr>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密闭生产车间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自动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喷雾</w:t>
                  </w:r>
                </w:p>
              </w:tc>
              <w:tc>
                <w:tcPr>
                  <w:tcW w:w="664" w:type="pct"/>
                  <w:tcBorders>
                    <w:tl2br w:val="nil"/>
                    <w:tr2bl w:val="nil"/>
                  </w:tcBorders>
                  <w:vAlign w:val="center"/>
                </w:tcPr>
                <w:p w14:paraId="58CBD3D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封闭料棚+喷雾</w:t>
                  </w:r>
                </w:p>
              </w:tc>
              <w:tc>
                <w:tcPr>
                  <w:tcW w:w="643" w:type="pct"/>
                  <w:tcBorders>
                    <w:tl2br w:val="nil"/>
                    <w:tr2bl w:val="nil"/>
                  </w:tcBorders>
                  <w:vAlign w:val="center"/>
                </w:tcPr>
                <w:p w14:paraId="68C1655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封闭料棚+喷雾</w:t>
                  </w:r>
                </w:p>
              </w:tc>
              <w:tc>
                <w:tcPr>
                  <w:tcW w:w="697" w:type="pct"/>
                  <w:tcBorders>
                    <w:tl2br w:val="nil"/>
                    <w:tr2bl w:val="nil"/>
                  </w:tcBorders>
                  <w:vAlign w:val="center"/>
                </w:tcPr>
                <w:p w14:paraId="1FECC12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洒水降尘</w:t>
                  </w:r>
                </w:p>
              </w:tc>
            </w:tr>
            <w:tr w14:paraId="5E6B8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18" w:type="pct"/>
                  <w:vMerge w:val="continue"/>
                  <w:tcBorders>
                    <w:tl2br w:val="nil"/>
                    <w:tr2bl w:val="nil"/>
                  </w:tcBorders>
                  <w:vAlign w:val="center"/>
                </w:tcPr>
                <w:p w14:paraId="26715D39">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921" w:type="pct"/>
                  <w:gridSpan w:val="2"/>
                  <w:tcBorders>
                    <w:tl2br w:val="nil"/>
                    <w:tr2bl w:val="nil"/>
                  </w:tcBorders>
                  <w:vAlign w:val="center"/>
                </w:tcPr>
                <w:p w14:paraId="1D3B1722">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风量</w:t>
                  </w:r>
                </w:p>
              </w:tc>
              <w:tc>
                <w:tcPr>
                  <w:tcW w:w="1222" w:type="pct"/>
                  <w:tcBorders>
                    <w:tl2br w:val="nil"/>
                    <w:tr2bl w:val="nil"/>
                  </w:tcBorders>
                  <w:vAlign w:val="center"/>
                </w:tcPr>
                <w:p w14:paraId="18F38E5D">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30000m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/h</w:t>
                  </w:r>
                </w:p>
              </w:tc>
              <w:tc>
                <w:tcPr>
                  <w:tcW w:w="531" w:type="pct"/>
                  <w:tcBorders>
                    <w:tl2br w:val="nil"/>
                    <w:tr2bl w:val="nil"/>
                  </w:tcBorders>
                  <w:vAlign w:val="center"/>
                </w:tcPr>
                <w:p w14:paraId="459445C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vAlign w:val="center"/>
                </w:tcPr>
                <w:p w14:paraId="2C020115">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vAlign w:val="center"/>
                </w:tcPr>
                <w:p w14:paraId="722CFC3F">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vAlign w:val="center"/>
                </w:tcPr>
                <w:p w14:paraId="092D9239">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25B30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18" w:type="pct"/>
                  <w:vMerge w:val="continue"/>
                  <w:tcBorders>
                    <w:tl2br w:val="nil"/>
                    <w:tr2bl w:val="nil"/>
                  </w:tcBorders>
                  <w:vAlign w:val="center"/>
                </w:tcPr>
                <w:p w14:paraId="4AD727FA">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921" w:type="pct"/>
                  <w:gridSpan w:val="2"/>
                  <w:tcBorders>
                    <w:tl2br w:val="nil"/>
                    <w:tr2bl w:val="nil"/>
                  </w:tcBorders>
                  <w:vAlign w:val="center"/>
                </w:tcPr>
                <w:p w14:paraId="002DAB77">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收集效率</w:t>
                  </w:r>
                </w:p>
              </w:tc>
              <w:tc>
                <w:tcPr>
                  <w:tcW w:w="1222" w:type="pct"/>
                  <w:tcBorders>
                    <w:tl2br w:val="nil"/>
                    <w:tr2bl w:val="nil"/>
                  </w:tcBorders>
                  <w:vAlign w:val="center"/>
                </w:tcPr>
                <w:p w14:paraId="2BC51B84">
                  <w:pPr>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95%</w:t>
                  </w:r>
                </w:p>
              </w:tc>
              <w:tc>
                <w:tcPr>
                  <w:tcW w:w="531" w:type="pct"/>
                  <w:tcBorders>
                    <w:tl2br w:val="nil"/>
                    <w:tr2bl w:val="nil"/>
                  </w:tcBorders>
                  <w:vAlign w:val="center"/>
                </w:tcPr>
                <w:p w14:paraId="4E4E2AE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vAlign w:val="center"/>
                </w:tcPr>
                <w:p w14:paraId="085C979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vAlign w:val="center"/>
                </w:tcPr>
                <w:p w14:paraId="4C43841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vAlign w:val="center"/>
                </w:tcPr>
                <w:p w14:paraId="044B7BA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306E5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18" w:type="pct"/>
                  <w:vMerge w:val="continue"/>
                  <w:tcBorders>
                    <w:tl2br w:val="nil"/>
                    <w:tr2bl w:val="nil"/>
                  </w:tcBorders>
                  <w:vAlign w:val="center"/>
                </w:tcPr>
                <w:p w14:paraId="7D869119">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921" w:type="pct"/>
                  <w:gridSpan w:val="2"/>
                  <w:tcBorders>
                    <w:tl2br w:val="nil"/>
                    <w:tr2bl w:val="nil"/>
                  </w:tcBorders>
                  <w:vAlign w:val="center"/>
                </w:tcPr>
                <w:p w14:paraId="2878D2C1">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去除效率</w:t>
                  </w:r>
                </w:p>
              </w:tc>
              <w:tc>
                <w:tcPr>
                  <w:tcW w:w="1222" w:type="pct"/>
                  <w:tcBorders>
                    <w:tl2br w:val="nil"/>
                    <w:tr2bl w:val="nil"/>
                  </w:tcBorders>
                  <w:vAlign w:val="center"/>
                </w:tcPr>
                <w:p w14:paraId="4B35CBF7">
                  <w:pPr>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99%</w:t>
                  </w:r>
                </w:p>
              </w:tc>
              <w:tc>
                <w:tcPr>
                  <w:tcW w:w="531" w:type="pct"/>
                  <w:tcBorders>
                    <w:tl2br w:val="nil"/>
                    <w:tr2bl w:val="nil"/>
                  </w:tcBorders>
                  <w:vAlign w:val="center"/>
                </w:tcPr>
                <w:p w14:paraId="5DE8B6A4">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75%</w:t>
                  </w:r>
                </w:p>
              </w:tc>
              <w:tc>
                <w:tcPr>
                  <w:tcW w:w="664" w:type="pct"/>
                  <w:tcBorders>
                    <w:tl2br w:val="nil"/>
                    <w:tr2bl w:val="nil"/>
                  </w:tcBorders>
                  <w:vAlign w:val="center"/>
                </w:tcPr>
                <w:p w14:paraId="62E305BF">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75%</w:t>
                  </w:r>
                </w:p>
              </w:tc>
              <w:tc>
                <w:tcPr>
                  <w:tcW w:w="643" w:type="pct"/>
                  <w:tcBorders>
                    <w:tl2br w:val="nil"/>
                    <w:tr2bl w:val="nil"/>
                  </w:tcBorders>
                  <w:vAlign w:val="center"/>
                </w:tcPr>
                <w:p w14:paraId="53D638C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75%</w:t>
                  </w:r>
                </w:p>
              </w:tc>
              <w:tc>
                <w:tcPr>
                  <w:tcW w:w="697" w:type="pct"/>
                  <w:tcBorders>
                    <w:tl2br w:val="nil"/>
                    <w:tr2bl w:val="nil"/>
                  </w:tcBorders>
                  <w:vAlign w:val="center"/>
                </w:tcPr>
                <w:p w14:paraId="7287A4C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66%</w:t>
                  </w:r>
                </w:p>
              </w:tc>
            </w:tr>
            <w:tr w14:paraId="1B2D2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18" w:type="pct"/>
                  <w:vMerge w:val="continue"/>
                  <w:tcBorders>
                    <w:tl2br w:val="nil"/>
                    <w:tr2bl w:val="nil"/>
                  </w:tcBorders>
                  <w:vAlign w:val="center"/>
                </w:tcPr>
                <w:p w14:paraId="5673C856">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921" w:type="pct"/>
                  <w:gridSpan w:val="2"/>
                  <w:tcBorders>
                    <w:tl2br w:val="nil"/>
                    <w:tr2bl w:val="nil"/>
                  </w:tcBorders>
                  <w:vAlign w:val="center"/>
                </w:tcPr>
                <w:p w14:paraId="1A11A32F">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是否为可行技术</w:t>
                  </w:r>
                </w:p>
              </w:tc>
              <w:tc>
                <w:tcPr>
                  <w:tcW w:w="1222" w:type="pct"/>
                  <w:tcBorders>
                    <w:tl2br w:val="nil"/>
                    <w:tr2bl w:val="nil"/>
                  </w:tcBorders>
                  <w:vAlign w:val="center"/>
                </w:tcPr>
                <w:p w14:paraId="6998590B">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是</w:t>
                  </w:r>
                </w:p>
              </w:tc>
              <w:tc>
                <w:tcPr>
                  <w:tcW w:w="531" w:type="pct"/>
                  <w:tcBorders>
                    <w:tl2br w:val="nil"/>
                    <w:tr2bl w:val="nil"/>
                  </w:tcBorders>
                  <w:vAlign w:val="center"/>
                </w:tcPr>
                <w:p w14:paraId="24D60A79">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vAlign w:val="center"/>
                </w:tcPr>
                <w:p w14:paraId="080FBE4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vAlign w:val="center"/>
                </w:tcPr>
                <w:p w14:paraId="213AFBF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vAlign w:val="center"/>
                </w:tcPr>
                <w:p w14:paraId="4291B05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7F7BC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0" w:type="pct"/>
                  <w:gridSpan w:val="3"/>
                  <w:tcBorders>
                    <w:tl2br w:val="nil"/>
                    <w:tr2bl w:val="nil"/>
                  </w:tcBorders>
                  <w:shd w:val="clear" w:color="auto" w:fill="auto"/>
                  <w:vAlign w:val="center"/>
                </w:tcPr>
                <w:p w14:paraId="0713E9D7">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污染物排放量（t/a）</w:t>
                  </w:r>
                </w:p>
              </w:tc>
              <w:tc>
                <w:tcPr>
                  <w:tcW w:w="1222" w:type="pct"/>
                  <w:tcBorders>
                    <w:tl2br w:val="nil"/>
                    <w:tr2bl w:val="nil"/>
                  </w:tcBorders>
                  <w:shd w:val="clear" w:color="auto" w:fill="auto"/>
                  <w:vAlign w:val="center"/>
                </w:tcPr>
                <w:p w14:paraId="2AF4684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7.18</w:t>
                  </w:r>
                </w:p>
              </w:tc>
              <w:tc>
                <w:tcPr>
                  <w:tcW w:w="531" w:type="pct"/>
                  <w:tcBorders>
                    <w:tl2br w:val="nil"/>
                    <w:tr2bl w:val="nil"/>
                  </w:tcBorders>
                  <w:shd w:val="clear" w:color="auto" w:fill="auto"/>
                  <w:vAlign w:val="center"/>
                </w:tcPr>
                <w:p w14:paraId="55AB02E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11.34</w:t>
                  </w:r>
                </w:p>
              </w:tc>
              <w:tc>
                <w:tcPr>
                  <w:tcW w:w="664" w:type="pct"/>
                  <w:tcBorders>
                    <w:tl2br w:val="nil"/>
                    <w:tr2bl w:val="nil"/>
                  </w:tcBorders>
                  <w:shd w:val="clear" w:color="auto" w:fill="auto"/>
                  <w:vAlign w:val="center"/>
                </w:tcPr>
                <w:p w14:paraId="2DDDE28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1.02</w:t>
                  </w:r>
                </w:p>
              </w:tc>
              <w:tc>
                <w:tcPr>
                  <w:tcW w:w="643" w:type="pct"/>
                  <w:tcBorders>
                    <w:tl2br w:val="nil"/>
                    <w:tr2bl w:val="nil"/>
                  </w:tcBorders>
                  <w:shd w:val="clear" w:color="auto" w:fill="auto"/>
                  <w:vAlign w:val="center"/>
                </w:tcPr>
                <w:p w14:paraId="7C5E4243">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0.40</w:t>
                  </w:r>
                </w:p>
              </w:tc>
              <w:tc>
                <w:tcPr>
                  <w:tcW w:w="697" w:type="pct"/>
                  <w:tcBorders>
                    <w:tl2br w:val="nil"/>
                    <w:tr2bl w:val="nil"/>
                  </w:tcBorders>
                  <w:shd w:val="clear" w:color="auto" w:fill="auto"/>
                  <w:vAlign w:val="center"/>
                </w:tcPr>
                <w:p w14:paraId="418647D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7.1×10</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-7</w:t>
                  </w:r>
                </w:p>
              </w:tc>
            </w:tr>
            <w:tr w14:paraId="704B1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40" w:type="pct"/>
                  <w:gridSpan w:val="3"/>
                  <w:tcBorders>
                    <w:tl2br w:val="nil"/>
                    <w:tr2bl w:val="nil"/>
                  </w:tcBorders>
                  <w:shd w:val="clear" w:color="auto" w:fill="auto"/>
                  <w:vAlign w:val="center"/>
                </w:tcPr>
                <w:p w14:paraId="61577945">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污染物排放速率（</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kg/h</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1222" w:type="pct"/>
                  <w:tcBorders>
                    <w:tl2br w:val="nil"/>
                    <w:tr2bl w:val="nil"/>
                  </w:tcBorders>
                  <w:shd w:val="clear" w:color="auto" w:fill="auto"/>
                  <w:vAlign w:val="center"/>
                </w:tcPr>
                <w:p w14:paraId="5B7CCD74">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2.99</w:t>
                  </w:r>
                </w:p>
              </w:tc>
              <w:tc>
                <w:tcPr>
                  <w:tcW w:w="531" w:type="pct"/>
                  <w:tcBorders>
                    <w:tl2br w:val="nil"/>
                    <w:tr2bl w:val="nil"/>
                  </w:tcBorders>
                  <w:shd w:val="clear" w:color="auto" w:fill="auto"/>
                  <w:vAlign w:val="center"/>
                </w:tcPr>
                <w:p w14:paraId="556CAEAD">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4.73</w:t>
                  </w:r>
                </w:p>
              </w:tc>
              <w:tc>
                <w:tcPr>
                  <w:tcW w:w="664" w:type="pct"/>
                  <w:tcBorders>
                    <w:tl2br w:val="nil"/>
                    <w:tr2bl w:val="nil"/>
                  </w:tcBorders>
                  <w:shd w:val="clear" w:color="auto" w:fill="auto"/>
                  <w:vAlign w:val="center"/>
                </w:tcPr>
                <w:p w14:paraId="6BF9508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770BD5A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581E787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37FA3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pct"/>
                  <w:gridSpan w:val="3"/>
                  <w:tcBorders>
                    <w:tl2br w:val="nil"/>
                    <w:tr2bl w:val="nil"/>
                  </w:tcBorders>
                  <w:shd w:val="clear" w:color="auto" w:fill="auto"/>
                  <w:vAlign w:val="center"/>
                </w:tcPr>
                <w:p w14:paraId="2DF31233">
                  <w:pPr>
                    <w:jc w:val="center"/>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污染物排放浓度（</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1222" w:type="pct"/>
                  <w:tcBorders>
                    <w:tl2br w:val="nil"/>
                    <w:tr2bl w:val="nil"/>
                  </w:tcBorders>
                  <w:shd w:val="clear" w:color="auto" w:fill="auto"/>
                  <w:vAlign w:val="center"/>
                </w:tcPr>
                <w:p w14:paraId="4EDA22B3">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99.75</w:t>
                  </w:r>
                </w:p>
              </w:tc>
              <w:tc>
                <w:tcPr>
                  <w:tcW w:w="531" w:type="pct"/>
                  <w:tcBorders>
                    <w:tl2br w:val="nil"/>
                    <w:tr2bl w:val="nil"/>
                  </w:tcBorders>
                  <w:shd w:val="clear" w:color="auto" w:fill="auto"/>
                  <w:vAlign w:val="center"/>
                </w:tcPr>
                <w:p w14:paraId="59EEDD3D">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1042B60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29166C7C">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2931BC4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3A30B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58" w:type="pct"/>
                  <w:gridSpan w:val="2"/>
                  <w:vMerge w:val="restart"/>
                  <w:tcBorders>
                    <w:tl2br w:val="nil"/>
                    <w:tr2bl w:val="nil"/>
                  </w:tcBorders>
                  <w:shd w:val="clear" w:color="auto" w:fill="auto"/>
                  <w:vAlign w:val="center"/>
                </w:tcPr>
                <w:p w14:paraId="4E930DA1">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排放口基本情况</w:t>
                  </w:r>
                </w:p>
              </w:tc>
              <w:tc>
                <w:tcPr>
                  <w:tcW w:w="881" w:type="pct"/>
                  <w:tcBorders>
                    <w:tl2br w:val="nil"/>
                    <w:tr2bl w:val="nil"/>
                  </w:tcBorders>
                  <w:shd w:val="clear" w:color="auto" w:fill="auto"/>
                  <w:vAlign w:val="center"/>
                </w:tcPr>
                <w:p w14:paraId="5C75ECE1">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编号</w:t>
                  </w:r>
                </w:p>
              </w:tc>
              <w:tc>
                <w:tcPr>
                  <w:tcW w:w="1222" w:type="pct"/>
                  <w:tcBorders>
                    <w:tl2br w:val="nil"/>
                    <w:tr2bl w:val="nil"/>
                  </w:tcBorders>
                  <w:shd w:val="clear" w:color="auto" w:fill="auto"/>
                  <w:vAlign w:val="center"/>
                </w:tcPr>
                <w:p w14:paraId="32798283">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DA001</w:t>
                  </w:r>
                </w:p>
              </w:tc>
              <w:tc>
                <w:tcPr>
                  <w:tcW w:w="531" w:type="pct"/>
                  <w:tcBorders>
                    <w:tl2br w:val="nil"/>
                    <w:tr2bl w:val="nil"/>
                  </w:tcBorders>
                  <w:shd w:val="clear" w:color="auto" w:fill="auto"/>
                  <w:vAlign w:val="center"/>
                </w:tcPr>
                <w:p w14:paraId="23F685DC">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130F0EC4">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456B272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2AB3DBE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59BA6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58" w:type="pct"/>
                  <w:gridSpan w:val="2"/>
                  <w:vMerge w:val="continue"/>
                  <w:tcBorders>
                    <w:tl2br w:val="nil"/>
                    <w:tr2bl w:val="nil"/>
                  </w:tcBorders>
                  <w:shd w:val="clear" w:color="auto" w:fill="auto"/>
                  <w:vAlign w:val="center"/>
                </w:tcPr>
                <w:p w14:paraId="1B821488">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361C4B9B">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名称</w:t>
                  </w:r>
                </w:p>
              </w:tc>
              <w:tc>
                <w:tcPr>
                  <w:tcW w:w="1222" w:type="pct"/>
                  <w:tcBorders>
                    <w:tl2br w:val="nil"/>
                    <w:tr2bl w:val="nil"/>
                  </w:tcBorders>
                  <w:shd w:val="clear" w:color="auto" w:fill="auto"/>
                  <w:vAlign w:val="center"/>
                </w:tcPr>
                <w:p w14:paraId="201E37B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排气筒1</w:t>
                  </w:r>
                </w:p>
              </w:tc>
              <w:tc>
                <w:tcPr>
                  <w:tcW w:w="531" w:type="pct"/>
                  <w:tcBorders>
                    <w:tl2br w:val="nil"/>
                    <w:tr2bl w:val="nil"/>
                  </w:tcBorders>
                  <w:shd w:val="clear" w:color="auto" w:fill="auto"/>
                  <w:vAlign w:val="center"/>
                </w:tcPr>
                <w:p w14:paraId="0EABA11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05F49B4B">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3C407E4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0E56F64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4DFE9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8" w:type="pct"/>
                  <w:gridSpan w:val="2"/>
                  <w:vMerge w:val="continue"/>
                  <w:tcBorders>
                    <w:tl2br w:val="nil"/>
                    <w:tr2bl w:val="nil"/>
                  </w:tcBorders>
                  <w:shd w:val="clear" w:color="auto" w:fill="auto"/>
                  <w:vAlign w:val="center"/>
                </w:tcPr>
                <w:p w14:paraId="600A8B4B">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3A98AD61">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类型</w:t>
                  </w:r>
                </w:p>
              </w:tc>
              <w:tc>
                <w:tcPr>
                  <w:tcW w:w="1222" w:type="pct"/>
                  <w:tcBorders>
                    <w:tl2br w:val="nil"/>
                    <w:tr2bl w:val="nil"/>
                  </w:tcBorders>
                  <w:shd w:val="clear" w:color="auto" w:fill="auto"/>
                  <w:vAlign w:val="center"/>
                </w:tcPr>
                <w:p w14:paraId="65098DA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一般排放口</w:t>
                  </w:r>
                </w:p>
              </w:tc>
              <w:tc>
                <w:tcPr>
                  <w:tcW w:w="531" w:type="pct"/>
                  <w:tcBorders>
                    <w:tl2br w:val="nil"/>
                    <w:tr2bl w:val="nil"/>
                  </w:tcBorders>
                  <w:shd w:val="clear" w:color="auto" w:fill="auto"/>
                  <w:vAlign w:val="center"/>
                </w:tcPr>
                <w:p w14:paraId="730202E1">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4AA82B1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0D0558A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56A18CBB">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24B39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58" w:type="pct"/>
                  <w:gridSpan w:val="2"/>
                  <w:vMerge w:val="continue"/>
                  <w:tcBorders>
                    <w:tl2br w:val="nil"/>
                    <w:tr2bl w:val="nil"/>
                  </w:tcBorders>
                  <w:shd w:val="clear" w:color="auto" w:fill="auto"/>
                  <w:vAlign w:val="center"/>
                </w:tcPr>
                <w:p w14:paraId="7ACACAFA">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626D5507">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地理坐标</w:t>
                  </w:r>
                </w:p>
              </w:tc>
              <w:tc>
                <w:tcPr>
                  <w:tcW w:w="1222" w:type="pct"/>
                  <w:tcBorders>
                    <w:tl2br w:val="nil"/>
                    <w:tr2bl w:val="nil"/>
                  </w:tcBorders>
                  <w:shd w:val="clear" w:color="auto" w:fill="auto"/>
                  <w:vAlign w:val="center"/>
                </w:tcPr>
                <w:p w14:paraId="13E8D78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E:106.813009°，N:34.557413°</w:t>
                  </w:r>
                </w:p>
              </w:tc>
              <w:tc>
                <w:tcPr>
                  <w:tcW w:w="531" w:type="pct"/>
                  <w:tcBorders>
                    <w:tl2br w:val="nil"/>
                    <w:tr2bl w:val="nil"/>
                  </w:tcBorders>
                  <w:shd w:val="clear" w:color="auto" w:fill="auto"/>
                  <w:vAlign w:val="center"/>
                </w:tcPr>
                <w:p w14:paraId="6792329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5B72615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4F1BD36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4D2CFC1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55E38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58" w:type="pct"/>
                  <w:gridSpan w:val="2"/>
                  <w:vMerge w:val="continue"/>
                  <w:tcBorders>
                    <w:tl2br w:val="nil"/>
                    <w:tr2bl w:val="nil"/>
                  </w:tcBorders>
                  <w:shd w:val="clear" w:color="auto" w:fill="auto"/>
                  <w:vAlign w:val="center"/>
                </w:tcPr>
                <w:p w14:paraId="510C2F70">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6FB9C3B0">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高度</w:t>
                  </w:r>
                </w:p>
              </w:tc>
              <w:tc>
                <w:tcPr>
                  <w:tcW w:w="1222" w:type="pct"/>
                  <w:tcBorders>
                    <w:tl2br w:val="nil"/>
                    <w:tr2bl w:val="nil"/>
                  </w:tcBorders>
                  <w:shd w:val="clear" w:color="auto" w:fill="auto"/>
                  <w:vAlign w:val="center"/>
                </w:tcPr>
                <w:p w14:paraId="7A3355F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15m</w:t>
                  </w:r>
                </w:p>
              </w:tc>
              <w:tc>
                <w:tcPr>
                  <w:tcW w:w="531" w:type="pct"/>
                  <w:tcBorders>
                    <w:tl2br w:val="nil"/>
                    <w:tr2bl w:val="nil"/>
                  </w:tcBorders>
                  <w:shd w:val="clear" w:color="auto" w:fill="auto"/>
                  <w:vAlign w:val="center"/>
                </w:tcPr>
                <w:p w14:paraId="59FF6E1C">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29AA7317">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0D374442">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15DEADE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145B7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8" w:type="pct"/>
                  <w:gridSpan w:val="2"/>
                  <w:vMerge w:val="continue"/>
                  <w:tcBorders>
                    <w:tl2br w:val="nil"/>
                    <w:tr2bl w:val="nil"/>
                  </w:tcBorders>
                  <w:shd w:val="clear" w:color="auto" w:fill="auto"/>
                  <w:vAlign w:val="center"/>
                </w:tcPr>
                <w:p w14:paraId="7DE00327">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0DB82DDC">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排气筒内径</w:t>
                  </w:r>
                </w:p>
              </w:tc>
              <w:tc>
                <w:tcPr>
                  <w:tcW w:w="1222" w:type="pct"/>
                  <w:tcBorders>
                    <w:tl2br w:val="nil"/>
                    <w:tr2bl w:val="nil"/>
                  </w:tcBorders>
                  <w:shd w:val="clear" w:color="auto" w:fill="auto"/>
                  <w:vAlign w:val="center"/>
                </w:tcPr>
                <w:p w14:paraId="113F865C">
                  <w:pPr>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0.4</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p>
              </w:tc>
              <w:tc>
                <w:tcPr>
                  <w:tcW w:w="531" w:type="pct"/>
                  <w:tcBorders>
                    <w:tl2br w:val="nil"/>
                    <w:tr2bl w:val="nil"/>
                  </w:tcBorders>
                  <w:shd w:val="clear" w:color="auto" w:fill="auto"/>
                  <w:vAlign w:val="center"/>
                </w:tcPr>
                <w:p w14:paraId="7659E04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05F64E4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3BB125C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5F22C5A4">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5AA5E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58" w:type="pct"/>
                  <w:gridSpan w:val="2"/>
                  <w:vMerge w:val="continue"/>
                  <w:tcBorders>
                    <w:tl2br w:val="nil"/>
                    <w:tr2bl w:val="nil"/>
                  </w:tcBorders>
                  <w:shd w:val="clear" w:color="auto" w:fill="auto"/>
                  <w:vAlign w:val="center"/>
                </w:tcPr>
                <w:p w14:paraId="1DC791D0">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2C75AE3B">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温度</w:t>
                  </w:r>
                </w:p>
              </w:tc>
              <w:tc>
                <w:tcPr>
                  <w:tcW w:w="1222" w:type="pct"/>
                  <w:tcBorders>
                    <w:tl2br w:val="nil"/>
                    <w:tr2bl w:val="nil"/>
                  </w:tcBorders>
                  <w:shd w:val="clear" w:color="auto" w:fill="auto"/>
                  <w:vAlign w:val="center"/>
                </w:tcPr>
                <w:p w14:paraId="27BFBC75">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常温</w:t>
                  </w:r>
                </w:p>
              </w:tc>
              <w:tc>
                <w:tcPr>
                  <w:tcW w:w="531" w:type="pct"/>
                  <w:tcBorders>
                    <w:tl2br w:val="nil"/>
                    <w:tr2bl w:val="nil"/>
                  </w:tcBorders>
                  <w:shd w:val="clear" w:color="auto" w:fill="auto"/>
                  <w:vAlign w:val="center"/>
                </w:tcPr>
                <w:p w14:paraId="4DA4907E">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64" w:type="pct"/>
                  <w:tcBorders>
                    <w:tl2br w:val="nil"/>
                    <w:tr2bl w:val="nil"/>
                  </w:tcBorders>
                  <w:shd w:val="clear" w:color="auto" w:fill="auto"/>
                  <w:vAlign w:val="center"/>
                </w:tcPr>
                <w:p w14:paraId="13F1093A">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43" w:type="pct"/>
                  <w:tcBorders>
                    <w:tl2br w:val="nil"/>
                    <w:tr2bl w:val="nil"/>
                  </w:tcBorders>
                  <w:shd w:val="clear" w:color="auto" w:fill="auto"/>
                  <w:vAlign w:val="center"/>
                </w:tcPr>
                <w:p w14:paraId="0F595BEF">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697" w:type="pct"/>
                  <w:tcBorders>
                    <w:tl2br w:val="nil"/>
                    <w:tr2bl w:val="nil"/>
                  </w:tcBorders>
                  <w:shd w:val="clear" w:color="auto" w:fill="auto"/>
                  <w:vAlign w:val="center"/>
                </w:tcPr>
                <w:p w14:paraId="16DDE19C">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1E9CE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8" w:type="pct"/>
                  <w:gridSpan w:val="2"/>
                  <w:vMerge w:val="continue"/>
                  <w:tcBorders>
                    <w:tl2br w:val="nil"/>
                    <w:tr2bl w:val="nil"/>
                  </w:tcBorders>
                  <w:shd w:val="clear" w:color="auto" w:fill="auto"/>
                  <w:vAlign w:val="center"/>
                </w:tcPr>
                <w:p w14:paraId="6F297F1D">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p>
              </w:tc>
              <w:tc>
                <w:tcPr>
                  <w:tcW w:w="881" w:type="pct"/>
                  <w:tcBorders>
                    <w:tl2br w:val="nil"/>
                    <w:tr2bl w:val="nil"/>
                  </w:tcBorders>
                  <w:shd w:val="clear" w:color="auto" w:fill="auto"/>
                  <w:vAlign w:val="center"/>
                </w:tcPr>
                <w:p w14:paraId="7847D93C">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排放标准</w:t>
                  </w:r>
                </w:p>
              </w:tc>
              <w:tc>
                <w:tcPr>
                  <w:tcW w:w="1222" w:type="pct"/>
                  <w:tcBorders>
                    <w:tl2br w:val="nil"/>
                    <w:tr2bl w:val="nil"/>
                  </w:tcBorders>
                  <w:shd w:val="clear" w:color="auto" w:fill="auto"/>
                  <w:vAlign w:val="center"/>
                </w:tcPr>
                <w:p w14:paraId="0816CC60">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，3.5kg/h</w:t>
                  </w:r>
                </w:p>
              </w:tc>
              <w:tc>
                <w:tcPr>
                  <w:tcW w:w="2537" w:type="pct"/>
                  <w:gridSpan w:val="4"/>
                  <w:tcBorders>
                    <w:tl2br w:val="nil"/>
                    <w:tr2bl w:val="nil"/>
                  </w:tcBorders>
                  <w:shd w:val="clear" w:color="auto" w:fill="auto"/>
                  <w:vAlign w:val="center"/>
                </w:tcPr>
                <w:p w14:paraId="11B1F366">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28797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40" w:type="pct"/>
                  <w:gridSpan w:val="3"/>
                  <w:tcBorders>
                    <w:tl2br w:val="nil"/>
                    <w:tr2bl w:val="nil"/>
                  </w:tcBorders>
                  <w:shd w:val="clear" w:color="auto" w:fill="auto"/>
                  <w:vAlign w:val="center"/>
                </w:tcPr>
                <w:p w14:paraId="6D27D749">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是否达标</w:t>
                  </w:r>
                </w:p>
              </w:tc>
              <w:tc>
                <w:tcPr>
                  <w:tcW w:w="3759" w:type="pct"/>
                  <w:gridSpan w:val="5"/>
                  <w:tcBorders>
                    <w:tl2br w:val="nil"/>
                    <w:tr2bl w:val="nil"/>
                  </w:tcBorders>
                  <w:shd w:val="clear" w:color="auto" w:fill="auto"/>
                  <w:vAlign w:val="center"/>
                </w:tcPr>
                <w:p w14:paraId="7DEBCA68">
                  <w:pPr>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达标</w:t>
                  </w:r>
                </w:p>
              </w:tc>
            </w:tr>
          </w:tbl>
          <w:p w14:paraId="33883EDA">
            <w:pPr>
              <w:numPr>
                <w:ilvl w:val="0"/>
                <w:numId w:val="0"/>
              </w:numPr>
              <w:bidi w:val="0"/>
              <w:spacing w:line="360" w:lineRule="auto"/>
              <w:ind w:firstLine="480"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②无组织</w:t>
            </w:r>
          </w:p>
          <w:p w14:paraId="3B5D0DAC">
            <w:pPr>
              <w:spacing w:line="360" w:lineRule="auto"/>
              <w:ind w:firstLine="480" w:firstLineChars="200"/>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颗粒物无组织排放量为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12.76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p w14:paraId="6F30272D">
            <w:pPr>
              <w:spacing w:line="360" w:lineRule="auto"/>
              <w:ind w:firstLine="482" w:firstLineChars="200"/>
              <w:rPr>
                <w:rFonts w:hint="default" w:ascii="Times New Roman" w:hAnsi="Times New Roman" w:eastAsia="宋体" w:cs="Times New Roman"/>
                <w:b/>
                <w:bCs/>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lang w:val="en-US" w:eastAsia="zh-CN"/>
                <w14:textFill>
                  <w14:solidFill>
                    <w14:schemeClr w14:val="tx1"/>
                  </w14:solidFill>
                </w14:textFill>
              </w:rPr>
              <w:t>（2）废气产生源强核算</w:t>
            </w:r>
          </w:p>
          <w:p w14:paraId="27324352">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破碎、筛分</w:t>
            </w:r>
            <w:r>
              <w:rPr>
                <w:rFonts w:hint="default" w:ascii="Times New Roman" w:hAnsi="Times New Roman" w:cs="Times New Roman"/>
                <w:color w:val="000000" w:themeColor="text1"/>
                <w:sz w:val="24"/>
                <w:highlight w:val="none"/>
                <w14:textFill>
                  <w14:solidFill>
                    <w14:schemeClr w14:val="tx1"/>
                  </w14:solidFill>
                </w14:textFill>
              </w:rPr>
              <w:t xml:space="preserve">粉尘 </w:t>
            </w:r>
          </w:p>
          <w:p w14:paraId="5395E839">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在原料破碎、筛分过程中会产生一定量的粉尘，本次评价采用产污系数法核算加工粉尘产生量。根据生态环境部发布的《排放源统计调查产排污核算方法和系数手册》中的《303砖瓦、石材等建筑材料制造行业系数手册》，“3039其他建筑材料制造行业”产污系数为1.89kg/t-产品，本项目年生产40万吨砂石，则破碎筛分粉尘的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756</w:t>
            </w:r>
            <w:r>
              <w:rPr>
                <w:rFonts w:hint="default" w:ascii="Times New Roman" w:hAnsi="Times New Roman"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315</w:t>
            </w:r>
            <w:r>
              <w:rPr>
                <w:rFonts w:hint="default" w:ascii="Times New Roman" w:hAnsi="Times New Roman" w:cs="Times New Roman"/>
                <w:color w:val="000000" w:themeColor="text1"/>
                <w:sz w:val="24"/>
                <w:highlight w:val="none"/>
                <w:lang w:val="en-US" w:eastAsia="zh-CN"/>
                <w14:textFill>
                  <w14:solidFill>
                    <w14:schemeClr w14:val="tx1"/>
                  </w14:solidFill>
                </w14:textFill>
              </w:rPr>
              <w:t>kg/h）。</w:t>
            </w:r>
          </w:p>
          <w:p w14:paraId="1431A4CA">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本项目生产车间密闭</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在石料破碎、筛分、输送带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w:t>
            </w:r>
            <w:r>
              <w:rPr>
                <w:rFonts w:hint="default" w:ascii="Times New Roman" w:hAnsi="Times New Roman" w:cs="Times New Roman"/>
                <w:color w:val="000000" w:themeColor="text1"/>
                <w:sz w:val="24"/>
                <w:highlight w:val="none"/>
                <w14:textFill>
                  <w14:solidFill>
                    <w14:schemeClr w14:val="tx1"/>
                  </w14:solidFill>
                </w14:textFill>
              </w:rPr>
              <w:t>安装</w:t>
            </w:r>
            <w:r>
              <w:rPr>
                <w:rFonts w:hint="default" w:ascii="Times New Roman" w:hAnsi="Times New Roman" w:cs="Times New Roman"/>
                <w:color w:val="000000" w:themeColor="text1"/>
                <w:sz w:val="24"/>
                <w:highlight w:val="none"/>
                <w:lang w:val="en-US" w:eastAsia="zh-CN"/>
                <w14:textFill>
                  <w14:solidFill>
                    <w14:schemeClr w14:val="tx1"/>
                  </w14:solidFill>
                </w14:textFill>
              </w:rPr>
              <w:t>自动</w:t>
            </w:r>
            <w:r>
              <w:rPr>
                <w:rFonts w:hint="eastAsia" w:ascii="Times New Roman" w:hAnsi="Times New Roman"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color w:val="000000" w:themeColor="text1"/>
                <w:sz w:val="24"/>
                <w:highlight w:val="none"/>
                <w:lang w:val="en-US" w:eastAsia="zh-CN"/>
                <w14:textFill>
                  <w14:solidFill>
                    <w14:schemeClr w14:val="tx1"/>
                  </w14:solidFill>
                </w14:textFill>
              </w:rPr>
              <w:t>洒水装置</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并在传送带处每隔一定距离设置一个</w:t>
            </w:r>
            <w:r>
              <w:rPr>
                <w:rFonts w:hint="eastAsia" w:ascii="Times New Roman" w:hAnsi="Times New Roman"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color w:val="000000" w:themeColor="text1"/>
                <w:sz w:val="24"/>
                <w:highlight w:val="none"/>
                <w:lang w:val="en-US" w:eastAsia="zh-CN"/>
                <w14:textFill>
                  <w14:solidFill>
                    <w14:schemeClr w14:val="tx1"/>
                  </w14:solidFill>
                </w14:textFill>
              </w:rPr>
              <w:t>喷头，增加原料湿度，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并对</w:t>
            </w:r>
            <w:r>
              <w:rPr>
                <w:rFonts w:hint="default" w:ascii="Times New Roman" w:hAnsi="Times New Roman" w:cs="Times New Roman"/>
                <w:color w:val="000000" w:themeColor="text1"/>
                <w:sz w:val="24"/>
                <w:highlight w:val="none"/>
                <w14:textFill>
                  <w14:solidFill>
                    <w14:schemeClr w14:val="tx1"/>
                  </w14:solidFill>
                </w14:textFill>
              </w:rPr>
              <w:t>破碎机、筛分机上方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设置</w:t>
            </w:r>
            <w:r>
              <w:rPr>
                <w:rFonts w:hint="default" w:ascii="Times New Roman" w:hAnsi="Times New Roman" w:cs="Times New Roman"/>
                <w:color w:val="000000" w:themeColor="text1"/>
                <w:sz w:val="24"/>
                <w:highlight w:val="none"/>
                <w14:textFill>
                  <w14:solidFill>
                    <w14:schemeClr w14:val="tx1"/>
                  </w14:solidFill>
                </w14:textFill>
              </w:rPr>
              <w:t>集气罩，</w:t>
            </w:r>
            <w:r>
              <w:rPr>
                <w:rFonts w:hint="default" w:ascii="Times New Roman" w:hAnsi="Times New Roman" w:cs="Times New Roman"/>
                <w:color w:val="000000" w:themeColor="text1"/>
                <w:sz w:val="24"/>
                <w:highlight w:val="none"/>
                <w:lang w:val="en-US" w:eastAsia="zh-CN"/>
                <w14:textFill>
                  <w14:solidFill>
                    <w14:schemeClr w14:val="tx1"/>
                  </w14:solidFill>
                </w14:textFill>
              </w:rPr>
              <w:t>并</w:t>
            </w:r>
            <w:r>
              <w:rPr>
                <w:rFonts w:hint="default" w:ascii="Times New Roman" w:hAnsi="Times New Roman" w:cs="Times New Roman"/>
                <w:color w:val="000000" w:themeColor="text1"/>
                <w:sz w:val="24"/>
                <w:highlight w:val="none"/>
                <w14:textFill>
                  <w14:solidFill>
                    <w14:schemeClr w14:val="tx1"/>
                  </w14:solidFill>
                </w14:textFill>
              </w:rPr>
              <w:t>设置1套布袋除尘系统，将含尘气体经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风机</w:t>
            </w:r>
            <w:r>
              <w:rPr>
                <w:rFonts w:hint="default" w:ascii="Times New Roman" w:hAnsi="Times New Roman" w:cs="Times New Roman"/>
                <w:color w:val="000000" w:themeColor="text1"/>
                <w:sz w:val="24"/>
                <w:highlight w:val="none"/>
                <w14:textFill>
                  <w14:solidFill>
                    <w14:schemeClr w14:val="tx1"/>
                  </w14:solidFill>
                </w14:textFill>
              </w:rPr>
              <w:t>（风量30000m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/h）抽至脉冲式布袋除尘器（</w:t>
            </w:r>
            <w:r>
              <w:rPr>
                <w:rFonts w:hint="default" w:ascii="Times New Roman" w:hAnsi="Times New Roman" w:cs="Times New Roman"/>
                <w:color w:val="000000" w:themeColor="text1"/>
                <w:sz w:val="24"/>
                <w:highlight w:val="none"/>
                <w:lang w:val="en-US" w:eastAsia="zh-CN"/>
                <w14:textFill>
                  <w14:solidFill>
                    <w14:schemeClr w14:val="tx1"/>
                  </w14:solidFill>
                </w14:textFill>
              </w:rPr>
              <w:t>粉尘收集效率按95%计</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除尘效率</w:t>
            </w:r>
            <w:r>
              <w:rPr>
                <w:rFonts w:hint="default" w:ascii="Times New Roman" w:hAnsi="Times New Roman" w:cs="Times New Roman"/>
                <w:color w:val="000000" w:themeColor="text1"/>
                <w:sz w:val="24"/>
                <w:highlight w:val="none"/>
                <w:lang w:val="en-US" w:eastAsia="zh-CN"/>
                <w14:textFill>
                  <w14:solidFill>
                    <w14:schemeClr w14:val="tx1"/>
                  </w14:solidFill>
                </w14:textFill>
              </w:rPr>
              <w:t>按</w:t>
            </w:r>
            <w:r>
              <w:rPr>
                <w:rFonts w:hint="default" w:ascii="Times New Roman" w:hAnsi="Times New Roman" w:cs="Times New Roman"/>
                <w:color w:val="000000" w:themeColor="text1"/>
                <w:sz w:val="24"/>
                <w:highlight w:val="none"/>
                <w14:textFill>
                  <w14:solidFill>
                    <w14:schemeClr w14:val="tx1"/>
                  </w14:solidFill>
                </w14:textFill>
              </w:rPr>
              <w:t>99%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计</w:t>
            </w:r>
            <w:r>
              <w:rPr>
                <w:rFonts w:hint="default" w:ascii="Times New Roman" w:hAnsi="Times New Roman" w:cs="Times New Roman"/>
                <w:color w:val="000000" w:themeColor="text1"/>
                <w:sz w:val="24"/>
                <w:highlight w:val="none"/>
                <w14:textFill>
                  <w14:solidFill>
                    <w14:schemeClr w14:val="tx1"/>
                  </w14:solidFill>
                </w14:textFill>
              </w:rPr>
              <w:t>）处理后通过15m排气筒排放</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故有组织排放量为7.182t/a，排放速率为2.99kg/h，排放浓度为99.75mg/m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025E9E9F">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根据《逸散性工业粉尘控制技术》中控制方法，车间封闭可达70%的粉尘控制效率，</w:t>
            </w:r>
            <w:r>
              <w:rPr>
                <w:rFonts w:hint="eastAsia" w:ascii="Times New Roman" w:hAnsi="Times New Roman" w:cs="Times New Roman"/>
                <w:color w:val="000000" w:themeColor="text1"/>
                <w:sz w:val="24"/>
                <w:highlight w:val="none"/>
                <w:lang w:val="en-US" w:eastAsia="zh-CN"/>
                <w14:textFill>
                  <w14:solidFill>
                    <w14:schemeClr w14:val="tx1"/>
                  </w14:solidFill>
                </w14:textFill>
              </w:rPr>
              <w:t>故未收集部分70% 沉降于车间地面，剩余部分无组织排放，</w:t>
            </w:r>
            <w:r>
              <w:rPr>
                <w:rFonts w:hint="default" w:ascii="Times New Roman" w:hAnsi="Times New Roman" w:cs="Times New Roman"/>
                <w:color w:val="000000" w:themeColor="text1"/>
                <w:sz w:val="24"/>
                <w:highlight w:val="none"/>
                <w:lang w:val="en-US" w:eastAsia="zh-CN"/>
                <w14:textFill>
                  <w14:solidFill>
                    <w14:schemeClr w14:val="tx1"/>
                  </w14:solidFill>
                </w14:textFill>
              </w:rPr>
              <w:t>因此破碎筛分工段无组织粉尘排放量</w:t>
            </w:r>
            <w:r>
              <w:rPr>
                <w:rFonts w:hint="eastAsia" w:ascii="Times New Roman" w:hAnsi="Times New Roman" w:cs="Times New Roman"/>
                <w:color w:val="000000" w:themeColor="text1"/>
                <w:sz w:val="24"/>
                <w:highlight w:val="none"/>
                <w:lang w:val="en-US" w:eastAsia="zh-CN"/>
                <w14:textFill>
                  <w14:solidFill>
                    <w14:schemeClr w14:val="tx1"/>
                  </w14:solidFill>
                </w14:textFill>
              </w:rPr>
              <w:t>11.34</w:t>
            </w:r>
            <w:r>
              <w:rPr>
                <w:rFonts w:hint="default" w:ascii="Times New Roman" w:hAnsi="Times New Roman" w:cs="Times New Roman"/>
                <w:color w:val="000000" w:themeColor="text1"/>
                <w:sz w:val="24"/>
                <w:highlight w:val="none"/>
                <w:lang w:val="en-US" w:eastAsia="zh-CN"/>
                <w14:textFill>
                  <w14:solidFill>
                    <w14:schemeClr w14:val="tx1"/>
                  </w14:solidFill>
                </w14:textFill>
              </w:rPr>
              <w:t>t（</w:t>
            </w:r>
            <w:r>
              <w:rPr>
                <w:rFonts w:hint="eastAsia" w:ascii="Times New Roman" w:hAnsi="Times New Roman" w:cs="Times New Roman"/>
                <w:color w:val="000000" w:themeColor="text1"/>
                <w:sz w:val="24"/>
                <w:highlight w:val="none"/>
                <w:lang w:val="en-US" w:eastAsia="zh-CN"/>
                <w14:textFill>
                  <w14:solidFill>
                    <w14:schemeClr w14:val="tx1"/>
                  </w14:solidFill>
                </w14:textFill>
              </w:rPr>
              <w:t>4.73</w:t>
            </w:r>
            <w:r>
              <w:rPr>
                <w:rFonts w:hint="default" w:ascii="Times New Roman" w:hAnsi="Times New Roman" w:cs="Times New Roman"/>
                <w:color w:val="000000" w:themeColor="text1"/>
                <w:sz w:val="24"/>
                <w:highlight w:val="none"/>
                <w:lang w:val="en-US" w:eastAsia="zh-CN"/>
                <w14:textFill>
                  <w14:solidFill>
                    <w14:schemeClr w14:val="tx1"/>
                  </w14:solidFill>
                </w14:textFill>
              </w:rPr>
              <w:t>kg/h），</w:t>
            </w:r>
            <w:r>
              <w:rPr>
                <w:rFonts w:hint="default" w:ascii="Times New Roman" w:hAnsi="Times New Roman" w:cs="Times New Roman"/>
                <w:color w:val="000000" w:themeColor="text1"/>
                <w:sz w:val="24"/>
                <w:highlight w:val="none"/>
                <w14:textFill>
                  <w14:solidFill>
                    <w14:schemeClr w14:val="tx1"/>
                  </w14:solidFill>
                </w14:textFill>
              </w:rPr>
              <w:t>按每天工作8小时计算。</w:t>
            </w:r>
          </w:p>
          <w:p w14:paraId="508AC651">
            <w:pPr>
              <w:widowControl w:val="0"/>
              <w:autoSpaceDE w:val="0"/>
              <w:autoSpaceDN w:val="0"/>
              <w:adjustRightInd w:val="0"/>
              <w:snapToGrid w:val="0"/>
              <w:spacing w:line="360" w:lineRule="auto"/>
              <w:ind w:firstLine="480" w:firstLineChars="200"/>
              <w:jc w:val="both"/>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物料装卸</w:t>
            </w:r>
            <w:r>
              <w:rPr>
                <w:rFonts w:hint="default" w:ascii="Times New Roman" w:hAnsi="Times New Roman" w:cs="Times New Roman"/>
                <w:b w:val="0"/>
                <w:bCs w:val="0"/>
                <w:color w:val="000000" w:themeColor="text1"/>
                <w:sz w:val="24"/>
                <w:highlight w:val="none"/>
                <w14:textFill>
                  <w14:solidFill>
                    <w14:schemeClr w14:val="tx1"/>
                  </w14:solidFill>
                </w14:textFill>
              </w:rPr>
              <w:t>粉尘</w:t>
            </w:r>
            <w:r>
              <w:rPr>
                <w:rFonts w:hint="default" w:ascii="Times New Roman" w:hAnsi="Times New Roman" w:cs="Times New Roman"/>
                <w:b/>
                <w:bCs/>
                <w:color w:val="000000" w:themeColor="text1"/>
                <w:sz w:val="24"/>
                <w:highlight w:val="none"/>
                <w14:textFill>
                  <w14:solidFill>
                    <w14:schemeClr w14:val="tx1"/>
                  </w14:solidFill>
                </w14:textFill>
              </w:rPr>
              <w:t xml:space="preserve"> </w:t>
            </w:r>
          </w:p>
          <w:p w14:paraId="31E294AA">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本项目装卸工序包括原料、</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料渣</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成品</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装卸</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和石料成品</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装卸</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，产品均</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安装喷雾装置</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，因此不易起尘，项目主要为原料装卸时产生的扬尘，该过程中起尘量与物料的装卸落差H、含水率W，气象平均风速U等有关</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 xml:space="preserve">粉尘产生可按照装卸粉尘产生公式计算： </w:t>
            </w:r>
          </w:p>
          <w:p w14:paraId="3BE464F1">
            <w:pPr>
              <w:widowControl w:val="0"/>
              <w:autoSpaceDE w:val="0"/>
              <w:autoSpaceDN w:val="0"/>
              <w:adjustRightInd w:val="0"/>
              <w:snapToGrid w:val="0"/>
              <w:spacing w:line="360" w:lineRule="auto"/>
              <w:ind w:firstLine="420" w:firstLineChars="20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2129790" cy="331470"/>
                  <wp:effectExtent l="0" t="0" r="3810"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2129790" cy="331470"/>
                          </a:xfrm>
                          <a:prstGeom prst="rect">
                            <a:avLst/>
                          </a:prstGeom>
                          <a:noFill/>
                          <a:ln>
                            <a:noFill/>
                          </a:ln>
                        </pic:spPr>
                      </pic:pic>
                    </a:graphicData>
                  </a:graphic>
                </wp:inline>
              </w:drawing>
            </w:r>
          </w:p>
          <w:p w14:paraId="4286E3EF">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式中：Q—物料起尘量，kg/t；</w:t>
            </w:r>
          </w:p>
          <w:p w14:paraId="5995C5D9">
            <w:pPr>
              <w:widowControl w:val="0"/>
              <w:autoSpaceDE w:val="0"/>
              <w:autoSpaceDN w:val="0"/>
              <w:adjustRightInd w:val="0"/>
              <w:snapToGrid w:val="0"/>
              <w:spacing w:line="360" w:lineRule="auto"/>
              <w:ind w:firstLine="1200" w:firstLineChars="5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H—装卸平均高度，取</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m；</w:t>
            </w:r>
          </w:p>
          <w:p w14:paraId="72CDD441">
            <w:pPr>
              <w:widowControl w:val="0"/>
              <w:autoSpaceDE w:val="0"/>
              <w:autoSpaceDN w:val="0"/>
              <w:adjustRightInd w:val="0"/>
              <w:snapToGrid w:val="0"/>
              <w:spacing w:line="360" w:lineRule="auto"/>
              <w:ind w:firstLine="1200" w:firstLineChars="5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U—气象平均风速，项目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原料及</w:t>
            </w:r>
            <w:r>
              <w:rPr>
                <w:rFonts w:hint="default" w:ascii="Times New Roman" w:hAnsi="Times New Roman" w:cs="Times New Roman"/>
                <w:color w:val="000000" w:themeColor="text1"/>
                <w:sz w:val="24"/>
                <w:highlight w:val="none"/>
                <w14:textFill>
                  <w14:solidFill>
                    <w14:schemeClr w14:val="tx1"/>
                  </w14:solidFill>
                </w14:textFill>
              </w:rPr>
              <w:t>产品堆放在密闭成品库内</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平均风速取0.5m/s；</w:t>
            </w:r>
          </w:p>
          <w:p w14:paraId="47CFE142">
            <w:pPr>
              <w:widowControl w:val="0"/>
              <w:autoSpaceDE w:val="0"/>
              <w:autoSpaceDN w:val="0"/>
              <w:adjustRightInd w:val="0"/>
              <w:snapToGrid w:val="0"/>
              <w:spacing w:line="360" w:lineRule="auto"/>
              <w:ind w:firstLine="1200" w:firstLineChars="5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W—物料含水量，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原料取5%</w:t>
            </w:r>
            <w:r>
              <w:rPr>
                <w:rFonts w:hint="default" w:ascii="Times New Roman" w:hAnsi="Times New Roman" w:cs="Times New Roman"/>
                <w:color w:val="000000" w:themeColor="text1"/>
                <w:sz w:val="24"/>
                <w:highlight w:val="none"/>
                <w14:textFill>
                  <w14:solidFill>
                    <w14:schemeClr w14:val="tx1"/>
                  </w14:solidFill>
                </w14:textFill>
              </w:rPr>
              <w:t>。</w:t>
            </w:r>
          </w:p>
          <w:p w14:paraId="6ECA1DAC">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物料</w:t>
            </w:r>
            <w:r>
              <w:rPr>
                <w:rFonts w:hint="default" w:ascii="Times New Roman" w:hAnsi="Times New Roman" w:cs="Times New Roman"/>
                <w:color w:val="000000" w:themeColor="text1"/>
                <w:sz w:val="24"/>
                <w:highlight w:val="none"/>
                <w14:textFill>
                  <w14:solidFill>
                    <w14:schemeClr w14:val="tx1"/>
                  </w14:solidFill>
                </w14:textFill>
              </w:rPr>
              <w:t xml:space="preserve">物理特性，对上述公式计算结果进行修正。硬度反映物料中细粒量的差异，比重影响起尘粒径和起尘量。因此，在实际应用中，如对于粒径大于2cm，且密度远大于煤的密度（如石灰石堆放等）的颗粒物堆放起尘计算中，估算结果应乘以0.5的修正系数。 </w:t>
            </w:r>
          </w:p>
          <w:p w14:paraId="4AD2CC17">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经计算，本项目装卸过程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原料和石料</w:t>
            </w:r>
            <w:r>
              <w:rPr>
                <w:rFonts w:hint="default" w:ascii="Times New Roman" w:hAnsi="Times New Roman" w:cs="Times New Roman"/>
                <w:color w:val="000000" w:themeColor="text1"/>
                <w:sz w:val="24"/>
                <w:highlight w:val="none"/>
                <w14:textFill>
                  <w14:solidFill>
                    <w14:schemeClr w14:val="tx1"/>
                  </w14:solidFill>
                </w14:textFill>
              </w:rPr>
              <w:t>起尘量约为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0.0049</w:t>
            </w:r>
            <w:r>
              <w:rPr>
                <w:rFonts w:hint="default" w:ascii="Times New Roman" w:hAnsi="Times New Roman" w:cs="Times New Roman"/>
                <w:color w:val="000000" w:themeColor="text1"/>
                <w:sz w:val="24"/>
                <w:highlight w:val="none"/>
                <w14:textFill>
                  <w14:solidFill>
                    <w14:schemeClr w14:val="tx1"/>
                  </w14:solidFill>
                </w14:textFill>
              </w:rPr>
              <w:t>kg/t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料渣起尘量约为0.0098</w:t>
            </w:r>
            <w:r>
              <w:rPr>
                <w:rFonts w:hint="default" w:ascii="Times New Roman" w:hAnsi="Times New Roman" w:cs="Times New Roman"/>
                <w:color w:val="000000" w:themeColor="text1"/>
                <w:sz w:val="24"/>
                <w:highlight w:val="none"/>
                <w14:textFill>
                  <w14:solidFill>
                    <w14:schemeClr w14:val="tx1"/>
                  </w14:solidFill>
                </w14:textFill>
              </w:rPr>
              <w:t>kg/t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原料量约为40万t/a，石料量约为35.4万t/a，料渣量约为4万t/a，则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装卸粉尘产生量为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3.69t/a+0.39t/a=4.08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highlight w:val="none"/>
                <w14:textFill>
                  <w14:solidFill>
                    <w14:schemeClr w14:val="tx1"/>
                  </w14:solidFill>
                </w14:textFill>
              </w:rPr>
              <w:t xml:space="preserve">。 </w:t>
            </w:r>
          </w:p>
          <w:p w14:paraId="1848C333">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环评要求建设单位对原料堆场及成品堆场采取封闭措施，</w:t>
            </w:r>
            <w:r>
              <w:rPr>
                <w:rFonts w:hint="default" w:ascii="Times New Roman" w:hAnsi="Times New Roman" w:cs="Times New Roman"/>
                <w:color w:val="000000" w:themeColor="text1"/>
                <w:sz w:val="24"/>
                <w:highlight w:val="none"/>
                <w14:textFill>
                  <w14:solidFill>
                    <w14:schemeClr w14:val="tx1"/>
                  </w14:solidFill>
                </w14:textFill>
              </w:rPr>
              <w:t>在装</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卸</w:t>
            </w:r>
            <w:r>
              <w:rPr>
                <w:rFonts w:hint="default" w:ascii="Times New Roman" w:hAnsi="Times New Roman" w:cs="Times New Roman"/>
                <w:color w:val="000000" w:themeColor="text1"/>
                <w:sz w:val="24"/>
                <w:highlight w:val="none"/>
                <w14:textFill>
                  <w14:solidFill>
                    <w14:schemeClr w14:val="tx1"/>
                  </w14:solidFill>
                </w14:textFill>
              </w:rPr>
              <w:t>车地点四周设置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cs="Times New Roman"/>
                <w:color w:val="000000" w:themeColor="text1"/>
                <w:sz w:val="24"/>
                <w:highlight w:val="none"/>
                <w14:textFill>
                  <w14:solidFill>
                    <w14:schemeClr w14:val="tx1"/>
                  </w14:solidFill>
                </w14:textFill>
              </w:rPr>
              <w:t>洒水装置，抑尘效率可达75%以上，则装卸扬尘排放量约为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highlight w:val="none"/>
                <w14:textFill>
                  <w14:solidFill>
                    <w14:schemeClr w14:val="tx1"/>
                  </w14:solidFill>
                </w14:textFill>
              </w:rPr>
              <w:t>。</w:t>
            </w:r>
          </w:p>
          <w:p w14:paraId="4494A371">
            <w:pPr>
              <w:widowControl w:val="0"/>
              <w:autoSpaceDE w:val="0"/>
              <w:autoSpaceDN w:val="0"/>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③</w:t>
            </w:r>
            <w:r>
              <w:rPr>
                <w:rFonts w:hint="default" w:ascii="Times New Roman" w:hAnsi="Times New Roman" w:cs="Times New Roman"/>
                <w:color w:val="000000" w:themeColor="text1"/>
                <w:sz w:val="24"/>
                <w:highlight w:val="none"/>
                <w14:textFill>
                  <w14:solidFill>
                    <w14:schemeClr w14:val="tx1"/>
                  </w14:solidFill>
                </w14:textFill>
              </w:rPr>
              <w:t>堆场扬尘</w:t>
            </w:r>
          </w:p>
          <w:p w14:paraId="5490607B">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石子等原料</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堆场主要大气环境问题是粒径较小的颗粒、灰尘在风力作用下起动输送，会对下风向大气环境造成污染。</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参考《逸散性工业粉尘控制技术》《工业污染核算》等书，并类比调查同类型行业数据</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项目堆场粉尘产生系数为0.002kg/t原料，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原料量约为40万t/a，石料量约为35.4万t/a，料渣量约为4万t/a</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粉尘产生量约为</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1.59t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本环评要求</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项目堆场建设料棚</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进行封闭，</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且</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棚顶</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安装雾状水</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喷雾</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装置，可有效减低颗粒物的扬尘及颗粒物的无组织散逸，起尘量</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可</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降低约</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75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以上</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堆场</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无组织粉尘排放量约为</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0.40t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w:t>
            </w:r>
          </w:p>
          <w:p w14:paraId="144DA869">
            <w:pPr>
              <w:adjustRightInd w:val="0"/>
              <w:snapToGri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④</w:t>
            </w:r>
            <w:r>
              <w:rPr>
                <w:rFonts w:hint="default" w:ascii="Times New Roman" w:hAnsi="Times New Roman" w:cs="Times New Roman"/>
                <w:color w:val="000000" w:themeColor="text1"/>
                <w:sz w:val="24"/>
                <w:highlight w:val="none"/>
                <w:lang w:val="en-US" w:eastAsia="zh-CN"/>
                <w14:textFill>
                  <w14:solidFill>
                    <w14:schemeClr w14:val="tx1"/>
                  </w14:solidFill>
                </w14:textFill>
              </w:rPr>
              <w:t>车辆运输扬尘</w:t>
            </w:r>
          </w:p>
          <w:p w14:paraId="7372B09C">
            <w:pPr>
              <w:adjustRightInd w:val="0"/>
              <w:snapToGrid w:val="0"/>
              <w:spacing w:line="360" w:lineRule="auto"/>
              <w:ind w:firstLine="480" w:firstLineChars="200"/>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场内场外公路运输扬尘参考《扬尘源颗粒物排放清单编制技术指南》（试行）铺装</w:t>
            </w:r>
            <w:r>
              <w:rPr>
                <w:rFonts w:hint="eastAsia"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道路，</w:t>
            </w: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扬尘排放系数计算：</w:t>
            </w:r>
          </w:p>
          <w:p w14:paraId="114C314C">
            <w:pPr>
              <w:adjustRightInd w:val="0"/>
              <w:snapToGrid w:val="0"/>
              <w:spacing w:line="360" w:lineRule="auto"/>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00425" cy="514350"/>
                  <wp:effectExtent l="0" t="0" r="952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16"/>
                          <a:stretch>
                            <a:fillRect/>
                          </a:stretch>
                        </pic:blipFill>
                        <pic:spPr>
                          <a:xfrm>
                            <a:off x="0" y="0"/>
                            <a:ext cx="3400425" cy="514350"/>
                          </a:xfrm>
                          <a:prstGeom prst="rect">
                            <a:avLst/>
                          </a:prstGeom>
                          <a:noFill/>
                          <a:ln>
                            <a:noFill/>
                          </a:ln>
                        </pic:spPr>
                      </pic:pic>
                    </a:graphicData>
                  </a:graphic>
                </wp:inline>
              </w:drawing>
            </w:r>
          </w:p>
          <w:p w14:paraId="5CDA2C1B">
            <w:pPr>
              <w:adjustRightInd w:val="0"/>
              <w:snapToGrid w:val="0"/>
              <w:spacing w:line="360" w:lineRule="auto"/>
              <w:ind w:firstLine="480" w:firstLineChars="200"/>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式中：EPi—铺装公路扬尘中 PMi 排放系数，g/km；</w:t>
            </w:r>
          </w:p>
          <w:p w14:paraId="4C8FED24">
            <w:pPr>
              <w:adjustRightInd w:val="0"/>
              <w:snapToGrid w:val="0"/>
              <w:spacing w:line="360" w:lineRule="auto"/>
              <w:ind w:firstLine="480" w:firstLineChars="200"/>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ki 一产生的扬尘中PMi 的粒度乘数，颗粒物取</w:t>
            </w:r>
            <w:r>
              <w:rPr>
                <w:rFonts w:hint="eastAsia"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3.23</w:t>
            </w: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g/km；</w:t>
            </w:r>
          </w:p>
          <w:p w14:paraId="4630E845">
            <w:pPr>
              <w:adjustRightInd w:val="0"/>
              <w:snapToGrid w:val="0"/>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r>
              <w:rPr>
                <w:rFonts w:ascii="Times New Roman PS MT" w:hAnsi="Times New Roman PS MT" w:eastAsia="Times New Roman PS MT" w:cs="Times New Roman PS MT"/>
                <w:b w:val="0"/>
                <w:bCs w:val="0"/>
                <w:color w:val="000000" w:themeColor="text1"/>
                <w:sz w:val="24"/>
                <w:szCs w:val="24"/>
                <w14:textFill>
                  <w14:solidFill>
                    <w14:schemeClr w14:val="tx1"/>
                  </w14:solidFill>
                </w14:textFill>
              </w:rPr>
              <w:t>s</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L</w:t>
            </w:r>
            <w:r>
              <w:rPr>
                <w:rFonts w:ascii="Times New Roman PS MT" w:hAnsi="Times New Roman PS MT" w:eastAsia="Times New Roman PS MT" w:cs="Times New Roman PS MT"/>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道路</w:t>
            </w:r>
            <w:r>
              <w:rPr>
                <w:rFonts w:hint="eastAsia" w:ascii="宋体" w:hAnsi="宋体" w:eastAsia="宋体" w:cs="宋体"/>
                <w:b w:val="0"/>
                <w:bCs w:val="0"/>
                <w:color w:val="000000" w:themeColor="text1"/>
                <w:sz w:val="24"/>
                <w:szCs w:val="24"/>
                <w14:textFill>
                  <w14:solidFill>
                    <w14:schemeClr w14:val="tx1"/>
                  </w14:solidFill>
                </w14:textFill>
              </w:rPr>
              <w:t>积尘</w:t>
            </w:r>
            <w:r>
              <w:rPr>
                <w:rFonts w:hint="eastAsia" w:ascii="宋体" w:hAnsi="宋体" w:eastAsia="宋体" w:cs="宋体"/>
                <w:b w:val="0"/>
                <w:bCs w:val="0"/>
                <w:color w:val="000000" w:themeColor="text1"/>
                <w:sz w:val="24"/>
                <w:szCs w:val="24"/>
                <w:lang w:val="en-US" w:eastAsia="zh-CN"/>
                <w14:textFill>
                  <w14:solidFill>
                    <w14:schemeClr w14:val="tx1"/>
                  </w14:solidFill>
                </w14:textFill>
              </w:rPr>
              <w:t>负荷</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g/m</w:t>
            </w:r>
            <w:r>
              <w:rPr>
                <w:rFonts w:hint="eastAsia" w:ascii="Times New Roman PS MT" w:hAnsi="Times New Roman PS MT" w:eastAsia="宋体" w:cs="Times New Roman PS MT"/>
                <w:b w:val="0"/>
                <w:bCs w:val="0"/>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取</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12g/m</w:t>
            </w:r>
            <w:r>
              <w:rPr>
                <w:rFonts w:hint="eastAsia" w:ascii="Times New Roman PS MT" w:hAnsi="Times New Roman PS MT" w:eastAsia="宋体" w:cs="Times New Roman PS MT"/>
                <w:b w:val="0"/>
                <w:bCs w:val="0"/>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p>
          <w:p w14:paraId="2BDEA6C0">
            <w:pPr>
              <w:adjustRightInd w:val="0"/>
              <w:snapToGrid w:val="0"/>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W</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平均车</w:t>
            </w:r>
            <w:r>
              <w:rPr>
                <w:rFonts w:hint="eastAsia" w:ascii="宋体" w:hAnsi="宋体" w:eastAsia="宋体" w:cs="宋体"/>
                <w:b w:val="0"/>
                <w:bCs w:val="0"/>
                <w:color w:val="000000" w:themeColor="text1"/>
                <w:sz w:val="24"/>
                <w:szCs w:val="24"/>
                <w:lang w:val="en-US" w:eastAsia="zh-CN"/>
                <w14:textFill>
                  <w14:solidFill>
                    <w14:schemeClr w14:val="tx1"/>
                  </w14:solidFill>
                </w14:textFill>
              </w:rPr>
              <w:t>重</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t</w:t>
            </w:r>
            <w:r>
              <w:rPr>
                <w:rFonts w:hint="eastAsia" w:ascii="宋体" w:hAnsi="宋体" w:eastAsia="宋体" w:cs="宋体"/>
                <w:b w:val="0"/>
                <w:bCs w:val="0"/>
                <w:color w:val="000000" w:themeColor="text1"/>
                <w:sz w:val="24"/>
                <w:szCs w:val="24"/>
                <w14:textFill>
                  <w14:solidFill>
                    <w14:schemeClr w14:val="tx1"/>
                  </w14:solidFill>
                </w14:textFill>
              </w:rPr>
              <w:t>，本次评价取</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6t</w:t>
            </w:r>
            <w:r>
              <w:rPr>
                <w:rFonts w:hint="eastAsia" w:ascii="宋体" w:hAnsi="宋体" w:eastAsia="宋体" w:cs="宋体"/>
                <w:b w:val="0"/>
                <w:bCs w:val="0"/>
                <w:color w:val="000000" w:themeColor="text1"/>
                <w:sz w:val="24"/>
                <w:szCs w:val="24"/>
                <w14:textFill>
                  <w14:solidFill>
                    <w14:schemeClr w14:val="tx1"/>
                  </w14:solidFill>
                </w14:textFill>
              </w:rPr>
              <w:t>；</w:t>
            </w:r>
          </w:p>
          <w:p w14:paraId="0A722214">
            <w:pPr>
              <w:adjustRightInd w:val="0"/>
              <w:snapToGrid w:val="0"/>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η—</w:t>
            </w:r>
            <w:r>
              <w:rPr>
                <w:rFonts w:hint="eastAsia" w:ascii="宋体" w:hAnsi="宋体" w:eastAsia="宋体" w:cs="宋体"/>
                <w:b w:val="0"/>
                <w:bCs w:val="0"/>
                <w:color w:val="000000" w:themeColor="text1"/>
                <w:sz w:val="24"/>
                <w:szCs w:val="24"/>
                <w14:textFill>
                  <w14:solidFill>
                    <w14:schemeClr w14:val="tx1"/>
                  </w14:solidFill>
                </w14:textFill>
              </w:rPr>
              <w:t>污染控制技术对扬尘的去除效率</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，本项目采取公路洒水降尘，控制效率取</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66</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 xml:space="preserve">。 </w:t>
            </w:r>
          </w:p>
          <w:p w14:paraId="6C990696">
            <w:pPr>
              <w:adjustRightInd w:val="0"/>
              <w:snapToGrid w:val="0"/>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通过上式计算，</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E</w:t>
            </w:r>
            <w:r>
              <w:rPr>
                <w:rFonts w:hint="default" w:ascii="Times New Roman PS MT" w:hAnsi="Times New Roman PS MT" w:eastAsia="Times New Roman PS MT" w:cs="Times New Roman PS MT"/>
                <w:b w:val="0"/>
                <w:bCs w:val="0"/>
                <w:color w:val="000000" w:themeColor="text1"/>
                <w:sz w:val="15"/>
                <w:szCs w:val="15"/>
                <w14:textFill>
                  <w14:solidFill>
                    <w14:schemeClr w14:val="tx1"/>
                  </w14:solidFill>
                </w14:textFill>
              </w:rPr>
              <w:t>Pi</w:t>
            </w:r>
            <w:r>
              <w:rPr>
                <w:rFonts w:hint="eastAsia" w:ascii="宋体" w:hAnsi="宋体" w:eastAsia="宋体" w:cs="宋体"/>
                <w:b w:val="0"/>
                <w:bCs w:val="0"/>
                <w:color w:val="000000" w:themeColor="text1"/>
                <w:sz w:val="24"/>
                <w:szCs w:val="24"/>
                <w14:textFill>
                  <w14:solidFill>
                    <w14:schemeClr w14:val="tx1"/>
                  </w14:solidFill>
                </w14:textFill>
              </w:rPr>
              <w:t>为</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178.21</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g/km</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厂区</w:t>
            </w:r>
            <w:r>
              <w:rPr>
                <w:rFonts w:hint="eastAsia" w:ascii="宋体" w:hAnsi="宋体" w:eastAsia="宋体" w:cs="宋体"/>
                <w:b w:val="0"/>
                <w:bCs w:val="0"/>
                <w:color w:val="000000" w:themeColor="text1"/>
                <w:sz w:val="24"/>
                <w:szCs w:val="24"/>
                <w14:textFill>
                  <w14:solidFill>
                    <w14:schemeClr w14:val="tx1"/>
                  </w14:solidFill>
                </w14:textFill>
              </w:rPr>
              <w:t>内公路长度共为</w:t>
            </w:r>
            <w:r>
              <w:rPr>
                <w:rFonts w:hint="eastAsia" w:ascii="宋体" w:hAnsi="宋体" w:eastAsia="宋体" w:cs="宋体"/>
                <w:b w:val="0"/>
                <w:bCs w:val="0"/>
                <w:color w:val="000000" w:themeColor="text1"/>
                <w:sz w:val="24"/>
                <w:szCs w:val="24"/>
                <w:lang w:val="en-US" w:eastAsia="zh-CN"/>
                <w14:textFill>
                  <w14:solidFill>
                    <w14:schemeClr w14:val="tx1"/>
                  </w14:solidFill>
                </w14:textFill>
              </w:rPr>
              <w:t>0.4</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km</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则</w:t>
            </w:r>
            <w:r>
              <w:rPr>
                <w:rFonts w:hint="eastAsia" w:ascii="宋体" w:hAnsi="宋体" w:eastAsia="宋体" w:cs="宋体"/>
                <w:b w:val="0"/>
                <w:bCs w:val="0"/>
                <w:color w:val="000000" w:themeColor="text1"/>
                <w:sz w:val="24"/>
                <w:szCs w:val="24"/>
                <w14:textFill>
                  <w14:solidFill>
                    <w14:schemeClr w14:val="tx1"/>
                  </w14:solidFill>
                </w14:textFill>
              </w:rPr>
              <w:t>可得出</w:t>
            </w:r>
            <w:r>
              <w:rPr>
                <w:rFonts w:hint="eastAsia" w:ascii="宋体" w:hAnsi="宋体" w:eastAsia="宋体" w:cs="宋体"/>
                <w:b w:val="0"/>
                <w:bCs w:val="0"/>
                <w:color w:val="000000" w:themeColor="text1"/>
                <w:sz w:val="24"/>
                <w:szCs w:val="24"/>
                <w:lang w:val="en-US" w:eastAsia="zh-CN"/>
                <w14:textFill>
                  <w14:solidFill>
                    <w14:schemeClr w14:val="tx1"/>
                  </w14:solidFill>
                </w14:textFill>
              </w:rPr>
              <w:t>道路</w:t>
            </w:r>
            <w:r>
              <w:rPr>
                <w:rFonts w:hint="eastAsia" w:ascii="宋体" w:hAnsi="宋体" w:eastAsia="宋体" w:cs="宋体"/>
                <w:b w:val="0"/>
                <w:bCs w:val="0"/>
                <w:color w:val="000000" w:themeColor="text1"/>
                <w:sz w:val="24"/>
                <w:szCs w:val="24"/>
                <w14:textFill>
                  <w14:solidFill>
                    <w14:schemeClr w14:val="tx1"/>
                  </w14:solidFill>
                </w14:textFill>
              </w:rPr>
              <w:t>扬尘产生量为</w:t>
            </w:r>
            <w:r>
              <w:rPr>
                <w:rFonts w:hint="eastAsia" w:ascii="宋体" w:hAnsi="宋体" w:eastAsia="宋体" w:cs="宋体"/>
                <w:b w:val="0"/>
                <w:bCs w:val="0"/>
                <w:color w:val="000000" w:themeColor="text1"/>
                <w:sz w:val="24"/>
                <w:szCs w:val="24"/>
                <w:lang w:val="en-US" w:eastAsia="zh-CN"/>
                <w14:textFill>
                  <w14:solidFill>
                    <w14:schemeClr w14:val="tx1"/>
                  </w14:solidFill>
                </w14:textFill>
              </w:rPr>
              <w:t>0.71</w:t>
            </w:r>
            <w:r>
              <w:rPr>
                <w:rFonts w:hint="eastAsia" w:ascii="Times New Roman PS MT" w:hAnsi="Times New Roman PS MT" w:eastAsia="宋体" w:cs="Times New Roman PS MT"/>
                <w:b w:val="0"/>
                <w:bCs w:val="0"/>
                <w:color w:val="000000" w:themeColor="text1"/>
                <w:sz w:val="24"/>
                <w:szCs w:val="24"/>
                <w:lang w:val="en-US" w:eastAsia="zh-CN"/>
                <w14:textFill>
                  <w14:solidFill>
                    <w14:schemeClr w14:val="tx1"/>
                  </w14:solidFill>
                </w14:textFill>
              </w:rPr>
              <w:t>g</w:t>
            </w:r>
            <w:r>
              <w:rPr>
                <w:rFonts w:hint="default" w:ascii="Times New Roman PS MT" w:hAnsi="Times New Roman PS MT" w:eastAsia="Times New Roman PS MT" w:cs="Times New Roman PS MT"/>
                <w:b w:val="0"/>
                <w:bCs w:val="0"/>
                <w:color w:val="000000" w:themeColor="text1"/>
                <w:sz w:val="24"/>
                <w:szCs w:val="24"/>
                <w14:textFill>
                  <w14:solidFill>
                    <w14:schemeClr w14:val="tx1"/>
                  </w14:solidFill>
                </w14:textFill>
              </w:rPr>
              <w:t>/a</w:t>
            </w:r>
            <w:r>
              <w:rPr>
                <w:rFonts w:hint="eastAsia" w:ascii="宋体" w:hAnsi="宋体" w:eastAsia="宋体" w:cs="宋体"/>
                <w:b w:val="0"/>
                <w:bCs w:val="0"/>
                <w:color w:val="000000" w:themeColor="text1"/>
                <w:sz w:val="24"/>
                <w:szCs w:val="24"/>
                <w14:textFill>
                  <w14:solidFill>
                    <w14:schemeClr w14:val="tx1"/>
                  </w14:solidFill>
                </w14:textFill>
              </w:rPr>
              <w:t>。</w:t>
            </w:r>
          </w:p>
          <w:p w14:paraId="369C6659">
            <w:pPr>
              <w:adjustRightInd w:val="0"/>
              <w:snapToGrid w:val="0"/>
              <w:spacing w:line="360" w:lineRule="auto"/>
              <w:ind w:firstLine="482" w:firstLineChars="200"/>
              <w:rPr>
                <w:rFonts w:hint="default"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t>治理设施可行性</w:t>
            </w:r>
          </w:p>
          <w:p w14:paraId="63D4BC69">
            <w:pPr>
              <w:bidi w:val="0"/>
              <w:spacing w:line="360" w:lineRule="auto"/>
              <w:ind w:firstLine="480"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本项目运营期废气主要为原料破碎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筛分粉尘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物料装卸</w:t>
            </w:r>
            <w:r>
              <w:rPr>
                <w:rFonts w:hint="default" w:ascii="Times New Roman" w:hAnsi="Times New Roman" w:cs="Times New Roman"/>
                <w:b w:val="0"/>
                <w:bCs w:val="0"/>
                <w:color w:val="000000" w:themeColor="text1"/>
                <w:sz w:val="24"/>
                <w:highlight w:val="none"/>
                <w14:textFill>
                  <w14:solidFill>
                    <w14:schemeClr w14:val="tx1"/>
                  </w14:solidFill>
                </w14:textFill>
              </w:rPr>
              <w:t>粉尘</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堆场扬尘</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车辆运输扬尘</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6256BAC">
            <w:pPr>
              <w:bidi w:val="0"/>
              <w:spacing w:line="360" w:lineRule="auto"/>
              <w:ind w:firstLine="480" w:firstLineChars="200"/>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经查阅</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排污许可证申请与核发技术规范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陶瓷砖瓦工业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》(HJ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954-2018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中“表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其他制品类工业排污单位废气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污染防治可行技术”可知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本项目破碎筛分过程中采取的喷雾+布袋除尘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属于推荐的废气处理可行技术，因此，本项目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破碎、筛分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废气处</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理措施可行。</w:t>
            </w:r>
          </w:p>
          <w:p w14:paraId="0A96BB35">
            <w:pPr>
              <w:adjustRightInd w:val="0"/>
              <w:snapToGri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物料</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装</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卸</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车地点四周设置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洒水装置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降低物料装卸粉尘；原料及成品堆场采用封闭堆棚，并采取洒水抑尘措施；厂区出入口处设洗车平台，对进出厂内的运输车辆进行清洗，厂区主要道路进行地面硬化，设洒水车定期洒水，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运输车辆加盖篷布，</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以降低粉尘的产生，各工序采取的措施均为行业内通用措施，且为《排污许可证申请与核发技术规范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陶瓷砖瓦工业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》(HJ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954-2018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中废气污染防治措施推荐的可行技术，因此本次评价提出的废气防治措施可行。</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经计算，本项目营运期废气颗粒物可以满足《大气污染物综合排放标准》（GB16297-1996）表2中浓度限值要求。</w:t>
            </w:r>
          </w:p>
          <w:p w14:paraId="6C852A1E">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（4）非正常情况</w:t>
            </w:r>
          </w:p>
          <w:p w14:paraId="788ED8A5">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项目非正常情况主要是停电或设备开停车、检修时，环保装置未提前开启，造成废气超标排放，以最不利情况下废气处理系统净化效率为零考虑，项目非正常排放的情况如表4-</w:t>
            </w:r>
            <w:r>
              <w:rPr>
                <w:rFonts w:hint="eastAsia"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所示。</w:t>
            </w:r>
          </w:p>
          <w:p w14:paraId="3C3FA22B">
            <w:pPr>
              <w:keepNext w:val="0"/>
              <w:keepLines w:val="0"/>
              <w:widowControl/>
              <w:suppressLineNumbers w:val="0"/>
              <w:jc w:val="cente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非正常工况污染物排放源强</w:t>
            </w:r>
          </w:p>
          <w:tbl>
            <w:tblPr>
              <w:tblStyle w:val="2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29"/>
              <w:gridCol w:w="729"/>
              <w:gridCol w:w="942"/>
              <w:gridCol w:w="803"/>
              <w:gridCol w:w="776"/>
              <w:gridCol w:w="585"/>
              <w:gridCol w:w="3547"/>
            </w:tblGrid>
            <w:tr w14:paraId="0C75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tcBorders>
                    <w:tl2br w:val="nil"/>
                    <w:tr2bl w:val="nil"/>
                  </w:tcBorders>
                  <w:vAlign w:val="center"/>
                </w:tcPr>
                <w:p w14:paraId="1BE27282">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非正常排放源</w:t>
                  </w:r>
                </w:p>
              </w:tc>
              <w:tc>
                <w:tcPr>
                  <w:tcW w:w="329" w:type="dxa"/>
                  <w:tcBorders>
                    <w:tl2br w:val="nil"/>
                    <w:tr2bl w:val="nil"/>
                  </w:tcBorders>
                  <w:vAlign w:val="center"/>
                </w:tcPr>
                <w:p w14:paraId="28585CDF">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污染物</w:t>
                  </w:r>
                </w:p>
              </w:tc>
              <w:tc>
                <w:tcPr>
                  <w:tcW w:w="729" w:type="dxa"/>
                  <w:tcBorders>
                    <w:tl2br w:val="nil"/>
                    <w:tr2bl w:val="nil"/>
                  </w:tcBorders>
                  <w:vAlign w:val="center"/>
                </w:tcPr>
                <w:p w14:paraId="30075101">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排放量（t）</w:t>
                  </w:r>
                </w:p>
              </w:tc>
              <w:tc>
                <w:tcPr>
                  <w:tcW w:w="942" w:type="dxa"/>
                  <w:tcBorders>
                    <w:tl2br w:val="nil"/>
                    <w:tr2bl w:val="nil"/>
                  </w:tcBorders>
                  <w:vAlign w:val="center"/>
                </w:tcPr>
                <w:p w14:paraId="6D751FDA">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排放浓度</w:t>
                  </w:r>
                  <w:r>
                    <w:rPr>
                      <w:rFonts w:hint="eastAsia"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803" w:type="dxa"/>
                  <w:tcBorders>
                    <w:tl2br w:val="nil"/>
                    <w:tr2bl w:val="nil"/>
                  </w:tcBorders>
                  <w:vAlign w:val="center"/>
                </w:tcPr>
                <w:p w14:paraId="7DE61F1D">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排放速率</w:t>
                  </w:r>
                  <w:r>
                    <w:rPr>
                      <w:rFonts w:hint="eastAsia"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kg/h</w:t>
                  </w:r>
                  <w:r>
                    <w:rPr>
                      <w:rFonts w:hint="eastAsia"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776" w:type="dxa"/>
                  <w:tcBorders>
                    <w:tl2br w:val="nil"/>
                    <w:tr2bl w:val="nil"/>
                  </w:tcBorders>
                  <w:vAlign w:val="center"/>
                </w:tcPr>
                <w:p w14:paraId="37BCC157">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单次</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持续时间</w:t>
                  </w:r>
                </w:p>
              </w:tc>
              <w:tc>
                <w:tcPr>
                  <w:tcW w:w="585" w:type="dxa"/>
                  <w:tcBorders>
                    <w:tl2br w:val="nil"/>
                    <w:tr2bl w:val="nil"/>
                  </w:tcBorders>
                  <w:vAlign w:val="center"/>
                </w:tcPr>
                <w:p w14:paraId="746C72E8">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发生频次</w:t>
                  </w:r>
                </w:p>
              </w:tc>
              <w:tc>
                <w:tcPr>
                  <w:tcW w:w="3547" w:type="dxa"/>
                  <w:tcBorders>
                    <w:tl2br w:val="nil"/>
                    <w:tr2bl w:val="nil"/>
                  </w:tcBorders>
                  <w:vAlign w:val="center"/>
                </w:tcPr>
                <w:p w14:paraId="31FC507E">
                  <w:pPr>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措施</w:t>
                  </w:r>
                </w:p>
              </w:tc>
            </w:tr>
            <w:tr w14:paraId="495A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66" w:type="dxa"/>
                  <w:tcBorders>
                    <w:tl2br w:val="nil"/>
                    <w:tr2bl w:val="nil"/>
                  </w:tcBorders>
                  <w:vAlign w:val="center"/>
                </w:tcPr>
                <w:p w14:paraId="4D5C9C85">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破碎、筛分粉尘</w:t>
                  </w:r>
                </w:p>
              </w:tc>
              <w:tc>
                <w:tcPr>
                  <w:tcW w:w="329" w:type="dxa"/>
                  <w:tcBorders>
                    <w:tl2br w:val="nil"/>
                    <w:tr2bl w:val="nil"/>
                  </w:tcBorders>
                  <w:vAlign w:val="center"/>
                </w:tcPr>
                <w:p w14:paraId="6284A1B7">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颗粒物</w:t>
                  </w:r>
                </w:p>
              </w:tc>
              <w:tc>
                <w:tcPr>
                  <w:tcW w:w="729" w:type="dxa"/>
                  <w:tcBorders>
                    <w:tl2br w:val="nil"/>
                    <w:tr2bl w:val="nil"/>
                  </w:tcBorders>
                  <w:vAlign w:val="center"/>
                </w:tcPr>
                <w:p w14:paraId="661289DB">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0.158</w:t>
                  </w:r>
                </w:p>
              </w:tc>
              <w:tc>
                <w:tcPr>
                  <w:tcW w:w="942" w:type="dxa"/>
                  <w:tcBorders>
                    <w:tl2br w:val="nil"/>
                    <w:tr2bl w:val="nil"/>
                  </w:tcBorders>
                  <w:vAlign w:val="center"/>
                </w:tcPr>
                <w:p w14:paraId="195EBDDD">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10500</w:t>
                  </w:r>
                </w:p>
              </w:tc>
              <w:tc>
                <w:tcPr>
                  <w:tcW w:w="803" w:type="dxa"/>
                  <w:tcBorders>
                    <w:tl2br w:val="nil"/>
                    <w:tr2bl w:val="nil"/>
                  </w:tcBorders>
                  <w:vAlign w:val="center"/>
                </w:tcPr>
                <w:p w14:paraId="55152805">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315</w:t>
                  </w:r>
                </w:p>
              </w:tc>
              <w:tc>
                <w:tcPr>
                  <w:tcW w:w="776" w:type="dxa"/>
                  <w:tcBorders>
                    <w:tl2br w:val="nil"/>
                    <w:tr2bl w:val="nil"/>
                  </w:tcBorders>
                  <w:vAlign w:val="center"/>
                </w:tcPr>
                <w:p w14:paraId="37840D23">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30min</w:t>
                  </w:r>
                </w:p>
              </w:tc>
              <w:tc>
                <w:tcPr>
                  <w:tcW w:w="585" w:type="dxa"/>
                  <w:tcBorders>
                    <w:tl2br w:val="nil"/>
                    <w:tr2bl w:val="nil"/>
                  </w:tcBorders>
                  <w:vAlign w:val="center"/>
                </w:tcPr>
                <w:p w14:paraId="131AD8AA">
                  <w:pPr>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1次/a</w:t>
                  </w:r>
                </w:p>
              </w:tc>
              <w:tc>
                <w:tcPr>
                  <w:tcW w:w="3547" w:type="dxa"/>
                  <w:tcBorders>
                    <w:tl2br w:val="nil"/>
                    <w:tr2bl w:val="nil"/>
                  </w:tcBorders>
                  <w:vAlign w:val="center"/>
                </w:tcPr>
                <w:p w14:paraId="3BAA5D0C">
                  <w:pPr>
                    <w:ind w:left="0" w:leftChars="0" w:right="0" w:rightChars="0" w:firstLine="0" w:firstLineChars="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要求：</w:t>
                  </w:r>
                </w:p>
                <w:p w14:paraId="4C29F48C">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①车间内禁止未经处理直接外排废气的行为！</w:t>
                  </w:r>
                </w:p>
                <w:p w14:paraId="4720F082">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②日常的运行维护和管理须指定专人负责，定期进行保养！</w:t>
                  </w:r>
                </w:p>
                <w:p w14:paraId="743B0FE5">
                  <w:pPr>
                    <w:ind w:left="0" w:leftChars="0" w:right="0" w:rightChars="0" w:firstLine="0" w:firstLineChars="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日常点检制度和台账制度：</w:t>
                  </w:r>
                </w:p>
                <w:p w14:paraId="557A2BDC">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①废气污染防治设施日常点检每日不得少于一次。</w:t>
                  </w:r>
                </w:p>
                <w:p w14:paraId="309DF91C">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②检查风机运转是否正常。</w:t>
                  </w:r>
                </w:p>
                <w:p w14:paraId="0C613347">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⑨加强废气处理设施的运行管理。维护、保养记录，建立管理台账，记录治污设施运行的关键参数，相关台账记录至少保存三年，现场保留不少于一个月的台账记录。</w:t>
                  </w:r>
                </w:p>
              </w:tc>
            </w:tr>
          </w:tbl>
          <w:p w14:paraId="3312FAF9">
            <w:pPr>
              <w:widowControl w:val="0"/>
              <w:spacing w:line="360" w:lineRule="auto"/>
              <w:ind w:firstLine="482" w:firstLineChars="200"/>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废气监测计划</w:t>
            </w:r>
          </w:p>
          <w:p w14:paraId="113CC8A2">
            <w:pPr>
              <w:widowControl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根据《排污单位自行监测技术指南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陶瓷砖瓦工业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》(HJ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954-2018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)相关要求，本项目运营期废气环境监测计划见下表。</w:t>
            </w:r>
          </w:p>
          <w:p w14:paraId="37162789">
            <w:pPr>
              <w:keepNext w:val="0"/>
              <w:keepLines w:val="0"/>
              <w:widowControl/>
              <w:suppressLineNumbers w:val="0"/>
              <w:jc w:val="cente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运营期废气环境监测计划</w:t>
            </w:r>
          </w:p>
          <w:tbl>
            <w:tblPr>
              <w:tblStyle w:val="58"/>
              <w:tblW w:w="827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01"/>
              <w:gridCol w:w="1005"/>
              <w:gridCol w:w="1545"/>
              <w:gridCol w:w="1093"/>
              <w:gridCol w:w="2820"/>
            </w:tblGrid>
            <w:tr w14:paraId="16A9DB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914" w:type="dxa"/>
                  <w:tcBorders>
                    <w:tl2br w:val="nil"/>
                    <w:tr2bl w:val="nil"/>
                  </w:tcBorders>
                  <w:vAlign w:val="center"/>
                </w:tcPr>
                <w:p w14:paraId="380732BD">
                  <w:pPr>
                    <w:ind w:left="0" w:leftChars="0" w:right="0" w:righ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污染源</w:t>
                  </w:r>
                </w:p>
              </w:tc>
              <w:tc>
                <w:tcPr>
                  <w:tcW w:w="1906" w:type="dxa"/>
                  <w:gridSpan w:val="2"/>
                  <w:tcBorders>
                    <w:tl2br w:val="nil"/>
                    <w:tr2bl w:val="nil"/>
                  </w:tcBorders>
                  <w:vAlign w:val="center"/>
                </w:tcPr>
                <w:p w14:paraId="2DD60BF6">
                  <w:pPr>
                    <w:ind w:left="0" w:leftChars="0" w:right="0" w:righ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监测项目</w:t>
                  </w:r>
                </w:p>
              </w:tc>
              <w:tc>
                <w:tcPr>
                  <w:tcW w:w="1545" w:type="dxa"/>
                  <w:tcBorders>
                    <w:tl2br w:val="nil"/>
                    <w:tr2bl w:val="nil"/>
                  </w:tcBorders>
                  <w:vAlign w:val="center"/>
                </w:tcPr>
                <w:p w14:paraId="41E144F0">
                  <w:pPr>
                    <w:ind w:left="0" w:leftChars="0" w:right="0" w:righ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监测点位</w:t>
                  </w:r>
                </w:p>
              </w:tc>
              <w:tc>
                <w:tcPr>
                  <w:tcW w:w="1093" w:type="dxa"/>
                  <w:tcBorders>
                    <w:tl2br w:val="nil"/>
                    <w:tr2bl w:val="nil"/>
                  </w:tcBorders>
                  <w:vAlign w:val="center"/>
                </w:tcPr>
                <w:p w14:paraId="5788A164">
                  <w:pPr>
                    <w:ind w:left="0" w:leftChars="0" w:right="0" w:righ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监测频次</w:t>
                  </w:r>
                </w:p>
              </w:tc>
              <w:tc>
                <w:tcPr>
                  <w:tcW w:w="2820" w:type="dxa"/>
                  <w:tcBorders>
                    <w:tl2br w:val="nil"/>
                    <w:tr2bl w:val="nil"/>
                  </w:tcBorders>
                  <w:vAlign w:val="center"/>
                </w:tcPr>
                <w:p w14:paraId="535DC5E6">
                  <w:pPr>
                    <w:ind w:left="0" w:leftChars="0" w:right="0" w:righ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控制标准</w:t>
                  </w:r>
                </w:p>
              </w:tc>
            </w:tr>
            <w:tr w14:paraId="5B0AA1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914" w:type="dxa"/>
                  <w:vMerge w:val="restart"/>
                  <w:tcBorders>
                    <w:tl2br w:val="nil"/>
                    <w:tr2bl w:val="nil"/>
                  </w:tcBorders>
                  <w:vAlign w:val="center"/>
                </w:tcPr>
                <w:p w14:paraId="50CF8E19">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废气</w:t>
                  </w:r>
                </w:p>
              </w:tc>
              <w:tc>
                <w:tcPr>
                  <w:tcW w:w="901" w:type="dxa"/>
                  <w:tcBorders>
                    <w:tl2br w:val="nil"/>
                    <w:tr2bl w:val="nil"/>
                  </w:tcBorders>
                  <w:vAlign w:val="center"/>
                </w:tcPr>
                <w:p w14:paraId="0F23AB15">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无组织</w:t>
                  </w:r>
                </w:p>
              </w:tc>
              <w:tc>
                <w:tcPr>
                  <w:tcW w:w="1005" w:type="dxa"/>
                  <w:tcBorders>
                    <w:tl2br w:val="nil"/>
                    <w:tr2bl w:val="nil"/>
                  </w:tcBorders>
                  <w:vAlign w:val="center"/>
                </w:tcPr>
                <w:p w14:paraId="505EC395">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颗粒物</w:t>
                  </w:r>
                </w:p>
              </w:tc>
              <w:tc>
                <w:tcPr>
                  <w:tcW w:w="1545" w:type="dxa"/>
                  <w:tcBorders>
                    <w:tl2br w:val="nil"/>
                    <w:tr2bl w:val="nil"/>
                  </w:tcBorders>
                  <w:vAlign w:val="center"/>
                </w:tcPr>
                <w:p w14:paraId="5524B404">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上风向1个、下风向3个</w:t>
                  </w:r>
                </w:p>
              </w:tc>
              <w:tc>
                <w:tcPr>
                  <w:tcW w:w="1093" w:type="dxa"/>
                  <w:tcBorders>
                    <w:tl2br w:val="nil"/>
                    <w:tr2bl w:val="nil"/>
                  </w:tcBorders>
                  <w:vAlign w:val="center"/>
                </w:tcPr>
                <w:p w14:paraId="4098DEBF">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1次/年</w:t>
                  </w:r>
                </w:p>
              </w:tc>
              <w:tc>
                <w:tcPr>
                  <w:tcW w:w="2820" w:type="dxa"/>
                  <w:vMerge w:val="restart"/>
                  <w:tcBorders>
                    <w:tl2br w:val="nil"/>
                    <w:tr2bl w:val="nil"/>
                  </w:tcBorders>
                  <w:vAlign w:val="center"/>
                </w:tcPr>
                <w:p w14:paraId="1136C919">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《大气污染物综合排放标准》（GB16297-1996）表2中浓度限值</w:t>
                  </w:r>
                </w:p>
              </w:tc>
            </w:tr>
            <w:tr w14:paraId="08A380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914" w:type="dxa"/>
                  <w:vMerge w:val="continue"/>
                  <w:tcBorders>
                    <w:tl2br w:val="nil"/>
                    <w:tr2bl w:val="nil"/>
                  </w:tcBorders>
                  <w:vAlign w:val="center"/>
                </w:tcPr>
                <w:p w14:paraId="7DB18337">
                  <w:pPr>
                    <w:ind w:left="0" w:leftChars="0" w:right="0" w:righ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p>
              </w:tc>
              <w:tc>
                <w:tcPr>
                  <w:tcW w:w="901" w:type="dxa"/>
                  <w:tcBorders>
                    <w:tl2br w:val="nil"/>
                    <w:tr2bl w:val="nil"/>
                  </w:tcBorders>
                  <w:vAlign w:val="center"/>
                </w:tcPr>
                <w:p w14:paraId="1A03011F">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有组织</w:t>
                  </w:r>
                </w:p>
              </w:tc>
              <w:tc>
                <w:tcPr>
                  <w:tcW w:w="1005" w:type="dxa"/>
                  <w:tcBorders>
                    <w:tl2br w:val="nil"/>
                    <w:tr2bl w:val="nil"/>
                  </w:tcBorders>
                  <w:vAlign w:val="center"/>
                </w:tcPr>
                <w:p w14:paraId="4EC9AB5D">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颗粒物</w:t>
                  </w:r>
                </w:p>
              </w:tc>
              <w:tc>
                <w:tcPr>
                  <w:tcW w:w="1545" w:type="dxa"/>
                  <w:tcBorders>
                    <w:tl2br w:val="nil"/>
                    <w:tr2bl w:val="nil"/>
                  </w:tcBorders>
                  <w:vAlign w:val="center"/>
                </w:tcPr>
                <w:p w14:paraId="2D9E3660">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破碎、筛分废气排气筒出口</w:t>
                  </w:r>
                </w:p>
              </w:tc>
              <w:tc>
                <w:tcPr>
                  <w:tcW w:w="1093" w:type="dxa"/>
                  <w:tcBorders>
                    <w:tl2br w:val="nil"/>
                    <w:tr2bl w:val="nil"/>
                  </w:tcBorders>
                  <w:vAlign w:val="center"/>
                </w:tcPr>
                <w:p w14:paraId="489F4AC7">
                  <w:pPr>
                    <w:ind w:left="0" w:leftChars="0" w:right="0" w:rightChars="0" w:firstLine="0" w:firstLineChars="0"/>
                    <w:jc w:val="cente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1次/年</w:t>
                  </w:r>
                </w:p>
              </w:tc>
              <w:tc>
                <w:tcPr>
                  <w:tcW w:w="2820" w:type="dxa"/>
                  <w:vMerge w:val="continue"/>
                  <w:tcBorders>
                    <w:tl2br w:val="nil"/>
                    <w:tr2bl w:val="nil"/>
                  </w:tcBorders>
                  <w:vAlign w:val="center"/>
                </w:tcPr>
                <w:p w14:paraId="1A273860">
                  <w:pPr>
                    <w:pStyle w:val="60"/>
                    <w:spacing w:before="168" w:line="239" w:lineRule="auto"/>
                    <w:ind w:left="0" w:leftChars="0" w:right="0" w:rightChars="0" w:firstLine="0" w:firstLineChars="0"/>
                    <w:jc w:val="center"/>
                    <w:rPr>
                      <w:rFonts w:hint="default" w:ascii="Times New Roman" w:hAnsi="Times New Roman" w:cs="Times New Roman"/>
                      <w:color w:val="000000" w:themeColor="text1"/>
                      <w:spacing w:val="3"/>
                      <w:sz w:val="21"/>
                      <w:szCs w:val="21"/>
                      <w:highlight w:val="none"/>
                      <w:lang w:eastAsia="zh-CN"/>
                      <w14:textFill>
                        <w14:solidFill>
                          <w14:schemeClr w14:val="tx1"/>
                        </w14:solidFill>
                      </w14:textFill>
                    </w:rPr>
                  </w:pPr>
                </w:p>
              </w:tc>
            </w:tr>
          </w:tbl>
          <w:p w14:paraId="70B707EB">
            <w:pPr>
              <w:widowControl w:val="0"/>
              <w:spacing w:line="360" w:lineRule="auto"/>
              <w:ind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）环境影响分析</w:t>
            </w:r>
          </w:p>
          <w:p w14:paraId="01553D85">
            <w:pPr>
              <w:widowControl w:val="0"/>
              <w:spacing w:line="360" w:lineRule="auto"/>
              <w:ind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项目建成运行后产生的废气主要为破碎筛分粉尘、</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物料装卸</w:t>
            </w:r>
            <w:r>
              <w:rPr>
                <w:rFonts w:hint="default" w:ascii="Times New Roman" w:hAnsi="Times New Roman" w:cs="Times New Roman"/>
                <w:b w:val="0"/>
                <w:bCs w:val="0"/>
                <w:color w:val="000000" w:themeColor="text1"/>
                <w:sz w:val="24"/>
                <w:highlight w:val="none"/>
                <w14:textFill>
                  <w14:solidFill>
                    <w14:schemeClr w14:val="tx1"/>
                  </w14:solidFill>
                </w14:textFill>
              </w:rPr>
              <w:t>粉尘</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14:textFill>
                  <w14:solidFill>
                    <w14:schemeClr w14:val="tx1"/>
                  </w14:solidFill>
                </w14:textFill>
              </w:rPr>
              <w:t>堆场扬尘</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车辆运输扬尘。项目在采取</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评提出的措施后，各工序污染物排放量及排放浓度较小，加上项目所在地空气环境容量较大，周边林木茂盛，起到了自然隔离与稀释的作用，故各工序颗粒物排放浓度能满足《大气污染物综合排放标准》（GB16297-1996）表2限值要求</w:t>
            </w:r>
            <w:r>
              <w:rPr>
                <w:rFonts w:hint="eastAsia" w:ascii="Times New Roman" w:hAnsi="Times New Roman" w:cs="Times New Roman" w:eastAsiaTheme="maj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对周边居民及周边环境影响较小。 </w:t>
            </w:r>
          </w:p>
          <w:p w14:paraId="5A0219C6">
            <w:pPr>
              <w:widowControl w:val="0"/>
              <w:spacing w:line="360" w:lineRule="auto"/>
              <w:ind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综上所述，本项目运营期间，各生产工序产生的粉尘经采取环评提出的各项污染防治措施后，对区域环境影响较小。</w:t>
            </w:r>
          </w:p>
          <w:p w14:paraId="28D6375F">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2.废水</w:t>
            </w:r>
          </w:p>
          <w:p w14:paraId="7FD0F83B">
            <w:pPr>
              <w:spacing w:line="360" w:lineRule="auto"/>
              <w:ind w:firstLine="480" w:firstLineChars="20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根据前文水平衡图分析</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本项目物料堆场、道路地面降尘</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喷雾</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用水</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全部蒸发损耗；洗砂用水循环使用，不外排；车辆冲洗废水经沉淀池沉淀后回用，不外排。</w:t>
            </w:r>
          </w:p>
          <w:p w14:paraId="55A5727A">
            <w:pPr>
              <w:widowControl w:val="0"/>
              <w:shd w:val="clear"/>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本项目各类废水均不外排，对地表水环境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基本无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影响。</w:t>
            </w:r>
          </w:p>
          <w:p w14:paraId="6046235B">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3.噪声</w:t>
            </w:r>
          </w:p>
          <w:p w14:paraId="269AAEAC">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bookmarkStart w:id="24" w:name="bookmark91"/>
            <w:r>
              <w:rPr>
                <w:rFonts w:hint="default" w:ascii="Times New Roman" w:hAnsi="Times New Roman" w:cs="Times New Roman" w:eastAsiaTheme="minorEastAsia"/>
                <w:b/>
                <w:bCs/>
                <w:color w:val="000000" w:themeColor="text1"/>
                <w:sz w:val="24"/>
                <w:highlight w:val="none"/>
                <w14:textFill>
                  <w14:solidFill>
                    <w14:schemeClr w14:val="tx1"/>
                  </w14:solidFill>
                </w14:textFill>
              </w:rPr>
              <w:t>（1）噪声源</w:t>
            </w:r>
          </w:p>
          <w:p w14:paraId="481BB9EE">
            <w:pPr>
              <w:spacing w:line="360" w:lineRule="auto"/>
              <w:ind w:firstLine="480" w:firstLineChars="200"/>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本项目运营期噪声主要来自车间内</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原有设备的</w:t>
            </w:r>
            <w:r>
              <w:rPr>
                <w:rFonts w:hint="default" w:ascii="Times New Roman" w:hAnsi="Times New Roman" w:cs="Times New Roman" w:eastAsiaTheme="minorEastAsia"/>
                <w:color w:val="000000" w:themeColor="text1"/>
                <w:sz w:val="24"/>
                <w:highlight w:val="none"/>
                <w14:textFill>
                  <w14:solidFill>
                    <w14:schemeClr w14:val="tx1"/>
                  </w14:solidFill>
                </w14:textFill>
              </w:rPr>
              <w:t>运行噪声</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及新增的水洗滚筒筛及水泵的运行噪声</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由于项目产噪设备变化较多，故对全厂的噪声重新进行预测，扩建后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单台设备噪声源强</w:t>
            </w:r>
            <w:r>
              <w:rPr>
                <w:rFonts w:hint="default" w:ascii="Times New Roman" w:hAnsi="Times New Roman" w:cs="Times New Roman" w:eastAsiaTheme="minorEastAsia"/>
                <w:color w:val="000000" w:themeColor="text1"/>
                <w:sz w:val="24"/>
                <w:highlight w:val="none"/>
                <w14:textFill>
                  <w14:solidFill>
                    <w14:schemeClr w14:val="tx1"/>
                  </w14:solidFill>
                </w14:textFill>
              </w:rPr>
              <w:t>在7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95</w:t>
            </w:r>
            <w:r>
              <w:rPr>
                <w:rFonts w:hint="default" w:ascii="Times New Roman" w:hAnsi="Times New Roman" w:cs="Times New Roman" w:eastAsiaTheme="minorEastAsia"/>
                <w:color w:val="000000" w:themeColor="text1"/>
                <w:sz w:val="24"/>
                <w:highlight w:val="none"/>
                <w14:textFill>
                  <w14:solidFill>
                    <w14:schemeClr w14:val="tx1"/>
                  </w14:solidFill>
                </w14:textFill>
              </w:rPr>
              <w:t>dB（A），本项目设备噪声源强见</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下表</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1E1633B9">
            <w:pPr>
              <w:widowControl/>
              <w:tabs>
                <w:tab w:val="left" w:pos="1057"/>
                <w:tab w:val="left" w:pos="2809"/>
                <w:tab w:val="center" w:pos="4153"/>
                <w:tab w:val="left" w:pos="6937"/>
              </w:tabs>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表4-</w:t>
            </w:r>
            <w:r>
              <w:rPr>
                <w:rFonts w:hint="eastAsia"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工业企业噪声源强调查清单（室内声源）</w:t>
            </w:r>
          </w:p>
          <w:tbl>
            <w:tblPr>
              <w:tblStyle w:val="25"/>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005"/>
              <w:gridCol w:w="629"/>
              <w:gridCol w:w="798"/>
              <w:gridCol w:w="726"/>
              <w:gridCol w:w="1183"/>
              <w:gridCol w:w="978"/>
              <w:gridCol w:w="1121"/>
              <w:gridCol w:w="724"/>
              <w:gridCol w:w="693"/>
            </w:tblGrid>
            <w:tr w14:paraId="2BCA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79" w:type="dxa"/>
                  <w:vMerge w:val="restart"/>
                  <w:tcBorders>
                    <w:tl2br w:val="nil"/>
                    <w:tr2bl w:val="nil"/>
                  </w:tcBorders>
                  <w:vAlign w:val="center"/>
                </w:tcPr>
                <w:p w14:paraId="42539820">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序号</w:t>
                  </w:r>
                </w:p>
              </w:tc>
              <w:tc>
                <w:tcPr>
                  <w:tcW w:w="1005" w:type="dxa"/>
                  <w:vMerge w:val="restart"/>
                  <w:tcBorders>
                    <w:tl2br w:val="nil"/>
                    <w:tr2bl w:val="nil"/>
                  </w:tcBorders>
                  <w:vAlign w:val="center"/>
                </w:tcPr>
                <w:p w14:paraId="77A87E28">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声源名称</w:t>
                  </w:r>
                </w:p>
              </w:tc>
              <w:tc>
                <w:tcPr>
                  <w:tcW w:w="2153" w:type="dxa"/>
                  <w:gridSpan w:val="3"/>
                  <w:tcBorders>
                    <w:tl2br w:val="nil"/>
                    <w:tr2bl w:val="nil"/>
                  </w:tcBorders>
                  <w:vAlign w:val="center"/>
                </w:tcPr>
                <w:p w14:paraId="348EBA2E">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相对空间位置</w:t>
                  </w:r>
                </w:p>
              </w:tc>
              <w:tc>
                <w:tcPr>
                  <w:tcW w:w="1183" w:type="dxa"/>
                  <w:vMerge w:val="restart"/>
                  <w:tcBorders>
                    <w:tl2br w:val="nil"/>
                    <w:tr2bl w:val="nil"/>
                  </w:tcBorders>
                  <w:vAlign w:val="center"/>
                </w:tcPr>
                <w:p w14:paraId="5AD970D5">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声源源强（声功率dB（A））</w:t>
                  </w:r>
                </w:p>
              </w:tc>
              <w:tc>
                <w:tcPr>
                  <w:tcW w:w="978" w:type="dxa"/>
                  <w:vMerge w:val="restart"/>
                  <w:tcBorders>
                    <w:tl2br w:val="nil"/>
                    <w:tr2bl w:val="nil"/>
                  </w:tcBorders>
                  <w:vAlign w:val="center"/>
                </w:tcPr>
                <w:p w14:paraId="0C9499F1">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源控制措施</w:t>
                  </w:r>
                </w:p>
              </w:tc>
              <w:tc>
                <w:tcPr>
                  <w:tcW w:w="1121" w:type="dxa"/>
                  <w:vMerge w:val="restart"/>
                  <w:tcBorders>
                    <w:tl2br w:val="nil"/>
                    <w:tr2bl w:val="nil"/>
                  </w:tcBorders>
                  <w:vAlign w:val="center"/>
                </w:tcPr>
                <w:p w14:paraId="2A00250C">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排放强度dB（A）</w:t>
                  </w:r>
                </w:p>
              </w:tc>
              <w:tc>
                <w:tcPr>
                  <w:tcW w:w="724" w:type="dxa"/>
                  <w:vMerge w:val="restart"/>
                  <w:tcBorders>
                    <w:tl2br w:val="nil"/>
                    <w:tr2bl w:val="nil"/>
                  </w:tcBorders>
                  <w:vAlign w:val="center"/>
                </w:tcPr>
                <w:p w14:paraId="71456590">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运行</w:t>
                  </w:r>
                </w:p>
                <w:p w14:paraId="01F3667D">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时段</w:t>
                  </w:r>
                </w:p>
                <w:p w14:paraId="32DE4854">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693" w:type="dxa"/>
                  <w:vMerge w:val="restart"/>
                  <w:tcBorders>
                    <w:tl2br w:val="nil"/>
                    <w:tr2bl w:val="nil"/>
                  </w:tcBorders>
                  <w:vAlign w:val="center"/>
                </w:tcPr>
                <w:p w14:paraId="41DD691A">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持续时间</w:t>
                  </w:r>
                </w:p>
              </w:tc>
            </w:tr>
            <w:tr w14:paraId="6BC4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79" w:type="dxa"/>
                  <w:vMerge w:val="continue"/>
                  <w:tcBorders>
                    <w:tl2br w:val="nil"/>
                    <w:tr2bl w:val="nil"/>
                  </w:tcBorders>
                  <w:vAlign w:val="center"/>
                </w:tcPr>
                <w:p w14:paraId="719DAA1F">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1005" w:type="dxa"/>
                  <w:vMerge w:val="continue"/>
                  <w:tcBorders>
                    <w:tl2br w:val="nil"/>
                    <w:tr2bl w:val="nil"/>
                  </w:tcBorders>
                  <w:vAlign w:val="center"/>
                </w:tcPr>
                <w:p w14:paraId="496A062B">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629" w:type="dxa"/>
                  <w:tcBorders>
                    <w:tl2br w:val="nil"/>
                    <w:tr2bl w:val="nil"/>
                  </w:tcBorders>
                  <w:vAlign w:val="center"/>
                </w:tcPr>
                <w:p w14:paraId="162E4C44">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X</w:t>
                  </w:r>
                </w:p>
              </w:tc>
              <w:tc>
                <w:tcPr>
                  <w:tcW w:w="798" w:type="dxa"/>
                  <w:tcBorders>
                    <w:tl2br w:val="nil"/>
                    <w:tr2bl w:val="nil"/>
                  </w:tcBorders>
                  <w:vAlign w:val="center"/>
                </w:tcPr>
                <w:p w14:paraId="3A704641">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Y</w:t>
                  </w:r>
                </w:p>
              </w:tc>
              <w:tc>
                <w:tcPr>
                  <w:tcW w:w="726" w:type="dxa"/>
                  <w:tcBorders>
                    <w:tl2br w:val="nil"/>
                    <w:tr2bl w:val="nil"/>
                  </w:tcBorders>
                  <w:vAlign w:val="center"/>
                </w:tcPr>
                <w:p w14:paraId="17910448">
                  <w:pPr>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Z</w:t>
                  </w:r>
                </w:p>
              </w:tc>
              <w:tc>
                <w:tcPr>
                  <w:tcW w:w="1183" w:type="dxa"/>
                  <w:vMerge w:val="continue"/>
                  <w:tcBorders>
                    <w:tl2br w:val="nil"/>
                    <w:tr2bl w:val="nil"/>
                  </w:tcBorders>
                  <w:vAlign w:val="center"/>
                </w:tcPr>
                <w:p w14:paraId="72FC803B">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978" w:type="dxa"/>
                  <w:vMerge w:val="continue"/>
                  <w:tcBorders>
                    <w:tl2br w:val="nil"/>
                    <w:tr2bl w:val="nil"/>
                  </w:tcBorders>
                  <w:vAlign w:val="center"/>
                </w:tcPr>
                <w:p w14:paraId="0E025331">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1121" w:type="dxa"/>
                  <w:vMerge w:val="continue"/>
                  <w:tcBorders>
                    <w:tl2br w:val="nil"/>
                    <w:tr2bl w:val="nil"/>
                  </w:tcBorders>
                  <w:vAlign w:val="center"/>
                </w:tcPr>
                <w:p w14:paraId="21A4CEB2">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724" w:type="dxa"/>
                  <w:vMerge w:val="continue"/>
                  <w:tcBorders>
                    <w:tl2br w:val="nil"/>
                    <w:tr2bl w:val="nil"/>
                  </w:tcBorders>
                  <w:vAlign w:val="center"/>
                </w:tcPr>
                <w:p w14:paraId="7A9D4D24">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693" w:type="dxa"/>
                  <w:vMerge w:val="continue"/>
                  <w:tcBorders>
                    <w:tl2br w:val="nil"/>
                    <w:tr2bl w:val="nil"/>
                  </w:tcBorders>
                  <w:vAlign w:val="center"/>
                </w:tcPr>
                <w:p w14:paraId="15906A1C">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r>
            <w:tr w14:paraId="3E21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9" w:type="dxa"/>
                  <w:tcBorders>
                    <w:tl2br w:val="nil"/>
                    <w:tr2bl w:val="nil"/>
                  </w:tcBorders>
                  <w:shd w:val="clear" w:color="auto" w:fill="auto"/>
                  <w:vAlign w:val="center"/>
                </w:tcPr>
                <w:p w14:paraId="4516B063">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w:t>
                  </w:r>
                </w:p>
              </w:tc>
              <w:tc>
                <w:tcPr>
                  <w:tcW w:w="1005" w:type="dxa"/>
                  <w:tcBorders>
                    <w:tl2br w:val="nil"/>
                    <w:tr2bl w:val="nil"/>
                  </w:tcBorders>
                  <w:vAlign w:val="center"/>
                </w:tcPr>
                <w:p w14:paraId="3687DD76">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喂料机1</w:t>
                  </w:r>
                </w:p>
              </w:tc>
              <w:tc>
                <w:tcPr>
                  <w:tcW w:w="629" w:type="dxa"/>
                  <w:tcBorders>
                    <w:tl2br w:val="nil"/>
                    <w:tr2bl w:val="nil"/>
                  </w:tcBorders>
                  <w:vAlign w:val="center"/>
                </w:tcPr>
                <w:p w14:paraId="1FA7EFEC">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141</w:t>
                  </w:r>
                </w:p>
              </w:tc>
              <w:tc>
                <w:tcPr>
                  <w:tcW w:w="798" w:type="dxa"/>
                  <w:tcBorders>
                    <w:tl2br w:val="nil"/>
                    <w:tr2bl w:val="nil"/>
                  </w:tcBorders>
                  <w:vAlign w:val="center"/>
                </w:tcPr>
                <w:p w14:paraId="625FC4CB">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120</w:t>
                  </w:r>
                </w:p>
              </w:tc>
              <w:tc>
                <w:tcPr>
                  <w:tcW w:w="726" w:type="dxa"/>
                  <w:tcBorders>
                    <w:tl2br w:val="nil"/>
                    <w:tr2bl w:val="nil"/>
                  </w:tcBorders>
                  <w:vAlign w:val="center"/>
                </w:tcPr>
                <w:p w14:paraId="09472CA5">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1CA3702E">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p>
              </w:tc>
              <w:tc>
                <w:tcPr>
                  <w:tcW w:w="978" w:type="dxa"/>
                  <w:vMerge w:val="restart"/>
                  <w:tcBorders>
                    <w:tl2br w:val="nil"/>
                    <w:tr2bl w:val="nil"/>
                  </w:tcBorders>
                  <w:vAlign w:val="center"/>
                </w:tcPr>
                <w:p w14:paraId="1D1E62AA">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选用低噪声设备，基础减振、厂房隔声</w:t>
                  </w:r>
                </w:p>
              </w:tc>
              <w:tc>
                <w:tcPr>
                  <w:tcW w:w="1121" w:type="dxa"/>
                  <w:tcBorders>
                    <w:tl2br w:val="nil"/>
                    <w:tr2bl w:val="nil"/>
                  </w:tcBorders>
                  <w:vAlign w:val="center"/>
                </w:tcPr>
                <w:p w14:paraId="4F4CC12B">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65</w:t>
                  </w:r>
                </w:p>
              </w:tc>
              <w:tc>
                <w:tcPr>
                  <w:tcW w:w="724" w:type="dxa"/>
                  <w:tcBorders>
                    <w:tl2br w:val="nil"/>
                    <w:tr2bl w:val="nil"/>
                  </w:tcBorders>
                  <w:vAlign w:val="center"/>
                </w:tcPr>
                <w:p w14:paraId="0F305010">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vAlign w:val="center"/>
                </w:tcPr>
                <w:p w14:paraId="6EE75826">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5AD3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9" w:type="dxa"/>
                  <w:tcBorders>
                    <w:tl2br w:val="nil"/>
                    <w:tr2bl w:val="nil"/>
                  </w:tcBorders>
                  <w:shd w:val="clear" w:color="auto" w:fill="auto"/>
                  <w:vAlign w:val="center"/>
                </w:tcPr>
                <w:p w14:paraId="2AE1F8A8">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2</w:t>
                  </w:r>
                </w:p>
              </w:tc>
              <w:tc>
                <w:tcPr>
                  <w:tcW w:w="1005" w:type="dxa"/>
                  <w:tcBorders>
                    <w:tl2br w:val="nil"/>
                    <w:tr2bl w:val="nil"/>
                  </w:tcBorders>
                  <w:vAlign w:val="center"/>
                </w:tcPr>
                <w:p w14:paraId="1F1ED85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喂料机2</w:t>
                  </w:r>
                </w:p>
              </w:tc>
              <w:tc>
                <w:tcPr>
                  <w:tcW w:w="629" w:type="dxa"/>
                  <w:tcBorders>
                    <w:tl2br w:val="nil"/>
                    <w:tr2bl w:val="nil"/>
                  </w:tcBorders>
                  <w:vAlign w:val="center"/>
                </w:tcPr>
                <w:p w14:paraId="1B820DD6">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146</w:t>
                  </w:r>
                </w:p>
              </w:tc>
              <w:tc>
                <w:tcPr>
                  <w:tcW w:w="798" w:type="dxa"/>
                  <w:tcBorders>
                    <w:tl2br w:val="nil"/>
                    <w:tr2bl w:val="nil"/>
                  </w:tcBorders>
                  <w:vAlign w:val="center"/>
                </w:tcPr>
                <w:p w14:paraId="45F4552C">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115</w:t>
                  </w:r>
                </w:p>
              </w:tc>
              <w:tc>
                <w:tcPr>
                  <w:tcW w:w="726" w:type="dxa"/>
                  <w:tcBorders>
                    <w:tl2br w:val="nil"/>
                    <w:tr2bl w:val="nil"/>
                  </w:tcBorders>
                  <w:vAlign w:val="center"/>
                </w:tcPr>
                <w:p w14:paraId="6280475D">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331BCA93">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p>
              </w:tc>
              <w:tc>
                <w:tcPr>
                  <w:tcW w:w="978" w:type="dxa"/>
                  <w:vMerge w:val="continue"/>
                  <w:tcBorders>
                    <w:tl2br w:val="nil"/>
                    <w:tr2bl w:val="nil"/>
                  </w:tcBorders>
                  <w:vAlign w:val="center"/>
                </w:tcPr>
                <w:p w14:paraId="62D82A06">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vAlign w:val="center"/>
                </w:tcPr>
                <w:p w14:paraId="515FA42B">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65</w:t>
                  </w:r>
                </w:p>
              </w:tc>
              <w:tc>
                <w:tcPr>
                  <w:tcW w:w="724" w:type="dxa"/>
                  <w:tcBorders>
                    <w:tl2br w:val="nil"/>
                    <w:tr2bl w:val="nil"/>
                  </w:tcBorders>
                  <w:shd w:val="clear" w:color="auto" w:fill="auto"/>
                  <w:vAlign w:val="center"/>
                </w:tcPr>
                <w:p w14:paraId="4E1088ED">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shd w:val="clear" w:color="auto" w:fill="auto"/>
                  <w:vAlign w:val="center"/>
                </w:tcPr>
                <w:p w14:paraId="6AD4A7A0">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4355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9" w:type="dxa"/>
                  <w:tcBorders>
                    <w:tl2br w:val="nil"/>
                    <w:tr2bl w:val="nil"/>
                  </w:tcBorders>
                  <w:shd w:val="clear" w:color="auto" w:fill="auto"/>
                  <w:vAlign w:val="center"/>
                </w:tcPr>
                <w:p w14:paraId="4BA23BFC">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3</w:t>
                  </w:r>
                </w:p>
              </w:tc>
              <w:tc>
                <w:tcPr>
                  <w:tcW w:w="1005" w:type="dxa"/>
                  <w:tcBorders>
                    <w:tl2br w:val="nil"/>
                    <w:tr2bl w:val="nil"/>
                  </w:tcBorders>
                  <w:shd w:val="clear" w:color="auto" w:fill="auto"/>
                  <w:vAlign w:val="center"/>
                </w:tcPr>
                <w:p w14:paraId="6A2E7FB5">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颚式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破碎机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tc>
              <w:tc>
                <w:tcPr>
                  <w:tcW w:w="629" w:type="dxa"/>
                  <w:tcBorders>
                    <w:tl2br w:val="nil"/>
                    <w:tr2bl w:val="nil"/>
                  </w:tcBorders>
                  <w:vAlign w:val="center"/>
                </w:tcPr>
                <w:p w14:paraId="13385F1C">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135</w:t>
                  </w:r>
                </w:p>
              </w:tc>
              <w:tc>
                <w:tcPr>
                  <w:tcW w:w="798" w:type="dxa"/>
                  <w:tcBorders>
                    <w:tl2br w:val="nil"/>
                    <w:tr2bl w:val="nil"/>
                  </w:tcBorders>
                  <w:vAlign w:val="center"/>
                </w:tcPr>
                <w:p w14:paraId="258E86F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115</w:t>
                  </w:r>
                </w:p>
              </w:tc>
              <w:tc>
                <w:tcPr>
                  <w:tcW w:w="726" w:type="dxa"/>
                  <w:tcBorders>
                    <w:tl2br w:val="nil"/>
                    <w:tr2bl w:val="nil"/>
                  </w:tcBorders>
                  <w:vAlign w:val="center"/>
                </w:tcPr>
                <w:p w14:paraId="33210A37">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167ABB6B">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95</w:t>
                  </w:r>
                </w:p>
              </w:tc>
              <w:tc>
                <w:tcPr>
                  <w:tcW w:w="978" w:type="dxa"/>
                  <w:vMerge w:val="continue"/>
                  <w:tcBorders>
                    <w:tl2br w:val="nil"/>
                    <w:tr2bl w:val="nil"/>
                  </w:tcBorders>
                  <w:vAlign w:val="center"/>
                </w:tcPr>
                <w:p w14:paraId="2787D05B">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vAlign w:val="center"/>
                </w:tcPr>
                <w:p w14:paraId="38AD722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75</w:t>
                  </w:r>
                </w:p>
              </w:tc>
              <w:tc>
                <w:tcPr>
                  <w:tcW w:w="724" w:type="dxa"/>
                  <w:tcBorders>
                    <w:tl2br w:val="nil"/>
                    <w:tr2bl w:val="nil"/>
                  </w:tcBorders>
                  <w:vAlign w:val="center"/>
                </w:tcPr>
                <w:p w14:paraId="0D77DCCD">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vAlign w:val="center"/>
                </w:tcPr>
                <w:p w14:paraId="4FF9C61B">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4AE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79" w:type="dxa"/>
                  <w:tcBorders>
                    <w:tl2br w:val="nil"/>
                    <w:tr2bl w:val="nil"/>
                  </w:tcBorders>
                  <w:shd w:val="clear" w:color="auto" w:fill="auto"/>
                  <w:vAlign w:val="center"/>
                </w:tcPr>
                <w:p w14:paraId="4F57DCF0">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4</w:t>
                  </w:r>
                </w:p>
              </w:tc>
              <w:tc>
                <w:tcPr>
                  <w:tcW w:w="1005" w:type="dxa"/>
                  <w:tcBorders>
                    <w:tl2br w:val="nil"/>
                    <w:tr2bl w:val="nil"/>
                  </w:tcBorders>
                  <w:shd w:val="clear" w:color="auto" w:fill="auto"/>
                  <w:vAlign w:val="center"/>
                </w:tcPr>
                <w:p w14:paraId="37786234">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颚式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破碎机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p>
              </w:tc>
              <w:tc>
                <w:tcPr>
                  <w:tcW w:w="629" w:type="dxa"/>
                  <w:tcBorders>
                    <w:tl2br w:val="nil"/>
                    <w:tr2bl w:val="nil"/>
                  </w:tcBorders>
                  <w:vAlign w:val="center"/>
                </w:tcPr>
                <w:p w14:paraId="07C576FD">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139</w:t>
                  </w:r>
                </w:p>
              </w:tc>
              <w:tc>
                <w:tcPr>
                  <w:tcW w:w="798" w:type="dxa"/>
                  <w:tcBorders>
                    <w:tl2br w:val="nil"/>
                    <w:tr2bl w:val="nil"/>
                  </w:tcBorders>
                  <w:vAlign w:val="center"/>
                </w:tcPr>
                <w:p w14:paraId="68586329">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109</w:t>
                  </w:r>
                </w:p>
              </w:tc>
              <w:tc>
                <w:tcPr>
                  <w:tcW w:w="726" w:type="dxa"/>
                  <w:tcBorders>
                    <w:tl2br w:val="nil"/>
                    <w:tr2bl w:val="nil"/>
                  </w:tcBorders>
                  <w:vAlign w:val="center"/>
                </w:tcPr>
                <w:p w14:paraId="4380FAA1">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1C66C1D0">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95</w:t>
                  </w:r>
                </w:p>
              </w:tc>
              <w:tc>
                <w:tcPr>
                  <w:tcW w:w="978" w:type="dxa"/>
                  <w:vMerge w:val="continue"/>
                  <w:tcBorders>
                    <w:tl2br w:val="nil"/>
                    <w:tr2bl w:val="nil"/>
                  </w:tcBorders>
                  <w:vAlign w:val="center"/>
                </w:tcPr>
                <w:p w14:paraId="49F578C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vAlign w:val="center"/>
                </w:tcPr>
                <w:p w14:paraId="203D7FA1">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75</w:t>
                  </w:r>
                </w:p>
              </w:tc>
              <w:tc>
                <w:tcPr>
                  <w:tcW w:w="724" w:type="dxa"/>
                  <w:tcBorders>
                    <w:tl2br w:val="nil"/>
                    <w:tr2bl w:val="nil"/>
                  </w:tcBorders>
                  <w:vAlign w:val="center"/>
                </w:tcPr>
                <w:p w14:paraId="12C323F0">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vAlign w:val="center"/>
                </w:tcPr>
                <w:p w14:paraId="7C5E8F15">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3A38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9" w:type="dxa"/>
                  <w:tcBorders>
                    <w:tl2br w:val="nil"/>
                    <w:tr2bl w:val="nil"/>
                  </w:tcBorders>
                  <w:shd w:val="clear" w:color="auto" w:fill="auto"/>
                  <w:vAlign w:val="center"/>
                </w:tcPr>
                <w:p w14:paraId="64CB361A">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5</w:t>
                  </w:r>
                </w:p>
              </w:tc>
              <w:tc>
                <w:tcPr>
                  <w:tcW w:w="1005" w:type="dxa"/>
                  <w:tcBorders>
                    <w:tl2br w:val="nil"/>
                    <w:tr2bl w:val="nil"/>
                  </w:tcBorders>
                  <w:shd w:val="clear" w:color="auto" w:fill="auto"/>
                  <w:vAlign w:val="center"/>
                </w:tcPr>
                <w:p w14:paraId="7B65EB1C">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振动筛</w:t>
                  </w:r>
                </w:p>
              </w:tc>
              <w:tc>
                <w:tcPr>
                  <w:tcW w:w="629" w:type="dxa"/>
                  <w:tcBorders>
                    <w:tl2br w:val="nil"/>
                    <w:tr2bl w:val="nil"/>
                  </w:tcBorders>
                  <w:vAlign w:val="center"/>
                </w:tcPr>
                <w:p w14:paraId="33C2B9EF">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128</w:t>
                  </w:r>
                </w:p>
              </w:tc>
              <w:tc>
                <w:tcPr>
                  <w:tcW w:w="798" w:type="dxa"/>
                  <w:tcBorders>
                    <w:tl2br w:val="nil"/>
                    <w:tr2bl w:val="nil"/>
                  </w:tcBorders>
                  <w:vAlign w:val="center"/>
                </w:tcPr>
                <w:p w14:paraId="3CEFE7EF">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102</w:t>
                  </w:r>
                </w:p>
              </w:tc>
              <w:tc>
                <w:tcPr>
                  <w:tcW w:w="726" w:type="dxa"/>
                  <w:tcBorders>
                    <w:tl2br w:val="nil"/>
                    <w:tr2bl w:val="nil"/>
                  </w:tcBorders>
                  <w:vAlign w:val="center"/>
                </w:tcPr>
                <w:p w14:paraId="59D2485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4425A677">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90</w:t>
                  </w:r>
                </w:p>
              </w:tc>
              <w:tc>
                <w:tcPr>
                  <w:tcW w:w="978" w:type="dxa"/>
                  <w:vMerge w:val="continue"/>
                  <w:tcBorders>
                    <w:tl2br w:val="nil"/>
                    <w:tr2bl w:val="nil"/>
                  </w:tcBorders>
                  <w:vAlign w:val="center"/>
                </w:tcPr>
                <w:p w14:paraId="64B83B5C">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vAlign w:val="center"/>
                </w:tcPr>
                <w:p w14:paraId="70FA51A6">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70</w:t>
                  </w:r>
                </w:p>
              </w:tc>
              <w:tc>
                <w:tcPr>
                  <w:tcW w:w="724" w:type="dxa"/>
                  <w:tcBorders>
                    <w:tl2br w:val="nil"/>
                    <w:tr2bl w:val="nil"/>
                  </w:tcBorders>
                  <w:vAlign w:val="center"/>
                </w:tcPr>
                <w:p w14:paraId="37464182">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vAlign w:val="center"/>
                </w:tcPr>
                <w:p w14:paraId="0FD3F29E">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1918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79" w:type="dxa"/>
                  <w:tcBorders>
                    <w:tl2br w:val="nil"/>
                    <w:tr2bl w:val="nil"/>
                  </w:tcBorders>
                  <w:shd w:val="clear" w:color="auto" w:fill="auto"/>
                  <w:vAlign w:val="center"/>
                </w:tcPr>
                <w:p w14:paraId="39D9E56E">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6</w:t>
                  </w:r>
                </w:p>
              </w:tc>
              <w:tc>
                <w:tcPr>
                  <w:tcW w:w="1005" w:type="dxa"/>
                  <w:tcBorders>
                    <w:tl2br w:val="nil"/>
                    <w:tr2bl w:val="nil"/>
                  </w:tcBorders>
                  <w:shd w:val="clear" w:color="auto" w:fill="auto"/>
                  <w:vAlign w:val="center"/>
                </w:tcPr>
                <w:p w14:paraId="4E51805B">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滚筒筛</w:t>
                  </w:r>
                </w:p>
              </w:tc>
              <w:tc>
                <w:tcPr>
                  <w:tcW w:w="629" w:type="dxa"/>
                  <w:tcBorders>
                    <w:tl2br w:val="nil"/>
                    <w:tr2bl w:val="nil"/>
                  </w:tcBorders>
                  <w:shd w:val="clear" w:color="auto" w:fill="auto"/>
                  <w:vAlign w:val="center"/>
                </w:tcPr>
                <w:p w14:paraId="4B6F0FB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122</w:t>
                  </w:r>
                </w:p>
              </w:tc>
              <w:tc>
                <w:tcPr>
                  <w:tcW w:w="798" w:type="dxa"/>
                  <w:tcBorders>
                    <w:tl2br w:val="nil"/>
                    <w:tr2bl w:val="nil"/>
                  </w:tcBorders>
                  <w:shd w:val="clear" w:color="auto" w:fill="auto"/>
                  <w:vAlign w:val="center"/>
                </w:tcPr>
                <w:p w14:paraId="0183DB1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108</w:t>
                  </w:r>
                </w:p>
              </w:tc>
              <w:tc>
                <w:tcPr>
                  <w:tcW w:w="726" w:type="dxa"/>
                  <w:tcBorders>
                    <w:tl2br w:val="nil"/>
                    <w:tr2bl w:val="nil"/>
                  </w:tcBorders>
                  <w:shd w:val="clear" w:color="auto" w:fill="auto"/>
                  <w:vAlign w:val="center"/>
                </w:tcPr>
                <w:p w14:paraId="4C0FE60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w:t>
                  </w:r>
                </w:p>
              </w:tc>
              <w:tc>
                <w:tcPr>
                  <w:tcW w:w="1183" w:type="dxa"/>
                  <w:tcBorders>
                    <w:tl2br w:val="nil"/>
                    <w:tr2bl w:val="nil"/>
                  </w:tcBorders>
                  <w:shd w:val="clear" w:color="auto" w:fill="auto"/>
                  <w:vAlign w:val="center"/>
                </w:tcPr>
                <w:p w14:paraId="396D5FED">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80</w:t>
                  </w:r>
                </w:p>
              </w:tc>
              <w:tc>
                <w:tcPr>
                  <w:tcW w:w="978" w:type="dxa"/>
                  <w:vMerge w:val="continue"/>
                  <w:tcBorders>
                    <w:tl2br w:val="nil"/>
                    <w:tr2bl w:val="nil"/>
                  </w:tcBorders>
                  <w:vAlign w:val="center"/>
                </w:tcPr>
                <w:p w14:paraId="4B5F05C5">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vAlign w:val="center"/>
                </w:tcPr>
                <w:p w14:paraId="1FBA92F3">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60</w:t>
                  </w:r>
                </w:p>
              </w:tc>
              <w:tc>
                <w:tcPr>
                  <w:tcW w:w="724" w:type="dxa"/>
                  <w:tcBorders>
                    <w:tl2br w:val="nil"/>
                    <w:tr2bl w:val="nil"/>
                  </w:tcBorders>
                  <w:shd w:val="clear" w:color="auto" w:fill="auto"/>
                  <w:vAlign w:val="center"/>
                </w:tcPr>
                <w:p w14:paraId="1AFCA654">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shd w:val="clear" w:color="auto" w:fill="auto"/>
                  <w:vAlign w:val="center"/>
                </w:tcPr>
                <w:p w14:paraId="5812D065">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67AF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9" w:type="dxa"/>
                  <w:tcBorders>
                    <w:tl2br w:val="nil"/>
                    <w:tr2bl w:val="nil"/>
                  </w:tcBorders>
                  <w:shd w:val="clear" w:color="auto" w:fill="auto"/>
                  <w:vAlign w:val="center"/>
                </w:tcPr>
                <w:p w14:paraId="3E84995A">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7</w:t>
                  </w:r>
                </w:p>
              </w:tc>
              <w:tc>
                <w:tcPr>
                  <w:tcW w:w="1005" w:type="dxa"/>
                  <w:tcBorders>
                    <w:tl2br w:val="nil"/>
                    <w:tr2bl w:val="nil"/>
                  </w:tcBorders>
                  <w:shd w:val="clear" w:color="auto" w:fill="auto"/>
                  <w:vAlign w:val="center"/>
                </w:tcPr>
                <w:p w14:paraId="6CF63CE2">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水洗滚筒筛</w:t>
                  </w:r>
                </w:p>
              </w:tc>
              <w:tc>
                <w:tcPr>
                  <w:tcW w:w="629" w:type="dxa"/>
                  <w:tcBorders>
                    <w:tl2br w:val="nil"/>
                    <w:tr2bl w:val="nil"/>
                  </w:tcBorders>
                  <w:vAlign w:val="center"/>
                </w:tcPr>
                <w:p w14:paraId="1679A73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111</w:t>
                  </w:r>
                </w:p>
              </w:tc>
              <w:tc>
                <w:tcPr>
                  <w:tcW w:w="798" w:type="dxa"/>
                  <w:tcBorders>
                    <w:tl2br w:val="nil"/>
                    <w:tr2bl w:val="nil"/>
                  </w:tcBorders>
                  <w:vAlign w:val="center"/>
                </w:tcPr>
                <w:p w14:paraId="4F1B4CF2">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100</w:t>
                  </w:r>
                </w:p>
              </w:tc>
              <w:tc>
                <w:tcPr>
                  <w:tcW w:w="726" w:type="dxa"/>
                  <w:tcBorders>
                    <w:tl2br w:val="nil"/>
                    <w:tr2bl w:val="nil"/>
                  </w:tcBorders>
                  <w:shd w:val="clear" w:color="auto" w:fill="auto"/>
                  <w:vAlign w:val="center"/>
                </w:tcPr>
                <w:p w14:paraId="683FF4A8">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0.5</w:t>
                  </w:r>
                </w:p>
              </w:tc>
              <w:tc>
                <w:tcPr>
                  <w:tcW w:w="1183" w:type="dxa"/>
                  <w:tcBorders>
                    <w:tl2br w:val="nil"/>
                    <w:tr2bl w:val="nil"/>
                  </w:tcBorders>
                  <w:shd w:val="clear" w:color="auto" w:fill="auto"/>
                  <w:vAlign w:val="center"/>
                </w:tcPr>
                <w:p w14:paraId="1275D7F6">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80</w:t>
                  </w:r>
                </w:p>
              </w:tc>
              <w:tc>
                <w:tcPr>
                  <w:tcW w:w="978" w:type="dxa"/>
                  <w:vMerge w:val="continue"/>
                  <w:tcBorders>
                    <w:tl2br w:val="nil"/>
                    <w:tr2bl w:val="nil"/>
                  </w:tcBorders>
                  <w:vAlign w:val="center"/>
                </w:tcPr>
                <w:p w14:paraId="25C69DF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shd w:val="clear" w:color="auto" w:fill="auto"/>
                  <w:vAlign w:val="center"/>
                </w:tcPr>
                <w:p w14:paraId="7E5FAD35">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60</w:t>
                  </w:r>
                </w:p>
              </w:tc>
              <w:tc>
                <w:tcPr>
                  <w:tcW w:w="724" w:type="dxa"/>
                  <w:tcBorders>
                    <w:tl2br w:val="nil"/>
                    <w:tr2bl w:val="nil"/>
                  </w:tcBorders>
                  <w:shd w:val="clear" w:color="auto" w:fill="auto"/>
                  <w:vAlign w:val="center"/>
                </w:tcPr>
                <w:p w14:paraId="146BB113">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shd w:val="clear" w:color="auto" w:fill="auto"/>
                  <w:vAlign w:val="center"/>
                </w:tcPr>
                <w:p w14:paraId="0BA667D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1F2D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79" w:type="dxa"/>
                  <w:tcBorders>
                    <w:tl2br w:val="nil"/>
                    <w:tr2bl w:val="nil"/>
                  </w:tcBorders>
                  <w:shd w:val="clear" w:color="auto" w:fill="auto"/>
                  <w:vAlign w:val="top"/>
                </w:tcPr>
                <w:p w14:paraId="3D2DD1C2">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w:t>
                  </w:r>
                </w:p>
              </w:tc>
              <w:tc>
                <w:tcPr>
                  <w:tcW w:w="1005" w:type="dxa"/>
                  <w:tcBorders>
                    <w:tl2br w:val="nil"/>
                    <w:tr2bl w:val="nil"/>
                  </w:tcBorders>
                  <w:shd w:val="clear" w:color="auto" w:fill="auto"/>
                  <w:vAlign w:val="center"/>
                </w:tcPr>
                <w:p w14:paraId="6D8F5588">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水泵</w:t>
                  </w:r>
                </w:p>
              </w:tc>
              <w:tc>
                <w:tcPr>
                  <w:tcW w:w="629" w:type="dxa"/>
                  <w:tcBorders>
                    <w:tl2br w:val="nil"/>
                    <w:tr2bl w:val="nil"/>
                  </w:tcBorders>
                  <w:vAlign w:val="center"/>
                </w:tcPr>
                <w:p w14:paraId="508BA2EF">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106</w:t>
                  </w:r>
                </w:p>
              </w:tc>
              <w:tc>
                <w:tcPr>
                  <w:tcW w:w="798" w:type="dxa"/>
                  <w:tcBorders>
                    <w:tl2br w:val="nil"/>
                    <w:tr2bl w:val="nil"/>
                  </w:tcBorders>
                  <w:vAlign w:val="center"/>
                </w:tcPr>
                <w:p w14:paraId="0234DA9F">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98</w:t>
                  </w:r>
                </w:p>
              </w:tc>
              <w:tc>
                <w:tcPr>
                  <w:tcW w:w="726" w:type="dxa"/>
                  <w:tcBorders>
                    <w:tl2br w:val="nil"/>
                    <w:tr2bl w:val="nil"/>
                  </w:tcBorders>
                  <w:shd w:val="clear" w:color="auto" w:fill="auto"/>
                  <w:vAlign w:val="center"/>
                </w:tcPr>
                <w:p w14:paraId="1848273D">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0.5</w:t>
                  </w:r>
                </w:p>
              </w:tc>
              <w:tc>
                <w:tcPr>
                  <w:tcW w:w="1183" w:type="dxa"/>
                  <w:tcBorders>
                    <w:tl2br w:val="nil"/>
                    <w:tr2bl w:val="nil"/>
                  </w:tcBorders>
                  <w:shd w:val="clear" w:color="auto" w:fill="auto"/>
                  <w:vAlign w:val="center"/>
                </w:tcPr>
                <w:p w14:paraId="77756F4F">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75</w:t>
                  </w:r>
                </w:p>
              </w:tc>
              <w:tc>
                <w:tcPr>
                  <w:tcW w:w="978" w:type="dxa"/>
                  <w:vMerge w:val="continue"/>
                  <w:tcBorders>
                    <w:tl2br w:val="nil"/>
                    <w:tr2bl w:val="nil"/>
                  </w:tcBorders>
                  <w:vAlign w:val="center"/>
                </w:tcPr>
                <w:p w14:paraId="45E1F061">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Borders>
                    <w:tl2br w:val="nil"/>
                    <w:tr2bl w:val="nil"/>
                  </w:tcBorders>
                  <w:shd w:val="clear" w:color="auto" w:fill="auto"/>
                  <w:vAlign w:val="center"/>
                </w:tcPr>
                <w:p w14:paraId="1FEA540C">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55</w:t>
                  </w:r>
                </w:p>
              </w:tc>
              <w:tc>
                <w:tcPr>
                  <w:tcW w:w="724" w:type="dxa"/>
                  <w:tcBorders>
                    <w:tl2br w:val="nil"/>
                    <w:tr2bl w:val="nil"/>
                  </w:tcBorders>
                  <w:shd w:val="clear" w:color="auto" w:fill="auto"/>
                  <w:vAlign w:val="center"/>
                </w:tcPr>
                <w:p w14:paraId="05CB679B">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693" w:type="dxa"/>
                  <w:tcBorders>
                    <w:tl2br w:val="nil"/>
                    <w:tr2bl w:val="nil"/>
                  </w:tcBorders>
                  <w:shd w:val="clear" w:color="auto" w:fill="auto"/>
                  <w:vAlign w:val="center"/>
                </w:tcPr>
                <w:p w14:paraId="2D1D8FA7">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5AC9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tcPr>
                <w:p w14:paraId="4611BD37">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9</w:t>
                  </w:r>
                </w:p>
              </w:tc>
              <w:tc>
                <w:tcPr>
                  <w:tcW w:w="0" w:type="auto"/>
                  <w:shd w:val="clear" w:color="auto" w:fill="auto"/>
                  <w:vAlign w:val="center"/>
                </w:tcPr>
                <w:p w14:paraId="31E51BBC">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分料机1</w:t>
                  </w:r>
                </w:p>
              </w:tc>
              <w:tc>
                <w:tcPr>
                  <w:tcW w:w="0" w:type="auto"/>
                </w:tcPr>
                <w:p w14:paraId="76A1AC8B">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120</w:t>
                  </w:r>
                </w:p>
              </w:tc>
              <w:tc>
                <w:tcPr>
                  <w:tcW w:w="0" w:type="auto"/>
                </w:tcPr>
                <w:p w14:paraId="4A7EB241">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96</w:t>
                  </w:r>
                </w:p>
              </w:tc>
              <w:tc>
                <w:tcPr>
                  <w:tcW w:w="0" w:type="auto"/>
                </w:tcPr>
                <w:p w14:paraId="5CCA245E">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w:t>
                  </w:r>
                </w:p>
              </w:tc>
              <w:tc>
                <w:tcPr>
                  <w:tcW w:w="0" w:type="auto"/>
                </w:tcPr>
                <w:p w14:paraId="53807BAA">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p>
              </w:tc>
              <w:tc>
                <w:tcPr>
                  <w:tcW w:w="978" w:type="dxa"/>
                  <w:vMerge w:val="continue"/>
                </w:tcPr>
                <w:p w14:paraId="284E201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Pr>
                <w:p w14:paraId="6F5D56FD">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65</w:t>
                  </w:r>
                </w:p>
              </w:tc>
              <w:tc>
                <w:tcPr>
                  <w:tcW w:w="0" w:type="auto"/>
                  <w:shd w:val="clear" w:color="auto" w:fill="auto"/>
                  <w:vAlign w:val="center"/>
                </w:tcPr>
                <w:p w14:paraId="6F757A96">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0" w:type="auto"/>
                  <w:shd w:val="clear" w:color="auto" w:fill="auto"/>
                  <w:vAlign w:val="center"/>
                </w:tcPr>
                <w:p w14:paraId="6136EE0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1601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tcPr>
                <w:p w14:paraId="62B4A948">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10</w:t>
                  </w:r>
                </w:p>
              </w:tc>
              <w:tc>
                <w:tcPr>
                  <w:tcW w:w="0" w:type="auto"/>
                  <w:shd w:val="clear" w:color="auto" w:fill="auto"/>
                  <w:vAlign w:val="center"/>
                </w:tcPr>
                <w:p w14:paraId="77E966D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分料机2</w:t>
                  </w:r>
                </w:p>
              </w:tc>
              <w:tc>
                <w:tcPr>
                  <w:tcW w:w="0" w:type="auto"/>
                </w:tcPr>
                <w:p w14:paraId="1C8484EC">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104</w:t>
                  </w:r>
                </w:p>
              </w:tc>
              <w:tc>
                <w:tcPr>
                  <w:tcW w:w="0" w:type="auto"/>
                </w:tcPr>
                <w:p w14:paraId="24565D81">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95</w:t>
                  </w:r>
                </w:p>
              </w:tc>
              <w:tc>
                <w:tcPr>
                  <w:tcW w:w="0" w:type="auto"/>
                </w:tcPr>
                <w:p w14:paraId="2274457A">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w:t>
                  </w:r>
                </w:p>
              </w:tc>
              <w:tc>
                <w:tcPr>
                  <w:tcW w:w="0" w:type="auto"/>
                </w:tcPr>
                <w:p w14:paraId="19A59731">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p>
              </w:tc>
              <w:tc>
                <w:tcPr>
                  <w:tcW w:w="978" w:type="dxa"/>
                  <w:vMerge w:val="continue"/>
                </w:tcPr>
                <w:p w14:paraId="0310BA92">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Pr>
                <w:p w14:paraId="6AA5D3D1">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65</w:t>
                  </w:r>
                </w:p>
              </w:tc>
              <w:tc>
                <w:tcPr>
                  <w:tcW w:w="0" w:type="auto"/>
                  <w:shd w:val="clear" w:color="auto" w:fill="auto"/>
                  <w:vAlign w:val="center"/>
                </w:tcPr>
                <w:p w14:paraId="3E5E49ED">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0" w:type="auto"/>
                  <w:shd w:val="clear" w:color="auto" w:fill="auto"/>
                  <w:vAlign w:val="center"/>
                </w:tcPr>
                <w:p w14:paraId="28658682">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r w14:paraId="5D72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0" w:type="auto"/>
                </w:tcPr>
                <w:p w14:paraId="31BA733B">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11</w:t>
                  </w:r>
                </w:p>
              </w:tc>
              <w:tc>
                <w:tcPr>
                  <w:tcW w:w="0" w:type="auto"/>
                  <w:shd w:val="clear" w:color="auto" w:fill="auto"/>
                  <w:vAlign w:val="center"/>
                </w:tcPr>
                <w:p w14:paraId="1641052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风机</w:t>
                  </w:r>
                </w:p>
              </w:tc>
              <w:tc>
                <w:tcPr>
                  <w:tcW w:w="0" w:type="auto"/>
                </w:tcPr>
                <w:p w14:paraId="112B2C9E">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125</w:t>
                  </w:r>
                </w:p>
              </w:tc>
              <w:tc>
                <w:tcPr>
                  <w:tcW w:w="0" w:type="auto"/>
                </w:tcPr>
                <w:p w14:paraId="40562EAF">
                  <w:pPr>
                    <w:jc w:val="cente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111</w:t>
                  </w:r>
                </w:p>
              </w:tc>
              <w:tc>
                <w:tcPr>
                  <w:tcW w:w="0" w:type="auto"/>
                </w:tcPr>
                <w:p w14:paraId="330701C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w:t>
                  </w:r>
                </w:p>
              </w:tc>
              <w:tc>
                <w:tcPr>
                  <w:tcW w:w="0" w:type="auto"/>
                </w:tcPr>
                <w:p w14:paraId="4A9B97F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90</w:t>
                  </w:r>
                </w:p>
              </w:tc>
              <w:tc>
                <w:tcPr>
                  <w:tcW w:w="978" w:type="dxa"/>
                  <w:vMerge w:val="continue"/>
                </w:tcPr>
                <w:p w14:paraId="22BAB2B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121" w:type="dxa"/>
                </w:tcPr>
                <w:p w14:paraId="0FB676D9">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75</w:t>
                  </w:r>
                </w:p>
              </w:tc>
              <w:tc>
                <w:tcPr>
                  <w:tcW w:w="0" w:type="auto"/>
                  <w:shd w:val="clear" w:color="auto" w:fill="auto"/>
                  <w:vAlign w:val="center"/>
                </w:tcPr>
                <w:p w14:paraId="65D3926B">
                  <w:pPr>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lang w:val="en-US" w:eastAsia="zh-CN"/>
                      <w14:textFill>
                        <w14:solidFill>
                          <w14:schemeClr w14:val="tx1"/>
                        </w14:solidFill>
                      </w14:textFill>
                    </w:rPr>
                    <w:t>昼间</w:t>
                  </w:r>
                </w:p>
              </w:tc>
              <w:tc>
                <w:tcPr>
                  <w:tcW w:w="0" w:type="auto"/>
                  <w:shd w:val="clear" w:color="auto" w:fill="auto"/>
                  <w:vAlign w:val="center"/>
                </w:tcPr>
                <w:p w14:paraId="3454B28C">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连续</w:t>
                  </w:r>
                </w:p>
              </w:tc>
            </w:tr>
          </w:tbl>
          <w:p w14:paraId="06A90831">
            <w:pPr>
              <w:adjustRightInd w:val="0"/>
              <w:snapToGrid w:val="0"/>
              <w:spacing w:line="360" w:lineRule="auto"/>
              <w:ind w:left="0" w:leftChars="0"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表中坐标以</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厂界西南角</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中心为坐标原点，正东向为X轴正方向，正北向为Y轴正方向。</w:t>
            </w:r>
          </w:p>
          <w:p w14:paraId="372C97BD">
            <w:pPr>
              <w:spacing w:line="360" w:lineRule="auto"/>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2.本项目噪声源强来源于设备厂家提供的设备噪声资料和《环境噪声与振动控制工程技术导则》（HJ2034—2013）附录A表A.1常见环境噪声污染源及其声功率级一览表。</w:t>
            </w:r>
          </w:p>
          <w:p w14:paraId="0799EC18">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t>（2）</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达标情况分析</w:t>
            </w:r>
          </w:p>
          <w:p w14:paraId="78DABD42">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1预测模式</w:t>
            </w:r>
          </w:p>
          <w:p w14:paraId="393CD8FE">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声环境》</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HJ2.4-2021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的要求，采用如下模式：</w:t>
            </w:r>
          </w:p>
          <w:p w14:paraId="2C3DB660">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①室内声源</w:t>
            </w:r>
          </w:p>
          <w:p w14:paraId="70755A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首先，设靠近开口处（或窗户）室内、室外某倍频带的声压级或A声级分别为Lp</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和Lp</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，如图4-1所示。</w:t>
            </w:r>
          </w:p>
          <w:p w14:paraId="2BEF4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312160" cy="1584325"/>
                  <wp:effectExtent l="0" t="0" r="2540" b="15875"/>
                  <wp:docPr id="1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
                          <pic:cNvPicPr>
                            <a:picLocks noChangeAspect="1"/>
                          </pic:cNvPicPr>
                        </pic:nvPicPr>
                        <pic:blipFill>
                          <a:blip r:embed="rId17"/>
                          <a:stretch>
                            <a:fillRect/>
                          </a:stretch>
                        </pic:blipFill>
                        <pic:spPr>
                          <a:xfrm>
                            <a:off x="0" y="0"/>
                            <a:ext cx="3312160" cy="1584325"/>
                          </a:xfrm>
                          <a:prstGeom prst="rect">
                            <a:avLst/>
                          </a:prstGeom>
                          <a:noFill/>
                          <a:ln>
                            <a:noFill/>
                          </a:ln>
                        </pic:spPr>
                      </pic:pic>
                    </a:graphicData>
                  </a:graphic>
                </wp:inline>
              </w:drawing>
            </w:r>
          </w:p>
          <w:p w14:paraId="6ACE4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图4-1  室内声源等效为室外声源的图例</w:t>
            </w:r>
          </w:p>
          <w:p w14:paraId="2217CF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按照式（4-1）计算某一室内声源靠近围护结构处产生的倍频带声压级或A声级：</w:t>
            </w:r>
          </w:p>
          <w:p w14:paraId="0EEF7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position w:val="-28"/>
                <w:sz w:val="24"/>
                <w:szCs w:val="24"/>
                <w:highlight w:val="none"/>
                <w:vertAlign w:val="baseline"/>
                <w:lang w:val="en-US" w:eastAsia="zh-CN" w:bidi="ar"/>
                <w14:textFill>
                  <w14:solidFill>
                    <w14:schemeClr w14:val="tx1"/>
                  </w14:solidFill>
                </w14:textFill>
              </w:rPr>
              <w:object>
                <v:shape id="_x0000_i1026" o:spt="75" type="#_x0000_t75" style="height:34pt;width:132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 xml:space="preserve">                         （4-1）</w:t>
            </w:r>
          </w:p>
          <w:p w14:paraId="178B4C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式中：L</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bidi="ar"/>
                <w14:textFill>
                  <w14:solidFill>
                    <w14:schemeClr w14:val="tx1"/>
                  </w14:solidFill>
                </w14:textFill>
              </w:rPr>
              <w:t>p1</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——靠近开口处（或窗户）室内某倍频带的声压级或A声级，dB；</w:t>
            </w:r>
          </w:p>
          <w:p w14:paraId="1355F1DD">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L</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bidi="ar"/>
                <w14:textFill>
                  <w14:solidFill>
                    <w14:schemeClr w14:val="tx1"/>
                  </w14:solidFill>
                </w14:textFill>
              </w:rPr>
              <w:t>w</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——点声源声功率级（A计权或倍频带），dB；</w:t>
            </w:r>
          </w:p>
          <w:p w14:paraId="6348DDBF">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Q——指向性因数；通常对无指向性声源，当声源放在房间中心时，Q=1；当放在一面墙的中心时，Q=2；当放在两面墙夹角处时，Q=4；当放在三面墙夹角处时，Q=8；</w:t>
            </w:r>
          </w:p>
          <w:p w14:paraId="3BF331F2">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R——房间常数；R=Sα/（1-α），S为房间内表面面积，m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；α为平均吸声系数；</w:t>
            </w:r>
          </w:p>
          <w:p w14:paraId="79EFE3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然后按式（4-2）计算出所有室内声源在围护结构处产生的i倍频带叠加声压级：</w:t>
            </w:r>
          </w:p>
          <w:p w14:paraId="128A5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32"/>
                <w:sz w:val="24"/>
                <w:szCs w:val="24"/>
                <w:highlight w:val="none"/>
                <w:vertAlign w:val="baseline"/>
                <w:lang w:val="en-US" w:eastAsia="zh-CN"/>
                <w14:textFill>
                  <w14:solidFill>
                    <w14:schemeClr w14:val="tx1"/>
                  </w14:solidFill>
                </w14:textFill>
              </w:rPr>
              <w:object>
                <v:shape id="_x0000_i1027" o:spt="75" type="#_x0000_t75" style="height:38pt;width:132.95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4-2）</w:t>
            </w:r>
          </w:p>
          <w:p w14:paraId="31AA6B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（T）——靠近围护结构处室内N个声源i倍频带的叠加声压级，dB；</w:t>
            </w:r>
          </w:p>
          <w:p w14:paraId="7305139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p1ij</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——室内j声源i倍频带的声压级，dB；</w:t>
            </w:r>
          </w:p>
          <w:p w14:paraId="03C1E61C">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N——室内声源总数。</w:t>
            </w:r>
          </w:p>
          <w:p w14:paraId="2FA4E8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在室内近似为扩散声场时，按式（4-3）计算出靠近室外围护结构处的声压级：</w:t>
            </w:r>
          </w:p>
          <w:p w14:paraId="56FAA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2"/>
                <w:sz w:val="24"/>
                <w:szCs w:val="24"/>
                <w:highlight w:val="none"/>
                <w:vertAlign w:val="baseline"/>
                <w:lang w:val="en-US" w:eastAsia="zh-CN"/>
                <w14:textFill>
                  <w14:solidFill>
                    <w14:schemeClr w14:val="tx1"/>
                  </w14:solidFill>
                </w14:textFill>
              </w:rPr>
              <w:object>
                <v:shape id="_x0000_i1028" o:spt="75" type="#_x0000_t75" style="height:18pt;width:132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4-3）</w:t>
            </w:r>
          </w:p>
          <w:p w14:paraId="654F65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p2i</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（T）——靠近围护结构处室外N个声源i倍频带的叠加声压级，dB；</w:t>
            </w:r>
          </w:p>
          <w:p w14:paraId="7AE0ADCE">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（T）——靠近围护结构处室内N个声源i倍频带的叠加声压级，dB；</w:t>
            </w:r>
          </w:p>
          <w:p w14:paraId="4D6A9A18">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——围护结构i倍频带的隔声量，dB。</w:t>
            </w:r>
          </w:p>
          <w:p w14:paraId="6B88EE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然后按式（4-4）将室外声源的声压级和透过面积换算成等效的室外声源，计算出中心位置位于透声面积（S）处的等效声源的倍频带声功率级。</w:t>
            </w:r>
          </w:p>
          <w:p w14:paraId="507C8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4"/>
                <w:sz w:val="24"/>
                <w:szCs w:val="24"/>
                <w:highlight w:val="none"/>
                <w:lang w:val="en-US" w:eastAsia="zh-CN"/>
                <w14:textFill>
                  <w14:solidFill>
                    <w14:schemeClr w14:val="tx1"/>
                  </w14:solidFill>
                </w14:textFill>
              </w:rPr>
              <w:object>
                <v:shape id="_x0000_i1029" o:spt="75" type="#_x0000_t75" style="height:19pt;width:100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4-4）</w:t>
            </w:r>
          </w:p>
          <w:p w14:paraId="24F68E46">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——中心位置位于透声面积（S）处的等效声源的倍频带声功率级，dB；</w:t>
            </w:r>
          </w:p>
          <w:p w14:paraId="746F1CA9">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（T）——靠近围护结构处室外声源的声压级，dB；</w:t>
            </w:r>
          </w:p>
          <w:p w14:paraId="335C7210">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S——透声面积，m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C3F73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②室外声源</w:t>
            </w:r>
          </w:p>
          <w:p w14:paraId="5B93D8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按室外声源预测方法计算预测点处的A声级。本次室外噪声预测只考虑距离衰减，计算公式见（4-5）。</w:t>
            </w:r>
          </w:p>
          <w:p w14:paraId="45324FB2">
            <w:pPr>
              <w:keepNext w:val="0"/>
              <w:keepLines w:val="0"/>
              <w:pageBreakBefore w:val="0"/>
              <w:widowControl/>
              <w:suppressLineNumbers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12"/>
                <w:sz w:val="24"/>
                <w:szCs w:val="24"/>
                <w:highlight w:val="none"/>
                <w:lang w:val="en-US" w:eastAsia="zh-CN"/>
                <w14:textFill>
                  <w14:solidFill>
                    <w14:schemeClr w14:val="tx1"/>
                  </w14:solidFill>
                </w14:textFill>
              </w:rPr>
              <w:object>
                <v:shape id="_x0000_i1030" o:spt="75" type="#_x0000_t75" style="height:18pt;width:103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4-5）</w:t>
            </w:r>
          </w:p>
          <w:p w14:paraId="533B52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（r）——预测点处声压级，dB；</w:t>
            </w:r>
          </w:p>
          <w:p w14:paraId="23B57B9B">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——由点声源产生的倍频带声功率级，dB；</w:t>
            </w:r>
          </w:p>
          <w:p w14:paraId="4AC2CCEB">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r——预测点距声源的距离。</w:t>
            </w:r>
          </w:p>
          <w:p w14:paraId="1DA21E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然后按式</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（4-6）计算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声源在预测点产生的噪声贡献值。</w:t>
            </w:r>
          </w:p>
          <w:p w14:paraId="1DCECA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30"/>
                <w:sz w:val="24"/>
                <w:szCs w:val="24"/>
                <w:highlight w:val="none"/>
                <w:lang w:val="en-US" w:eastAsia="zh-CN"/>
                <w14:textFill>
                  <w14:solidFill>
                    <w14:schemeClr w14:val="tx1"/>
                  </w14:solidFill>
                </w14:textFill>
              </w:rPr>
              <w:object>
                <v:shape id="_x0000_i1031" o:spt="75" type="#_x0000_t75" style="height:36pt;width:130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r>
              <w:rPr>
                <w:rFonts w:hint="default" w:ascii="Times New Roman" w:hAnsi="Times New Roman" w:eastAsia="宋体" w:cs="Times New Roman"/>
                <w:color w:val="000000" w:themeColor="text1"/>
                <w:position w:val="-3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（4-6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p>
          <w:p w14:paraId="132ED4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式中：Leqg——建设项目声源在预测点产生的噪声贡献值，dB；</w:t>
            </w:r>
          </w:p>
          <w:p w14:paraId="3C7C5A6F">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LAi——各噪声源在预测点r处产生的A声级，dB；</w:t>
            </w:r>
          </w:p>
          <w:p w14:paraId="449567A1">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N——室外声源个数；</w:t>
            </w:r>
          </w:p>
          <w:p w14:paraId="23995B6A">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——在T时间内i声源工作时间，s；</w:t>
            </w:r>
          </w:p>
          <w:p w14:paraId="5508B812">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T——计算时间，s。</w:t>
            </w:r>
          </w:p>
          <w:p w14:paraId="6080A6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然后按式（4-7）计算敏感点的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噪声预测值。</w:t>
            </w:r>
          </w:p>
          <w:p w14:paraId="34345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14"/>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4"/>
                <w:sz w:val="24"/>
                <w:szCs w:val="24"/>
                <w:highlight w:val="none"/>
                <w:lang w:val="en-US" w:eastAsia="zh-CN"/>
                <w14:textFill>
                  <w14:solidFill>
                    <w14:schemeClr w14:val="tx1"/>
                  </w14:solidFill>
                </w14:textFill>
              </w:rPr>
              <w:object>
                <v:shape id="_x0000_i1032" o:spt="75" type="#_x0000_t75" style="height:21pt;width:134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r>
              <w:rPr>
                <w:rFonts w:hint="default" w:ascii="Times New Roman" w:hAnsi="Times New Roman" w:eastAsia="宋体" w:cs="Times New Roman"/>
                <w:color w:val="000000" w:themeColor="text1"/>
                <w:position w:val="-14"/>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（4-</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7）</w:t>
            </w:r>
          </w:p>
          <w:p w14:paraId="118CB0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highlight w:val="none"/>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highlight w:val="none"/>
                <w:vertAlign w:val="subscript"/>
                <w:lang w:val="en-US" w:eastAsia="zh-CN" w:bidi="ar"/>
                <w14:textFill>
                  <w14:solidFill>
                    <w14:schemeClr w14:val="tx1"/>
                  </w14:solidFill>
                </w14:textFill>
              </w:rPr>
              <w:t>eq</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——预测点的噪声预测值，dB；</w:t>
            </w:r>
          </w:p>
          <w:p w14:paraId="71051113">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kern w:val="0"/>
                <w:sz w:val="24"/>
                <w:szCs w:val="24"/>
                <w:highlight w:val="none"/>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highlight w:val="none"/>
                <w:vertAlign w:val="subscript"/>
                <w:lang w:val="en-US" w:eastAsia="zh-CN" w:bidi="ar"/>
                <w14:textFill>
                  <w14:solidFill>
                    <w14:schemeClr w14:val="tx1"/>
                  </w14:solidFill>
                </w14:textFill>
              </w:rPr>
              <w:t>eqg</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——建设项目声源在预测点产生的噪声贡献值，dB；</w:t>
            </w:r>
          </w:p>
          <w:p w14:paraId="5B0D4F1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kern w:val="0"/>
                <w:sz w:val="24"/>
                <w:szCs w:val="24"/>
                <w:highlight w:val="none"/>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highlight w:val="none"/>
                <w:vertAlign w:val="subscript"/>
                <w:lang w:val="en-US" w:eastAsia="zh-CN" w:bidi="ar"/>
                <w14:textFill>
                  <w14:solidFill>
                    <w14:schemeClr w14:val="tx1"/>
                  </w14:solidFill>
                </w14:textFill>
              </w:rPr>
              <w:t>eqb</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——预测点的背景噪声值，dB。</w:t>
            </w:r>
          </w:p>
          <w:p w14:paraId="34463B4B">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本项目厂界噪声贡献值预测情况见表4-</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5。</w:t>
            </w:r>
          </w:p>
          <w:p w14:paraId="72FF2A0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t>表4-</w:t>
            </w:r>
            <w:r>
              <w:rPr>
                <w:rFonts w:hint="eastAsia"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t>5</w:t>
            </w:r>
            <w: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t xml:space="preserve">  厂界噪声贡献值计算结果一览表</w:t>
            </w:r>
          </w:p>
          <w:tbl>
            <w:tblPr>
              <w:tblStyle w:val="25"/>
              <w:tblW w:w="8338"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517"/>
              <w:gridCol w:w="1331"/>
              <w:gridCol w:w="1332"/>
              <w:gridCol w:w="1079"/>
              <w:gridCol w:w="1081"/>
              <w:gridCol w:w="1173"/>
            </w:tblGrid>
            <w:tr w14:paraId="285B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vMerge w:val="restart"/>
                  <w:tcBorders>
                    <w:tl2br w:val="nil"/>
                    <w:tr2bl w:val="nil"/>
                  </w:tcBorders>
                  <w:noWrap w:val="0"/>
                  <w:vAlign w:val="center"/>
                </w:tcPr>
                <w:p w14:paraId="0EB37559">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序号</w:t>
                  </w:r>
                </w:p>
              </w:tc>
              <w:tc>
                <w:tcPr>
                  <w:tcW w:w="909" w:type="pct"/>
                  <w:vMerge w:val="restart"/>
                  <w:tcBorders>
                    <w:tl2br w:val="nil"/>
                    <w:tr2bl w:val="nil"/>
                  </w:tcBorders>
                  <w:noWrap w:val="0"/>
                  <w:vAlign w:val="center"/>
                </w:tcPr>
                <w:p w14:paraId="5C3246C2">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预测点</w:t>
                  </w:r>
                </w:p>
              </w:tc>
              <w:tc>
                <w:tcPr>
                  <w:tcW w:w="1596" w:type="pct"/>
                  <w:gridSpan w:val="2"/>
                  <w:tcBorders>
                    <w:tl2br w:val="nil"/>
                    <w:tr2bl w:val="nil"/>
                  </w:tcBorders>
                  <w:noWrap w:val="0"/>
                  <w:vAlign w:val="center"/>
                </w:tcPr>
                <w:p w14:paraId="575F2A3A">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贡献值/dB（A）</w:t>
                  </w:r>
                </w:p>
              </w:tc>
              <w:tc>
                <w:tcPr>
                  <w:tcW w:w="1295" w:type="pct"/>
                  <w:gridSpan w:val="2"/>
                  <w:tcBorders>
                    <w:tl2br w:val="nil"/>
                    <w:tr2bl w:val="nil"/>
                  </w:tcBorders>
                  <w:noWrap w:val="0"/>
                  <w:vAlign w:val="center"/>
                </w:tcPr>
                <w:p w14:paraId="54E4F97E">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标准限值/dB（A）</w:t>
                  </w:r>
                </w:p>
              </w:tc>
              <w:tc>
                <w:tcPr>
                  <w:tcW w:w="703" w:type="pct"/>
                  <w:vMerge w:val="restart"/>
                  <w:tcBorders>
                    <w:tl2br w:val="nil"/>
                    <w:tr2bl w:val="nil"/>
                  </w:tcBorders>
                  <w:noWrap w:val="0"/>
                  <w:vAlign w:val="center"/>
                </w:tcPr>
                <w:p w14:paraId="5AD5B236">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达标情况</w:t>
                  </w:r>
                </w:p>
              </w:tc>
            </w:tr>
            <w:tr w14:paraId="5E9D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vMerge w:val="continue"/>
                  <w:tcBorders>
                    <w:tl2br w:val="nil"/>
                    <w:tr2bl w:val="nil"/>
                  </w:tcBorders>
                  <w:noWrap w:val="0"/>
                  <w:vAlign w:val="center"/>
                </w:tcPr>
                <w:p w14:paraId="0589A1EA">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909" w:type="pct"/>
                  <w:vMerge w:val="continue"/>
                  <w:tcBorders>
                    <w:tl2br w:val="nil"/>
                    <w:tr2bl w:val="nil"/>
                  </w:tcBorders>
                  <w:noWrap w:val="0"/>
                  <w:vAlign w:val="center"/>
                </w:tcPr>
                <w:p w14:paraId="769F1365">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798" w:type="pct"/>
                  <w:tcBorders>
                    <w:tl2br w:val="nil"/>
                    <w:tr2bl w:val="nil"/>
                  </w:tcBorders>
                  <w:noWrap w:val="0"/>
                  <w:vAlign w:val="center"/>
                </w:tcPr>
                <w:p w14:paraId="714ECFC4">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昼间</w:t>
                  </w:r>
                </w:p>
              </w:tc>
              <w:tc>
                <w:tcPr>
                  <w:tcW w:w="798" w:type="pct"/>
                  <w:tcBorders>
                    <w:tl2br w:val="nil"/>
                    <w:tr2bl w:val="nil"/>
                  </w:tcBorders>
                  <w:noWrap w:val="0"/>
                  <w:vAlign w:val="center"/>
                </w:tcPr>
                <w:p w14:paraId="524DA770">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夜间</w:t>
                  </w:r>
                </w:p>
              </w:tc>
              <w:tc>
                <w:tcPr>
                  <w:tcW w:w="647" w:type="pct"/>
                  <w:tcBorders>
                    <w:tl2br w:val="nil"/>
                    <w:tr2bl w:val="nil"/>
                  </w:tcBorders>
                  <w:noWrap w:val="0"/>
                  <w:vAlign w:val="center"/>
                </w:tcPr>
                <w:p w14:paraId="7C065A12">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昼间</w:t>
                  </w:r>
                </w:p>
              </w:tc>
              <w:tc>
                <w:tcPr>
                  <w:tcW w:w="648" w:type="pct"/>
                  <w:tcBorders>
                    <w:tl2br w:val="nil"/>
                    <w:tr2bl w:val="nil"/>
                  </w:tcBorders>
                  <w:noWrap w:val="0"/>
                  <w:vAlign w:val="center"/>
                </w:tcPr>
                <w:p w14:paraId="468A2FC3">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夜间</w:t>
                  </w:r>
                </w:p>
              </w:tc>
              <w:tc>
                <w:tcPr>
                  <w:tcW w:w="703" w:type="pct"/>
                  <w:vMerge w:val="continue"/>
                  <w:tcBorders>
                    <w:tl2br w:val="nil"/>
                    <w:tr2bl w:val="nil"/>
                  </w:tcBorders>
                  <w:noWrap w:val="0"/>
                  <w:vAlign w:val="center"/>
                </w:tcPr>
                <w:p w14:paraId="5B391E22">
                  <w:pPr>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r>
            <w:tr w14:paraId="7329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tcBorders>
                    <w:tl2br w:val="nil"/>
                    <w:tr2bl w:val="nil"/>
                  </w:tcBorders>
                  <w:noWrap w:val="0"/>
                  <w:vAlign w:val="center"/>
                </w:tcPr>
                <w:p w14:paraId="105FE7AA">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909" w:type="pct"/>
                  <w:tcBorders>
                    <w:tl2br w:val="nil"/>
                    <w:tr2bl w:val="nil"/>
                  </w:tcBorders>
                  <w:noWrap w:val="0"/>
                  <w:vAlign w:val="center"/>
                </w:tcPr>
                <w:p w14:paraId="7E04FF9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东侧厂界</w:t>
                  </w:r>
                </w:p>
              </w:tc>
              <w:tc>
                <w:tcPr>
                  <w:tcW w:w="798" w:type="pct"/>
                  <w:tcBorders>
                    <w:tl2br w:val="nil"/>
                    <w:tr2bl w:val="nil"/>
                  </w:tcBorders>
                  <w:noWrap w:val="0"/>
                  <w:vAlign w:val="center"/>
                </w:tcPr>
                <w:p w14:paraId="0D4CB881">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53</w:t>
                  </w:r>
                </w:p>
              </w:tc>
              <w:tc>
                <w:tcPr>
                  <w:tcW w:w="798" w:type="pct"/>
                  <w:tcBorders>
                    <w:tl2br w:val="nil"/>
                    <w:tr2bl w:val="nil"/>
                  </w:tcBorders>
                  <w:shd w:val="clear" w:color="auto" w:fill="auto"/>
                  <w:noWrap w:val="0"/>
                  <w:vAlign w:val="center"/>
                </w:tcPr>
                <w:p w14:paraId="1ABA3286">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647" w:type="pct"/>
                  <w:tcBorders>
                    <w:tl2br w:val="nil"/>
                    <w:tr2bl w:val="nil"/>
                  </w:tcBorders>
                  <w:noWrap w:val="0"/>
                  <w:vAlign w:val="center"/>
                </w:tcPr>
                <w:p w14:paraId="77F851CC">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60</w:t>
                  </w:r>
                </w:p>
              </w:tc>
              <w:tc>
                <w:tcPr>
                  <w:tcW w:w="648" w:type="pct"/>
                  <w:tcBorders>
                    <w:tl2br w:val="nil"/>
                    <w:tr2bl w:val="nil"/>
                  </w:tcBorders>
                  <w:shd w:val="clear" w:color="auto" w:fill="auto"/>
                  <w:noWrap w:val="0"/>
                  <w:vAlign w:val="center"/>
                </w:tcPr>
                <w:p w14:paraId="65ABCEC4">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703" w:type="pct"/>
                  <w:tcBorders>
                    <w:tl2br w:val="nil"/>
                    <w:tr2bl w:val="nil"/>
                  </w:tcBorders>
                  <w:noWrap w:val="0"/>
                  <w:vAlign w:val="center"/>
                </w:tcPr>
                <w:p w14:paraId="70F054E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7B16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tcBorders>
                    <w:tl2br w:val="nil"/>
                    <w:tr2bl w:val="nil"/>
                  </w:tcBorders>
                  <w:noWrap w:val="0"/>
                  <w:vAlign w:val="center"/>
                </w:tcPr>
                <w:p w14:paraId="739D2E4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909" w:type="pct"/>
                  <w:tcBorders>
                    <w:tl2br w:val="nil"/>
                    <w:tr2bl w:val="nil"/>
                  </w:tcBorders>
                  <w:noWrap w:val="0"/>
                  <w:vAlign w:val="center"/>
                </w:tcPr>
                <w:p w14:paraId="74BD3DE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南侧厂界</w:t>
                  </w:r>
                </w:p>
              </w:tc>
              <w:tc>
                <w:tcPr>
                  <w:tcW w:w="798" w:type="pct"/>
                  <w:tcBorders>
                    <w:tl2br w:val="nil"/>
                    <w:tr2bl w:val="nil"/>
                  </w:tcBorders>
                  <w:noWrap w:val="0"/>
                  <w:vAlign w:val="center"/>
                </w:tcPr>
                <w:p w14:paraId="0655C07A">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w:t>
                  </w:r>
                </w:p>
              </w:tc>
              <w:tc>
                <w:tcPr>
                  <w:tcW w:w="798" w:type="pct"/>
                  <w:tcBorders>
                    <w:tl2br w:val="nil"/>
                    <w:tr2bl w:val="nil"/>
                  </w:tcBorders>
                  <w:shd w:val="clear" w:color="auto" w:fill="auto"/>
                  <w:noWrap w:val="0"/>
                  <w:vAlign w:val="center"/>
                </w:tcPr>
                <w:p w14:paraId="3BC1B455">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647" w:type="pct"/>
                  <w:tcBorders>
                    <w:tl2br w:val="nil"/>
                    <w:tr2bl w:val="nil"/>
                  </w:tcBorders>
                  <w:shd w:val="clear" w:color="auto" w:fill="auto"/>
                  <w:noWrap w:val="0"/>
                  <w:vAlign w:val="center"/>
                </w:tcPr>
                <w:p w14:paraId="2310CCE9">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60</w:t>
                  </w:r>
                </w:p>
              </w:tc>
              <w:tc>
                <w:tcPr>
                  <w:tcW w:w="648" w:type="pct"/>
                  <w:tcBorders>
                    <w:tl2br w:val="nil"/>
                    <w:tr2bl w:val="nil"/>
                  </w:tcBorders>
                  <w:shd w:val="clear" w:color="auto" w:fill="auto"/>
                  <w:noWrap w:val="0"/>
                  <w:vAlign w:val="center"/>
                </w:tcPr>
                <w:p w14:paraId="53503B37">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703" w:type="pct"/>
                  <w:tcBorders>
                    <w:tl2br w:val="nil"/>
                    <w:tr2bl w:val="nil"/>
                  </w:tcBorders>
                  <w:noWrap w:val="0"/>
                  <w:vAlign w:val="center"/>
                </w:tcPr>
                <w:p w14:paraId="48A0DB4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7DC8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tcBorders>
                    <w:tl2br w:val="nil"/>
                    <w:tr2bl w:val="nil"/>
                  </w:tcBorders>
                  <w:noWrap w:val="0"/>
                  <w:vAlign w:val="center"/>
                </w:tcPr>
                <w:p w14:paraId="04142EA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909" w:type="pct"/>
                  <w:tcBorders>
                    <w:tl2br w:val="nil"/>
                    <w:tr2bl w:val="nil"/>
                  </w:tcBorders>
                  <w:noWrap w:val="0"/>
                  <w:vAlign w:val="center"/>
                </w:tcPr>
                <w:p w14:paraId="0157A48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西侧厂界</w:t>
                  </w:r>
                </w:p>
              </w:tc>
              <w:tc>
                <w:tcPr>
                  <w:tcW w:w="798" w:type="pct"/>
                  <w:tcBorders>
                    <w:tl2br w:val="nil"/>
                    <w:tr2bl w:val="nil"/>
                  </w:tcBorders>
                  <w:noWrap w:val="0"/>
                  <w:vAlign w:val="center"/>
                </w:tcPr>
                <w:p w14:paraId="03716220">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55</w:t>
                  </w:r>
                </w:p>
              </w:tc>
              <w:tc>
                <w:tcPr>
                  <w:tcW w:w="798" w:type="pct"/>
                  <w:tcBorders>
                    <w:tl2br w:val="nil"/>
                    <w:tr2bl w:val="nil"/>
                  </w:tcBorders>
                  <w:shd w:val="clear" w:color="auto" w:fill="auto"/>
                  <w:noWrap w:val="0"/>
                  <w:vAlign w:val="center"/>
                </w:tcPr>
                <w:p w14:paraId="094675ED">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647" w:type="pct"/>
                  <w:tcBorders>
                    <w:tl2br w:val="nil"/>
                    <w:tr2bl w:val="nil"/>
                  </w:tcBorders>
                  <w:shd w:val="clear" w:color="auto" w:fill="auto"/>
                  <w:noWrap w:val="0"/>
                  <w:vAlign w:val="center"/>
                </w:tcPr>
                <w:p w14:paraId="1D624C2F">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60</w:t>
                  </w:r>
                </w:p>
              </w:tc>
              <w:tc>
                <w:tcPr>
                  <w:tcW w:w="648" w:type="pct"/>
                  <w:tcBorders>
                    <w:tl2br w:val="nil"/>
                    <w:tr2bl w:val="nil"/>
                  </w:tcBorders>
                  <w:shd w:val="clear" w:color="auto" w:fill="auto"/>
                  <w:noWrap w:val="0"/>
                  <w:vAlign w:val="center"/>
                </w:tcPr>
                <w:p w14:paraId="3AD38076">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703" w:type="pct"/>
                  <w:tcBorders>
                    <w:tl2br w:val="nil"/>
                    <w:tr2bl w:val="nil"/>
                  </w:tcBorders>
                  <w:noWrap w:val="0"/>
                  <w:vAlign w:val="center"/>
                </w:tcPr>
                <w:p w14:paraId="4D81064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6351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94" w:type="pct"/>
                  <w:tcBorders>
                    <w:tl2br w:val="nil"/>
                    <w:tr2bl w:val="nil"/>
                  </w:tcBorders>
                  <w:noWrap w:val="0"/>
                  <w:vAlign w:val="center"/>
                </w:tcPr>
                <w:p w14:paraId="282EE1F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p>
              </w:tc>
              <w:tc>
                <w:tcPr>
                  <w:tcW w:w="909" w:type="pct"/>
                  <w:tcBorders>
                    <w:tl2br w:val="nil"/>
                    <w:tr2bl w:val="nil"/>
                  </w:tcBorders>
                  <w:noWrap w:val="0"/>
                  <w:vAlign w:val="center"/>
                </w:tcPr>
                <w:p w14:paraId="29FAD20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北侧厂界</w:t>
                  </w:r>
                </w:p>
              </w:tc>
              <w:tc>
                <w:tcPr>
                  <w:tcW w:w="798" w:type="pct"/>
                  <w:tcBorders>
                    <w:tl2br w:val="nil"/>
                    <w:tr2bl w:val="nil"/>
                  </w:tcBorders>
                  <w:noWrap w:val="0"/>
                  <w:vAlign w:val="center"/>
                </w:tcPr>
                <w:p w14:paraId="5523AAD8">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40</w:t>
                  </w:r>
                </w:p>
              </w:tc>
              <w:tc>
                <w:tcPr>
                  <w:tcW w:w="798" w:type="pct"/>
                  <w:tcBorders>
                    <w:tl2br w:val="nil"/>
                    <w:tr2bl w:val="nil"/>
                  </w:tcBorders>
                  <w:shd w:val="clear" w:color="auto" w:fill="auto"/>
                  <w:noWrap w:val="0"/>
                  <w:vAlign w:val="center"/>
                </w:tcPr>
                <w:p w14:paraId="63C35671">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647" w:type="pct"/>
                  <w:tcBorders>
                    <w:tl2br w:val="nil"/>
                    <w:tr2bl w:val="nil"/>
                  </w:tcBorders>
                  <w:shd w:val="clear" w:color="auto" w:fill="auto"/>
                  <w:noWrap w:val="0"/>
                  <w:vAlign w:val="center"/>
                </w:tcPr>
                <w:p w14:paraId="67B7EDD5">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60</w:t>
                  </w:r>
                </w:p>
              </w:tc>
              <w:tc>
                <w:tcPr>
                  <w:tcW w:w="648" w:type="pct"/>
                  <w:tcBorders>
                    <w:tl2br w:val="nil"/>
                    <w:tr2bl w:val="nil"/>
                  </w:tcBorders>
                  <w:shd w:val="clear" w:color="auto" w:fill="auto"/>
                  <w:noWrap w:val="0"/>
                  <w:vAlign w:val="center"/>
                </w:tcPr>
                <w:p w14:paraId="473957A4">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703" w:type="pct"/>
                  <w:tcBorders>
                    <w:tl2br w:val="nil"/>
                    <w:tr2bl w:val="nil"/>
                  </w:tcBorders>
                  <w:noWrap w:val="0"/>
                  <w:vAlign w:val="center"/>
                </w:tcPr>
                <w:p w14:paraId="1294763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bl>
          <w:p w14:paraId="10A9BE87">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由预测结果可知，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项目东、南、西、北</w:t>
            </w:r>
            <w:r>
              <w:rPr>
                <w:rFonts w:hint="default" w:ascii="Times New Roman" w:hAnsi="Times New Roman" w:cs="Times New Roman" w:eastAsiaTheme="minorEastAsia"/>
                <w:color w:val="000000" w:themeColor="text1"/>
                <w:sz w:val="24"/>
                <w:highlight w:val="none"/>
                <w14:textFill>
                  <w14:solidFill>
                    <w14:schemeClr w14:val="tx1"/>
                  </w14:solidFill>
                </w14:textFill>
              </w:rPr>
              <w:t>厂界噪声预测值满足《工业企业厂界环境噪声排放标准》（GB12348-2008）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中2</w:t>
            </w:r>
            <w:r>
              <w:rPr>
                <w:rFonts w:hint="default" w:ascii="Times New Roman" w:hAnsi="Times New Roman" w:cs="Times New Roman" w:eastAsiaTheme="minorEastAsia"/>
                <w:color w:val="000000" w:themeColor="text1"/>
                <w:sz w:val="24"/>
                <w:highlight w:val="none"/>
                <w14:textFill>
                  <w14:solidFill>
                    <w14:schemeClr w14:val="tx1"/>
                  </w14:solidFill>
                </w14:textFill>
              </w:rPr>
              <w:t>类标准要求</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，项目运营期对周边声环境影响较小。</w:t>
            </w:r>
          </w:p>
          <w:p w14:paraId="0C168E79">
            <w:pPr>
              <w:spacing w:line="360" w:lineRule="auto"/>
              <w:ind w:firstLine="482" w:firstLineChars="200"/>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t>（3）降噪措施</w:t>
            </w:r>
          </w:p>
          <w:p w14:paraId="61DA4C45">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①选用低噪</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声</w:t>
            </w:r>
            <w:r>
              <w:rPr>
                <w:rFonts w:hint="default" w:ascii="Times New Roman" w:hAnsi="Times New Roman" w:cs="Times New Roman" w:eastAsiaTheme="minorEastAsia"/>
                <w:color w:val="000000" w:themeColor="text1"/>
                <w:sz w:val="24"/>
                <w:highlight w:val="none"/>
                <w14:textFill>
                  <w14:solidFill>
                    <w14:schemeClr w14:val="tx1"/>
                  </w14:solidFill>
                </w14:textFill>
              </w:rPr>
              <w:t>设备。建设单位应采购设备噪声值不超过同类设备对生产设备</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highlight w:val="none"/>
                <w14:textFill>
                  <w14:solidFill>
                    <w14:schemeClr w14:val="tx1"/>
                  </w14:solidFill>
                </w14:textFill>
              </w:rPr>
              <w:t>噪声允许范围。</w:t>
            </w:r>
          </w:p>
          <w:p w14:paraId="4867B941">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②</w:t>
            </w:r>
            <w:r>
              <w:rPr>
                <w:rFonts w:hint="default" w:ascii="Times New Roman" w:hAnsi="Times New Roman" w:eastAsia="宋体" w:cs="Times New Roman"/>
                <w:color w:val="000000" w:themeColor="text1"/>
                <w:sz w:val="24"/>
                <w:highlight w:val="none"/>
                <w14:textFill>
                  <w14:solidFill>
                    <w14:schemeClr w14:val="tx1"/>
                  </w14:solidFill>
                </w14:textFill>
              </w:rPr>
              <w:t>在日常运营过程中，加强设备维修保养，减少了非正常情况产生的高噪声；</w:t>
            </w:r>
          </w:p>
          <w:p w14:paraId="22C46F33">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③</w:t>
            </w:r>
            <w:r>
              <w:rPr>
                <w:rFonts w:hint="default" w:ascii="Times New Roman" w:hAnsi="Times New Roman" w:eastAsia="宋体" w:cs="Times New Roman"/>
                <w:color w:val="000000" w:themeColor="text1"/>
                <w:sz w:val="24"/>
                <w:highlight w:val="none"/>
                <w14:textFill>
                  <w14:solidFill>
                    <w14:schemeClr w14:val="tx1"/>
                  </w14:solidFill>
                </w14:textFill>
              </w:rPr>
              <w:t>对噪声较大的设备，设置了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基础减振，包括</w:t>
            </w:r>
            <w:r>
              <w:rPr>
                <w:rFonts w:hint="default" w:ascii="Times New Roman" w:hAnsi="Times New Roman" w:eastAsia="宋体" w:cs="Times New Roman"/>
                <w:color w:val="000000" w:themeColor="text1"/>
                <w:sz w:val="24"/>
                <w:highlight w:val="none"/>
                <w14:textFill>
                  <w14:solidFill>
                    <w14:schemeClr w14:val="tx1"/>
                  </w14:solidFill>
                </w14:textFill>
              </w:rPr>
              <w:t>减振座及</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减振</w:t>
            </w:r>
            <w:r>
              <w:rPr>
                <w:rFonts w:hint="default" w:ascii="Times New Roman" w:hAnsi="Times New Roman" w:eastAsia="宋体" w:cs="Times New Roman"/>
                <w:color w:val="000000" w:themeColor="text1"/>
                <w:sz w:val="24"/>
                <w:highlight w:val="none"/>
                <w14:textFill>
                  <w14:solidFill>
                    <w14:schemeClr w14:val="tx1"/>
                  </w14:solidFill>
                </w14:textFill>
              </w:rPr>
              <w:t>垫</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EB2E30C">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④</w:t>
            </w:r>
            <w:r>
              <w:rPr>
                <w:rFonts w:hint="default" w:ascii="Times New Roman" w:hAnsi="Times New Roman" w:eastAsia="宋体" w:cs="Times New Roman"/>
                <w:color w:val="000000" w:themeColor="text1"/>
                <w:sz w:val="24"/>
                <w:highlight w:val="none"/>
                <w14:textFill>
                  <w14:solidFill>
                    <w14:schemeClr w14:val="tx1"/>
                  </w14:solidFill>
                </w14:textFill>
              </w:rPr>
              <w:t>封闭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w:t>
            </w:r>
            <w:r>
              <w:rPr>
                <w:rFonts w:hint="default" w:ascii="Times New Roman" w:hAnsi="Times New Roman" w:eastAsia="宋体" w:cs="Times New Roman"/>
                <w:color w:val="000000" w:themeColor="text1"/>
                <w:sz w:val="24"/>
                <w:highlight w:val="none"/>
                <w14:textFill>
                  <w14:solidFill>
                    <w14:schemeClr w14:val="tx1"/>
                  </w14:solidFill>
                </w14:textFill>
              </w:rPr>
              <w:t>厂房，进行隔声。</w:t>
            </w:r>
          </w:p>
          <w:p w14:paraId="0E7C267E">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（4）污染源监测计划</w:t>
            </w:r>
          </w:p>
          <w:p w14:paraId="780C5D4B">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根据《排污单位自行监测技术指南总则》（HJ819-2017）要求，本项目噪声监测计划详见下表。</w:t>
            </w:r>
          </w:p>
          <w:p w14:paraId="54E0E050">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噪声监测计划一览表</w:t>
            </w:r>
          </w:p>
          <w:tbl>
            <w:tblPr>
              <w:tblStyle w:val="24"/>
              <w:tblW w:w="5014"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036"/>
              <w:gridCol w:w="1792"/>
              <w:gridCol w:w="1804"/>
              <w:gridCol w:w="1233"/>
              <w:gridCol w:w="2592"/>
            </w:tblGrid>
            <w:tr w14:paraId="10D439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12" w:type="pct"/>
                  <w:tcBorders>
                    <w:tl2br w:val="nil"/>
                    <w:tr2bl w:val="nil"/>
                  </w:tcBorders>
                  <w:vAlign w:val="center"/>
                </w:tcPr>
                <w:p w14:paraId="05B9181A">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监测类别</w:t>
                  </w:r>
                </w:p>
              </w:tc>
              <w:tc>
                <w:tcPr>
                  <w:tcW w:w="1059" w:type="pct"/>
                  <w:tcBorders>
                    <w:tl2br w:val="nil"/>
                    <w:tr2bl w:val="nil"/>
                  </w:tcBorders>
                  <w:vAlign w:val="center"/>
                </w:tcPr>
                <w:p w14:paraId="6DDF46DA">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监测点位</w:t>
                  </w:r>
                </w:p>
              </w:tc>
              <w:tc>
                <w:tcPr>
                  <w:tcW w:w="1066" w:type="pct"/>
                  <w:tcBorders>
                    <w:tl2br w:val="nil"/>
                    <w:tr2bl w:val="nil"/>
                  </w:tcBorders>
                  <w:vAlign w:val="center"/>
                </w:tcPr>
                <w:p w14:paraId="1E87EDFE">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监测因子</w:t>
                  </w:r>
                </w:p>
              </w:tc>
              <w:tc>
                <w:tcPr>
                  <w:tcW w:w="728" w:type="pct"/>
                  <w:tcBorders>
                    <w:tl2br w:val="nil"/>
                    <w:tr2bl w:val="nil"/>
                  </w:tcBorders>
                  <w:vAlign w:val="center"/>
                </w:tcPr>
                <w:p w14:paraId="6B759793">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监测频次</w:t>
                  </w:r>
                </w:p>
              </w:tc>
              <w:tc>
                <w:tcPr>
                  <w:tcW w:w="1532" w:type="pct"/>
                  <w:tcBorders>
                    <w:tl2br w:val="nil"/>
                    <w:tr2bl w:val="nil"/>
                  </w:tcBorders>
                  <w:vAlign w:val="center"/>
                </w:tcPr>
                <w:p w14:paraId="1FB8A5FA">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执行标准</w:t>
                  </w:r>
                </w:p>
              </w:tc>
            </w:tr>
            <w:tr w14:paraId="6292CB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612" w:type="pct"/>
                  <w:tcBorders>
                    <w:tl2br w:val="nil"/>
                    <w:tr2bl w:val="nil"/>
                  </w:tcBorders>
                  <w:vAlign w:val="center"/>
                </w:tcPr>
                <w:p w14:paraId="1804630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噪声</w:t>
                  </w:r>
                </w:p>
              </w:tc>
              <w:tc>
                <w:tcPr>
                  <w:tcW w:w="1059" w:type="pct"/>
                  <w:tcBorders>
                    <w:tl2br w:val="nil"/>
                    <w:tr2bl w:val="nil"/>
                  </w:tcBorders>
                  <w:vAlign w:val="center"/>
                </w:tcPr>
                <w:p w14:paraId="43985D9C">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东、南、西、北厂界</w:t>
                  </w:r>
                </w:p>
              </w:tc>
              <w:tc>
                <w:tcPr>
                  <w:tcW w:w="1066" w:type="pct"/>
                  <w:tcBorders>
                    <w:tl2br w:val="nil"/>
                    <w:tr2bl w:val="nil"/>
                  </w:tcBorders>
                  <w:vAlign w:val="center"/>
                </w:tcPr>
                <w:p w14:paraId="05AAEDAC">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Leq</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14:textFill>
                        <w14:solidFill>
                          <w14:schemeClr w14:val="tx1"/>
                        </w14:solidFill>
                      </w14:textFill>
                    </w:rPr>
                    <w:t>A</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p>
              </w:tc>
              <w:tc>
                <w:tcPr>
                  <w:tcW w:w="728" w:type="pct"/>
                  <w:tcBorders>
                    <w:tl2br w:val="nil"/>
                    <w:tr2bl w:val="nil"/>
                  </w:tcBorders>
                  <w:vAlign w:val="center"/>
                </w:tcPr>
                <w:p w14:paraId="7080CE2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1次/季</w:t>
                  </w:r>
                </w:p>
              </w:tc>
              <w:tc>
                <w:tcPr>
                  <w:tcW w:w="1532" w:type="pct"/>
                  <w:tcBorders>
                    <w:tl2br w:val="nil"/>
                    <w:tr2bl w:val="nil"/>
                  </w:tcBorders>
                  <w:vAlign w:val="center"/>
                </w:tcPr>
                <w:p w14:paraId="21A527E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（GB12348-2008）《工业企业厂界环境噪声排放标准》</w:t>
                  </w:r>
                </w:p>
                <w:p w14:paraId="284C1D7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Cs w:val="21"/>
                      <w:highlight w:val="none"/>
                      <w14:textFill>
                        <w14:solidFill>
                          <w14:schemeClr w14:val="tx1"/>
                        </w14:solidFill>
                      </w14:textFill>
                    </w:rPr>
                    <w:t>类标准要求</w:t>
                  </w:r>
                </w:p>
              </w:tc>
            </w:tr>
          </w:tbl>
          <w:p w14:paraId="63CBA7C3">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 xml:space="preserve">4.固体废物 </w:t>
            </w:r>
          </w:p>
          <w:bookmarkEnd w:id="24"/>
          <w:p w14:paraId="3900D24D">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本项目运营期固体废物为一般工业固体废物、危险废物及生活垃圾。</w:t>
            </w:r>
          </w:p>
          <w:p w14:paraId="44208399">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（1）一般工业固体废物</w:t>
            </w:r>
          </w:p>
          <w:p w14:paraId="07BC89CF">
            <w:pPr>
              <w:spacing w:line="360" w:lineRule="auto"/>
              <w:ind w:firstLine="480" w:firstLineChars="200"/>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除尘灰</w:t>
            </w:r>
          </w:p>
          <w:p w14:paraId="10F23947">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项目破碎、筛分设置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布袋收尘灰</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根据大气污染源强核算，项目收尘量为</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711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t/a，除尘灰集中收集后掺入</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矿渣中出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售。</w:t>
            </w:r>
          </w:p>
          <w:p w14:paraId="7459063B">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沉降粉尘</w:t>
            </w:r>
          </w:p>
          <w:p w14:paraId="644A9E9C">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本项目装卸和堆场均设置密闭物料车间，产生的粉尘75%自然沉降至地面，沉降粉尘产生量为4.25t/a，沉降粉尘</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集中收集后掺入</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矿渣中出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。车辆运输粉尘经源强核算，产生量较小，可忽略不计。</w:t>
            </w:r>
          </w:p>
          <w:p w14:paraId="0A3FDBCE">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3）分拣杂质</w:t>
            </w:r>
          </w:p>
          <w:p w14:paraId="75A2CA4B">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人工将不属于硅石的杂质进行分拣，杂质、杂石量约占分拣量的1%-2%，由于杂石颜色发青，与白色硅石相差较大，可人工分拣出来，本项目分拣杂质产生量为4939.75t/a，</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集中收集后</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定期外售。</w:t>
            </w:r>
          </w:p>
          <w:p w14:paraId="2D95A982">
            <w:pPr>
              <w:spacing w:line="360" w:lineRule="auto"/>
              <w:ind w:firstLine="480" w:firstLineChars="200"/>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沉淀池沉渣</w:t>
            </w:r>
          </w:p>
          <w:p w14:paraId="1304BB58">
            <w:pPr>
              <w:spacing w:line="360" w:lineRule="auto"/>
              <w:ind w:firstLine="480" w:firstLineChars="200"/>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洗砂工艺配套的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三级</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沉淀池需定期清理沉渣，产生量约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0t</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，沉渣</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清掏后自然晾干</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暂存于一般固废间，定期外售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p>
          <w:p w14:paraId="1851758A">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（2）危险废物</w:t>
            </w:r>
          </w:p>
          <w:p w14:paraId="494BBB83">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1）废</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润滑油</w:t>
            </w:r>
          </w:p>
          <w:p w14:paraId="317B7CDC">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本项目设备维护过程中会产生废</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润滑</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油，根据企业提供资料，废润滑油产生量约为</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t/a，属于“HW08 废矿物油中非指定行业900-217-08 使用工业齿轮油进行机械设备润滑过程中产生的废润滑油”，统一收集暂存危险废物贮存库后委托有资质单位处置。</w:t>
            </w:r>
          </w:p>
          <w:p w14:paraId="337A4F14">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废油桶</w:t>
            </w:r>
          </w:p>
          <w:p w14:paraId="5DF21004">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本项目废油桶主要为装存</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润滑</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油</w:t>
            </w:r>
            <w:r>
              <w:rPr>
                <w:rFonts w:hint="default" w:ascii="Times New Roman" w:hAnsi="Times New Roman" w:cs="Times New Roman" w:eastAsiaTheme="minorEastAsia"/>
                <w:color w:val="000000" w:themeColor="text1"/>
                <w:sz w:val="24"/>
                <w:highlight w:val="none"/>
                <w14:textFill>
                  <w14:solidFill>
                    <w14:schemeClr w14:val="tx1"/>
                  </w14:solidFill>
                </w14:textFill>
              </w:rPr>
              <w:t>使用完后产生的废油桶，根据企业提供资料，废油桶产生量约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40</w:t>
            </w:r>
            <w:r>
              <w:rPr>
                <w:rFonts w:hint="default" w:ascii="Times New Roman" w:hAnsi="Times New Roman" w:cs="Times New Roman" w:eastAsiaTheme="minorEastAsia"/>
                <w:color w:val="000000" w:themeColor="text1"/>
                <w:sz w:val="24"/>
                <w:highlight w:val="none"/>
                <w14:textFill>
                  <w14:solidFill>
                    <w14:schemeClr w14:val="tx1"/>
                  </w14:solidFill>
                </w14:textFill>
              </w:rPr>
              <w:t>只/a（每只空桶重约</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kg），则废油桶产生量约0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t/a，属于HW49中</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900-041-49含有或沾染毒性、感染性危险废物的废弃包装物、容器、过滤吸附介质</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，统一收集暂存</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后委托有资质单位处置。</w:t>
            </w:r>
          </w:p>
          <w:p w14:paraId="7AF81391">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3）废</w:t>
            </w:r>
            <w:r>
              <w:rPr>
                <w:rFonts w:hint="default" w:ascii="Times New Roman" w:hAnsi="Times New Roman" w:cs="Times New Roman"/>
                <w:color w:val="000000" w:themeColor="text1"/>
                <w:sz w:val="24"/>
                <w:highlight w:val="none"/>
                <w14:textFill>
                  <w14:solidFill>
                    <w14:schemeClr w14:val="tx1"/>
                  </w14:solidFill>
                </w14:textFill>
              </w:rPr>
              <w:t>含油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抹布</w:t>
            </w:r>
            <w:r>
              <w:rPr>
                <w:rFonts w:hint="default" w:ascii="Times New Roman" w:hAnsi="Times New Roman" w:cs="Times New Roman"/>
                <w:color w:val="000000" w:themeColor="text1"/>
                <w:sz w:val="24"/>
                <w:highlight w:val="none"/>
                <w14:textFill>
                  <w14:solidFill>
                    <w14:schemeClr w14:val="tx1"/>
                  </w14:solidFill>
                </w14:textFill>
              </w:rPr>
              <w:t>手套</w:t>
            </w:r>
          </w:p>
          <w:p w14:paraId="27119013">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根据企业提供的信息，本项目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w:t>
            </w:r>
            <w:r>
              <w:rPr>
                <w:rFonts w:hint="default" w:ascii="Times New Roman" w:hAnsi="Times New Roman" w:cs="Times New Roman"/>
                <w:color w:val="000000" w:themeColor="text1"/>
                <w:sz w:val="24"/>
                <w:highlight w:val="none"/>
                <w14:textFill>
                  <w14:solidFill>
                    <w14:schemeClr w14:val="tx1"/>
                  </w14:solidFill>
                </w14:textFill>
              </w:rPr>
              <w:t>含油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抹布</w:t>
            </w:r>
            <w:r>
              <w:rPr>
                <w:rFonts w:hint="default" w:ascii="Times New Roman" w:hAnsi="Times New Roman" w:cs="Times New Roman"/>
                <w:color w:val="000000" w:themeColor="text1"/>
                <w:sz w:val="24"/>
                <w:highlight w:val="none"/>
                <w14:textFill>
                  <w14:solidFill>
                    <w14:schemeClr w14:val="tx1"/>
                  </w14:solidFill>
                </w14:textFill>
              </w:rPr>
              <w:t>手套</w:t>
            </w:r>
            <w:r>
              <w:rPr>
                <w:rFonts w:hint="default" w:ascii="Times New Roman" w:hAnsi="Times New Roman" w:cs="Times New Roman" w:eastAsiaTheme="minorEastAsia"/>
                <w:color w:val="000000" w:themeColor="text1"/>
                <w:sz w:val="24"/>
                <w:highlight w:val="none"/>
                <w14:textFill>
                  <w14:solidFill>
                    <w14:schemeClr w14:val="tx1"/>
                  </w14:solidFill>
                </w14:textFill>
              </w:rPr>
              <w:t>产生量约为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0.01</w:t>
            </w:r>
            <w:r>
              <w:rPr>
                <w:rFonts w:hint="default" w:ascii="Times New Roman" w:hAnsi="Times New Roman" w:cs="Times New Roman" w:eastAsiaTheme="minorEastAsia"/>
                <w:color w:val="000000" w:themeColor="text1"/>
                <w:sz w:val="24"/>
                <w:highlight w:val="none"/>
                <w14:textFill>
                  <w14:solidFill>
                    <w14:schemeClr w14:val="tx1"/>
                  </w14:solidFill>
                </w14:textFill>
              </w:rPr>
              <w:t>t/a，属于HW49中</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900-041-49含有或沾染毒性、感染性危险废物的废弃包装物、容器、过滤吸附介质</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，统一收集暂存</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于</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后委托有资质单位处置。</w:t>
            </w:r>
          </w:p>
          <w:p w14:paraId="24E30BF8">
            <w:pPr>
              <w:pStyle w:val="49"/>
              <w:rPr>
                <w:rFonts w:hint="default" w:ascii="Times New Roman" w:hAnsi="Times New Roman" w:cs="Times New Roman"/>
                <w:color w:val="000000" w:themeColor="text1"/>
                <w:sz w:val="24"/>
                <w:szCs w:val="22"/>
                <w:highlight w:val="none"/>
                <w:lang w:val="en-US"/>
                <w14:textFill>
                  <w14:solidFill>
                    <w14:schemeClr w14:val="tx1"/>
                  </w14:solidFill>
                </w14:textFill>
              </w:rPr>
            </w:pPr>
          </w:p>
          <w:p w14:paraId="31FCFEF7">
            <w:pPr>
              <w:pStyle w:val="49"/>
              <w:rPr>
                <w:rFonts w:hint="default" w:ascii="Times New Roman" w:hAnsi="Times New Roman" w:cs="Times New Roman"/>
                <w:color w:val="000000" w:themeColor="text1"/>
                <w:sz w:val="24"/>
                <w:szCs w:val="22"/>
                <w:highlight w:val="none"/>
                <w:lang w:val="en-US"/>
                <w14:textFill>
                  <w14:solidFill>
                    <w14:schemeClr w14:val="tx1"/>
                  </w14:solidFill>
                </w14:textFill>
              </w:rPr>
            </w:pPr>
          </w:p>
          <w:p w14:paraId="3CF9EE25">
            <w:pPr>
              <w:pStyle w:val="49"/>
              <w:rPr>
                <w:rFonts w:hint="default" w:ascii="Times New Roman" w:hAnsi="Times New Roman" w:cs="Times New Roman"/>
                <w:color w:val="000000" w:themeColor="text1"/>
                <w:sz w:val="24"/>
                <w:szCs w:val="22"/>
                <w:highlight w:val="none"/>
                <w:lang w:val="en-US"/>
                <w14:textFill>
                  <w14:solidFill>
                    <w14:schemeClr w14:val="tx1"/>
                  </w14:solidFill>
                </w14:textFill>
              </w:rPr>
            </w:pPr>
            <w:r>
              <w:rPr>
                <w:rFonts w:hint="default" w:ascii="Times New Roman" w:hAnsi="Times New Roman" w:cs="Times New Roman"/>
                <w:color w:val="000000" w:themeColor="text1"/>
                <w:sz w:val="24"/>
                <w:szCs w:val="22"/>
                <w:highlight w:val="none"/>
                <w:lang w:val="en-US"/>
                <w14:textFill>
                  <w14:solidFill>
                    <w14:schemeClr w14:val="tx1"/>
                  </w14:solidFill>
                </w14:textFill>
              </w:rPr>
              <w:t>表4-</w:t>
            </w:r>
            <w:r>
              <w:rPr>
                <w:rFonts w:hint="eastAsia" w:cs="Times New Roman"/>
                <w:color w:val="000000" w:themeColor="text1"/>
                <w:sz w:val="24"/>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2"/>
                <w:highlight w:val="none"/>
                <w:lang w:val="en-US"/>
                <w14:textFill>
                  <w14:solidFill>
                    <w14:schemeClr w14:val="tx1"/>
                  </w14:solidFill>
                </w14:textFill>
              </w:rPr>
              <w:t xml:space="preserve">  项目固废排放信息一览表</w:t>
            </w:r>
          </w:p>
          <w:tbl>
            <w:tblPr>
              <w:tblStyle w:val="25"/>
              <w:tblW w:w="84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603"/>
              <w:gridCol w:w="1572"/>
              <w:gridCol w:w="1296"/>
              <w:gridCol w:w="1333"/>
              <w:gridCol w:w="1480"/>
            </w:tblGrid>
            <w:tr w14:paraId="235B7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57" w:type="pct"/>
                  <w:gridSpan w:val="2"/>
                  <w:tcBorders>
                    <w:tl2br w:val="nil"/>
                    <w:tr2bl w:val="nil"/>
                  </w:tcBorders>
                  <w:vAlign w:val="center"/>
                </w:tcPr>
                <w:p w14:paraId="5190F7D4">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名称</w:t>
                  </w:r>
                </w:p>
              </w:tc>
              <w:tc>
                <w:tcPr>
                  <w:tcW w:w="924" w:type="pct"/>
                  <w:tcBorders>
                    <w:tl2br w:val="nil"/>
                    <w:tr2bl w:val="nil"/>
                  </w:tcBorders>
                  <w:vAlign w:val="center"/>
                </w:tcPr>
                <w:p w14:paraId="0958FF2B">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eastAsia" w:cs="Times New Roman" w:eastAsiaTheme="minorEastAsia"/>
                      <w:b w:val="0"/>
                      <w:bCs/>
                      <w:color w:val="000000" w:themeColor="text1"/>
                      <w:kern w:val="2"/>
                      <w:szCs w:val="21"/>
                      <w:highlight w:val="none"/>
                      <w:lang w:val="en-US" w:eastAsia="zh-CN"/>
                      <w14:textFill>
                        <w14:solidFill>
                          <w14:schemeClr w14:val="tx1"/>
                        </w14:solidFill>
                      </w14:textFill>
                    </w:rPr>
                    <w:t>布袋收尘灰</w:t>
                  </w:r>
                </w:p>
              </w:tc>
              <w:tc>
                <w:tcPr>
                  <w:tcW w:w="762" w:type="pct"/>
                  <w:tcBorders>
                    <w:tl2br w:val="nil"/>
                    <w:tr2bl w:val="nil"/>
                  </w:tcBorders>
                  <w:vAlign w:val="center"/>
                </w:tcPr>
                <w:p w14:paraId="46950AC7">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沉降粉尘</w:t>
                  </w:r>
                </w:p>
              </w:tc>
              <w:tc>
                <w:tcPr>
                  <w:tcW w:w="784" w:type="pct"/>
                  <w:tcBorders>
                    <w:tl2br w:val="nil"/>
                    <w:tr2bl w:val="nil"/>
                  </w:tcBorders>
                  <w:vAlign w:val="center"/>
                </w:tcPr>
                <w:p w14:paraId="2A594B62">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分拣杂质</w:t>
                  </w:r>
                </w:p>
              </w:tc>
              <w:tc>
                <w:tcPr>
                  <w:tcW w:w="870" w:type="pct"/>
                  <w:tcBorders>
                    <w:tl2br w:val="nil"/>
                    <w:tr2bl w:val="nil"/>
                  </w:tcBorders>
                  <w:vAlign w:val="center"/>
                </w:tcPr>
                <w:p w14:paraId="644EFE8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沉淀池沉渣</w:t>
                  </w:r>
                </w:p>
              </w:tc>
            </w:tr>
            <w:tr w14:paraId="471F3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57" w:type="pct"/>
                  <w:gridSpan w:val="2"/>
                  <w:tcBorders>
                    <w:tl2br w:val="nil"/>
                    <w:tr2bl w:val="nil"/>
                  </w:tcBorders>
                  <w:vAlign w:val="center"/>
                </w:tcPr>
                <w:p w14:paraId="440177D8">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产生环节</w:t>
                  </w:r>
                </w:p>
              </w:tc>
              <w:tc>
                <w:tcPr>
                  <w:tcW w:w="924" w:type="pct"/>
                  <w:tcBorders>
                    <w:tl2br w:val="nil"/>
                    <w:tr2bl w:val="nil"/>
                  </w:tcBorders>
                  <w:vAlign w:val="center"/>
                </w:tcPr>
                <w:p w14:paraId="35ADB4FA">
                  <w:pPr>
                    <w:pStyle w:val="51"/>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t>布袋除尘器</w:t>
                  </w:r>
                </w:p>
              </w:tc>
              <w:tc>
                <w:tcPr>
                  <w:tcW w:w="762" w:type="pct"/>
                  <w:tcBorders>
                    <w:tl2br w:val="nil"/>
                    <w:tr2bl w:val="nil"/>
                  </w:tcBorders>
                  <w:vAlign w:val="center"/>
                </w:tcPr>
                <w:p w14:paraId="09E0F860">
                  <w:pPr>
                    <w:pStyle w:val="49"/>
                    <w:rPr>
                      <w:rFonts w:hint="default"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t>无组织沉降</w:t>
                  </w:r>
                </w:p>
              </w:tc>
              <w:tc>
                <w:tcPr>
                  <w:tcW w:w="784" w:type="pct"/>
                  <w:tcBorders>
                    <w:tl2br w:val="nil"/>
                    <w:tr2bl w:val="nil"/>
                  </w:tcBorders>
                  <w:vAlign w:val="center"/>
                </w:tcPr>
                <w:p w14:paraId="5F90B725">
                  <w:pPr>
                    <w:pStyle w:val="49"/>
                    <w:rPr>
                      <w:rFonts w:hint="default"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t>人工分拣</w:t>
                  </w:r>
                </w:p>
              </w:tc>
              <w:tc>
                <w:tcPr>
                  <w:tcW w:w="870" w:type="pct"/>
                  <w:tcBorders>
                    <w:tl2br w:val="nil"/>
                    <w:tr2bl w:val="nil"/>
                  </w:tcBorders>
                  <w:vAlign w:val="center"/>
                </w:tcPr>
                <w:p w14:paraId="739C8CB2">
                  <w:pPr>
                    <w:pStyle w:val="49"/>
                    <w:rPr>
                      <w:rFonts w:hint="default"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color w:val="000000" w:themeColor="text1"/>
                      <w:kern w:val="2"/>
                      <w:szCs w:val="21"/>
                      <w:highlight w:val="none"/>
                      <w:lang w:val="en-US" w:eastAsia="zh-CN"/>
                      <w14:textFill>
                        <w14:solidFill>
                          <w14:schemeClr w14:val="tx1"/>
                        </w14:solidFill>
                      </w14:textFill>
                    </w:rPr>
                    <w:t>沉淀池</w:t>
                  </w:r>
                </w:p>
              </w:tc>
            </w:tr>
            <w:tr w14:paraId="6AD17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57" w:type="pct"/>
                  <w:gridSpan w:val="2"/>
                  <w:tcBorders>
                    <w:tl2br w:val="nil"/>
                    <w:tr2bl w:val="nil"/>
                  </w:tcBorders>
                  <w:vAlign w:val="center"/>
                </w:tcPr>
                <w:p w14:paraId="60258A7F">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属性</w:t>
                  </w:r>
                </w:p>
              </w:tc>
              <w:tc>
                <w:tcPr>
                  <w:tcW w:w="3342" w:type="pct"/>
                  <w:gridSpan w:val="4"/>
                  <w:tcBorders>
                    <w:tl2br w:val="nil"/>
                    <w:tr2bl w:val="nil"/>
                  </w:tcBorders>
                  <w:vAlign w:val="center"/>
                </w:tcPr>
                <w:p w14:paraId="42ACAC9E">
                  <w:pPr>
                    <w:pStyle w:val="49"/>
                    <w:jc w:val="cente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一般工业固体废物</w:t>
                  </w:r>
                </w:p>
              </w:tc>
            </w:tr>
            <w:tr w14:paraId="77F8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7" w:type="pct"/>
                  <w:gridSpan w:val="2"/>
                  <w:tcBorders>
                    <w:tl2br w:val="nil"/>
                    <w:tr2bl w:val="nil"/>
                  </w:tcBorders>
                  <w:vAlign w:val="center"/>
                </w:tcPr>
                <w:p w14:paraId="39FC0AA4">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废物</w:t>
                  </w: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类别及</w:t>
                  </w: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代码</w:t>
                  </w:r>
                </w:p>
              </w:tc>
              <w:tc>
                <w:tcPr>
                  <w:tcW w:w="924" w:type="pct"/>
                  <w:tcBorders>
                    <w:tl2br w:val="nil"/>
                    <w:tr2bl w:val="nil"/>
                  </w:tcBorders>
                  <w:vAlign w:val="center"/>
                </w:tcPr>
                <w:p w14:paraId="37AF1A93">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c>
                <w:tcPr>
                  <w:tcW w:w="762" w:type="pct"/>
                  <w:tcBorders>
                    <w:tl2br w:val="nil"/>
                    <w:tr2bl w:val="nil"/>
                  </w:tcBorders>
                  <w:vAlign w:val="center"/>
                </w:tcPr>
                <w:p w14:paraId="18F0C7CE">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c>
                <w:tcPr>
                  <w:tcW w:w="784" w:type="pct"/>
                  <w:tcBorders>
                    <w:tl2br w:val="nil"/>
                    <w:tr2bl w:val="nil"/>
                  </w:tcBorders>
                  <w:vAlign w:val="center"/>
                </w:tcPr>
                <w:p w14:paraId="66690F2C">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c>
                <w:tcPr>
                  <w:tcW w:w="870" w:type="pct"/>
                  <w:tcBorders>
                    <w:tl2br w:val="nil"/>
                    <w:tr2bl w:val="nil"/>
                  </w:tcBorders>
                  <w:vAlign w:val="center"/>
                </w:tcPr>
                <w:p w14:paraId="0343873D">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r>
            <w:tr w14:paraId="22BF7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7" w:type="pct"/>
                  <w:gridSpan w:val="2"/>
                  <w:tcBorders>
                    <w:tl2br w:val="nil"/>
                    <w:tr2bl w:val="nil"/>
                  </w:tcBorders>
                  <w:vAlign w:val="center"/>
                </w:tcPr>
                <w:p w14:paraId="384C263A">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有毒有害物质名称</w:t>
                  </w:r>
                </w:p>
              </w:tc>
              <w:tc>
                <w:tcPr>
                  <w:tcW w:w="924" w:type="pct"/>
                  <w:tcBorders>
                    <w:tl2br w:val="nil"/>
                    <w:tr2bl w:val="nil"/>
                  </w:tcBorders>
                  <w:vAlign w:val="center"/>
                </w:tcPr>
                <w:p w14:paraId="6FFECA49">
                  <w:pPr>
                    <w:jc w:val="center"/>
                    <w:rPr>
                      <w:rFonts w:hint="default" w:ascii="Times New Roman" w:hAnsi="Times New Roman" w:cs="Times New Roman" w:eastAsiaTheme="minorEastAsia"/>
                      <w:bCs/>
                      <w:color w:val="000000" w:themeColor="text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762" w:type="pct"/>
                  <w:tcBorders>
                    <w:tl2br w:val="nil"/>
                    <w:tr2bl w:val="nil"/>
                  </w:tcBorders>
                  <w:vAlign w:val="center"/>
                </w:tcPr>
                <w:p w14:paraId="7B6CF62C">
                  <w:pPr>
                    <w:jc w:val="cente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784" w:type="pct"/>
                  <w:tcBorders>
                    <w:tl2br w:val="nil"/>
                    <w:tr2bl w:val="nil"/>
                  </w:tcBorders>
                  <w:vAlign w:val="center"/>
                </w:tcPr>
                <w:p w14:paraId="3D0379E5">
                  <w:pPr>
                    <w:jc w:val="cente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870" w:type="pct"/>
                  <w:tcBorders>
                    <w:tl2br w:val="nil"/>
                    <w:tr2bl w:val="nil"/>
                  </w:tcBorders>
                  <w:vAlign w:val="center"/>
                </w:tcPr>
                <w:p w14:paraId="3A22D024">
                  <w:pPr>
                    <w:jc w:val="cente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r>
            <w:tr w14:paraId="4167E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57" w:type="pct"/>
                  <w:gridSpan w:val="2"/>
                  <w:tcBorders>
                    <w:tl2br w:val="nil"/>
                    <w:tr2bl w:val="nil"/>
                  </w:tcBorders>
                  <w:vAlign w:val="center"/>
                </w:tcPr>
                <w:p w14:paraId="67223545">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物理性状</w:t>
                  </w:r>
                </w:p>
              </w:tc>
              <w:tc>
                <w:tcPr>
                  <w:tcW w:w="924" w:type="pct"/>
                  <w:tcBorders>
                    <w:tl2br w:val="nil"/>
                    <w:tr2bl w:val="nil"/>
                  </w:tcBorders>
                  <w:vAlign w:val="center"/>
                </w:tcPr>
                <w:p w14:paraId="2C022521">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c>
                <w:tcPr>
                  <w:tcW w:w="762" w:type="pct"/>
                  <w:tcBorders>
                    <w:tl2br w:val="nil"/>
                    <w:tr2bl w:val="nil"/>
                  </w:tcBorders>
                  <w:vAlign w:val="center"/>
                </w:tcPr>
                <w:p w14:paraId="4DBFDF43">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c>
                <w:tcPr>
                  <w:tcW w:w="784" w:type="pct"/>
                  <w:tcBorders>
                    <w:tl2br w:val="nil"/>
                    <w:tr2bl w:val="nil"/>
                  </w:tcBorders>
                  <w:vAlign w:val="center"/>
                </w:tcPr>
                <w:p w14:paraId="5ED898B8">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c>
                <w:tcPr>
                  <w:tcW w:w="870" w:type="pct"/>
                  <w:tcBorders>
                    <w:tl2br w:val="nil"/>
                    <w:tr2bl w:val="nil"/>
                  </w:tcBorders>
                  <w:vAlign w:val="center"/>
                </w:tcPr>
                <w:p w14:paraId="15B9F814">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r>
            <w:tr w14:paraId="1752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57" w:type="pct"/>
                  <w:gridSpan w:val="2"/>
                  <w:tcBorders>
                    <w:tl2br w:val="nil"/>
                    <w:tr2bl w:val="nil"/>
                  </w:tcBorders>
                  <w:vAlign w:val="center"/>
                </w:tcPr>
                <w:p w14:paraId="0951F9C2">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环境危险特性</w:t>
                  </w:r>
                </w:p>
              </w:tc>
              <w:tc>
                <w:tcPr>
                  <w:tcW w:w="924" w:type="pct"/>
                  <w:tcBorders>
                    <w:tl2br w:val="nil"/>
                    <w:tr2bl w:val="nil"/>
                  </w:tcBorders>
                  <w:vAlign w:val="center"/>
                </w:tcPr>
                <w:p w14:paraId="7A616FA9">
                  <w:pPr>
                    <w:jc w:val="center"/>
                    <w:rPr>
                      <w:rFonts w:hint="default" w:ascii="Times New Roman" w:hAnsi="Times New Roman" w:cs="Times New Roman" w:eastAsiaTheme="minorEastAsia"/>
                      <w:bCs/>
                      <w:color w:val="000000" w:themeColor="text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762" w:type="pct"/>
                  <w:tcBorders>
                    <w:tl2br w:val="nil"/>
                    <w:tr2bl w:val="nil"/>
                  </w:tcBorders>
                  <w:vAlign w:val="center"/>
                </w:tcPr>
                <w:p w14:paraId="50942BCE">
                  <w:pPr>
                    <w:jc w:val="cente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784" w:type="pct"/>
                  <w:tcBorders>
                    <w:tl2br w:val="nil"/>
                    <w:tr2bl w:val="nil"/>
                  </w:tcBorders>
                  <w:vAlign w:val="center"/>
                </w:tcPr>
                <w:p w14:paraId="04679A86">
                  <w:pPr>
                    <w:jc w:val="cente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tc>
              <w:tc>
                <w:tcPr>
                  <w:tcW w:w="870" w:type="pct"/>
                  <w:tcBorders>
                    <w:tl2br w:val="nil"/>
                    <w:tr2bl w:val="nil"/>
                  </w:tcBorders>
                  <w:vAlign w:val="center"/>
                </w:tcPr>
                <w:p w14:paraId="2CFCC04E">
                  <w:pPr>
                    <w:jc w:val="cente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p>
              </w:tc>
            </w:tr>
            <w:tr w14:paraId="16229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7" w:type="pct"/>
                  <w:gridSpan w:val="2"/>
                  <w:tcBorders>
                    <w:tl2br w:val="nil"/>
                    <w:tr2bl w:val="nil"/>
                  </w:tcBorders>
                  <w:vAlign w:val="center"/>
                </w:tcPr>
                <w:p w14:paraId="17780765">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产生量</w:t>
                  </w:r>
                </w:p>
              </w:tc>
              <w:tc>
                <w:tcPr>
                  <w:tcW w:w="924" w:type="pct"/>
                  <w:tcBorders>
                    <w:tl2br w:val="nil"/>
                    <w:tr2bl w:val="nil"/>
                  </w:tcBorders>
                  <w:vAlign w:val="center"/>
                </w:tcPr>
                <w:p w14:paraId="15C1B64E">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711</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762" w:type="pct"/>
                  <w:tcBorders>
                    <w:tl2br w:val="nil"/>
                    <w:tr2bl w:val="nil"/>
                  </w:tcBorders>
                  <w:vAlign w:val="center"/>
                </w:tcPr>
                <w:p w14:paraId="76F69247">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4.25</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784" w:type="pct"/>
                  <w:tcBorders>
                    <w:tl2br w:val="nil"/>
                    <w:tr2bl w:val="nil"/>
                  </w:tcBorders>
                  <w:vAlign w:val="center"/>
                </w:tcPr>
                <w:p w14:paraId="3FA5D652">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4939.75</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870" w:type="pct"/>
                  <w:tcBorders>
                    <w:tl2br w:val="nil"/>
                    <w:tr2bl w:val="nil"/>
                  </w:tcBorders>
                  <w:vAlign w:val="center"/>
                </w:tcPr>
                <w:p w14:paraId="3751A82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30</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r>
            <w:tr w14:paraId="63854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57" w:type="pct"/>
                  <w:gridSpan w:val="2"/>
                  <w:tcBorders>
                    <w:tl2br w:val="nil"/>
                    <w:tr2bl w:val="nil"/>
                  </w:tcBorders>
                  <w:vAlign w:val="center"/>
                </w:tcPr>
                <w:p w14:paraId="4B411F2C">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贮存方式</w:t>
                  </w:r>
                </w:p>
              </w:tc>
              <w:tc>
                <w:tcPr>
                  <w:tcW w:w="924" w:type="pct"/>
                  <w:tcBorders>
                    <w:tl2br w:val="nil"/>
                    <w:tr2bl w:val="nil"/>
                  </w:tcBorders>
                  <w:vAlign w:val="center"/>
                </w:tcPr>
                <w:p w14:paraId="10448A2F">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堆存</w:t>
                  </w:r>
                </w:p>
              </w:tc>
              <w:tc>
                <w:tcPr>
                  <w:tcW w:w="762" w:type="pct"/>
                  <w:tcBorders>
                    <w:tl2br w:val="nil"/>
                    <w:tr2bl w:val="nil"/>
                  </w:tcBorders>
                  <w:vAlign w:val="center"/>
                </w:tcPr>
                <w:p w14:paraId="6C1B91D6">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堆存</w:t>
                  </w:r>
                </w:p>
              </w:tc>
              <w:tc>
                <w:tcPr>
                  <w:tcW w:w="784" w:type="pct"/>
                  <w:tcBorders>
                    <w:tl2br w:val="nil"/>
                    <w:tr2bl w:val="nil"/>
                  </w:tcBorders>
                  <w:vAlign w:val="center"/>
                </w:tcPr>
                <w:p w14:paraId="61A90B68">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堆存</w:t>
                  </w:r>
                </w:p>
              </w:tc>
              <w:tc>
                <w:tcPr>
                  <w:tcW w:w="870" w:type="pct"/>
                  <w:tcBorders>
                    <w:tl2br w:val="nil"/>
                    <w:tr2bl w:val="nil"/>
                  </w:tcBorders>
                  <w:vAlign w:val="center"/>
                </w:tcPr>
                <w:p w14:paraId="1F34FE96">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堆存</w:t>
                  </w:r>
                </w:p>
              </w:tc>
            </w:tr>
            <w:tr w14:paraId="7CA8D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4" w:type="pct"/>
                  <w:vMerge w:val="restart"/>
                  <w:tcBorders>
                    <w:tl2br w:val="nil"/>
                    <w:tr2bl w:val="nil"/>
                  </w:tcBorders>
                  <w:vAlign w:val="center"/>
                </w:tcPr>
                <w:p w14:paraId="4AD7C50C">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利用处置方式和去向</w:t>
                  </w:r>
                </w:p>
              </w:tc>
              <w:tc>
                <w:tcPr>
                  <w:tcW w:w="943" w:type="pct"/>
                  <w:tcBorders>
                    <w:tl2br w:val="nil"/>
                    <w:tr2bl w:val="nil"/>
                  </w:tcBorders>
                  <w:vAlign w:val="center"/>
                </w:tcPr>
                <w:p w14:paraId="7A451D06">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自行利用量</w:t>
                  </w:r>
                </w:p>
              </w:tc>
              <w:tc>
                <w:tcPr>
                  <w:tcW w:w="924" w:type="pct"/>
                  <w:tcBorders>
                    <w:tl2br w:val="nil"/>
                    <w:tr2bl w:val="nil"/>
                  </w:tcBorders>
                  <w:shd w:val="clear" w:color="auto" w:fill="auto"/>
                  <w:vAlign w:val="center"/>
                </w:tcPr>
                <w:p w14:paraId="4A816FE3">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762" w:type="pct"/>
                  <w:tcBorders>
                    <w:tl2br w:val="nil"/>
                    <w:tr2bl w:val="nil"/>
                  </w:tcBorders>
                  <w:shd w:val="clear" w:color="auto" w:fill="auto"/>
                  <w:vAlign w:val="center"/>
                </w:tcPr>
                <w:p w14:paraId="3701835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p>
              </w:tc>
              <w:tc>
                <w:tcPr>
                  <w:tcW w:w="784" w:type="pct"/>
                  <w:tcBorders>
                    <w:tl2br w:val="nil"/>
                    <w:tr2bl w:val="nil"/>
                  </w:tcBorders>
                  <w:shd w:val="clear" w:color="auto" w:fill="auto"/>
                  <w:vAlign w:val="center"/>
                </w:tcPr>
                <w:p w14:paraId="3FCD67C4">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p>
              </w:tc>
              <w:tc>
                <w:tcPr>
                  <w:tcW w:w="870" w:type="pct"/>
                  <w:tcBorders>
                    <w:tl2br w:val="nil"/>
                    <w:tr2bl w:val="nil"/>
                  </w:tcBorders>
                  <w:shd w:val="clear" w:color="auto" w:fill="auto"/>
                  <w:vAlign w:val="center"/>
                </w:tcPr>
                <w:p w14:paraId="6DFBFAE4">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p>
              </w:tc>
            </w:tr>
            <w:tr w14:paraId="1EB27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4" w:type="pct"/>
                  <w:vMerge w:val="continue"/>
                  <w:tcBorders>
                    <w:tl2br w:val="nil"/>
                    <w:tr2bl w:val="nil"/>
                  </w:tcBorders>
                  <w:vAlign w:val="center"/>
                </w:tcPr>
                <w:p w14:paraId="4D8EF561">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943" w:type="pct"/>
                  <w:tcBorders>
                    <w:tl2br w:val="nil"/>
                    <w:tr2bl w:val="nil"/>
                  </w:tcBorders>
                  <w:vAlign w:val="center"/>
                </w:tcPr>
                <w:p w14:paraId="3474B732">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委托利用量</w:t>
                  </w:r>
                </w:p>
              </w:tc>
              <w:tc>
                <w:tcPr>
                  <w:tcW w:w="924" w:type="pct"/>
                  <w:tcBorders>
                    <w:tl2br w:val="nil"/>
                    <w:tr2bl w:val="nil"/>
                  </w:tcBorders>
                  <w:vAlign w:val="center"/>
                </w:tcPr>
                <w:p w14:paraId="0BD94CF2">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711</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762" w:type="pct"/>
                  <w:tcBorders>
                    <w:tl2br w:val="nil"/>
                    <w:tr2bl w:val="nil"/>
                  </w:tcBorders>
                  <w:shd w:val="clear" w:color="auto" w:fill="auto"/>
                  <w:vAlign w:val="center"/>
                </w:tcPr>
                <w:p w14:paraId="4B07B376">
                  <w:pPr>
                    <w:pStyle w:val="49"/>
                    <w:ind w:firstLine="0" w:firstLineChars="0"/>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4.25</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784" w:type="pct"/>
                  <w:tcBorders>
                    <w:tl2br w:val="nil"/>
                    <w:tr2bl w:val="nil"/>
                  </w:tcBorders>
                  <w:shd w:val="clear" w:color="auto" w:fill="auto"/>
                  <w:vAlign w:val="center"/>
                </w:tcPr>
                <w:p w14:paraId="2F7E7A52">
                  <w:pPr>
                    <w:pStyle w:val="49"/>
                    <w:ind w:firstLine="0" w:firstLineChars="0"/>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4939.75</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c>
                <w:tcPr>
                  <w:tcW w:w="870" w:type="pct"/>
                  <w:tcBorders>
                    <w:tl2br w:val="nil"/>
                    <w:tr2bl w:val="nil"/>
                  </w:tcBorders>
                  <w:shd w:val="clear" w:color="auto" w:fill="auto"/>
                  <w:vAlign w:val="center"/>
                </w:tcPr>
                <w:p w14:paraId="23E7F95B">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30</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t/a</w:t>
                  </w:r>
                </w:p>
              </w:tc>
            </w:tr>
            <w:tr w14:paraId="37F54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4" w:type="pct"/>
                  <w:vMerge w:val="continue"/>
                  <w:tcBorders>
                    <w:tl2br w:val="nil"/>
                    <w:tr2bl w:val="nil"/>
                  </w:tcBorders>
                  <w:vAlign w:val="center"/>
                </w:tcPr>
                <w:p w14:paraId="456F036A">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943" w:type="pct"/>
                  <w:tcBorders>
                    <w:tl2br w:val="nil"/>
                    <w:tr2bl w:val="nil"/>
                  </w:tcBorders>
                  <w:vAlign w:val="center"/>
                </w:tcPr>
                <w:p w14:paraId="3AE67CC5">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委托处置量</w:t>
                  </w:r>
                </w:p>
              </w:tc>
              <w:tc>
                <w:tcPr>
                  <w:tcW w:w="924" w:type="pct"/>
                  <w:tcBorders>
                    <w:tl2br w:val="nil"/>
                    <w:tr2bl w:val="nil"/>
                  </w:tcBorders>
                  <w:vAlign w:val="center"/>
                </w:tcPr>
                <w:p w14:paraId="38169C44">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762" w:type="pct"/>
                  <w:tcBorders>
                    <w:tl2br w:val="nil"/>
                    <w:tr2bl w:val="nil"/>
                  </w:tcBorders>
                  <w:shd w:val="clear" w:color="auto" w:fill="auto"/>
                  <w:vAlign w:val="center"/>
                </w:tcPr>
                <w:p w14:paraId="4FE35E8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784" w:type="pct"/>
                  <w:tcBorders>
                    <w:tl2br w:val="nil"/>
                    <w:tr2bl w:val="nil"/>
                  </w:tcBorders>
                  <w:shd w:val="clear" w:color="auto" w:fill="auto"/>
                  <w:vAlign w:val="center"/>
                </w:tcPr>
                <w:p w14:paraId="7BB6E8B1">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870" w:type="pct"/>
                  <w:tcBorders>
                    <w:tl2br w:val="nil"/>
                    <w:tr2bl w:val="nil"/>
                  </w:tcBorders>
                  <w:shd w:val="clear" w:color="auto" w:fill="auto"/>
                  <w:vAlign w:val="center"/>
                </w:tcPr>
                <w:p w14:paraId="4BBAD1FA">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p>
              </w:tc>
            </w:tr>
            <w:tr w14:paraId="059C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14" w:type="pct"/>
                  <w:vMerge w:val="continue"/>
                  <w:tcBorders>
                    <w:tl2br w:val="nil"/>
                    <w:tr2bl w:val="nil"/>
                  </w:tcBorders>
                  <w:vAlign w:val="center"/>
                </w:tcPr>
                <w:p w14:paraId="7CBBA4E0">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943" w:type="pct"/>
                  <w:tcBorders>
                    <w:tl2br w:val="nil"/>
                    <w:tr2bl w:val="nil"/>
                  </w:tcBorders>
                  <w:vAlign w:val="center"/>
                </w:tcPr>
                <w:p w14:paraId="0A99A544">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排放量</w:t>
                  </w:r>
                </w:p>
              </w:tc>
              <w:tc>
                <w:tcPr>
                  <w:tcW w:w="924" w:type="pct"/>
                  <w:tcBorders>
                    <w:tl2br w:val="nil"/>
                    <w:tr2bl w:val="nil"/>
                  </w:tcBorders>
                  <w:vAlign w:val="center"/>
                </w:tcPr>
                <w:p w14:paraId="2009092E">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762" w:type="pct"/>
                  <w:tcBorders>
                    <w:tl2br w:val="nil"/>
                    <w:tr2bl w:val="nil"/>
                  </w:tcBorders>
                  <w:shd w:val="clear" w:color="auto" w:fill="auto"/>
                  <w:vAlign w:val="center"/>
                </w:tcPr>
                <w:p w14:paraId="7B0C465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784" w:type="pct"/>
                  <w:tcBorders>
                    <w:tl2br w:val="nil"/>
                    <w:tr2bl w:val="nil"/>
                  </w:tcBorders>
                  <w:shd w:val="clear" w:color="auto" w:fill="auto"/>
                  <w:vAlign w:val="center"/>
                </w:tcPr>
                <w:p w14:paraId="7BE37562">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870" w:type="pct"/>
                  <w:tcBorders>
                    <w:tl2br w:val="nil"/>
                    <w:tr2bl w:val="nil"/>
                  </w:tcBorders>
                  <w:shd w:val="clear" w:color="auto" w:fill="auto"/>
                  <w:vAlign w:val="center"/>
                </w:tcPr>
                <w:p w14:paraId="42C1520C">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p>
              </w:tc>
            </w:tr>
            <w:tr w14:paraId="08099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57" w:type="pct"/>
                  <w:gridSpan w:val="2"/>
                  <w:tcBorders>
                    <w:tl2br w:val="nil"/>
                    <w:tr2bl w:val="nil"/>
                  </w:tcBorders>
                  <w:vAlign w:val="center"/>
                </w:tcPr>
                <w:p w14:paraId="10692062">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委托单位名称</w:t>
                  </w:r>
                </w:p>
              </w:tc>
              <w:tc>
                <w:tcPr>
                  <w:tcW w:w="924" w:type="pct"/>
                  <w:tcBorders>
                    <w:tl2br w:val="nil"/>
                    <w:tr2bl w:val="nil"/>
                  </w:tcBorders>
                  <w:vAlign w:val="center"/>
                </w:tcPr>
                <w:p w14:paraId="55CC7768">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收集</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掺入碎石产品外售</w:t>
                  </w:r>
                </w:p>
              </w:tc>
              <w:tc>
                <w:tcPr>
                  <w:tcW w:w="762" w:type="pct"/>
                  <w:tcBorders>
                    <w:tl2br w:val="nil"/>
                    <w:tr2bl w:val="nil"/>
                  </w:tcBorders>
                  <w:vAlign w:val="center"/>
                </w:tcPr>
                <w:p w14:paraId="45C842BA">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收集外售</w:t>
                  </w:r>
                </w:p>
              </w:tc>
              <w:tc>
                <w:tcPr>
                  <w:tcW w:w="784" w:type="pct"/>
                  <w:tcBorders>
                    <w:tl2br w:val="nil"/>
                    <w:tr2bl w:val="nil"/>
                  </w:tcBorders>
                  <w:vAlign w:val="center"/>
                </w:tcPr>
                <w:p w14:paraId="3BDA0663">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收集外售</w:t>
                  </w:r>
                </w:p>
              </w:tc>
              <w:tc>
                <w:tcPr>
                  <w:tcW w:w="870" w:type="pct"/>
                  <w:tcBorders>
                    <w:tl2br w:val="nil"/>
                    <w:tr2bl w:val="nil"/>
                  </w:tcBorders>
                  <w:vAlign w:val="center"/>
                </w:tcPr>
                <w:p w14:paraId="08607C3B">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收集外售</w:t>
                  </w:r>
                </w:p>
              </w:tc>
            </w:tr>
          </w:tbl>
          <w:p w14:paraId="6CC2BA5C">
            <w:pPr>
              <w:pStyle w:val="49"/>
              <w:rPr>
                <w:rFonts w:hint="default" w:ascii="Times New Roman" w:hAnsi="Times New Roman" w:cs="Times New Roman"/>
                <w:color w:val="000000" w:themeColor="text1"/>
                <w:sz w:val="24"/>
                <w:szCs w:val="22"/>
                <w:highlight w:val="none"/>
                <w:lang w:val="en-US"/>
                <w14:textFill>
                  <w14:solidFill>
                    <w14:schemeClr w14:val="tx1"/>
                  </w14:solidFill>
                </w14:textFill>
              </w:rPr>
            </w:pPr>
            <w:r>
              <w:rPr>
                <w:rFonts w:hint="default" w:ascii="Times New Roman" w:hAnsi="Times New Roman" w:cs="Times New Roman"/>
                <w:color w:val="000000" w:themeColor="text1"/>
                <w:sz w:val="24"/>
                <w:szCs w:val="22"/>
                <w:highlight w:val="none"/>
                <w:lang w:val="en-US"/>
                <w14:textFill>
                  <w14:solidFill>
                    <w14:schemeClr w14:val="tx1"/>
                  </w14:solidFill>
                </w14:textFill>
              </w:rPr>
              <w:t>表4</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w:t>
            </w:r>
            <w:r>
              <w:rPr>
                <w:rFonts w:hint="eastAsia" w:cs="Times New Roman"/>
                <w:color w:val="000000" w:themeColor="text1"/>
                <w:sz w:val="24"/>
                <w:szCs w:val="22"/>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2"/>
                <w:highlight w:val="none"/>
                <w:lang w:val="en-US"/>
                <w14:textFill>
                  <w14:solidFill>
                    <w14:schemeClr w14:val="tx1"/>
                  </w14:solidFill>
                </w14:textFill>
              </w:rPr>
              <w:t xml:space="preserve">  项目固废排放信息一览表（续表）</w:t>
            </w:r>
          </w:p>
          <w:tbl>
            <w:tblPr>
              <w:tblStyle w:val="25"/>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481"/>
              <w:gridCol w:w="1917"/>
              <w:gridCol w:w="1917"/>
              <w:gridCol w:w="1917"/>
            </w:tblGrid>
            <w:tr w14:paraId="0465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91" w:type="pct"/>
                  <w:gridSpan w:val="2"/>
                  <w:tcBorders>
                    <w:tl2br w:val="nil"/>
                    <w:tr2bl w:val="nil"/>
                  </w:tcBorders>
                  <w:vAlign w:val="center"/>
                </w:tcPr>
                <w:p w14:paraId="0F174116">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名称</w:t>
                  </w:r>
                </w:p>
              </w:tc>
              <w:tc>
                <w:tcPr>
                  <w:tcW w:w="1136" w:type="pct"/>
                  <w:tcBorders>
                    <w:tl2br w:val="nil"/>
                    <w:tr2bl w:val="nil"/>
                  </w:tcBorders>
                  <w:vAlign w:val="center"/>
                </w:tcPr>
                <w:p w14:paraId="6A62673A">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废油桶</w:t>
                  </w:r>
                </w:p>
              </w:tc>
              <w:tc>
                <w:tcPr>
                  <w:tcW w:w="1136" w:type="pct"/>
                  <w:tcBorders>
                    <w:tl2br w:val="nil"/>
                    <w:tr2bl w:val="nil"/>
                  </w:tcBorders>
                  <w:vAlign w:val="center"/>
                </w:tcPr>
                <w:p w14:paraId="14670CD3">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废润滑油</w:t>
                  </w:r>
                </w:p>
              </w:tc>
              <w:tc>
                <w:tcPr>
                  <w:tcW w:w="1136" w:type="pct"/>
                  <w:tcBorders>
                    <w:tl2br w:val="nil"/>
                    <w:tr2bl w:val="nil"/>
                  </w:tcBorders>
                  <w:vAlign w:val="center"/>
                </w:tcPr>
                <w:p w14:paraId="3991A11C">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废</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含油</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抹布</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手套</w:t>
                  </w:r>
                </w:p>
              </w:tc>
            </w:tr>
            <w:tr w14:paraId="77A2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91" w:type="pct"/>
                  <w:gridSpan w:val="2"/>
                  <w:tcBorders>
                    <w:tl2br w:val="nil"/>
                    <w:tr2bl w:val="nil"/>
                  </w:tcBorders>
                  <w:vAlign w:val="center"/>
                </w:tcPr>
                <w:p w14:paraId="1CF7DE7B">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产生环节</w:t>
                  </w:r>
                </w:p>
              </w:tc>
              <w:tc>
                <w:tcPr>
                  <w:tcW w:w="1136" w:type="pct"/>
                  <w:tcBorders>
                    <w:tl2br w:val="nil"/>
                    <w:tr2bl w:val="nil"/>
                  </w:tcBorders>
                  <w:vAlign w:val="center"/>
                </w:tcPr>
                <w:p w14:paraId="7A7CF045">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装存材料</w:t>
                  </w:r>
                </w:p>
              </w:tc>
              <w:tc>
                <w:tcPr>
                  <w:tcW w:w="2272" w:type="pct"/>
                  <w:gridSpan w:val="2"/>
                  <w:tcBorders>
                    <w:tl2br w:val="nil"/>
                    <w:tr2bl w:val="nil"/>
                  </w:tcBorders>
                  <w:vAlign w:val="center"/>
                </w:tcPr>
                <w:p w14:paraId="18C7638F">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设备维护</w:t>
                  </w:r>
                </w:p>
              </w:tc>
            </w:tr>
            <w:tr w14:paraId="6210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91" w:type="pct"/>
                  <w:gridSpan w:val="2"/>
                  <w:tcBorders>
                    <w:tl2br w:val="nil"/>
                    <w:tr2bl w:val="nil"/>
                  </w:tcBorders>
                  <w:vAlign w:val="center"/>
                </w:tcPr>
                <w:p w14:paraId="0F19D9BE">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属性</w:t>
                  </w:r>
                </w:p>
              </w:tc>
              <w:tc>
                <w:tcPr>
                  <w:tcW w:w="3408" w:type="pct"/>
                  <w:gridSpan w:val="3"/>
                  <w:tcBorders>
                    <w:tl2br w:val="nil"/>
                    <w:tr2bl w:val="nil"/>
                  </w:tcBorders>
                  <w:vAlign w:val="center"/>
                </w:tcPr>
                <w:p w14:paraId="7A854C6F">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危险废物</w:t>
                  </w:r>
                </w:p>
              </w:tc>
            </w:tr>
            <w:tr w14:paraId="0F27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91" w:type="pct"/>
                  <w:gridSpan w:val="2"/>
                  <w:tcBorders>
                    <w:tl2br w:val="nil"/>
                    <w:tr2bl w:val="nil"/>
                  </w:tcBorders>
                  <w:vAlign w:val="center"/>
                </w:tcPr>
                <w:p w14:paraId="5F97D44C">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废物</w:t>
                  </w: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类别及</w:t>
                  </w: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代码</w:t>
                  </w:r>
                </w:p>
              </w:tc>
              <w:tc>
                <w:tcPr>
                  <w:tcW w:w="1136" w:type="pct"/>
                  <w:tcBorders>
                    <w:tl2br w:val="nil"/>
                    <w:tr2bl w:val="nil"/>
                  </w:tcBorders>
                  <w:vAlign w:val="center"/>
                </w:tcPr>
                <w:p w14:paraId="5369689A">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HW49</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900-041-49</w:t>
                  </w:r>
                </w:p>
              </w:tc>
              <w:tc>
                <w:tcPr>
                  <w:tcW w:w="1136" w:type="pct"/>
                  <w:tcBorders>
                    <w:tl2br w:val="nil"/>
                    <w:tr2bl w:val="nil"/>
                  </w:tcBorders>
                  <w:vAlign w:val="center"/>
                </w:tcPr>
                <w:p w14:paraId="2DBC0F19">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HW08</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900-2</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18</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-08</w:t>
                  </w:r>
                </w:p>
              </w:tc>
              <w:tc>
                <w:tcPr>
                  <w:tcW w:w="1136" w:type="pct"/>
                  <w:tcBorders>
                    <w:tl2br w:val="nil"/>
                    <w:tr2bl w:val="nil"/>
                  </w:tcBorders>
                  <w:vAlign w:val="center"/>
                </w:tcPr>
                <w:p w14:paraId="5161004C">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HW49</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900-041-49</w:t>
                  </w:r>
                </w:p>
              </w:tc>
            </w:tr>
            <w:tr w14:paraId="5704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91" w:type="pct"/>
                  <w:gridSpan w:val="2"/>
                  <w:tcBorders>
                    <w:tl2br w:val="nil"/>
                    <w:tr2bl w:val="nil"/>
                  </w:tcBorders>
                  <w:vAlign w:val="center"/>
                </w:tcPr>
                <w:p w14:paraId="518A766F">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有毒有害物质名称</w:t>
                  </w:r>
                </w:p>
              </w:tc>
              <w:tc>
                <w:tcPr>
                  <w:tcW w:w="1136" w:type="pct"/>
                  <w:tcBorders>
                    <w:tl2br w:val="nil"/>
                    <w:tr2bl w:val="nil"/>
                  </w:tcBorders>
                  <w:vAlign w:val="center"/>
                </w:tcPr>
                <w:p w14:paraId="18F61FAD">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w:t>
                  </w:r>
                </w:p>
              </w:tc>
              <w:tc>
                <w:tcPr>
                  <w:tcW w:w="1136" w:type="pct"/>
                  <w:tcBorders>
                    <w:tl2br w:val="nil"/>
                    <w:tr2bl w:val="nil"/>
                  </w:tcBorders>
                  <w:vAlign w:val="center"/>
                </w:tcPr>
                <w:p w14:paraId="03AA1149">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w:t>
                  </w:r>
                </w:p>
              </w:tc>
              <w:tc>
                <w:tcPr>
                  <w:tcW w:w="1136" w:type="pct"/>
                  <w:tcBorders>
                    <w:tl2br w:val="nil"/>
                    <w:tr2bl w:val="nil"/>
                  </w:tcBorders>
                  <w:vAlign w:val="center"/>
                </w:tcPr>
                <w:p w14:paraId="3F82CE37">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w:t>
                  </w:r>
                </w:p>
              </w:tc>
            </w:tr>
            <w:tr w14:paraId="22CB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91" w:type="pct"/>
                  <w:gridSpan w:val="2"/>
                  <w:tcBorders>
                    <w:tl2br w:val="nil"/>
                    <w:tr2bl w:val="nil"/>
                  </w:tcBorders>
                  <w:vAlign w:val="center"/>
                </w:tcPr>
                <w:p w14:paraId="4C7198C6">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物理性状</w:t>
                  </w:r>
                </w:p>
              </w:tc>
              <w:tc>
                <w:tcPr>
                  <w:tcW w:w="1136" w:type="pct"/>
                  <w:tcBorders>
                    <w:tl2br w:val="nil"/>
                    <w:tr2bl w:val="nil"/>
                  </w:tcBorders>
                  <w:vAlign w:val="center"/>
                </w:tcPr>
                <w:p w14:paraId="0CA04B58">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c>
                <w:tcPr>
                  <w:tcW w:w="1136" w:type="pct"/>
                  <w:tcBorders>
                    <w:tl2br w:val="nil"/>
                    <w:tr2bl w:val="nil"/>
                  </w:tcBorders>
                  <w:vAlign w:val="center"/>
                </w:tcPr>
                <w:p w14:paraId="223D05FC">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液体</w:t>
                  </w:r>
                </w:p>
              </w:tc>
              <w:tc>
                <w:tcPr>
                  <w:tcW w:w="1136" w:type="pct"/>
                  <w:tcBorders>
                    <w:tl2br w:val="nil"/>
                    <w:tr2bl w:val="nil"/>
                  </w:tcBorders>
                  <w:vAlign w:val="center"/>
                </w:tcPr>
                <w:p w14:paraId="04AFE223">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固态</w:t>
                  </w:r>
                </w:p>
              </w:tc>
            </w:tr>
            <w:tr w14:paraId="0D70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91" w:type="pct"/>
                  <w:gridSpan w:val="2"/>
                  <w:tcBorders>
                    <w:tl2br w:val="nil"/>
                    <w:tr2bl w:val="nil"/>
                  </w:tcBorders>
                  <w:vAlign w:val="center"/>
                </w:tcPr>
                <w:p w14:paraId="4986BD37">
                  <w:pPr>
                    <w:pStyle w:val="49"/>
                    <w:rPr>
                      <w:rFonts w:hint="default" w:ascii="Times New Roman" w:hAnsi="Times New Roman" w:cs="Times New Roman" w:eastAsiaTheme="minorEastAsia"/>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环境危险特性</w:t>
                  </w:r>
                </w:p>
              </w:tc>
              <w:tc>
                <w:tcPr>
                  <w:tcW w:w="1136" w:type="pct"/>
                  <w:tcBorders>
                    <w:tl2br w:val="nil"/>
                    <w:tr2bl w:val="nil"/>
                  </w:tcBorders>
                  <w:vAlign w:val="center"/>
                </w:tcPr>
                <w:p w14:paraId="5ADEE0C6">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T/In</w:t>
                  </w:r>
                </w:p>
              </w:tc>
              <w:tc>
                <w:tcPr>
                  <w:tcW w:w="1136" w:type="pct"/>
                  <w:tcBorders>
                    <w:tl2br w:val="nil"/>
                    <w:tr2bl w:val="nil"/>
                  </w:tcBorders>
                  <w:vAlign w:val="center"/>
                </w:tcPr>
                <w:p w14:paraId="42B1DD65">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w:t>
                  </w: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I</w:t>
                  </w:r>
                </w:p>
              </w:tc>
              <w:tc>
                <w:tcPr>
                  <w:tcW w:w="1136" w:type="pct"/>
                  <w:tcBorders>
                    <w:tl2br w:val="nil"/>
                    <w:tr2bl w:val="nil"/>
                  </w:tcBorders>
                  <w:vAlign w:val="center"/>
                </w:tcPr>
                <w:p w14:paraId="19D7B278">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T/In</w:t>
                  </w:r>
                </w:p>
              </w:tc>
            </w:tr>
            <w:tr w14:paraId="3101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91" w:type="pct"/>
                  <w:gridSpan w:val="2"/>
                  <w:tcBorders>
                    <w:tl2br w:val="nil"/>
                    <w:tr2bl w:val="nil"/>
                  </w:tcBorders>
                  <w:vAlign w:val="center"/>
                </w:tcPr>
                <w:p w14:paraId="24365A14">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产生量（t/a）</w:t>
                  </w:r>
                </w:p>
              </w:tc>
              <w:tc>
                <w:tcPr>
                  <w:tcW w:w="1136" w:type="pct"/>
                  <w:tcBorders>
                    <w:tl2br w:val="nil"/>
                    <w:tr2bl w:val="nil"/>
                  </w:tcBorders>
                  <w:vAlign w:val="center"/>
                </w:tcPr>
                <w:p w14:paraId="3BDF1009">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1.2</w:t>
                  </w:r>
                </w:p>
              </w:tc>
              <w:tc>
                <w:tcPr>
                  <w:tcW w:w="1136" w:type="pct"/>
                  <w:tcBorders>
                    <w:tl2br w:val="nil"/>
                    <w:tr2bl w:val="nil"/>
                  </w:tcBorders>
                  <w:vAlign w:val="center"/>
                </w:tcPr>
                <w:p w14:paraId="2EF05F74">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2</w:t>
                  </w:r>
                </w:p>
              </w:tc>
              <w:tc>
                <w:tcPr>
                  <w:tcW w:w="1136" w:type="pct"/>
                  <w:tcBorders>
                    <w:tl2br w:val="nil"/>
                    <w:tr2bl w:val="nil"/>
                  </w:tcBorders>
                  <w:vAlign w:val="center"/>
                </w:tcPr>
                <w:p w14:paraId="0EFE9CFB">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0.0</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1</w:t>
                  </w:r>
                </w:p>
              </w:tc>
            </w:tr>
            <w:tr w14:paraId="58E7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91" w:type="pct"/>
                  <w:gridSpan w:val="2"/>
                  <w:tcBorders>
                    <w:tl2br w:val="nil"/>
                    <w:tr2bl w:val="nil"/>
                  </w:tcBorders>
                  <w:vAlign w:val="center"/>
                </w:tcPr>
                <w:p w14:paraId="75451F2E">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贮存方式</w:t>
                  </w:r>
                </w:p>
              </w:tc>
              <w:tc>
                <w:tcPr>
                  <w:tcW w:w="1136" w:type="pct"/>
                  <w:tcBorders>
                    <w:tl2br w:val="nil"/>
                    <w:tr2bl w:val="nil"/>
                  </w:tcBorders>
                  <w:vAlign w:val="center"/>
                </w:tcPr>
                <w:p w14:paraId="4D4431D5">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码垛堆存</w:t>
                  </w:r>
                </w:p>
              </w:tc>
              <w:tc>
                <w:tcPr>
                  <w:tcW w:w="1136" w:type="pct"/>
                  <w:tcBorders>
                    <w:tl2br w:val="nil"/>
                    <w:tr2bl w:val="nil"/>
                  </w:tcBorders>
                  <w:vAlign w:val="center"/>
                </w:tcPr>
                <w:p w14:paraId="6564C15D">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桶装</w:t>
                  </w:r>
                </w:p>
              </w:tc>
              <w:tc>
                <w:tcPr>
                  <w:tcW w:w="1136" w:type="pct"/>
                  <w:tcBorders>
                    <w:tl2br w:val="nil"/>
                    <w:tr2bl w:val="nil"/>
                  </w:tcBorders>
                  <w:vAlign w:val="center"/>
                </w:tcPr>
                <w:p w14:paraId="43CB8270">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桶装</w:t>
                  </w:r>
                </w:p>
              </w:tc>
            </w:tr>
            <w:tr w14:paraId="5913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14" w:type="pct"/>
                  <w:vMerge w:val="restart"/>
                  <w:tcBorders>
                    <w:tl2br w:val="nil"/>
                    <w:tr2bl w:val="nil"/>
                  </w:tcBorders>
                  <w:vAlign w:val="center"/>
                </w:tcPr>
                <w:p w14:paraId="6877446B">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利用处置方式和去向</w:t>
                  </w:r>
                  <w:r>
                    <w:rPr>
                      <w:rFonts w:hint="default" w:ascii="Times New Roman" w:hAnsi="Times New Roman" w:cs="Times New Roman" w:eastAsiaTheme="minorEastAsia"/>
                      <w:bCs/>
                      <w:color w:val="000000" w:themeColor="text1"/>
                      <w:kern w:val="2"/>
                      <w:szCs w:val="21"/>
                      <w:highlight w:val="none"/>
                      <w14:textFill>
                        <w14:solidFill>
                          <w14:schemeClr w14:val="tx1"/>
                        </w14:solidFill>
                      </w14:textFill>
                    </w:rPr>
                    <w:t>（t/a）</w:t>
                  </w:r>
                </w:p>
              </w:tc>
              <w:tc>
                <w:tcPr>
                  <w:tcW w:w="877" w:type="pct"/>
                  <w:tcBorders>
                    <w:tl2br w:val="nil"/>
                    <w:tr2bl w:val="nil"/>
                  </w:tcBorders>
                  <w:vAlign w:val="center"/>
                </w:tcPr>
                <w:p w14:paraId="425DE2B5">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自行利用量</w:t>
                  </w:r>
                </w:p>
              </w:tc>
              <w:tc>
                <w:tcPr>
                  <w:tcW w:w="1136" w:type="pct"/>
                  <w:tcBorders>
                    <w:tl2br w:val="nil"/>
                    <w:tr2bl w:val="nil"/>
                  </w:tcBorders>
                  <w:vAlign w:val="center"/>
                </w:tcPr>
                <w:p w14:paraId="784C1DFF">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53CE9E39">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01C3A77D">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r>
            <w:tr w14:paraId="396B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14" w:type="pct"/>
                  <w:vMerge w:val="continue"/>
                  <w:tcBorders>
                    <w:tl2br w:val="nil"/>
                    <w:tr2bl w:val="nil"/>
                  </w:tcBorders>
                  <w:vAlign w:val="center"/>
                </w:tcPr>
                <w:p w14:paraId="5F0C247E">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877" w:type="pct"/>
                  <w:tcBorders>
                    <w:tl2br w:val="nil"/>
                    <w:tr2bl w:val="nil"/>
                  </w:tcBorders>
                  <w:vAlign w:val="center"/>
                </w:tcPr>
                <w:p w14:paraId="19085321">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委托利用量</w:t>
                  </w:r>
                </w:p>
              </w:tc>
              <w:tc>
                <w:tcPr>
                  <w:tcW w:w="1136" w:type="pct"/>
                  <w:tcBorders>
                    <w:tl2br w:val="nil"/>
                    <w:tr2bl w:val="nil"/>
                  </w:tcBorders>
                  <w:vAlign w:val="center"/>
                </w:tcPr>
                <w:p w14:paraId="54BA6F6E">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33C5A8FF">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601D1BD4">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r>
            <w:tr w14:paraId="5519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14" w:type="pct"/>
                  <w:vMerge w:val="continue"/>
                  <w:tcBorders>
                    <w:tl2br w:val="nil"/>
                    <w:tr2bl w:val="nil"/>
                  </w:tcBorders>
                  <w:vAlign w:val="center"/>
                </w:tcPr>
                <w:p w14:paraId="45425A8B">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877" w:type="pct"/>
                  <w:tcBorders>
                    <w:tl2br w:val="nil"/>
                    <w:tr2bl w:val="nil"/>
                  </w:tcBorders>
                  <w:vAlign w:val="center"/>
                </w:tcPr>
                <w:p w14:paraId="0BB621DC">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委托处置量</w:t>
                  </w:r>
                </w:p>
              </w:tc>
              <w:tc>
                <w:tcPr>
                  <w:tcW w:w="1917" w:type="dxa"/>
                  <w:tcBorders>
                    <w:tl2br w:val="nil"/>
                    <w:tr2bl w:val="nil"/>
                  </w:tcBorders>
                  <w:vAlign w:val="center"/>
                </w:tcPr>
                <w:p w14:paraId="3F9D267A">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1.2</w:t>
                  </w:r>
                </w:p>
              </w:tc>
              <w:tc>
                <w:tcPr>
                  <w:tcW w:w="1917" w:type="dxa"/>
                  <w:tcBorders>
                    <w:tl2br w:val="nil"/>
                    <w:tr2bl w:val="nil"/>
                  </w:tcBorders>
                  <w:vAlign w:val="center"/>
                </w:tcPr>
                <w:p w14:paraId="2B9D3A38">
                  <w:pPr>
                    <w:pStyle w:val="49"/>
                    <w:ind w:firstLine="0" w:firstLineChars="0"/>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w:t>
                  </w:r>
                  <w:r>
                    <w:rPr>
                      <w:rFonts w:hint="eastAsia"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2</w:t>
                  </w:r>
                </w:p>
              </w:tc>
              <w:tc>
                <w:tcPr>
                  <w:tcW w:w="1136" w:type="pct"/>
                  <w:tcBorders>
                    <w:tl2br w:val="nil"/>
                    <w:tr2bl w:val="nil"/>
                  </w:tcBorders>
                  <w:vAlign w:val="center"/>
                </w:tcPr>
                <w:p w14:paraId="394D80E2">
                  <w:pPr>
                    <w:pStyle w:val="49"/>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eastAsia="zh-CN"/>
                      <w14:textFill>
                        <w14:solidFill>
                          <w14:schemeClr w14:val="tx1"/>
                        </w14:solidFill>
                      </w14:textFill>
                    </w:rPr>
                    <w:t>0.0</w:t>
                  </w: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1</w:t>
                  </w:r>
                </w:p>
              </w:tc>
            </w:tr>
            <w:tr w14:paraId="7E55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14" w:type="pct"/>
                  <w:vMerge w:val="continue"/>
                  <w:tcBorders>
                    <w:tl2br w:val="nil"/>
                    <w:tr2bl w:val="nil"/>
                  </w:tcBorders>
                  <w:vAlign w:val="center"/>
                </w:tcPr>
                <w:p w14:paraId="5BB87585">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p>
              </w:tc>
              <w:tc>
                <w:tcPr>
                  <w:tcW w:w="877" w:type="pct"/>
                  <w:tcBorders>
                    <w:tl2br w:val="nil"/>
                    <w:tr2bl w:val="nil"/>
                  </w:tcBorders>
                  <w:vAlign w:val="center"/>
                </w:tcPr>
                <w:p w14:paraId="2889C03D">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排放量</w:t>
                  </w:r>
                </w:p>
              </w:tc>
              <w:tc>
                <w:tcPr>
                  <w:tcW w:w="1136" w:type="pct"/>
                  <w:tcBorders>
                    <w:tl2br w:val="nil"/>
                    <w:tr2bl w:val="nil"/>
                  </w:tcBorders>
                  <w:vAlign w:val="center"/>
                </w:tcPr>
                <w:p w14:paraId="2164C504">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13C090C6">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c>
                <w:tcPr>
                  <w:tcW w:w="1136" w:type="pct"/>
                  <w:tcBorders>
                    <w:tl2br w:val="nil"/>
                    <w:tr2bl w:val="nil"/>
                  </w:tcBorders>
                  <w:vAlign w:val="center"/>
                </w:tcPr>
                <w:p w14:paraId="70FC92B1">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0</w:t>
                  </w:r>
                </w:p>
              </w:tc>
            </w:tr>
            <w:tr w14:paraId="167F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91" w:type="pct"/>
                  <w:gridSpan w:val="2"/>
                  <w:tcBorders>
                    <w:tl2br w:val="nil"/>
                    <w:tr2bl w:val="nil"/>
                  </w:tcBorders>
                  <w:vAlign w:val="center"/>
                </w:tcPr>
                <w:p w14:paraId="1139FAB1">
                  <w:pPr>
                    <w:pStyle w:val="49"/>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Cs/>
                      <w:color w:val="000000" w:themeColor="text1"/>
                      <w:kern w:val="2"/>
                      <w:szCs w:val="21"/>
                      <w:highlight w:val="none"/>
                      <w:lang w:val="en-US"/>
                      <w14:textFill>
                        <w14:solidFill>
                          <w14:schemeClr w14:val="tx1"/>
                        </w14:solidFill>
                      </w14:textFill>
                    </w:rPr>
                    <w:t>委托单位名称</w:t>
                  </w:r>
                </w:p>
              </w:tc>
              <w:tc>
                <w:tcPr>
                  <w:tcW w:w="3408" w:type="pct"/>
                  <w:gridSpan w:val="3"/>
                  <w:tcBorders>
                    <w:tl2br w:val="nil"/>
                    <w:tr2bl w:val="nil"/>
                  </w:tcBorders>
                  <w:vAlign w:val="center"/>
                </w:tcPr>
                <w:p w14:paraId="6F28B326">
                  <w:pPr>
                    <w:pStyle w:val="49"/>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2"/>
                      <w:szCs w:val="21"/>
                      <w:highlight w:val="none"/>
                      <w:lang w:val="en-US"/>
                      <w14:textFill>
                        <w14:solidFill>
                          <w14:schemeClr w14:val="tx1"/>
                        </w14:solidFill>
                      </w14:textFill>
                    </w:rPr>
                    <w:t>危废处理资质单位</w:t>
                  </w:r>
                </w:p>
              </w:tc>
            </w:tr>
          </w:tbl>
          <w:p w14:paraId="33B3CDFF">
            <w:pPr>
              <w:ind w:firstLine="420" w:firstLineChars="200"/>
              <w:rPr>
                <w:rFonts w:hint="default" w:ascii="Times New Roman" w:hAnsi="Times New Roman" w:cs="Times New Roman" w:eastAsiaTheme="minorEastAsia"/>
                <w:color w:val="000000" w:themeColor="text1"/>
                <w:szCs w:val="22"/>
                <w:highlight w:val="none"/>
                <w14:textFill>
                  <w14:solidFill>
                    <w14:schemeClr w14:val="tx1"/>
                  </w14:solidFill>
                </w14:textFill>
              </w:rPr>
            </w:pPr>
            <w:r>
              <w:rPr>
                <w:rFonts w:hint="default" w:ascii="Times New Roman" w:hAnsi="Times New Roman" w:cs="Times New Roman" w:eastAsiaTheme="minorEastAsia"/>
                <w:color w:val="000000" w:themeColor="text1"/>
                <w:szCs w:val="22"/>
                <w:highlight w:val="none"/>
                <w14:textFill>
                  <w14:solidFill>
                    <w14:schemeClr w14:val="tx1"/>
                  </w14:solidFill>
                </w14:textFill>
              </w:rPr>
              <w:t>危险特性：毒性（Toxicity</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T）、易燃性（Ignitability</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I）和感染性（Infectivity</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In）</w:t>
            </w:r>
          </w:p>
          <w:p w14:paraId="736A1B3D">
            <w:pPr>
              <w:ind w:firstLine="42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分隔的多个危险特性代码，表示该种废物具有列在第一位代码所代表的危险特性，且可能具有所列其他代码代表的危险特性；</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w:t>
            </w:r>
            <w:r>
              <w:rPr>
                <w:rFonts w:hint="default" w:ascii="Times New Roman" w:hAnsi="Times New Roman" w:cs="Times New Roman" w:eastAsiaTheme="minorEastAsia"/>
                <w:color w:val="000000" w:themeColor="text1"/>
                <w:szCs w:val="22"/>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2"/>
                <w:highlight w:val="none"/>
                <w14:textFill>
                  <w14:solidFill>
                    <w14:schemeClr w14:val="tx1"/>
                  </w14:solidFill>
                </w14:textFill>
              </w:rPr>
              <w:t xml:space="preserve">分隔的多个危险特性代码，表示该种危险废物具有所列代码所代表的一种或多种危险特性。 </w:t>
            </w:r>
          </w:p>
          <w:p w14:paraId="57AE60A1">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（4）环境管理要求</w:t>
            </w:r>
          </w:p>
          <w:p w14:paraId="69346881">
            <w:pPr>
              <w:spacing w:line="360" w:lineRule="auto"/>
              <w:ind w:firstLine="482" w:firstLineChars="200"/>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一般工业固体废物贮存要求</w:t>
            </w:r>
            <w:r>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t>：</w:t>
            </w:r>
          </w:p>
          <w:p w14:paraId="19089FB8">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建设项目强化</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固体</w:t>
            </w:r>
            <w:r>
              <w:rPr>
                <w:rFonts w:hint="default" w:ascii="Times New Roman" w:hAnsi="Times New Roman" w:cs="Times New Roman" w:eastAsiaTheme="minorEastAsia"/>
                <w:color w:val="000000" w:themeColor="text1"/>
                <w:sz w:val="24"/>
                <w:highlight w:val="none"/>
                <w14:textFill>
                  <w14:solidFill>
                    <w14:schemeClr w14:val="tx1"/>
                  </w14:solidFill>
                </w14:textFill>
              </w:rPr>
              <w:t>废物产生、收集、贮运各环节的管理，杜绝固废在厂区内的散失、渗漏，</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以免产生二次污染</w:t>
            </w:r>
            <w:r>
              <w:rPr>
                <w:rFonts w:hint="default" w:ascii="Times New Roman" w:hAnsi="Times New Roman" w:cs="Times New Roman" w:eastAsiaTheme="minorEastAsia"/>
                <w:color w:val="000000" w:themeColor="text1"/>
                <w:sz w:val="24"/>
                <w:highlight w:val="none"/>
                <w14:textFill>
                  <w14:solidFill>
                    <w14:schemeClr w14:val="tx1"/>
                  </w14:solidFill>
                </w14:textFill>
              </w:rPr>
              <w:t>，做好固体废物在厂区内的收集和储存相关防护工作，满足</w:t>
            </w:r>
            <w:r>
              <w:rPr>
                <w:rFonts w:hint="default" w:ascii="Times New Roman" w:hAnsi="Times New Roman" w:cs="Times New Roman" w:eastAsiaTheme="minorEastAsia"/>
                <w:color w:val="000000" w:themeColor="text1"/>
                <w:sz w:val="24"/>
                <w:highlight w:val="none"/>
                <w:shd w:val="clear" w:color="auto" w:fill="FFFFFF"/>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shd w:val="clear" w:color="auto" w:fill="FFFFFF"/>
                <w14:textFill>
                  <w14:solidFill>
                    <w14:schemeClr w14:val="tx1"/>
                  </w14:solidFill>
                </w14:textFill>
              </w:rPr>
              <w:t>防渗漏、防雨淋、防扬尘</w:t>
            </w:r>
            <w:r>
              <w:rPr>
                <w:rFonts w:hint="default" w:ascii="Times New Roman" w:hAnsi="Times New Roman" w:cs="Times New Roman" w:eastAsiaTheme="minorEastAsia"/>
                <w:color w:val="000000" w:themeColor="text1"/>
                <w:sz w:val="24"/>
                <w:highlight w:val="none"/>
                <w:shd w:val="clear" w:color="auto" w:fill="FFFFFF"/>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等国家相关标准规定的要求，收集后进行有效处置，</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同时要遵循</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资源化、减量化、无害化</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的治理原则。</w:t>
            </w:r>
          </w:p>
          <w:p w14:paraId="4706BAD6">
            <w:pPr>
              <w:spacing w:line="360" w:lineRule="auto"/>
              <w:ind w:firstLine="482" w:firstLineChars="200"/>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危险废物贮存设施依托可行性</w:t>
            </w:r>
          </w:p>
          <w:p w14:paraId="7C6AB50C">
            <w:pPr>
              <w:spacing w:line="360" w:lineRule="auto"/>
              <w:ind w:firstLine="480" w:firstLineChars="200"/>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本项目依托原有项目危废暂存间，原有危废暂存间面积约5m</w:t>
            </w:r>
            <w:r>
              <w:rPr>
                <w:rFonts w:hint="eastAsia" w:ascii="Times New Roman" w:hAnsi="Times New Roman" w:cs="Times New Roman" w:eastAsiaTheme="minorEastAsia"/>
                <w:color w:val="000000" w:themeColor="text1"/>
                <w:sz w:val="24"/>
                <w:szCs w:val="28"/>
                <w:highlight w:val="none"/>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，原有项目与本项目的危废种类一致，均为废矿物油及油桶等，且本项目的废矿物油产生量约1.2t/a，每半年转移一次，可在原有危废间内贮存，故原有危废间可依托。</w:t>
            </w:r>
          </w:p>
          <w:p w14:paraId="508E5E47">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危险废物贮存及转移要求：</w:t>
            </w:r>
          </w:p>
          <w:p w14:paraId="0EF33F03">
            <w:pPr>
              <w:spacing w:line="360" w:lineRule="auto"/>
              <w:ind w:firstLine="480" w:firstLineChars="200"/>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原有项目危废暂存设施建设符合</w:t>
            </w:r>
            <w:r>
              <w:rPr>
                <w:rFonts w:hint="default" w:ascii="Times New Roman" w:hAnsi="Times New Roman" w:eastAsia="宋体" w:cs="Times New Roman"/>
                <w:bCs/>
                <w:color w:val="000000" w:themeColor="text1"/>
                <w:kern w:val="0"/>
                <w:sz w:val="24"/>
                <w:highlight w:val="none"/>
                <w14:textFill>
                  <w14:solidFill>
                    <w14:schemeClr w14:val="tx1"/>
                  </w14:solidFill>
                </w14:textFill>
              </w:rPr>
              <w:t>《危险废物贮存污染控制标准》（GB18597-20</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23</w:t>
            </w:r>
            <w:r>
              <w:rPr>
                <w:rFonts w:hint="default" w:ascii="Times New Roman" w:hAnsi="Times New Roman" w:eastAsia="宋体" w:cs="Times New Roman"/>
                <w:bCs/>
                <w:color w:val="000000" w:themeColor="text1"/>
                <w:kern w:val="0"/>
                <w:sz w:val="24"/>
                <w:highlight w:val="none"/>
                <w14:textFill>
                  <w14:solidFill>
                    <w14:schemeClr w14:val="tx1"/>
                  </w14:solidFill>
                </w14:textFill>
              </w:rPr>
              <w:t>）</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的相关要求，但车间内标识标牌老化，不能继续使用，故需对危废间进行如下整改：</w:t>
            </w:r>
          </w:p>
          <w:p w14:paraId="43E51658">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收集、管理措施</w:t>
            </w:r>
          </w:p>
          <w:p w14:paraId="08D5DEAF">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建设单位应当</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以</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控制</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危险废物的环境风险为目标，制定危险废物管理计划，建立完善的危险废物管理台账和企业内部产生和收集、贮存部门危险废物交接制度，严格记录每种危险废物产生量、进出暂存间的量、处置量及各个时间节点负责人、用途或处置方式等，加强对危险废物包装、贮存的管理，严格执行危险废物转移联单制度。</w:t>
            </w:r>
          </w:p>
          <w:p w14:paraId="73ACA08D">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危险废物在收集时，应清楚</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危险</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废物的类别及</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主要成分</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，以方便委托处理单位处理，根据危险废物的性质和形态，可采用不同大小和不同材质的容器进行包装，所有包装容器应足够安全，并经过周密检查，严防在</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装卸</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搬移或运输途中出现渗漏、溢出、抛洒或挥发等情况。最后按照对危险废物交换和转移管理工作的有关要求，对危险废物进行安全包装，并在包装的明显位置附上危险废物标签。危险废物应尽快送往委托有资质单位处置，不宜存放过长时间</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确需暂存的，应按照</w:t>
            </w:r>
            <w:r>
              <w:rPr>
                <w:rFonts w:hint="default" w:ascii="Times New Roman" w:hAnsi="Times New Roman" w:eastAsia="宋体" w:cs="Times New Roman"/>
                <w:bCs/>
                <w:color w:val="000000" w:themeColor="text1"/>
                <w:kern w:val="0"/>
                <w:sz w:val="24"/>
                <w:highlight w:val="none"/>
                <w14:textFill>
                  <w14:solidFill>
                    <w14:schemeClr w14:val="tx1"/>
                  </w14:solidFill>
                </w14:textFill>
              </w:rPr>
              <w:t>《危险废物贮存污染控制标准》（GB18597-20</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23</w:t>
            </w:r>
            <w:r>
              <w:rPr>
                <w:rFonts w:hint="default" w:ascii="Times New Roman" w:hAnsi="Times New Roman" w:eastAsia="宋体" w:cs="Times New Roman"/>
                <w:bCs/>
                <w:color w:val="000000" w:themeColor="text1"/>
                <w:kern w:val="0"/>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中的标准设置危废临时贮存场所。</w:t>
            </w:r>
          </w:p>
          <w:p w14:paraId="425B0DE1">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暂存措施</w:t>
            </w:r>
          </w:p>
          <w:p w14:paraId="7B0CF915">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①</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危险废物贮存设施内清理出来的泄漏物，一律按危险废物处理。</w:t>
            </w:r>
          </w:p>
          <w:p w14:paraId="04C11B6B">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②</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每种危险废物分区分类存放后，在显著位置贴上符合规范的标识。</w:t>
            </w:r>
          </w:p>
          <w:p w14:paraId="40AB92CF">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上述控制与管理措施使项目危险废物的收集、暂存和保管均符合</w:t>
            </w:r>
            <w:r>
              <w:rPr>
                <w:rFonts w:hint="default" w:ascii="Times New Roman" w:hAnsi="Times New Roman" w:eastAsia="宋体" w:cs="Times New Roman"/>
                <w:bCs/>
                <w:color w:val="000000" w:themeColor="text1"/>
                <w:kern w:val="0"/>
                <w:sz w:val="24"/>
                <w:highlight w:val="none"/>
                <w14:textFill>
                  <w14:solidFill>
                    <w14:schemeClr w14:val="tx1"/>
                  </w14:solidFill>
                </w14:textFill>
              </w:rPr>
              <w:t>《危险废物贮存污染控制标准》（GB18597-20</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23</w:t>
            </w:r>
            <w:r>
              <w:rPr>
                <w:rFonts w:hint="default" w:ascii="Times New Roman" w:hAnsi="Times New Roman" w:eastAsia="宋体" w:cs="Times New Roman"/>
                <w:bCs/>
                <w:color w:val="000000" w:themeColor="text1"/>
                <w:kern w:val="0"/>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的要求，不会对环境造成二次污染。</w:t>
            </w:r>
          </w:p>
          <w:p w14:paraId="45797343">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综上所述，建设项目落实既定的固体废物污染防治措施，固体废物的贮存满足</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防风、防雨、防渗</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等国家相关标准规定的要求、可以有效防止二次污染；固体废物的利用和处理处置满足</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一般固体废物及危险废物妥善处置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的要求，可以实现固体废物零排放。</w:t>
            </w:r>
          </w:p>
          <w:p w14:paraId="101F1C67">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bookmarkStart w:id="25" w:name="10.3.3_环境监测计划"/>
            <w:bookmarkEnd w:id="25"/>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5.地下水</w:t>
            </w:r>
            <w:r>
              <w:rPr>
                <w:rFonts w:hint="default" w:ascii="Times New Roman" w:hAnsi="Times New Roman" w:cs="Times New Roman" w:eastAsiaTheme="minorEastAsia"/>
                <w:b/>
                <w:bCs/>
                <w:color w:val="000000" w:themeColor="text1"/>
                <w:sz w:val="24"/>
                <w:szCs w:val="32"/>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土壤</w:t>
            </w:r>
          </w:p>
          <w:p w14:paraId="0CDB3279">
            <w:pPr>
              <w:spacing w:line="360" w:lineRule="auto"/>
              <w:ind w:firstLine="482" w:firstLineChars="200"/>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1）地下水</w:t>
            </w:r>
          </w:p>
          <w:p w14:paraId="6BB25B68">
            <w:pPr>
              <w:spacing w:line="360" w:lineRule="auto"/>
              <w:ind w:firstLine="480" w:firstLineChars="200"/>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①</w:t>
            </w:r>
            <w:r>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t>污染源、污染物类型</w:t>
            </w:r>
          </w:p>
          <w:p w14:paraId="1A499AB5">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地下水</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污染源识别</w:t>
            </w:r>
          </w:p>
          <w:tbl>
            <w:tblPr>
              <w:tblStyle w:val="24"/>
              <w:tblW w:w="4998"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2404"/>
              <w:gridCol w:w="2940"/>
              <w:gridCol w:w="2430"/>
            </w:tblGrid>
            <w:tr w14:paraId="6B45D0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77AD0AA7">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序号</w:t>
                  </w:r>
                </w:p>
              </w:tc>
              <w:tc>
                <w:tcPr>
                  <w:tcW w:w="1425" w:type="pct"/>
                  <w:tcBorders>
                    <w:tl2br w:val="nil"/>
                    <w:tr2bl w:val="nil"/>
                  </w:tcBorders>
                  <w:vAlign w:val="center"/>
                </w:tcPr>
                <w:p w14:paraId="389103D2">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污染源</w:t>
                  </w:r>
                </w:p>
              </w:tc>
              <w:tc>
                <w:tcPr>
                  <w:tcW w:w="1743" w:type="pct"/>
                  <w:tcBorders>
                    <w:tl2br w:val="nil"/>
                    <w:tr2bl w:val="nil"/>
                  </w:tcBorders>
                  <w:vAlign w:val="center"/>
                </w:tcPr>
                <w:p w14:paraId="2FBE28D4">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污染物类型</w:t>
                  </w:r>
                </w:p>
              </w:tc>
              <w:tc>
                <w:tcPr>
                  <w:tcW w:w="1441" w:type="pct"/>
                  <w:tcBorders>
                    <w:tl2br w:val="nil"/>
                    <w:tr2bl w:val="nil"/>
                  </w:tcBorders>
                  <w:vAlign w:val="center"/>
                </w:tcPr>
                <w:p w14:paraId="1FA1D429">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污染物</w:t>
                  </w:r>
                </w:p>
              </w:tc>
            </w:tr>
            <w:tr w14:paraId="0248CEC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3A878296">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p>
              </w:tc>
              <w:tc>
                <w:tcPr>
                  <w:tcW w:w="1425" w:type="pct"/>
                  <w:tcBorders>
                    <w:tl2br w:val="nil"/>
                    <w:tr2bl w:val="nil"/>
                  </w:tcBorders>
                  <w:vAlign w:val="center"/>
                </w:tcPr>
                <w:p w14:paraId="6185B14A">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1743" w:type="pct"/>
                  <w:tcBorders>
                    <w:tl2br w:val="nil"/>
                    <w:tr2bl w:val="nil"/>
                  </w:tcBorders>
                  <w:vAlign w:val="center"/>
                </w:tcPr>
                <w:p w14:paraId="74B6F7C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441" w:type="pct"/>
                  <w:tcBorders>
                    <w:tl2br w:val="nil"/>
                    <w:tr2bl w:val="nil"/>
                  </w:tcBorders>
                  <w:vAlign w:val="center"/>
                </w:tcPr>
                <w:p w14:paraId="3CB567F9">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石油类</w:t>
                  </w:r>
                </w:p>
              </w:tc>
            </w:tr>
            <w:tr w14:paraId="410A62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2EDF008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p>
              </w:tc>
              <w:tc>
                <w:tcPr>
                  <w:tcW w:w="1425" w:type="pct"/>
                  <w:tcBorders>
                    <w:tl2br w:val="nil"/>
                    <w:tr2bl w:val="nil"/>
                  </w:tcBorders>
                  <w:vAlign w:val="center"/>
                </w:tcPr>
                <w:p w14:paraId="1BF9E6E1">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危废暂存库</w:t>
                  </w:r>
                </w:p>
              </w:tc>
              <w:tc>
                <w:tcPr>
                  <w:tcW w:w="1743" w:type="pct"/>
                  <w:tcBorders>
                    <w:tl2br w:val="nil"/>
                    <w:tr2bl w:val="nil"/>
                  </w:tcBorders>
                </w:tcPr>
                <w:p w14:paraId="6F5FC03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441" w:type="pct"/>
                  <w:tcBorders>
                    <w:tl2br w:val="nil"/>
                    <w:tr2bl w:val="nil"/>
                  </w:tcBorders>
                </w:tcPr>
                <w:p w14:paraId="16611791">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石油类</w:t>
                  </w:r>
                </w:p>
              </w:tc>
            </w:tr>
          </w:tbl>
          <w:p w14:paraId="0B7C24C2">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②</w:t>
            </w:r>
            <w:r>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t>污染途径</w:t>
            </w:r>
          </w:p>
          <w:p w14:paraId="14CFED0D">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本</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项目石油类（润滑油、废润滑油）下渗污染区域地下水环境。</w:t>
            </w:r>
          </w:p>
          <w:p w14:paraId="6D9F33E6">
            <w:pPr>
              <w:spacing w:line="360" w:lineRule="auto"/>
              <w:ind w:firstLine="480" w:firstLineChars="200"/>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 xml:space="preserve">③防控措施 </w:t>
            </w:r>
          </w:p>
          <w:p w14:paraId="41AB02A9">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原有项目在矿物油暂存库及危废暂存库均进行了重点防渗，本项目新建车间也需</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进行分区</w:t>
            </w:r>
            <w:r>
              <w:rPr>
                <w:rFonts w:hint="eastAsia"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简单</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防渗处理，可有效地防止污染物渗透到地下水。</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同时，</w:t>
            </w:r>
            <w:r>
              <w:rPr>
                <w:rFonts w:hint="default" w:ascii="Times New Roman" w:hAnsi="Times New Roman" w:cs="Times New Roman" w:eastAsiaTheme="minorEastAsia"/>
                <w:color w:val="000000" w:themeColor="text1"/>
                <w:sz w:val="24"/>
                <w:highlight w:val="none"/>
                <w14:textFill>
                  <w14:solidFill>
                    <w14:schemeClr w14:val="tx1"/>
                  </w14:solidFill>
                </w14:textFill>
              </w:rPr>
              <w:t>对项目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危险废物暂存库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 w:val="24"/>
                <w:highlight w:val="none"/>
                <w14:textFill>
                  <w14:solidFill>
                    <w14:schemeClr w14:val="tx1"/>
                  </w14:solidFill>
                </w14:textFill>
              </w:rPr>
              <w:t>暂存</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库区</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域采取</w:t>
            </w:r>
            <w:r>
              <w:rPr>
                <w:rFonts w:hint="default" w:ascii="Times New Roman" w:hAnsi="Times New Roman" w:cs="Times New Roman" w:eastAsiaTheme="minorEastAsia"/>
                <w:color w:val="000000" w:themeColor="text1"/>
                <w:sz w:val="24"/>
                <w:highlight w:val="none"/>
                <w14:textFill>
                  <w14:solidFill>
                    <w14:schemeClr w14:val="tx1"/>
                  </w14:solidFill>
                </w14:textFill>
              </w:rPr>
              <w:t>设置围堰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或托盘等有效措施</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控制影响范围</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3DAB5957">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另外根据现场勘查，项目不涉及集中式饮用水水源和热水、矿泉水、温泉等特殊地下水资源保护区。故项目建设对地下水环境影响较小。</w:t>
            </w:r>
          </w:p>
          <w:p w14:paraId="0E9F4A52">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④</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跟踪监测要求</w:t>
            </w:r>
          </w:p>
          <w:p w14:paraId="0D772608">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综上所述，本项目对可能产生地下水影响的各项途径均进行有效预防，在确保各项防渗措施得以落实，并加强维护和厂区环境管理的前提下，可有效控制厂区内的污染物渗漏，避免污染地下水，项目运营期可不设置跟踪监测要求。</w:t>
            </w:r>
          </w:p>
          <w:p w14:paraId="17EC0E22">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土壤</w:t>
            </w:r>
          </w:p>
          <w:p w14:paraId="0F8D129D">
            <w:pPr>
              <w:spacing w:line="360" w:lineRule="auto"/>
              <w:ind w:firstLine="480" w:firstLineChars="200"/>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bookmarkStart w:id="26" w:name="7.6.1建设项目土壤环境影响识别"/>
            <w:bookmarkEnd w:id="26"/>
            <w:bookmarkStart w:id="27" w:name="_TOC_250027"/>
            <w:bookmarkEnd w:id="27"/>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①</w:t>
            </w:r>
            <w:r>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t>污染源、污染物类型</w:t>
            </w:r>
          </w:p>
          <w:p w14:paraId="6C8A3852">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土壤污染源识别</w:t>
            </w:r>
          </w:p>
          <w:tbl>
            <w:tblPr>
              <w:tblStyle w:val="24"/>
              <w:tblW w:w="4998"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2404"/>
              <w:gridCol w:w="2940"/>
              <w:gridCol w:w="2430"/>
            </w:tblGrid>
            <w:tr w14:paraId="5E76FC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66A089BE">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序号</w:t>
                  </w:r>
                </w:p>
              </w:tc>
              <w:tc>
                <w:tcPr>
                  <w:tcW w:w="1425" w:type="pct"/>
                  <w:tcBorders>
                    <w:tl2br w:val="nil"/>
                    <w:tr2bl w:val="nil"/>
                  </w:tcBorders>
                  <w:vAlign w:val="center"/>
                </w:tcPr>
                <w:p w14:paraId="166FFCC6">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污染源</w:t>
                  </w:r>
                </w:p>
              </w:tc>
              <w:tc>
                <w:tcPr>
                  <w:tcW w:w="1743" w:type="pct"/>
                  <w:tcBorders>
                    <w:tl2br w:val="nil"/>
                    <w:tr2bl w:val="nil"/>
                  </w:tcBorders>
                  <w:vAlign w:val="center"/>
                </w:tcPr>
                <w:p w14:paraId="40291C1F">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污染物类型</w:t>
                  </w:r>
                </w:p>
              </w:tc>
              <w:tc>
                <w:tcPr>
                  <w:tcW w:w="1441" w:type="pct"/>
                  <w:tcBorders>
                    <w:tl2br w:val="nil"/>
                    <w:tr2bl w:val="nil"/>
                  </w:tcBorders>
                  <w:vAlign w:val="center"/>
                </w:tcPr>
                <w:p w14:paraId="3873038E">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污染物</w:t>
                  </w:r>
                </w:p>
              </w:tc>
            </w:tr>
            <w:tr w14:paraId="6EE400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559CEEC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p>
              </w:tc>
              <w:tc>
                <w:tcPr>
                  <w:tcW w:w="1425" w:type="pct"/>
                  <w:tcBorders>
                    <w:tl2br w:val="nil"/>
                    <w:tr2bl w:val="nil"/>
                  </w:tcBorders>
                  <w:vAlign w:val="center"/>
                </w:tcPr>
                <w:p w14:paraId="7B71BD76">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1743" w:type="pct"/>
                  <w:tcBorders>
                    <w:tl2br w:val="nil"/>
                    <w:tr2bl w:val="nil"/>
                  </w:tcBorders>
                  <w:vAlign w:val="center"/>
                </w:tcPr>
                <w:p w14:paraId="0763837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441" w:type="pct"/>
                  <w:tcBorders>
                    <w:tl2br w:val="nil"/>
                    <w:tr2bl w:val="nil"/>
                  </w:tcBorders>
                  <w:vAlign w:val="center"/>
                </w:tcPr>
                <w:p w14:paraId="5E22D174">
                  <w:pPr>
                    <w:jc w:val="center"/>
                    <w:rPr>
                      <w:rFonts w:hint="default" w:ascii="Times New Roman" w:hAnsi="Times New Roman" w:cs="Times New Roman" w:eastAsiaTheme="minorEastAsia"/>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石油类</w:t>
                  </w:r>
                </w:p>
              </w:tc>
            </w:tr>
            <w:tr w14:paraId="7A38074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4548A94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p>
              </w:tc>
              <w:tc>
                <w:tcPr>
                  <w:tcW w:w="1425" w:type="pct"/>
                  <w:tcBorders>
                    <w:tl2br w:val="nil"/>
                    <w:tr2bl w:val="nil"/>
                  </w:tcBorders>
                  <w:vAlign w:val="center"/>
                </w:tcPr>
                <w:p w14:paraId="7C0297A9">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危废暂存库</w:t>
                  </w:r>
                </w:p>
              </w:tc>
              <w:tc>
                <w:tcPr>
                  <w:tcW w:w="1743" w:type="pct"/>
                  <w:tcBorders>
                    <w:tl2br w:val="nil"/>
                    <w:tr2bl w:val="nil"/>
                  </w:tcBorders>
                </w:tcPr>
                <w:p w14:paraId="03AA846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441" w:type="pct"/>
                  <w:tcBorders>
                    <w:tl2br w:val="nil"/>
                    <w:tr2bl w:val="nil"/>
                  </w:tcBorders>
                </w:tcPr>
                <w:p w14:paraId="50AC361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石油类</w:t>
                  </w:r>
                </w:p>
              </w:tc>
            </w:tr>
          </w:tbl>
          <w:p w14:paraId="6ECFD4A6">
            <w:pPr>
              <w:spacing w:line="360" w:lineRule="auto"/>
              <w:ind w:firstLine="480" w:firstLineChars="200"/>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②</w:t>
            </w:r>
            <w:r>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t>污染途径</w:t>
            </w:r>
          </w:p>
          <w:p w14:paraId="28A66E7C">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highlight w:val="none"/>
                <w14:textFill>
                  <w14:solidFill>
                    <w14:schemeClr w14:val="tx1"/>
                  </w14:solidFill>
                </w14:textFill>
              </w:rPr>
              <w:t>项目生产过程中涉及石油类。正常情况下，不会通过垂直入渗的方式对土壤造成影响。非正常情况下，当石油类暂存</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库</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等发生渗漏时，污染物会通过垂直入渗的方式对土壤环境造成污染。具体建设项目土壤环境影响识别表与影响途径识别</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表</w:t>
            </w:r>
            <w:r>
              <w:rPr>
                <w:rFonts w:hint="default" w:ascii="Times New Roman" w:hAnsi="Times New Roman" w:cs="Times New Roman" w:eastAsiaTheme="minorEastAsia"/>
                <w:color w:val="000000" w:themeColor="text1"/>
                <w:sz w:val="24"/>
                <w:highlight w:val="none"/>
                <w14:textFill>
                  <w14:solidFill>
                    <w14:schemeClr w14:val="tx1"/>
                  </w14:solidFill>
                </w14:textFill>
              </w:rPr>
              <w:t>见</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下表</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154B6274">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建设项目土壤环境影响类型与影响途径识别表</w:t>
            </w:r>
          </w:p>
          <w:tbl>
            <w:tblPr>
              <w:tblStyle w:val="24"/>
              <w:tblW w:w="4997"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914"/>
              <w:gridCol w:w="1028"/>
              <w:gridCol w:w="1046"/>
              <w:gridCol w:w="1046"/>
              <w:gridCol w:w="851"/>
              <w:gridCol w:w="774"/>
              <w:gridCol w:w="829"/>
              <w:gridCol w:w="929"/>
              <w:gridCol w:w="1009"/>
            </w:tblGrid>
            <w:tr w14:paraId="231191E7">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42" w:type="pct"/>
                  <w:vMerge w:val="restart"/>
                  <w:tcBorders>
                    <w:bottom w:val="single" w:color="000000" w:sz="4" w:space="0"/>
                    <w:right w:val="single" w:color="000000" w:sz="4" w:space="0"/>
                  </w:tcBorders>
                  <w:vAlign w:val="center"/>
                </w:tcPr>
                <w:p w14:paraId="3164F785">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不同时段</w:t>
                  </w:r>
                </w:p>
              </w:tc>
              <w:tc>
                <w:tcPr>
                  <w:tcW w:w="2357" w:type="pct"/>
                  <w:gridSpan w:val="4"/>
                  <w:tcBorders>
                    <w:left w:val="single" w:color="000000" w:sz="4" w:space="0"/>
                    <w:bottom w:val="single" w:color="000000" w:sz="4" w:space="0"/>
                    <w:right w:val="single" w:color="000000" w:sz="4" w:space="0"/>
                  </w:tcBorders>
                  <w:vAlign w:val="center"/>
                </w:tcPr>
                <w:p w14:paraId="46AABB22">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污染影响型</w:t>
                  </w:r>
                </w:p>
              </w:tc>
              <w:tc>
                <w:tcPr>
                  <w:tcW w:w="2100" w:type="pct"/>
                  <w:gridSpan w:val="4"/>
                  <w:tcBorders>
                    <w:left w:val="single" w:color="000000" w:sz="4" w:space="0"/>
                    <w:bottom w:val="single" w:color="000000" w:sz="4" w:space="0"/>
                  </w:tcBorders>
                  <w:vAlign w:val="center"/>
                </w:tcPr>
                <w:p w14:paraId="72AE7928">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生态影响型</w:t>
                  </w:r>
                </w:p>
              </w:tc>
            </w:tr>
            <w:tr w14:paraId="1458B0AD">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42" w:type="pct"/>
                  <w:vMerge w:val="continue"/>
                  <w:tcBorders>
                    <w:top w:val="nil"/>
                    <w:bottom w:val="single" w:color="000000" w:sz="4" w:space="0"/>
                    <w:right w:val="single" w:color="000000" w:sz="4" w:space="0"/>
                  </w:tcBorders>
                  <w:vAlign w:val="center"/>
                </w:tcPr>
                <w:p w14:paraId="70DB8107">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vAlign w:val="center"/>
                </w:tcPr>
                <w:p w14:paraId="647E76A0">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大气沉降</w:t>
                  </w:r>
                </w:p>
              </w:tc>
              <w:tc>
                <w:tcPr>
                  <w:tcW w:w="621" w:type="pct"/>
                  <w:tcBorders>
                    <w:top w:val="single" w:color="000000" w:sz="4" w:space="0"/>
                    <w:left w:val="single" w:color="000000" w:sz="4" w:space="0"/>
                    <w:bottom w:val="single" w:color="000000" w:sz="4" w:space="0"/>
                    <w:right w:val="single" w:color="000000" w:sz="4" w:space="0"/>
                  </w:tcBorders>
                  <w:vAlign w:val="center"/>
                </w:tcPr>
                <w:p w14:paraId="3A539E98">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地面漫流</w:t>
                  </w:r>
                </w:p>
              </w:tc>
              <w:tc>
                <w:tcPr>
                  <w:tcW w:w="621" w:type="pct"/>
                  <w:tcBorders>
                    <w:top w:val="single" w:color="000000" w:sz="4" w:space="0"/>
                    <w:left w:val="single" w:color="000000" w:sz="4" w:space="0"/>
                    <w:bottom w:val="single" w:color="000000" w:sz="4" w:space="0"/>
                    <w:right w:val="single" w:color="000000" w:sz="4" w:space="0"/>
                  </w:tcBorders>
                  <w:vAlign w:val="center"/>
                </w:tcPr>
                <w:p w14:paraId="73512B2E">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垂直入渗</w:t>
                  </w:r>
                </w:p>
              </w:tc>
              <w:tc>
                <w:tcPr>
                  <w:tcW w:w="502" w:type="pct"/>
                  <w:tcBorders>
                    <w:top w:val="single" w:color="000000" w:sz="4" w:space="0"/>
                    <w:left w:val="single" w:color="000000" w:sz="4" w:space="0"/>
                    <w:bottom w:val="single" w:color="000000" w:sz="4" w:space="0"/>
                    <w:right w:val="single" w:color="000000" w:sz="4" w:space="0"/>
                  </w:tcBorders>
                  <w:vAlign w:val="center"/>
                </w:tcPr>
                <w:p w14:paraId="563D3094">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其他</w:t>
                  </w:r>
                </w:p>
              </w:tc>
              <w:tc>
                <w:tcPr>
                  <w:tcW w:w="459" w:type="pct"/>
                  <w:tcBorders>
                    <w:top w:val="single" w:color="000000" w:sz="4" w:space="0"/>
                    <w:left w:val="single" w:color="000000" w:sz="4" w:space="0"/>
                    <w:bottom w:val="single" w:color="000000" w:sz="4" w:space="0"/>
                    <w:right w:val="single" w:color="000000" w:sz="4" w:space="0"/>
                  </w:tcBorders>
                  <w:vAlign w:val="center"/>
                </w:tcPr>
                <w:p w14:paraId="0563C1BC">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盐化</w:t>
                  </w:r>
                </w:p>
              </w:tc>
              <w:tc>
                <w:tcPr>
                  <w:tcW w:w="492" w:type="pct"/>
                  <w:tcBorders>
                    <w:top w:val="single" w:color="000000" w:sz="4" w:space="0"/>
                    <w:left w:val="single" w:color="000000" w:sz="4" w:space="0"/>
                    <w:bottom w:val="single" w:color="000000" w:sz="4" w:space="0"/>
                    <w:right w:val="single" w:color="000000" w:sz="4" w:space="0"/>
                  </w:tcBorders>
                  <w:vAlign w:val="center"/>
                </w:tcPr>
                <w:p w14:paraId="3E3AC890">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碱化</w:t>
                  </w:r>
                </w:p>
              </w:tc>
              <w:tc>
                <w:tcPr>
                  <w:tcW w:w="551" w:type="pct"/>
                  <w:tcBorders>
                    <w:top w:val="single" w:color="000000" w:sz="4" w:space="0"/>
                    <w:left w:val="single" w:color="000000" w:sz="4" w:space="0"/>
                    <w:bottom w:val="single" w:color="000000" w:sz="4" w:space="0"/>
                    <w:right w:val="single" w:color="000000" w:sz="4" w:space="0"/>
                  </w:tcBorders>
                  <w:vAlign w:val="center"/>
                </w:tcPr>
                <w:p w14:paraId="789EAA07">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酸化</w:t>
                  </w:r>
                </w:p>
              </w:tc>
              <w:tc>
                <w:tcPr>
                  <w:tcW w:w="596" w:type="pct"/>
                  <w:tcBorders>
                    <w:top w:val="single" w:color="000000" w:sz="4" w:space="0"/>
                    <w:left w:val="single" w:color="000000" w:sz="4" w:space="0"/>
                    <w:bottom w:val="single" w:color="000000" w:sz="4" w:space="0"/>
                  </w:tcBorders>
                  <w:vAlign w:val="center"/>
                </w:tcPr>
                <w:p w14:paraId="004B4909">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其他</w:t>
                  </w:r>
                </w:p>
              </w:tc>
            </w:tr>
            <w:tr w14:paraId="6FE8C5EE">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42" w:type="pct"/>
                  <w:tcBorders>
                    <w:top w:val="single" w:color="000000" w:sz="4" w:space="0"/>
                    <w:bottom w:val="single" w:color="000000" w:sz="4" w:space="0"/>
                    <w:right w:val="single" w:color="000000" w:sz="4" w:space="0"/>
                  </w:tcBorders>
                  <w:vAlign w:val="center"/>
                </w:tcPr>
                <w:p w14:paraId="3CAA675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运营期</w:t>
                  </w:r>
                </w:p>
              </w:tc>
              <w:tc>
                <w:tcPr>
                  <w:tcW w:w="610" w:type="pct"/>
                  <w:tcBorders>
                    <w:top w:val="single" w:color="000000" w:sz="4" w:space="0"/>
                    <w:left w:val="single" w:color="000000" w:sz="4" w:space="0"/>
                    <w:bottom w:val="single" w:color="000000" w:sz="4" w:space="0"/>
                    <w:right w:val="single" w:color="000000" w:sz="4" w:space="0"/>
                  </w:tcBorders>
                  <w:vAlign w:val="center"/>
                </w:tcPr>
                <w:p w14:paraId="7D95725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21" w:type="pct"/>
                  <w:tcBorders>
                    <w:top w:val="single" w:color="000000" w:sz="4" w:space="0"/>
                    <w:left w:val="single" w:color="000000" w:sz="4" w:space="0"/>
                    <w:bottom w:val="single" w:color="000000" w:sz="4" w:space="0"/>
                    <w:right w:val="single" w:color="000000" w:sz="4" w:space="0"/>
                  </w:tcBorders>
                  <w:vAlign w:val="center"/>
                </w:tcPr>
                <w:p w14:paraId="379A80B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21" w:type="pct"/>
                  <w:tcBorders>
                    <w:top w:val="single" w:color="000000" w:sz="4" w:space="0"/>
                    <w:left w:val="single" w:color="000000" w:sz="4" w:space="0"/>
                    <w:bottom w:val="single" w:color="000000" w:sz="4" w:space="0"/>
                    <w:right w:val="single" w:color="000000" w:sz="4" w:space="0"/>
                  </w:tcBorders>
                  <w:vAlign w:val="center"/>
                </w:tcPr>
                <w:p w14:paraId="0C253A9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502" w:type="pct"/>
                  <w:tcBorders>
                    <w:top w:val="single" w:color="000000" w:sz="4" w:space="0"/>
                    <w:left w:val="single" w:color="000000" w:sz="4" w:space="0"/>
                    <w:bottom w:val="single" w:color="000000" w:sz="4" w:space="0"/>
                    <w:right w:val="single" w:color="000000" w:sz="4" w:space="0"/>
                  </w:tcBorders>
                  <w:vAlign w:val="center"/>
                </w:tcPr>
                <w:p w14:paraId="72059D3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459" w:type="pct"/>
                  <w:tcBorders>
                    <w:top w:val="single" w:color="000000" w:sz="4" w:space="0"/>
                    <w:left w:val="single" w:color="000000" w:sz="4" w:space="0"/>
                    <w:bottom w:val="single" w:color="000000" w:sz="4" w:space="0"/>
                    <w:right w:val="single" w:color="000000" w:sz="4" w:space="0"/>
                  </w:tcBorders>
                  <w:vAlign w:val="center"/>
                </w:tcPr>
                <w:p w14:paraId="7F976396">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492" w:type="pct"/>
                  <w:tcBorders>
                    <w:top w:val="single" w:color="000000" w:sz="4" w:space="0"/>
                    <w:left w:val="single" w:color="000000" w:sz="4" w:space="0"/>
                    <w:bottom w:val="single" w:color="000000" w:sz="4" w:space="0"/>
                    <w:right w:val="single" w:color="000000" w:sz="4" w:space="0"/>
                  </w:tcBorders>
                  <w:vAlign w:val="center"/>
                </w:tcPr>
                <w:p w14:paraId="42EE5C8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551" w:type="pct"/>
                  <w:tcBorders>
                    <w:top w:val="single" w:color="000000" w:sz="4" w:space="0"/>
                    <w:left w:val="single" w:color="000000" w:sz="4" w:space="0"/>
                    <w:bottom w:val="single" w:color="000000" w:sz="4" w:space="0"/>
                    <w:right w:val="single" w:color="000000" w:sz="4" w:space="0"/>
                  </w:tcBorders>
                  <w:vAlign w:val="center"/>
                </w:tcPr>
                <w:p w14:paraId="2539ACCC">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596" w:type="pct"/>
                  <w:tcBorders>
                    <w:top w:val="single" w:color="000000" w:sz="4" w:space="0"/>
                    <w:left w:val="single" w:color="000000" w:sz="4" w:space="0"/>
                    <w:bottom w:val="single" w:color="000000" w:sz="4" w:space="0"/>
                  </w:tcBorders>
                  <w:vAlign w:val="center"/>
                </w:tcPr>
                <w:p w14:paraId="006F71EC">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r>
            <w:tr w14:paraId="732B7AC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00" w:type="pct"/>
                  <w:gridSpan w:val="9"/>
                  <w:tcBorders>
                    <w:top w:val="single" w:color="000000" w:sz="4" w:space="0"/>
                  </w:tcBorders>
                  <w:vAlign w:val="center"/>
                </w:tcPr>
                <w:p w14:paraId="12A97AF1">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注：在可能产生的土壤环境影响类型</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处</w:t>
                  </w:r>
                  <w:r>
                    <w:rPr>
                      <w:rFonts w:hint="default" w:ascii="Times New Roman" w:hAnsi="Times New Roman" w:cs="Times New Roman" w:eastAsiaTheme="minorEastAsia"/>
                      <w:color w:val="000000" w:themeColor="text1"/>
                      <w:szCs w:val="21"/>
                      <w:highlight w:val="none"/>
                      <w14:textFill>
                        <w14:solidFill>
                          <w14:schemeClr w14:val="tx1"/>
                        </w14:solidFill>
                      </w14:textFill>
                    </w:rPr>
                    <w:t>打</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p>
              </w:tc>
            </w:tr>
          </w:tbl>
          <w:p w14:paraId="3C906324">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项目土壤环境影响源及影响因子识别见</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下表</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561F5666">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建设项目土壤环境影响识别表与影响途径识别表</w:t>
            </w:r>
          </w:p>
          <w:tbl>
            <w:tblPr>
              <w:tblStyle w:val="24"/>
              <w:tblW w:w="5026"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349"/>
              <w:gridCol w:w="1402"/>
              <w:gridCol w:w="1154"/>
              <w:gridCol w:w="1744"/>
              <w:gridCol w:w="1701"/>
              <w:gridCol w:w="1127"/>
            </w:tblGrid>
            <w:tr w14:paraId="19FD5CE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96" w:hRule="atLeast"/>
              </w:trPr>
              <w:tc>
                <w:tcPr>
                  <w:tcW w:w="795" w:type="pct"/>
                  <w:tcBorders>
                    <w:bottom w:val="single" w:color="000000" w:sz="4" w:space="0"/>
                    <w:right w:val="single" w:color="000000" w:sz="4" w:space="0"/>
                  </w:tcBorders>
                  <w:vAlign w:val="center"/>
                </w:tcPr>
                <w:p w14:paraId="30E7FCE9">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污染源</w:t>
                  </w:r>
                </w:p>
              </w:tc>
              <w:tc>
                <w:tcPr>
                  <w:tcW w:w="827" w:type="pct"/>
                  <w:tcBorders>
                    <w:left w:val="single" w:color="000000" w:sz="4" w:space="0"/>
                    <w:bottom w:val="single" w:color="000000" w:sz="4" w:space="0"/>
                    <w:right w:val="single" w:color="000000" w:sz="4" w:space="0"/>
                  </w:tcBorders>
                  <w:vAlign w:val="center"/>
                </w:tcPr>
                <w:p w14:paraId="34671320">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工艺流程/节点</w:t>
                  </w:r>
                </w:p>
              </w:tc>
              <w:tc>
                <w:tcPr>
                  <w:tcW w:w="680" w:type="pct"/>
                  <w:tcBorders>
                    <w:left w:val="single" w:color="000000" w:sz="4" w:space="0"/>
                    <w:bottom w:val="single" w:color="000000" w:sz="4" w:space="0"/>
                    <w:right w:val="single" w:color="000000" w:sz="4" w:space="0"/>
                  </w:tcBorders>
                  <w:vAlign w:val="center"/>
                </w:tcPr>
                <w:p w14:paraId="6EBEBD8D">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污染途径</w:t>
                  </w:r>
                </w:p>
              </w:tc>
              <w:tc>
                <w:tcPr>
                  <w:tcW w:w="1028" w:type="pct"/>
                  <w:tcBorders>
                    <w:left w:val="single" w:color="000000" w:sz="4" w:space="0"/>
                    <w:bottom w:val="single" w:color="000000" w:sz="4" w:space="0"/>
                    <w:right w:val="single" w:color="000000" w:sz="4" w:space="0"/>
                  </w:tcBorders>
                  <w:vAlign w:val="center"/>
                </w:tcPr>
                <w:p w14:paraId="56C4FE27">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全部污染物</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排放</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指标</w:t>
                  </w:r>
                </w:p>
              </w:tc>
              <w:tc>
                <w:tcPr>
                  <w:tcW w:w="1003" w:type="pct"/>
                  <w:tcBorders>
                    <w:left w:val="single" w:color="000000" w:sz="4" w:space="0"/>
                    <w:bottom w:val="single" w:color="000000" w:sz="4" w:space="0"/>
                    <w:right w:val="single" w:color="000000" w:sz="4" w:space="0"/>
                  </w:tcBorders>
                  <w:vAlign w:val="center"/>
                </w:tcPr>
                <w:p w14:paraId="17008159">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特征因子</w:t>
                  </w:r>
                </w:p>
              </w:tc>
              <w:tc>
                <w:tcPr>
                  <w:tcW w:w="664" w:type="pct"/>
                  <w:tcBorders>
                    <w:left w:val="single" w:color="000000" w:sz="4" w:space="0"/>
                    <w:bottom w:val="single" w:color="000000" w:sz="4" w:space="0"/>
                  </w:tcBorders>
                  <w:vAlign w:val="center"/>
                </w:tcPr>
                <w:p w14:paraId="32A8CCB8">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备注</w:t>
                  </w:r>
                </w:p>
              </w:tc>
            </w:tr>
            <w:tr w14:paraId="4FD92EF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795" w:type="pct"/>
                  <w:tcBorders>
                    <w:top w:val="single" w:color="000000" w:sz="4" w:space="0"/>
                    <w:bottom w:val="single" w:color="000000" w:sz="4" w:space="0"/>
                    <w:right w:val="single" w:color="000000" w:sz="4" w:space="0"/>
                  </w:tcBorders>
                  <w:vAlign w:val="center"/>
                </w:tcPr>
                <w:p w14:paraId="7F9D2AF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827" w:type="pct"/>
                  <w:tcBorders>
                    <w:top w:val="single" w:color="000000" w:sz="4" w:space="0"/>
                    <w:left w:val="single" w:color="000000" w:sz="4" w:space="0"/>
                    <w:bottom w:val="single" w:color="000000" w:sz="4" w:space="0"/>
                    <w:right w:val="single" w:color="000000" w:sz="4" w:space="0"/>
                  </w:tcBorders>
                  <w:vAlign w:val="center"/>
                </w:tcPr>
                <w:p w14:paraId="5861011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储存</w:t>
                  </w:r>
                </w:p>
              </w:tc>
              <w:tc>
                <w:tcPr>
                  <w:tcW w:w="680" w:type="pct"/>
                  <w:vMerge w:val="restart"/>
                  <w:tcBorders>
                    <w:top w:val="single" w:color="000000" w:sz="4" w:space="0"/>
                    <w:left w:val="single" w:color="000000" w:sz="4" w:space="0"/>
                    <w:right w:val="single" w:color="000000" w:sz="4" w:space="0"/>
                  </w:tcBorders>
                  <w:vAlign w:val="center"/>
                </w:tcPr>
                <w:p w14:paraId="30B73F99">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垂直入渗</w:t>
                  </w:r>
                </w:p>
              </w:tc>
              <w:tc>
                <w:tcPr>
                  <w:tcW w:w="1028" w:type="pct"/>
                  <w:tcBorders>
                    <w:top w:val="single" w:color="000000" w:sz="4" w:space="0"/>
                    <w:left w:val="single" w:color="000000" w:sz="4" w:space="0"/>
                    <w:bottom w:val="single" w:color="000000" w:sz="4" w:space="0"/>
                    <w:right w:val="single" w:color="000000" w:sz="4" w:space="0"/>
                  </w:tcBorders>
                  <w:vAlign w:val="center"/>
                </w:tcPr>
                <w:p w14:paraId="0E95F56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003" w:type="pct"/>
                  <w:tcBorders>
                    <w:top w:val="single" w:color="000000" w:sz="4" w:space="0"/>
                    <w:left w:val="single" w:color="000000" w:sz="4" w:space="0"/>
                    <w:bottom w:val="single" w:color="000000" w:sz="4" w:space="0"/>
                    <w:right w:val="single" w:color="000000" w:sz="4" w:space="0"/>
                  </w:tcBorders>
                  <w:vAlign w:val="center"/>
                </w:tcPr>
                <w:p w14:paraId="0FAFC2B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664" w:type="pct"/>
                  <w:tcBorders>
                    <w:top w:val="single" w:color="000000" w:sz="4" w:space="0"/>
                    <w:left w:val="single" w:color="000000" w:sz="4" w:space="0"/>
                    <w:bottom w:val="single" w:color="000000" w:sz="4" w:space="0"/>
                  </w:tcBorders>
                  <w:vAlign w:val="center"/>
                </w:tcPr>
                <w:p w14:paraId="40C3C20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事故排放</w:t>
                  </w:r>
                </w:p>
              </w:tc>
            </w:tr>
            <w:tr w14:paraId="46236EF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95" w:type="pct"/>
                  <w:tcBorders>
                    <w:top w:val="single" w:color="000000" w:sz="4" w:space="0"/>
                    <w:right w:val="single" w:color="000000" w:sz="4" w:space="0"/>
                  </w:tcBorders>
                  <w:vAlign w:val="center"/>
                </w:tcPr>
                <w:p w14:paraId="2F5B93E2">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危废暂存库</w:t>
                  </w:r>
                </w:p>
              </w:tc>
              <w:tc>
                <w:tcPr>
                  <w:tcW w:w="827" w:type="pct"/>
                  <w:tcBorders>
                    <w:top w:val="single" w:color="000000" w:sz="4" w:space="0"/>
                    <w:left w:val="single" w:color="000000" w:sz="4" w:space="0"/>
                    <w:right w:val="single" w:color="000000" w:sz="4" w:space="0"/>
                  </w:tcBorders>
                  <w:vAlign w:val="center"/>
                </w:tcPr>
                <w:p w14:paraId="421EE96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p>
              </w:tc>
              <w:tc>
                <w:tcPr>
                  <w:tcW w:w="680" w:type="pct"/>
                  <w:vMerge w:val="continue"/>
                  <w:tcBorders>
                    <w:left w:val="single" w:color="000000" w:sz="4" w:space="0"/>
                    <w:right w:val="single" w:color="000000" w:sz="4" w:space="0"/>
                  </w:tcBorders>
                  <w:vAlign w:val="center"/>
                </w:tcPr>
                <w:p w14:paraId="422BE7A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1028" w:type="pct"/>
                  <w:tcBorders>
                    <w:top w:val="single" w:color="000000" w:sz="4" w:space="0"/>
                    <w:left w:val="single" w:color="000000" w:sz="4" w:space="0"/>
                    <w:right w:val="single" w:color="000000" w:sz="4" w:space="0"/>
                  </w:tcBorders>
                  <w:vAlign w:val="center"/>
                </w:tcPr>
                <w:p w14:paraId="44AE893F">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1003" w:type="pct"/>
                  <w:tcBorders>
                    <w:top w:val="single" w:color="000000" w:sz="4" w:space="0"/>
                    <w:left w:val="single" w:color="000000" w:sz="4" w:space="0"/>
                    <w:right w:val="single" w:color="000000" w:sz="4" w:space="0"/>
                  </w:tcBorders>
                  <w:vAlign w:val="center"/>
                </w:tcPr>
                <w:p w14:paraId="5292DD9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石油类</w:t>
                  </w:r>
                </w:p>
              </w:tc>
              <w:tc>
                <w:tcPr>
                  <w:tcW w:w="664" w:type="pct"/>
                  <w:tcBorders>
                    <w:top w:val="single" w:color="000000" w:sz="4" w:space="0"/>
                    <w:left w:val="single" w:color="000000" w:sz="4" w:space="0"/>
                  </w:tcBorders>
                  <w:vAlign w:val="center"/>
                </w:tcPr>
                <w:p w14:paraId="6A627F2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事故排放</w:t>
                  </w:r>
                </w:p>
              </w:tc>
            </w:tr>
          </w:tbl>
          <w:p w14:paraId="6CA6BE89">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32"/>
                <w:highlight w:val="none"/>
                <w14:textFill>
                  <w14:solidFill>
                    <w14:schemeClr w14:val="tx1"/>
                  </w14:solidFill>
                </w14:textFill>
              </w:rPr>
              <w:t>③</w:t>
            </w:r>
            <w:r>
              <w:rPr>
                <w:rFonts w:hint="default" w:ascii="Times New Roman" w:hAnsi="Times New Roman" w:cs="Times New Roman" w:eastAsiaTheme="minorEastAsia"/>
                <w:b w:val="0"/>
                <w:bCs w:val="0"/>
                <w:color w:val="000000" w:themeColor="text1"/>
                <w:sz w:val="24"/>
                <w:szCs w:val="32"/>
                <w:highlight w:val="none"/>
                <w14:textFill>
                  <w14:solidFill>
                    <w14:schemeClr w14:val="tx1"/>
                  </w14:solidFill>
                </w14:textFill>
              </w:rPr>
              <w:t>防控措施</w:t>
            </w:r>
          </w:p>
          <w:p w14:paraId="446D9247">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原有</w:t>
            </w:r>
            <w:r>
              <w:rPr>
                <w:rFonts w:hint="default" w:ascii="Times New Roman" w:hAnsi="Times New Roman" w:cs="Times New Roman" w:eastAsiaTheme="minorEastAsia"/>
                <w:color w:val="000000" w:themeColor="text1"/>
                <w:sz w:val="24"/>
                <w:highlight w:val="none"/>
                <w14:textFill>
                  <w14:solidFill>
                    <w14:schemeClr w14:val="tx1"/>
                  </w14:solidFill>
                </w14:textFill>
              </w:rPr>
              <w:t>项目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已</w:t>
            </w:r>
            <w:r>
              <w:rPr>
                <w:rFonts w:hint="default" w:ascii="Times New Roman" w:hAnsi="Times New Roman" w:cs="Times New Roman" w:eastAsiaTheme="minorEastAsia"/>
                <w:color w:val="000000" w:themeColor="text1"/>
                <w:sz w:val="24"/>
                <w:highlight w:val="none"/>
                <w14:textFill>
                  <w14:solidFill>
                    <w14:schemeClr w14:val="tx1"/>
                  </w14:solidFill>
                </w14:textFill>
              </w:rPr>
              <w:t>对</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危废暂存库、矿物油暂存库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等建构筑物均采取重点防腐防渗措施，基础必须防渗，防渗层为至少1m厚黏土层（渗透系数不大于1.0×10</w:t>
            </w:r>
            <w:r>
              <w:rPr>
                <w:rFonts w:hint="default" w:ascii="Times New Roman" w:hAnsi="Times New Roman" w:cs="Times New Roman" w:eastAsiaTheme="minorEastAsia"/>
                <w:color w:val="000000" w:themeColor="text1"/>
                <w:sz w:val="24"/>
                <w:highlight w:val="none"/>
                <w:vertAlign w:val="superscript"/>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cm/s），或2mm厚高密度聚乙烯，或至少2mm厚其它人工材料，渗透系数≤1.0×10</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vertAlign w:val="superscript"/>
                <w14:textFill>
                  <w14:solidFill>
                    <w14:schemeClr w14:val="tx1"/>
                  </w14:solidFill>
                </w14:textFill>
              </w:rPr>
              <w:t>10</w:t>
            </w:r>
            <w:r>
              <w:rPr>
                <w:rFonts w:hint="default" w:ascii="Times New Roman" w:hAnsi="Times New Roman" w:cs="Times New Roman" w:eastAsiaTheme="minorEastAsia"/>
                <w:color w:val="000000" w:themeColor="text1"/>
                <w:sz w:val="24"/>
                <w:highlight w:val="none"/>
                <w14:textFill>
                  <w14:solidFill>
                    <w14:schemeClr w14:val="tx1"/>
                  </w14:solidFill>
                </w14:textFill>
              </w:rPr>
              <w:t>cm/s，可有效</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地</w:t>
            </w:r>
            <w:r>
              <w:rPr>
                <w:rFonts w:hint="default" w:ascii="Times New Roman" w:hAnsi="Times New Roman" w:cs="Times New Roman" w:eastAsiaTheme="minorEastAsia"/>
                <w:color w:val="000000" w:themeColor="text1"/>
                <w:sz w:val="24"/>
                <w:highlight w:val="none"/>
                <w14:textFill>
                  <w14:solidFill>
                    <w14:schemeClr w14:val="tx1"/>
                  </w14:solidFill>
                </w14:textFill>
              </w:rPr>
              <w:t>防止污染物渗透到地下污染土壤。</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同时，</w:t>
            </w:r>
            <w:r>
              <w:rPr>
                <w:rFonts w:hint="default" w:ascii="Times New Roman" w:hAnsi="Times New Roman" w:cs="Times New Roman" w:eastAsiaTheme="minorEastAsia"/>
                <w:color w:val="000000" w:themeColor="text1"/>
                <w:sz w:val="24"/>
                <w:highlight w:val="none"/>
                <w14:textFill>
                  <w14:solidFill>
                    <w14:schemeClr w14:val="tx1"/>
                  </w14:solidFill>
                </w14:textFill>
              </w:rPr>
              <w:t>对项目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危险废物暂存库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 w:val="24"/>
                <w:highlight w:val="none"/>
                <w14:textFill>
                  <w14:solidFill>
                    <w14:schemeClr w14:val="tx1"/>
                  </w14:solidFill>
                </w14:textFill>
              </w:rPr>
              <w:t>暂存</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库区</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域采取</w:t>
            </w:r>
            <w:r>
              <w:rPr>
                <w:rFonts w:hint="default" w:ascii="Times New Roman" w:hAnsi="Times New Roman" w:cs="Times New Roman" w:eastAsiaTheme="minorEastAsia"/>
                <w:color w:val="000000" w:themeColor="text1"/>
                <w:sz w:val="24"/>
                <w:highlight w:val="none"/>
                <w14:textFill>
                  <w14:solidFill>
                    <w14:schemeClr w14:val="tx1"/>
                  </w14:solidFill>
                </w14:textFill>
              </w:rPr>
              <w:t>设置围堰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或托盘等有效措施</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控制影响范围</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4A19DCF5">
            <w:pPr>
              <w:spacing w:line="360" w:lineRule="auto"/>
              <w:ind w:firstLine="480" w:firstLineChars="200"/>
              <w:rPr>
                <w:rFonts w:hint="default" w:ascii="Times New Roman" w:hAnsi="Times New Roman" w:cs="Times New Roman" w:eastAsiaTheme="minorEastAsia"/>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综上所述，正常情况下，项目厂区建有完善的环保设施及处置措施，正常情况下能有效防控污染物进入土壤环境，项目在严格做好大气污染防治设施及地面分区防渗措施的建设，采取必要的检修、监测、管理措施条件下，项目建设对土壤环境的影响可接受。</w:t>
            </w:r>
          </w:p>
          <w:p w14:paraId="56B131BB">
            <w:pPr>
              <w:spacing w:line="360" w:lineRule="auto"/>
              <w:ind w:firstLine="480" w:firstLineChars="200"/>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32"/>
                <w:highlight w:val="none"/>
                <w:lang w:eastAsia="zh-CN"/>
                <w14:textFill>
                  <w14:solidFill>
                    <w14:schemeClr w14:val="tx1"/>
                  </w14:solidFill>
                </w14:textFill>
              </w:rPr>
              <w:t>④</w:t>
            </w:r>
            <w:r>
              <w:rPr>
                <w:rFonts w:hint="default" w:ascii="Times New Roman" w:hAnsi="Times New Roman" w:cs="Times New Roman" w:eastAsiaTheme="minorEastAsia"/>
                <w:b w:val="0"/>
                <w:bCs w:val="0"/>
                <w:color w:val="000000" w:themeColor="text1"/>
                <w:sz w:val="24"/>
                <w:szCs w:val="32"/>
                <w:highlight w:val="none"/>
                <w:lang w:val="en-US" w:eastAsia="zh-CN"/>
                <w14:textFill>
                  <w14:solidFill>
                    <w14:schemeClr w14:val="tx1"/>
                  </w14:solidFill>
                </w14:textFill>
              </w:rPr>
              <w:t>跟踪监测</w:t>
            </w:r>
          </w:p>
          <w:p w14:paraId="16BB97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在采取分区防渗措施后，无土壤污染途径。因此无土壤跟踪监测要求。</w:t>
            </w:r>
          </w:p>
          <w:p w14:paraId="6167E3AE">
            <w:pPr>
              <w:spacing w:line="360" w:lineRule="auto"/>
              <w:ind w:firstLine="482" w:firstLineChars="200"/>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pPr>
            <w:r>
              <w:rPr>
                <w:rFonts w:hint="default" w:ascii="Times New Roman" w:hAnsi="Times New Roman" w:cs="Times New Roman" w:eastAsiaTheme="minorEastAsia"/>
                <w:b/>
                <w:bCs/>
                <w:color w:val="000000" w:themeColor="text1"/>
                <w:sz w:val="24"/>
                <w:szCs w:val="32"/>
                <w:highlight w:val="none"/>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32"/>
                <w:highlight w:val="none"/>
                <w14:textFill>
                  <w14:solidFill>
                    <w14:schemeClr w14:val="tx1"/>
                  </w14:solidFill>
                </w14:textFill>
              </w:rPr>
              <w:t>.环境风险</w:t>
            </w:r>
          </w:p>
          <w:p w14:paraId="3FE14443">
            <w:pPr>
              <w:spacing w:line="360" w:lineRule="auto"/>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szCs w:val="32"/>
                <w:highlight w:val="none"/>
                <w14:textFill>
                  <w14:solidFill>
                    <w14:schemeClr w14:val="tx1"/>
                  </w14:solidFill>
                </w14:textFill>
              </w:rPr>
              <w:t>（1）危险物质及风险源分布</w:t>
            </w:r>
          </w:p>
          <w:p w14:paraId="43E77CB1">
            <w:pPr>
              <w:spacing w:line="360" w:lineRule="auto"/>
              <w:ind w:firstLine="480" w:firstLineChars="200"/>
              <w:rPr>
                <w:rFonts w:hint="default" w:ascii="Times New Roman" w:hAnsi="Times New Roman" w:cs="Times New Roman"/>
                <w:b/>
                <w:bCs/>
                <w:color w:val="000000" w:themeColor="text1"/>
                <w:sz w:val="24"/>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根据《建设项目环境风险评价技术导则》（HJ169-2018）附录B，本项目生产、使用、储存过程中涉及的危险物质主要有</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润滑油、</w:t>
            </w:r>
            <w:r>
              <w:rPr>
                <w:rFonts w:hint="default" w:ascii="Times New Roman" w:hAnsi="Times New Roman" w:cs="Times New Roman" w:eastAsiaTheme="minorEastAsia"/>
                <w:color w:val="000000" w:themeColor="text1"/>
                <w:sz w:val="24"/>
                <w:highlight w:val="none"/>
                <w14:textFill>
                  <w14:solidFill>
                    <w14:schemeClr w14:val="tx1"/>
                  </w14:solidFill>
                </w14:textFill>
              </w:rPr>
              <w:t>废润滑油等。</w:t>
            </w:r>
            <w:r>
              <w:rPr>
                <w:rFonts w:hint="default" w:ascii="Times New Roman" w:hAnsi="Times New Roman" w:cs="Times New Roman"/>
                <w:bCs/>
                <w:color w:val="000000" w:themeColor="text1"/>
                <w:sz w:val="24"/>
                <w:highlight w:val="none"/>
                <w:lang w:val="en-GB"/>
                <w14:textFill>
                  <w14:solidFill>
                    <w14:schemeClr w14:val="tx1"/>
                  </w14:solidFill>
                </w14:textFill>
              </w:rPr>
              <w:t>危险特性及分布情况见下表。</w:t>
            </w:r>
          </w:p>
          <w:p w14:paraId="678559D6">
            <w:pPr>
              <w:pStyle w:val="17"/>
              <w:ind w:leftChars="0" w:firstLine="0" w:firstLineChars="0"/>
              <w:jc w:val="center"/>
              <w:rPr>
                <w:rFonts w:hint="default" w:ascii="Times New Roman" w:hAnsi="Times New Roman" w:cs="Times New Roman"/>
                <w:b/>
                <w:bCs/>
                <w:color w:val="000000" w:themeColor="text1"/>
                <w:sz w:val="24"/>
                <w:highlight w:val="none"/>
                <w:lang w:val="en-GB"/>
                <w14:textFill>
                  <w14:solidFill>
                    <w14:schemeClr w14:val="tx1"/>
                  </w14:solidFill>
                </w14:textFill>
              </w:rPr>
            </w:pPr>
            <w:r>
              <w:rPr>
                <w:rFonts w:hint="default" w:ascii="Times New Roman" w:hAnsi="Times New Roman" w:cs="Times New Roman"/>
                <w:b/>
                <w:bCs/>
                <w:color w:val="000000" w:themeColor="text1"/>
                <w:sz w:val="24"/>
                <w:highlight w:val="none"/>
                <w:lang w:val="en-GB"/>
                <w14:textFill>
                  <w14:solidFill>
                    <w14:schemeClr w14:val="tx1"/>
                  </w14:solidFill>
                </w14:textFill>
              </w:rPr>
              <w:t>表</w:t>
            </w:r>
            <w:r>
              <w:rPr>
                <w:rFonts w:hint="default" w:ascii="Times New Roman" w:hAnsi="Times New Roman" w:eastAsia="宋体" w:cs="Times New Roman"/>
                <w:b/>
                <w:bCs/>
                <w:color w:val="000000" w:themeColor="text1"/>
                <w:sz w:val="24"/>
                <w:highlight w:val="none"/>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val="en-GB"/>
                <w14:textFill>
                  <w14:solidFill>
                    <w14:schemeClr w14:val="tx1"/>
                  </w14:solidFill>
                </w14:textFill>
              </w:rPr>
              <w:t xml:space="preserve">  项目重点关注的危险物质的危险性特性及分布情况</w:t>
            </w:r>
          </w:p>
          <w:tbl>
            <w:tblPr>
              <w:tblStyle w:val="24"/>
              <w:tblW w:w="841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15"/>
              <w:gridCol w:w="952"/>
              <w:gridCol w:w="1667"/>
              <w:gridCol w:w="870"/>
              <w:gridCol w:w="1556"/>
              <w:gridCol w:w="1649"/>
              <w:gridCol w:w="1209"/>
            </w:tblGrid>
            <w:tr w14:paraId="4AE3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trPr>
              <w:tc>
                <w:tcPr>
                  <w:tcW w:w="305" w:type="pct"/>
                  <w:noWrap/>
                  <w:vAlign w:val="center"/>
                </w:tcPr>
                <w:p w14:paraId="2FC5A5C6">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565" w:type="pct"/>
                  <w:noWrap/>
                  <w:vAlign w:val="center"/>
                </w:tcPr>
                <w:p w14:paraId="5D9148B1">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名称</w:t>
                  </w:r>
                </w:p>
              </w:tc>
              <w:tc>
                <w:tcPr>
                  <w:tcW w:w="990" w:type="pct"/>
                  <w:noWrap/>
                  <w:vAlign w:val="center"/>
                </w:tcPr>
                <w:p w14:paraId="6B16C9BF">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组分及CAS号</w:t>
                  </w:r>
                </w:p>
              </w:tc>
              <w:tc>
                <w:tcPr>
                  <w:tcW w:w="516" w:type="pct"/>
                  <w:noWrap/>
                  <w:vAlign w:val="center"/>
                </w:tcPr>
                <w:p w14:paraId="2E913244">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相态</w:t>
                  </w:r>
                </w:p>
              </w:tc>
              <w:tc>
                <w:tcPr>
                  <w:tcW w:w="924" w:type="pct"/>
                  <w:noWrap/>
                  <w:vAlign w:val="center"/>
                </w:tcPr>
                <w:p w14:paraId="29B83C11">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贮存地点</w:t>
                  </w:r>
                </w:p>
              </w:tc>
              <w:tc>
                <w:tcPr>
                  <w:tcW w:w="979" w:type="pct"/>
                  <w:noWrap/>
                  <w:vAlign w:val="center"/>
                </w:tcPr>
                <w:p w14:paraId="60F94F1F">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贮存规格及方式</w:t>
                  </w:r>
                </w:p>
              </w:tc>
              <w:tc>
                <w:tcPr>
                  <w:tcW w:w="718" w:type="pct"/>
                  <w:noWrap/>
                  <w:vAlign w:val="center"/>
                </w:tcPr>
                <w:p w14:paraId="52C4E66F">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最大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存在</w:t>
                  </w:r>
                  <w:r>
                    <w:rPr>
                      <w:rFonts w:hint="default" w:ascii="Times New Roman" w:hAnsi="Times New Roman" w:cs="Times New Roman"/>
                      <w:b/>
                      <w:bCs/>
                      <w:color w:val="000000" w:themeColor="text1"/>
                      <w:szCs w:val="21"/>
                      <w:highlight w:val="none"/>
                      <w14:textFill>
                        <w14:solidFill>
                          <w14:schemeClr w14:val="tx1"/>
                        </w14:solidFill>
                      </w14:textFill>
                    </w:rPr>
                    <w:t>量（t）</w:t>
                  </w:r>
                </w:p>
              </w:tc>
            </w:tr>
            <w:tr w14:paraId="1B96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05" w:type="pct"/>
                  <w:noWrap/>
                  <w:vAlign w:val="center"/>
                </w:tcPr>
                <w:p w14:paraId="30B5EA7D">
                  <w:pPr>
                    <w:autoSpaceDE w:val="0"/>
                    <w:autoSpaceDN w:val="0"/>
                    <w:adjustRightIn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1</w:t>
                  </w:r>
                </w:p>
              </w:tc>
              <w:tc>
                <w:tcPr>
                  <w:tcW w:w="565" w:type="pct"/>
                  <w:noWrap/>
                  <w:vAlign w:val="center"/>
                </w:tcPr>
                <w:p w14:paraId="0047F55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润滑</w:t>
                  </w:r>
                  <w:r>
                    <w:rPr>
                      <w:rFonts w:hint="default" w:ascii="Times New Roman" w:hAnsi="Times New Roman" w:cs="Times New Roman" w:eastAsiaTheme="minorEastAsia"/>
                      <w:color w:val="000000" w:themeColor="text1"/>
                      <w:szCs w:val="21"/>
                      <w:highlight w:val="none"/>
                      <w14:textFill>
                        <w14:solidFill>
                          <w14:schemeClr w14:val="tx1"/>
                        </w14:solidFill>
                      </w14:textFill>
                    </w:rPr>
                    <w:t>油</w:t>
                  </w:r>
                </w:p>
              </w:tc>
              <w:tc>
                <w:tcPr>
                  <w:tcW w:w="990" w:type="pct"/>
                  <w:noWrap/>
                  <w:vAlign w:val="center"/>
                </w:tcPr>
                <w:p w14:paraId="48623531">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516" w:type="pct"/>
                  <w:noWrap/>
                  <w:vAlign w:val="center"/>
                </w:tcPr>
                <w:p w14:paraId="7408014D">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液态</w:t>
                  </w:r>
                </w:p>
              </w:tc>
              <w:tc>
                <w:tcPr>
                  <w:tcW w:w="924" w:type="pct"/>
                  <w:noWrap/>
                  <w:vAlign w:val="center"/>
                </w:tcPr>
                <w:p w14:paraId="35E2AEFC">
                  <w:pPr>
                    <w:autoSpaceDE w:val="0"/>
                    <w:autoSpaceDN w:val="0"/>
                    <w:adjustRightIn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危废暂存库</w:t>
                  </w:r>
                </w:p>
              </w:tc>
              <w:tc>
                <w:tcPr>
                  <w:tcW w:w="979" w:type="pct"/>
                  <w:noWrap/>
                  <w:vAlign w:val="center"/>
                </w:tcPr>
                <w:p w14:paraId="0D9B00F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718" w:type="pct"/>
                  <w:noWrap/>
                  <w:vAlign w:val="center"/>
                </w:tcPr>
                <w:p w14:paraId="7F1B5596">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1.2</w:t>
                  </w:r>
                </w:p>
              </w:tc>
            </w:tr>
            <w:tr w14:paraId="1AF0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05" w:type="pct"/>
                </w:tcPr>
                <w:p w14:paraId="2EF792CE">
                  <w:pPr>
                    <w:autoSpaceDE w:val="0"/>
                    <w:autoSpaceDN w:val="0"/>
                    <w:adjustRightIn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bookmarkStart w:id="28" w:name="_Toc142980061"/>
                  <w:bookmarkStart w:id="29" w:name="_Toc124301139"/>
                  <w:bookmarkStart w:id="30" w:name="_Toc140051415"/>
                  <w:bookmarkStart w:id="31" w:name="_Toc323023525"/>
                  <w:bookmarkStart w:id="32" w:name="_Toc459118474"/>
                  <w:bookmarkStart w:id="33" w:name="_Toc27483_WPSOffice_Level2"/>
                  <w:bookmarkStart w:id="34" w:name="_Toc21550_WPSOffice_Level1"/>
                  <w:bookmarkStart w:id="35" w:name="_Toc112558525"/>
                  <w:bookmarkStart w:id="36" w:name="_Toc14312_WPSOffice_Level2"/>
                  <w:r>
                    <w:rPr>
                      <w:rFonts w:hint="default" w:ascii="Times New Roman" w:hAnsi="Times New Roman" w:eastAsia="宋体" w:cs="Times New Roman"/>
                      <w:color w:val="000000" w:themeColor="text1"/>
                      <w:kern w:val="0"/>
                      <w:szCs w:val="21"/>
                      <w:highlight w:val="none"/>
                      <w14:textFill>
                        <w14:solidFill>
                          <w14:schemeClr w14:val="tx1"/>
                        </w14:solidFill>
                      </w14:textFill>
                    </w:rPr>
                    <w:t>4</w:t>
                  </w:r>
                </w:p>
              </w:tc>
              <w:tc>
                <w:tcPr>
                  <w:tcW w:w="565" w:type="pct"/>
                  <w:vAlign w:val="center"/>
                </w:tcPr>
                <w:p w14:paraId="11D5E5A3">
                  <w:pPr>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润滑油</w:t>
                  </w:r>
                </w:p>
              </w:tc>
              <w:tc>
                <w:tcPr>
                  <w:tcW w:w="990" w:type="pct"/>
                </w:tcPr>
                <w:p w14:paraId="3D60B4F1">
                  <w:pPr>
                    <w:jc w:val="center"/>
                    <w:rPr>
                      <w:rStyle w:val="39"/>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516" w:type="pct"/>
                </w:tcPr>
                <w:p w14:paraId="78664A7E">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液态</w:t>
                  </w:r>
                </w:p>
              </w:tc>
              <w:tc>
                <w:tcPr>
                  <w:tcW w:w="924" w:type="pct"/>
                </w:tcPr>
                <w:p w14:paraId="136D43DB">
                  <w:pPr>
                    <w:autoSpaceDE w:val="0"/>
                    <w:autoSpaceDN w:val="0"/>
                    <w:adjustRightIn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979" w:type="pct"/>
                </w:tcPr>
                <w:p w14:paraId="2184A50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50kg/桶</w:t>
                  </w:r>
                </w:p>
              </w:tc>
              <w:tc>
                <w:tcPr>
                  <w:tcW w:w="718" w:type="pct"/>
                </w:tcPr>
                <w:p w14:paraId="1A8806E1">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0.25</w:t>
                  </w:r>
                </w:p>
              </w:tc>
            </w:tr>
          </w:tbl>
          <w:p w14:paraId="283486BB">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Q值</w:t>
            </w:r>
            <w:r>
              <w:rPr>
                <w:rFonts w:hint="default" w:ascii="Times New Roman" w:hAnsi="Times New Roman" w:eastAsia="宋体" w:cs="Times New Roman"/>
                <w:b/>
                <w:bCs/>
                <w:color w:val="000000" w:themeColor="text1"/>
                <w:sz w:val="24"/>
                <w:highlight w:val="none"/>
                <w14:textFill>
                  <w14:solidFill>
                    <w14:schemeClr w14:val="tx1"/>
                  </w14:solidFill>
                </w14:textFill>
              </w:rPr>
              <w:t>判定</w:t>
            </w:r>
          </w:p>
          <w:p w14:paraId="1B6C8DD9">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建设项目环境风险评价技术导则》（HJ169-2018）附录B，对项目涉及的危险物质的临界量，定量分析危险物质数量与临界量的比值（Q）和所属行业及生产工艺特点（M），按附录C对危险物质及工艺系统危险性（P）等级进行判断。当存在多种危险物质时，按下列公式计算物质总量与其临界量Q：</w:t>
            </w:r>
          </w:p>
          <w:p w14:paraId="3B445724">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object>
                <v:shape id="_x0000_i1033" o:spt="75" type="#_x0000_t75" style="height:33.75pt;width:101.2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p>
          <w:p w14:paraId="21FCD32B">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式中：q1，q2</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qn—每种危险物质的最大存在总量，t；Q1，Q2</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Qn—每种危险物质的临界量，t。</w:t>
            </w:r>
          </w:p>
          <w:p w14:paraId="732F51C6">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当Q＜1时，该项目环境风险潜势为Ⅰ；当Q≥1时，将Q值划分为：（1）1≤Q＜10；（2）10≤Q＜100；（3）Q≥100。</w:t>
            </w:r>
          </w:p>
          <w:p w14:paraId="30F058A2">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本项目所涉及的风险物质最大储存量及临界量见</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下表</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5B86AF2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表4-1</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本项目风险物质的最大储存量和临界</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储存的</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比值</w:t>
            </w:r>
          </w:p>
          <w:tbl>
            <w:tblPr>
              <w:tblStyle w:val="24"/>
              <w:tblW w:w="5014"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1003"/>
              <w:gridCol w:w="993"/>
              <w:gridCol w:w="1177"/>
              <w:gridCol w:w="1606"/>
              <w:gridCol w:w="1722"/>
              <w:gridCol w:w="1203"/>
            </w:tblGrid>
            <w:tr w14:paraId="1A5E1A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45" w:type="pct"/>
                  <w:tcBorders>
                    <w:tl2br w:val="nil"/>
                    <w:tr2bl w:val="nil"/>
                  </w:tcBorders>
                  <w:vAlign w:val="center"/>
                </w:tcPr>
                <w:p w14:paraId="3CFFFE45">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序号</w:t>
                  </w:r>
                </w:p>
              </w:tc>
              <w:tc>
                <w:tcPr>
                  <w:tcW w:w="593" w:type="pct"/>
                  <w:tcBorders>
                    <w:tl2br w:val="nil"/>
                    <w:tr2bl w:val="nil"/>
                  </w:tcBorders>
                  <w:vAlign w:val="center"/>
                </w:tcPr>
                <w:p w14:paraId="017661FD">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危险单元</w:t>
                  </w:r>
                </w:p>
              </w:tc>
              <w:tc>
                <w:tcPr>
                  <w:tcW w:w="587" w:type="pct"/>
                  <w:tcBorders>
                    <w:tl2br w:val="nil"/>
                    <w:tr2bl w:val="nil"/>
                  </w:tcBorders>
                  <w:vAlign w:val="center"/>
                </w:tcPr>
                <w:p w14:paraId="3D6D0B45">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危化品</w:t>
                  </w:r>
                </w:p>
                <w:p w14:paraId="495A9D83">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名称</w:t>
                  </w:r>
                </w:p>
              </w:tc>
              <w:tc>
                <w:tcPr>
                  <w:tcW w:w="695" w:type="pct"/>
                  <w:tcBorders>
                    <w:tl2br w:val="nil"/>
                    <w:tr2bl w:val="nil"/>
                  </w:tcBorders>
                  <w:vAlign w:val="center"/>
                </w:tcPr>
                <w:p w14:paraId="16BA6C73">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CAS号</w:t>
                  </w:r>
                </w:p>
              </w:tc>
              <w:tc>
                <w:tcPr>
                  <w:tcW w:w="949" w:type="pct"/>
                  <w:tcBorders>
                    <w:tl2br w:val="nil"/>
                    <w:tr2bl w:val="nil"/>
                  </w:tcBorders>
                  <w:vAlign w:val="center"/>
                </w:tcPr>
                <w:p w14:paraId="50D85BAD">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最大</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存在量</w:t>
                  </w:r>
                </w:p>
                <w:p w14:paraId="46F4BC06">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qn</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t</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w:t>
                  </w:r>
                </w:p>
              </w:tc>
              <w:tc>
                <w:tcPr>
                  <w:tcW w:w="1018" w:type="pct"/>
                  <w:tcBorders>
                    <w:tl2br w:val="nil"/>
                    <w:tr2bl w:val="nil"/>
                  </w:tcBorders>
                  <w:vAlign w:val="center"/>
                </w:tcPr>
                <w:p w14:paraId="47F16E01">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临界量</w:t>
                  </w:r>
                </w:p>
                <w:p w14:paraId="5D71C287">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Qn</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t</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w:t>
                  </w:r>
                </w:p>
              </w:tc>
              <w:tc>
                <w:tcPr>
                  <w:tcW w:w="711" w:type="pct"/>
                  <w:tcBorders>
                    <w:tl2br w:val="nil"/>
                    <w:tr2bl w:val="nil"/>
                  </w:tcBorders>
                  <w:vAlign w:val="center"/>
                </w:tcPr>
                <w:p w14:paraId="18393E10">
                  <w:pPr>
                    <w:ind w:left="0" w:leftChars="0" w:right="0" w:rightChars="0" w:firstLine="0" w:firstLineChars="0"/>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qn/Qn</w:t>
                  </w:r>
                </w:p>
              </w:tc>
            </w:tr>
            <w:tr w14:paraId="5904C0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445" w:type="pct"/>
                  <w:tcBorders>
                    <w:tl2br w:val="nil"/>
                    <w:tr2bl w:val="nil"/>
                  </w:tcBorders>
                  <w:vAlign w:val="center"/>
                </w:tcPr>
                <w:p w14:paraId="4AF5EF18">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p>
              </w:tc>
              <w:tc>
                <w:tcPr>
                  <w:tcW w:w="593" w:type="pct"/>
                  <w:tcBorders>
                    <w:tl2br w:val="nil"/>
                    <w:tr2bl w:val="nil"/>
                  </w:tcBorders>
                  <w:vAlign w:val="center"/>
                </w:tcPr>
                <w:p w14:paraId="17B15A2A">
                  <w:pPr>
                    <w:ind w:left="0" w:leftChars="0" w:right="0" w:rightChars="0" w:firstLine="0" w:firstLineChars="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危废暂存</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库</w:t>
                  </w:r>
                </w:p>
              </w:tc>
              <w:tc>
                <w:tcPr>
                  <w:tcW w:w="587" w:type="pct"/>
                  <w:tcBorders>
                    <w:tl2br w:val="nil"/>
                    <w:tr2bl w:val="nil"/>
                  </w:tcBorders>
                  <w:shd w:val="clear" w:color="auto" w:fill="auto"/>
                  <w:vAlign w:val="center"/>
                </w:tcPr>
                <w:p w14:paraId="5DD15E8D">
                  <w:pPr>
                    <w:ind w:left="0" w:leftChars="0" w:right="0" w:rightChars="0"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润滑</w:t>
                  </w:r>
                  <w:r>
                    <w:rPr>
                      <w:rFonts w:hint="default" w:ascii="Times New Roman" w:hAnsi="Times New Roman" w:cs="Times New Roman" w:eastAsiaTheme="minorEastAsia"/>
                      <w:color w:val="000000" w:themeColor="text1"/>
                      <w:szCs w:val="21"/>
                      <w:highlight w:val="none"/>
                      <w14:textFill>
                        <w14:solidFill>
                          <w14:schemeClr w14:val="tx1"/>
                        </w14:solidFill>
                      </w14:textFill>
                    </w:rPr>
                    <w:t>油</w:t>
                  </w:r>
                </w:p>
              </w:tc>
              <w:tc>
                <w:tcPr>
                  <w:tcW w:w="695" w:type="pct"/>
                  <w:tcBorders>
                    <w:tl2br w:val="nil"/>
                    <w:tr2bl w:val="nil"/>
                  </w:tcBorders>
                  <w:vAlign w:val="center"/>
                </w:tcPr>
                <w:p w14:paraId="0C1743CD">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949" w:type="pct"/>
                  <w:tcBorders>
                    <w:tl2br w:val="nil"/>
                    <w:tr2bl w:val="nil"/>
                  </w:tcBorders>
                  <w:shd w:val="clear" w:color="auto" w:fill="auto"/>
                  <w:vAlign w:val="center"/>
                </w:tcPr>
                <w:p w14:paraId="212A34C0">
                  <w:pPr>
                    <w:ind w:left="0" w:leftChars="0" w:right="0" w:rightChars="0"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1.2</w:t>
                  </w:r>
                </w:p>
              </w:tc>
              <w:tc>
                <w:tcPr>
                  <w:tcW w:w="1018" w:type="pct"/>
                  <w:tcBorders>
                    <w:tl2br w:val="nil"/>
                    <w:tr2bl w:val="nil"/>
                  </w:tcBorders>
                  <w:vAlign w:val="center"/>
                </w:tcPr>
                <w:p w14:paraId="2BAFCD74">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50</w:t>
                  </w:r>
                </w:p>
              </w:tc>
              <w:tc>
                <w:tcPr>
                  <w:tcW w:w="711" w:type="pct"/>
                  <w:tcBorders>
                    <w:tl2br w:val="nil"/>
                    <w:tr2bl w:val="nil"/>
                  </w:tcBorders>
                  <w:vAlign w:val="center"/>
                </w:tcPr>
                <w:p w14:paraId="22B03E2C">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24</w:t>
                  </w:r>
                </w:p>
              </w:tc>
            </w:tr>
            <w:tr w14:paraId="1956EA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445" w:type="pct"/>
                  <w:tcBorders>
                    <w:tl2br w:val="nil"/>
                    <w:tr2bl w:val="nil"/>
                  </w:tcBorders>
                  <w:vAlign w:val="center"/>
                </w:tcPr>
                <w:p w14:paraId="28168757">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2</w:t>
                  </w:r>
                </w:p>
              </w:tc>
              <w:tc>
                <w:tcPr>
                  <w:tcW w:w="593" w:type="pct"/>
                  <w:tcBorders>
                    <w:tl2br w:val="nil"/>
                    <w:tr2bl w:val="nil"/>
                  </w:tcBorders>
                  <w:vAlign w:val="center"/>
                </w:tcPr>
                <w:p w14:paraId="32A4F15F">
                  <w:pPr>
                    <w:ind w:left="0" w:leftChars="0" w:right="0" w:rightChars="0" w:firstLine="0" w:firstLineChars="0"/>
                    <w:jc w:val="cente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p>
                <w:p w14:paraId="5E5EA3C8">
                  <w:pPr>
                    <w:ind w:left="0" w:leftChars="0" w:right="0" w:rightChars="0"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暂</w:t>
                  </w:r>
                  <w:r>
                    <w:rPr>
                      <w:rFonts w:hint="default" w:ascii="Times New Roman" w:hAnsi="Times New Roman" w:cs="Times New Roman" w:eastAsiaTheme="minorEastAsia"/>
                      <w:color w:val="000000" w:themeColor="text1"/>
                      <w:szCs w:val="21"/>
                      <w:highlight w:val="none"/>
                      <w14:textFill>
                        <w14:solidFill>
                          <w14:schemeClr w14:val="tx1"/>
                        </w14:solidFill>
                      </w14:textFill>
                    </w:rPr>
                    <w:t>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587" w:type="pct"/>
                  <w:tcBorders>
                    <w:tl2br w:val="nil"/>
                    <w:tr2bl w:val="nil"/>
                  </w:tcBorders>
                  <w:shd w:val="clear" w:color="auto" w:fill="auto"/>
                  <w:vAlign w:val="center"/>
                </w:tcPr>
                <w:p w14:paraId="3BC960FF">
                  <w:pPr>
                    <w:ind w:left="0" w:leftChars="0" w:right="0" w:rightChars="0" w:firstLine="0" w:firstLineChars="0"/>
                    <w:jc w:val="cente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润滑油</w:t>
                  </w:r>
                </w:p>
              </w:tc>
              <w:tc>
                <w:tcPr>
                  <w:tcW w:w="695" w:type="pct"/>
                  <w:tcBorders>
                    <w:tl2br w:val="nil"/>
                    <w:tr2bl w:val="nil"/>
                  </w:tcBorders>
                  <w:vAlign w:val="center"/>
                </w:tcPr>
                <w:p w14:paraId="3CB6F25D">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949" w:type="pct"/>
                  <w:tcBorders>
                    <w:tl2br w:val="nil"/>
                    <w:tr2bl w:val="nil"/>
                  </w:tcBorders>
                  <w:shd w:val="clear" w:color="auto" w:fill="auto"/>
                  <w:vAlign w:val="center"/>
                </w:tcPr>
                <w:p w14:paraId="0A88AB78">
                  <w:pPr>
                    <w:ind w:left="0" w:leftChars="0" w:right="0" w:rightChars="0"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0.25</w:t>
                  </w:r>
                </w:p>
              </w:tc>
              <w:tc>
                <w:tcPr>
                  <w:tcW w:w="1018" w:type="pct"/>
                  <w:tcBorders>
                    <w:tl2br w:val="nil"/>
                    <w:tr2bl w:val="nil"/>
                  </w:tcBorders>
                  <w:vAlign w:val="center"/>
                </w:tcPr>
                <w:p w14:paraId="730DB759">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2500</w:t>
                  </w:r>
                </w:p>
              </w:tc>
              <w:tc>
                <w:tcPr>
                  <w:tcW w:w="711" w:type="pct"/>
                  <w:tcBorders>
                    <w:tl2br w:val="nil"/>
                    <w:tr2bl w:val="nil"/>
                  </w:tcBorders>
                  <w:vAlign w:val="center"/>
                </w:tcPr>
                <w:p w14:paraId="4D3A7932">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0.0001</w:t>
                  </w:r>
                </w:p>
              </w:tc>
            </w:tr>
            <w:tr w14:paraId="540DF5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4288" w:type="pct"/>
                  <w:gridSpan w:val="6"/>
                  <w:tcBorders>
                    <w:tl2br w:val="nil"/>
                    <w:tr2bl w:val="nil"/>
                  </w:tcBorders>
                  <w:vAlign w:val="center"/>
                </w:tcPr>
                <w:p w14:paraId="5D95CC72">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合计</w:t>
                  </w:r>
                </w:p>
              </w:tc>
              <w:tc>
                <w:tcPr>
                  <w:tcW w:w="711" w:type="pct"/>
                  <w:tcBorders>
                    <w:tl2br w:val="nil"/>
                    <w:tr2bl w:val="nil"/>
                  </w:tcBorders>
                  <w:vAlign w:val="center"/>
                </w:tcPr>
                <w:p w14:paraId="33B527F2">
                  <w:pPr>
                    <w:ind w:left="0" w:leftChars="0" w:right="0" w:rightChars="0"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241</w:t>
                  </w:r>
                </w:p>
              </w:tc>
            </w:tr>
          </w:tbl>
          <w:p w14:paraId="2614AED2">
            <w:pPr>
              <w:pStyle w:val="20"/>
              <w:adjustRightInd w:val="0"/>
              <w:ind w:firstLine="480" w:firstLineChars="200"/>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项目危险物质Q=</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0.0</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241</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无需进行专项评价</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w:t>
            </w:r>
          </w:p>
          <w:p w14:paraId="03358025">
            <w:pPr>
              <w:pStyle w:val="20"/>
              <w:adjustRightInd w:val="0"/>
              <w:ind w:firstLine="482"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14:textFill>
                  <w14:solidFill>
                    <w14:schemeClr w14:val="tx1"/>
                  </w14:solidFill>
                </w14:textFill>
              </w:rPr>
              <w:t>）可能影响途径</w:t>
            </w:r>
          </w:p>
          <w:p w14:paraId="23D833AD">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暂存</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库</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及</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管理不善，导致危险物质无组织流散，造成地下水及土壤环境污染事故。</w:t>
            </w:r>
          </w:p>
          <w:p w14:paraId="6C0B6608">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bookmarkStart w:id="37" w:name="_bookmark185"/>
            <w:bookmarkEnd w:id="37"/>
            <w:bookmarkStart w:id="38" w:name="8.4环境风险分析"/>
            <w:bookmarkEnd w:id="38"/>
            <w:r>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t>（</w:t>
            </w:r>
            <w:r>
              <w:rPr>
                <w:rFonts w:hint="default" w:ascii="Times New Roman" w:hAnsi="Times New Roman" w:cs="Times New Roman" w:eastAsiaTheme="minorEastAsia"/>
                <w:b/>
                <w:bCs/>
                <w:color w:val="000000" w:themeColor="text1"/>
                <w:sz w:val="24"/>
                <w:szCs w:val="28"/>
                <w:highlight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8"/>
                <w:highlight w:val="none"/>
                <w14:textFill>
                  <w14:solidFill>
                    <w14:schemeClr w14:val="tx1"/>
                  </w14:solidFill>
                </w14:textFill>
              </w:rPr>
              <w:t>）</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环境风险防范措施</w:t>
            </w:r>
            <w:bookmarkStart w:id="39" w:name="_bookmark189"/>
            <w:bookmarkEnd w:id="39"/>
          </w:p>
          <w:p w14:paraId="320DCF02">
            <w:pPr>
              <w:spacing w:line="360" w:lineRule="auto"/>
              <w:ind w:firstLine="480" w:firstLineChars="200"/>
              <w:rPr>
                <w:rFonts w:hint="default" w:ascii="Times New Roman" w:hAnsi="Times New Roman" w:cs="Times New Roman" w:eastAsiaTheme="minorEastAsia"/>
                <w:color w:val="000000" w:themeColor="text1"/>
                <w:sz w:val="24"/>
                <w:szCs w:val="28"/>
                <w:highlight w:val="none"/>
                <w14:textFill>
                  <w14:solidFill>
                    <w14:schemeClr w14:val="tx1"/>
                  </w14:solidFill>
                </w14:textFill>
              </w:rPr>
            </w:pPr>
            <w:bookmarkStart w:id="40" w:name="_bookmark194"/>
            <w:bookmarkEnd w:id="40"/>
            <w:bookmarkStart w:id="41" w:name="7.7.5环境风险防范措施及应急要求"/>
            <w:bookmarkEnd w:id="41"/>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根据项目实际情况，需采取的风险预防措施见下表。</w:t>
            </w:r>
          </w:p>
          <w:p w14:paraId="4CEC6A0F">
            <w:pPr>
              <w:jc w:val="center"/>
              <w:rPr>
                <w:rFonts w:hint="default" w:ascii="Times New Roman" w:hAnsi="Times New Roman" w:cs="Times New Roman" w:eastAsiaTheme="minorEastAsia"/>
                <w:b/>
                <w:bCs/>
                <w:color w:val="000000" w:themeColor="text1"/>
                <w:sz w:val="24"/>
                <w:highlight w:val="none"/>
                <w:lang w:val="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zh-CN"/>
                <w14:textFill>
                  <w14:solidFill>
                    <w14:schemeClr w14:val="tx1"/>
                  </w14:solidFill>
                </w14:textFill>
              </w:rPr>
              <w:t>表</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4-1</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highlight w:val="none"/>
                <w:lang w:val="zh-CN"/>
                <w14:textFill>
                  <w14:solidFill>
                    <w14:schemeClr w14:val="tx1"/>
                  </w14:solidFill>
                </w14:textFill>
              </w:rPr>
              <w:t>本项目主要地下水风险预防措施</w:t>
            </w:r>
          </w:p>
          <w:bookmarkEnd w:id="28"/>
          <w:bookmarkEnd w:id="29"/>
          <w:bookmarkEnd w:id="30"/>
          <w:bookmarkEnd w:id="31"/>
          <w:bookmarkEnd w:id="32"/>
          <w:bookmarkEnd w:id="33"/>
          <w:bookmarkEnd w:id="34"/>
          <w:bookmarkEnd w:id="35"/>
          <w:bookmarkEnd w:id="36"/>
          <w:tbl>
            <w:tblPr>
              <w:tblStyle w:val="24"/>
              <w:tblW w:w="843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6903"/>
            </w:tblGrid>
            <w:tr w14:paraId="1F28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10" w:type="pct"/>
                  <w:tcBorders>
                    <w:tl2br w:val="nil"/>
                    <w:tr2bl w:val="nil"/>
                  </w:tcBorders>
                  <w:noWrap/>
                  <w:vAlign w:val="center"/>
                </w:tcPr>
                <w:p w14:paraId="04AAB9DA">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环境风险源</w:t>
                  </w:r>
                </w:p>
              </w:tc>
              <w:tc>
                <w:tcPr>
                  <w:tcW w:w="4089" w:type="pct"/>
                  <w:tcBorders>
                    <w:tl2br w:val="nil"/>
                    <w:tr2bl w:val="nil"/>
                  </w:tcBorders>
                  <w:noWrap/>
                  <w:vAlign w:val="center"/>
                </w:tcPr>
                <w:p w14:paraId="3D85A241">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主要预防措施</w:t>
                  </w:r>
                </w:p>
              </w:tc>
            </w:tr>
            <w:tr w14:paraId="4B83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910" w:type="pct"/>
                  <w:tcBorders>
                    <w:tl2br w:val="nil"/>
                    <w:tr2bl w:val="nil"/>
                  </w:tcBorders>
                  <w:noWrap/>
                  <w:vAlign w:val="center"/>
                </w:tcPr>
                <w:p w14:paraId="2141B020">
                  <w:pPr>
                    <w:jc w:val="center"/>
                    <w:rPr>
                      <w:rFonts w:hint="default" w:ascii="Times New Roman" w:hAnsi="Times New Roman" w:cs="Times New Roman" w:eastAsiaTheme="minorEastAsia"/>
                      <w:color w:val="000000" w:themeColor="text1"/>
                      <w:szCs w:val="21"/>
                      <w:highlight w:val="none"/>
                      <w:lang w:val="zh-CN"/>
                      <w14:textFill>
                        <w14:solidFill>
                          <w14:schemeClr w14:val="tx1"/>
                        </w14:solidFill>
                      </w14:textFill>
                    </w:rPr>
                  </w:pPr>
                  <w:r>
                    <w:rPr>
                      <w:rFonts w:hint="default" w:ascii="Times New Roman" w:hAnsi="Times New Roman" w:cs="Times New Roman" w:eastAsiaTheme="minorEastAsia"/>
                      <w:color w:val="000000" w:themeColor="text1"/>
                      <w:sz w:val="21"/>
                      <w:szCs w:val="22"/>
                      <w:highlight w:val="none"/>
                      <w:lang w:val="en-US" w:eastAsia="zh-CN"/>
                      <w14:textFill>
                        <w14:solidFill>
                          <w14:schemeClr w14:val="tx1"/>
                        </w14:solidFill>
                      </w14:textFill>
                    </w:rPr>
                    <w:t>矿物油</w:t>
                  </w:r>
                  <w:r>
                    <w:rPr>
                      <w:rFonts w:hint="default" w:ascii="Times New Roman" w:hAnsi="Times New Roman" w:cs="Times New Roman" w:eastAsiaTheme="minorEastAsia"/>
                      <w:color w:val="000000" w:themeColor="text1"/>
                      <w:szCs w:val="21"/>
                      <w:highlight w:val="none"/>
                      <w14:textFill>
                        <w14:solidFill>
                          <w14:schemeClr w14:val="tx1"/>
                        </w14:solidFill>
                      </w14:textFill>
                    </w:rPr>
                    <w:t>暂存</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库</w:t>
                  </w:r>
                </w:p>
              </w:tc>
              <w:tc>
                <w:tcPr>
                  <w:tcW w:w="4089" w:type="pct"/>
                  <w:vMerge w:val="restart"/>
                  <w:tcBorders>
                    <w:tl2br w:val="nil"/>
                    <w:tr2bl w:val="nil"/>
                  </w:tcBorders>
                  <w:noWrap/>
                </w:tcPr>
                <w:p w14:paraId="0D5ECFB3">
                  <w:pPr>
                    <w:ind w:firstLine="420"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按照分区防渗要求，进行</w:t>
                  </w:r>
                  <w:r>
                    <w:rPr>
                      <w:rFonts w:hint="default" w:ascii="Times New Roman" w:hAnsi="Times New Roman" w:eastAsia="宋体" w:cs="Times New Roman"/>
                      <w:color w:val="000000" w:themeColor="text1"/>
                      <w:szCs w:val="21"/>
                      <w:highlight w:val="none"/>
                      <w14:textFill>
                        <w14:solidFill>
                          <w14:schemeClr w14:val="tx1"/>
                        </w14:solidFill>
                      </w14:textFill>
                    </w:rPr>
                    <w:t>重点防渗处理，防止危险物质下渗进入地基下之土壤层及地下水层；暂存容器下方设置托盘防止渗漏；同时，</w:t>
                  </w:r>
                  <w:r>
                    <w:rPr>
                      <w:rFonts w:hint="default" w:ascii="Times New Roman" w:hAnsi="Times New Roman" w:eastAsia="宋体" w:cs="Times New Roman"/>
                      <w:color w:val="000000" w:themeColor="text1"/>
                      <w:highlight w:val="none"/>
                      <w14:textFill>
                        <w14:solidFill>
                          <w14:schemeClr w14:val="tx1"/>
                        </w14:solidFill>
                      </w14:textFill>
                    </w:rPr>
                    <w:t>配备必要的消防灭火器材、消防砂以及防毒等个人防护器材，并确保其处于完好状态，如安全眼镜、防护手套等</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highlight w:val="none"/>
                      <w:lang w:eastAsia="zh-CN"/>
                      <w14:textFill>
                        <w14:solidFill>
                          <w14:schemeClr w14:val="tx1"/>
                        </w14:solidFill>
                      </w14:textFill>
                    </w:rPr>
                    <w:t>突发环境事件应急预案。</w:t>
                  </w:r>
                </w:p>
              </w:tc>
            </w:tr>
            <w:tr w14:paraId="627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910" w:type="pct"/>
                  <w:tcBorders>
                    <w:tl2br w:val="nil"/>
                    <w:tr2bl w:val="nil"/>
                  </w:tcBorders>
                  <w:noWrap/>
                  <w:vAlign w:val="center"/>
                </w:tcPr>
                <w:p w14:paraId="1BED4F19">
                  <w:pPr>
                    <w:jc w:val="center"/>
                    <w:rPr>
                      <w:rFonts w:hint="default" w:ascii="Times New Roman" w:hAnsi="Times New Roman" w:cs="Times New Roman" w:eastAsiaTheme="minorEastAsia"/>
                      <w:color w:val="000000" w:themeColor="text1"/>
                      <w:szCs w:val="21"/>
                      <w:highlight w:val="none"/>
                      <w:lang w:val="zh-CN"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危废暂存库</w:t>
                  </w:r>
                </w:p>
              </w:tc>
              <w:tc>
                <w:tcPr>
                  <w:tcW w:w="4089" w:type="pct"/>
                  <w:vMerge w:val="continue"/>
                  <w:tcBorders>
                    <w:tl2br w:val="nil"/>
                    <w:tr2bl w:val="nil"/>
                  </w:tcBorders>
                  <w:noWrap/>
                </w:tcPr>
                <w:p w14:paraId="3E589837">
                  <w:pPr>
                    <w:ind w:firstLine="420" w:firstLineChars="200"/>
                    <w:rPr>
                      <w:rFonts w:hint="default" w:ascii="Times New Roman" w:hAnsi="Times New Roman" w:cs="Times New Roman" w:eastAsiaTheme="minorEastAsia"/>
                      <w:color w:val="000000" w:themeColor="text1"/>
                      <w:szCs w:val="21"/>
                      <w:highlight w:val="none"/>
                      <w14:textFill>
                        <w14:solidFill>
                          <w14:schemeClr w14:val="tx1"/>
                        </w14:solidFill>
                      </w14:textFill>
                    </w:rPr>
                  </w:pPr>
                </w:p>
              </w:tc>
            </w:tr>
          </w:tbl>
          <w:p w14:paraId="257C7EBB">
            <w:pPr>
              <w:pStyle w:val="6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t>7、改扩建</w:t>
            </w:r>
            <w:r>
              <w:rPr>
                <w:rFonts w:hint="default"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t>前后“三本账”分析</w:t>
            </w:r>
          </w:p>
          <w:p w14:paraId="1058FF57">
            <w:pPr>
              <w:spacing w:line="360" w:lineRule="auto"/>
              <w:ind w:firstLine="480" w:firstLineChars="200"/>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改扩建</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项目“三本账”分析见表</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4-16</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w:t>
            </w:r>
          </w:p>
          <w:p w14:paraId="133D80DB">
            <w:pPr>
              <w:pStyle w:val="47"/>
              <w:spacing w:before="110" w:after="78"/>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w:t>
            </w:r>
            <w:r>
              <w:rPr>
                <w:rFonts w:hint="eastAsia" w:ascii="Times New Roman" w:hAnsi="Times New Roman"/>
                <w:color w:val="000000" w:themeColor="text1"/>
                <w:szCs w:val="21"/>
                <w:lang w:val="en-US" w:eastAsia="zh-CN"/>
                <w14:textFill>
                  <w14:solidFill>
                    <w14:schemeClr w14:val="tx1"/>
                  </w14:solidFill>
                </w14:textFill>
              </w:rPr>
              <w:t>4-16</w:t>
            </w:r>
            <w:r>
              <w:rPr>
                <w:rFonts w:ascii="Times New Roman" w:hAnsi="Times New Roman"/>
                <w:color w:val="000000" w:themeColor="text1"/>
                <w:szCs w:val="21"/>
                <w14:textFill>
                  <w14:solidFill>
                    <w14:schemeClr w14:val="tx1"/>
                  </w14:solidFill>
                </w14:textFill>
              </w:rPr>
              <w:t xml:space="preserve">  “三本账”分析表</w:t>
            </w:r>
          </w:p>
          <w:tbl>
            <w:tblPr>
              <w:tblStyle w:val="24"/>
              <w:tblW w:w="84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6"/>
              <w:gridCol w:w="1379"/>
              <w:gridCol w:w="969"/>
              <w:gridCol w:w="1036"/>
              <w:gridCol w:w="1070"/>
              <w:gridCol w:w="1456"/>
              <w:gridCol w:w="1118"/>
              <w:gridCol w:w="1081"/>
            </w:tblGrid>
            <w:tr w14:paraId="74EA4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346" w:type="dxa"/>
                  <w:noWrap w:val="0"/>
                  <w:vAlign w:val="center"/>
                </w:tcPr>
                <w:p w14:paraId="1732B252">
                  <w:pPr>
                    <w:pStyle w:val="66"/>
                    <w:snapToGrid w:val="0"/>
                    <w:spacing w:line="240" w:lineRule="atLeast"/>
                    <w:ind w:firstLine="0" w:firstLineChars="0"/>
                    <w:jc w:val="both"/>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类型</w:t>
                  </w:r>
                </w:p>
              </w:tc>
              <w:tc>
                <w:tcPr>
                  <w:tcW w:w="1379" w:type="dxa"/>
                  <w:noWrap w:val="0"/>
                  <w:vAlign w:val="center"/>
                </w:tcPr>
                <w:p w14:paraId="53D67EDC">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项目</w:t>
                  </w:r>
                </w:p>
              </w:tc>
              <w:tc>
                <w:tcPr>
                  <w:tcW w:w="969" w:type="dxa"/>
                  <w:noWrap w:val="0"/>
                  <w:vAlign w:val="center"/>
                </w:tcPr>
                <w:p w14:paraId="79D24F57">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单位</w:t>
                  </w:r>
                </w:p>
              </w:tc>
              <w:tc>
                <w:tcPr>
                  <w:tcW w:w="1036" w:type="dxa"/>
                  <w:noWrap w:val="0"/>
                  <w:vAlign w:val="center"/>
                </w:tcPr>
                <w:p w14:paraId="29AA48AD">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改扩建前</w:t>
                  </w:r>
                </w:p>
                <w:p w14:paraId="72D5C908">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070" w:type="dxa"/>
                  <w:noWrap w:val="0"/>
                  <w:vAlign w:val="center"/>
                </w:tcPr>
                <w:p w14:paraId="2DD3D593">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本项目</w:t>
                  </w:r>
                </w:p>
                <w:p w14:paraId="752D5CBC">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456" w:type="dxa"/>
                  <w:noWrap w:val="0"/>
                  <w:vAlign w:val="center"/>
                </w:tcPr>
                <w:p w14:paraId="220AC298">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改扩建后</w:t>
                  </w:r>
                </w:p>
                <w:p w14:paraId="69959746">
                  <w:pPr>
                    <w:pStyle w:val="66"/>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全厂总排放量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118" w:type="dxa"/>
                  <w:noWrap w:val="0"/>
                  <w:vAlign w:val="center"/>
                </w:tcPr>
                <w:p w14:paraId="77B937A6">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以新带老削减量</w:t>
                  </w:r>
                </w:p>
              </w:tc>
              <w:tc>
                <w:tcPr>
                  <w:tcW w:w="1081" w:type="dxa"/>
                  <w:noWrap w:val="0"/>
                  <w:vAlign w:val="center"/>
                </w:tcPr>
                <w:p w14:paraId="2190F4CE">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改扩建前后变化量</w:t>
                  </w:r>
                </w:p>
              </w:tc>
            </w:tr>
            <w:tr w14:paraId="43B78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346" w:type="dxa"/>
                  <w:noWrap w:val="0"/>
                  <w:vAlign w:val="center"/>
                </w:tcPr>
                <w:p w14:paraId="61C1C74B">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废气</w:t>
                  </w:r>
                </w:p>
              </w:tc>
              <w:tc>
                <w:tcPr>
                  <w:tcW w:w="1379" w:type="dxa"/>
                  <w:noWrap w:val="0"/>
                  <w:vAlign w:val="center"/>
                </w:tcPr>
                <w:p w14:paraId="08F20C0B">
                  <w:pPr>
                    <w:pStyle w:val="66"/>
                    <w:snapToGrid w:val="0"/>
                    <w:spacing w:line="240" w:lineRule="atLeast"/>
                    <w:ind w:firstLine="0" w:firstLineChars="0"/>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69" w:type="dxa"/>
                  <w:noWrap w:val="0"/>
                  <w:vAlign w:val="center"/>
                </w:tcPr>
                <w:p w14:paraId="475AF50F">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36" w:type="dxa"/>
                  <w:noWrap w:val="0"/>
                  <w:vAlign w:val="center"/>
                </w:tcPr>
                <w:p w14:paraId="30695E7F">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0.07</w:t>
                  </w:r>
                </w:p>
              </w:tc>
              <w:tc>
                <w:tcPr>
                  <w:tcW w:w="1070" w:type="dxa"/>
                  <w:noWrap w:val="0"/>
                  <w:vAlign w:val="center"/>
                </w:tcPr>
                <w:p w14:paraId="18037545">
                  <w:pPr>
                    <w:pStyle w:val="66"/>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19.94</w:t>
                  </w:r>
                </w:p>
              </w:tc>
              <w:tc>
                <w:tcPr>
                  <w:tcW w:w="1456" w:type="dxa"/>
                  <w:noWrap w:val="0"/>
                  <w:vAlign w:val="center"/>
                </w:tcPr>
                <w:p w14:paraId="07C7D062">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19.94</w:t>
                  </w:r>
                </w:p>
              </w:tc>
              <w:tc>
                <w:tcPr>
                  <w:tcW w:w="1118" w:type="dxa"/>
                  <w:noWrap w:val="0"/>
                  <w:vAlign w:val="center"/>
                </w:tcPr>
                <w:p w14:paraId="683C23F2">
                  <w:pPr>
                    <w:pStyle w:val="66"/>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w:t>
                  </w:r>
                  <w:r>
                    <w:rPr>
                      <w:rFonts w:hint="eastAsia" w:ascii="Times New Roman" w:hAnsi="Times New Roman" w:eastAsia="宋体"/>
                      <w:color w:val="000000" w:themeColor="text1"/>
                      <w:sz w:val="21"/>
                      <w:szCs w:val="21"/>
                      <w:lang w:val="en-US" w:eastAsia="zh-CN"/>
                      <w14:textFill>
                        <w14:solidFill>
                          <w14:schemeClr w14:val="tx1"/>
                        </w14:solidFill>
                      </w14:textFill>
                    </w:rPr>
                    <w:t>.07</w:t>
                  </w:r>
                </w:p>
              </w:tc>
              <w:tc>
                <w:tcPr>
                  <w:tcW w:w="1081" w:type="dxa"/>
                  <w:noWrap w:val="0"/>
                  <w:vAlign w:val="center"/>
                </w:tcPr>
                <w:p w14:paraId="7BF66243">
                  <w:pPr>
                    <w:pStyle w:val="66"/>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+19.87</w:t>
                  </w:r>
                </w:p>
              </w:tc>
            </w:tr>
            <w:tr w14:paraId="4F142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346" w:type="dxa"/>
                  <w:noWrap w:val="0"/>
                  <w:vAlign w:val="center"/>
                </w:tcPr>
                <w:p w14:paraId="55CDD02B">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废水</w:t>
                  </w:r>
                </w:p>
              </w:tc>
              <w:tc>
                <w:tcPr>
                  <w:tcW w:w="1379" w:type="dxa"/>
                  <w:noWrap w:val="0"/>
                  <w:vAlign w:val="center"/>
                </w:tcPr>
                <w:p w14:paraId="2CE69B4F">
                  <w:pPr>
                    <w:pStyle w:val="66"/>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废水量</w:t>
                  </w:r>
                </w:p>
              </w:tc>
              <w:tc>
                <w:tcPr>
                  <w:tcW w:w="969" w:type="dxa"/>
                  <w:noWrap w:val="0"/>
                  <w:vAlign w:val="center"/>
                </w:tcPr>
                <w:p w14:paraId="7DC80991">
                  <w:pPr>
                    <w:pStyle w:val="66"/>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/a</w:t>
                  </w:r>
                </w:p>
              </w:tc>
              <w:tc>
                <w:tcPr>
                  <w:tcW w:w="1036" w:type="dxa"/>
                  <w:noWrap w:val="0"/>
                  <w:vAlign w:val="center"/>
                </w:tcPr>
                <w:p w14:paraId="7351CA24">
                  <w:pPr>
                    <w:pStyle w:val="66"/>
                    <w:snapToGrid w:val="0"/>
                    <w:spacing w:line="240" w:lineRule="atLeast"/>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070" w:type="dxa"/>
                  <w:noWrap w:val="0"/>
                  <w:vAlign w:val="center"/>
                </w:tcPr>
                <w:p w14:paraId="3A50097C">
                  <w:pPr>
                    <w:pStyle w:val="66"/>
                    <w:snapToGrid w:val="0"/>
                    <w:spacing w:line="240" w:lineRule="atLeas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456" w:type="dxa"/>
                  <w:noWrap w:val="0"/>
                  <w:vAlign w:val="center"/>
                </w:tcPr>
                <w:p w14:paraId="254C45BC">
                  <w:pPr>
                    <w:pStyle w:val="66"/>
                    <w:snapToGrid w:val="0"/>
                    <w:spacing w:line="240" w:lineRule="atLeas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118" w:type="dxa"/>
                  <w:noWrap w:val="0"/>
                  <w:vAlign w:val="center"/>
                </w:tcPr>
                <w:p w14:paraId="6C05B2AE">
                  <w:pPr>
                    <w:pStyle w:val="66"/>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w:t>
                  </w:r>
                </w:p>
              </w:tc>
              <w:tc>
                <w:tcPr>
                  <w:tcW w:w="1081" w:type="dxa"/>
                  <w:noWrap w:val="0"/>
                  <w:vAlign w:val="center"/>
                </w:tcPr>
                <w:p w14:paraId="49996EFB">
                  <w:pPr>
                    <w:pStyle w:val="66"/>
                    <w:snapToGrid w:val="0"/>
                    <w:spacing w:line="240" w:lineRule="atLeast"/>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14:paraId="04625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346" w:type="dxa"/>
                  <w:vMerge w:val="restart"/>
                  <w:noWrap w:val="0"/>
                  <w:vAlign w:val="center"/>
                </w:tcPr>
                <w:p w14:paraId="07C2469C">
                  <w:pPr>
                    <w:pStyle w:val="66"/>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固废</w:t>
                  </w:r>
                </w:p>
              </w:tc>
              <w:tc>
                <w:tcPr>
                  <w:tcW w:w="1379" w:type="dxa"/>
                  <w:shd w:val="clear" w:color="auto" w:fill="auto"/>
                  <w:noWrap w:val="0"/>
                  <w:vAlign w:val="center"/>
                </w:tcPr>
                <w:p w14:paraId="275A395F">
                  <w:pPr>
                    <w:adjustRightInd w:val="0"/>
                    <w:snapToGrid w:val="0"/>
                    <w:spacing w:line="240" w:lineRule="exac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危险废物</w:t>
                  </w:r>
                </w:p>
              </w:tc>
              <w:tc>
                <w:tcPr>
                  <w:tcW w:w="969" w:type="dxa"/>
                  <w:shd w:val="clear" w:color="auto" w:fill="auto"/>
                  <w:noWrap w:val="0"/>
                  <w:vAlign w:val="center"/>
                </w:tcPr>
                <w:p w14:paraId="2555286B">
                  <w:pPr>
                    <w:snapToGrid w:val="0"/>
                    <w:spacing w:line="240" w:lineRule="atLeast"/>
                    <w:ind w:firstLine="0" w:firstLineChars="0"/>
                    <w:jc w:val="center"/>
                    <w:rPr>
                      <w:rFonts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36" w:type="dxa"/>
                  <w:shd w:val="clear" w:color="auto" w:fill="auto"/>
                  <w:noWrap w:val="0"/>
                  <w:vAlign w:val="center"/>
                </w:tcPr>
                <w:p w14:paraId="1F244113">
                  <w:pPr>
                    <w:adjustRightInd w:val="0"/>
                    <w:snapToGrid w:val="0"/>
                    <w:spacing w:line="24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0.7</w:t>
                  </w:r>
                </w:p>
              </w:tc>
              <w:tc>
                <w:tcPr>
                  <w:tcW w:w="1070" w:type="dxa"/>
                  <w:shd w:val="clear" w:color="auto" w:fill="auto"/>
                  <w:noWrap w:val="0"/>
                  <w:vAlign w:val="center"/>
                </w:tcPr>
                <w:p w14:paraId="48469ED0">
                  <w:pPr>
                    <w:pStyle w:val="66"/>
                    <w:snapToGrid w:val="0"/>
                    <w:spacing w:line="240" w:lineRule="atLeast"/>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1.41</w:t>
                  </w:r>
                </w:p>
              </w:tc>
              <w:tc>
                <w:tcPr>
                  <w:tcW w:w="1456" w:type="dxa"/>
                  <w:shd w:val="clear" w:color="auto" w:fill="auto"/>
                  <w:noWrap w:val="0"/>
                  <w:vAlign w:val="center"/>
                </w:tcPr>
                <w:p w14:paraId="7A8B70DB">
                  <w:pPr>
                    <w:pStyle w:val="66"/>
                    <w:snapToGrid w:val="0"/>
                    <w:spacing w:line="240" w:lineRule="atLeast"/>
                    <w:ind w:firstLine="0" w:firstLineChars="0"/>
                    <w:rPr>
                      <w:rFonts w:hint="eastAsia"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1.41</w:t>
                  </w:r>
                </w:p>
              </w:tc>
              <w:tc>
                <w:tcPr>
                  <w:tcW w:w="1118" w:type="dxa"/>
                  <w:shd w:val="clear" w:color="auto" w:fill="auto"/>
                  <w:noWrap w:val="0"/>
                  <w:vAlign w:val="center"/>
                </w:tcPr>
                <w:p w14:paraId="183E0D16">
                  <w:pPr>
                    <w:adjustRightInd w:val="0"/>
                    <w:snapToGrid w:val="0"/>
                    <w:spacing w:line="240" w:lineRule="exact"/>
                    <w:ind w:firstLine="0" w:firstLineChars="0"/>
                    <w:jc w:val="center"/>
                    <w:rPr>
                      <w:rFonts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0.7</w:t>
                  </w:r>
                </w:p>
              </w:tc>
              <w:tc>
                <w:tcPr>
                  <w:tcW w:w="1081" w:type="dxa"/>
                  <w:shd w:val="clear" w:color="auto" w:fill="auto"/>
                  <w:noWrap w:val="0"/>
                  <w:vAlign w:val="center"/>
                </w:tcPr>
                <w:p w14:paraId="4A0DF1F5">
                  <w:pPr>
                    <w:pStyle w:val="66"/>
                    <w:snapToGrid w:val="0"/>
                    <w:spacing w:line="240" w:lineRule="atLeast"/>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+0.71</w:t>
                  </w:r>
                </w:p>
              </w:tc>
            </w:tr>
            <w:tr w14:paraId="79F4B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346" w:type="dxa"/>
                  <w:vMerge w:val="continue"/>
                  <w:noWrap w:val="0"/>
                  <w:vAlign w:val="center"/>
                </w:tcPr>
                <w:p w14:paraId="40FDB06A">
                  <w:pPr>
                    <w:pStyle w:val="66"/>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p>
              </w:tc>
              <w:tc>
                <w:tcPr>
                  <w:tcW w:w="1379" w:type="dxa"/>
                  <w:noWrap w:val="0"/>
                  <w:vAlign w:val="center"/>
                </w:tcPr>
                <w:p w14:paraId="01710792">
                  <w:pPr>
                    <w:adjustRightInd w:val="0"/>
                    <w:snapToGrid w:val="0"/>
                    <w:spacing w:line="240" w:lineRule="exact"/>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一般固废</w:t>
                  </w:r>
                </w:p>
              </w:tc>
              <w:tc>
                <w:tcPr>
                  <w:tcW w:w="969" w:type="dxa"/>
                  <w:noWrap w:val="0"/>
                  <w:vAlign w:val="center"/>
                </w:tcPr>
                <w:p w14:paraId="19A22BB9">
                  <w:pPr>
                    <w:snapToGrid w:val="0"/>
                    <w:spacing w:line="240" w:lineRule="atLeas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36" w:type="dxa"/>
                  <w:noWrap w:val="0"/>
                  <w:vAlign w:val="center"/>
                </w:tcPr>
                <w:p w14:paraId="14C97F85">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2100</w:t>
                  </w:r>
                </w:p>
              </w:tc>
              <w:tc>
                <w:tcPr>
                  <w:tcW w:w="1070" w:type="dxa"/>
                  <w:noWrap w:val="0"/>
                  <w:vAlign w:val="center"/>
                </w:tcPr>
                <w:p w14:paraId="023C6217">
                  <w:pPr>
                    <w:pStyle w:val="66"/>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5958</w:t>
                  </w:r>
                </w:p>
              </w:tc>
              <w:tc>
                <w:tcPr>
                  <w:tcW w:w="1456" w:type="dxa"/>
                  <w:noWrap w:val="0"/>
                  <w:vAlign w:val="center"/>
                </w:tcPr>
                <w:p w14:paraId="71025368">
                  <w:pPr>
                    <w:pStyle w:val="66"/>
                    <w:snapToGrid w:val="0"/>
                    <w:spacing w:line="240" w:lineRule="atLeast"/>
                    <w:ind w:firstLine="0" w:firstLineChars="0"/>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5958</w:t>
                  </w:r>
                </w:p>
              </w:tc>
              <w:tc>
                <w:tcPr>
                  <w:tcW w:w="1118" w:type="dxa"/>
                  <w:noWrap w:val="0"/>
                  <w:vAlign w:val="center"/>
                </w:tcPr>
                <w:p w14:paraId="2B8F9597">
                  <w:pPr>
                    <w:adjustRightInd w:val="0"/>
                    <w:snapToGrid w:val="0"/>
                    <w:spacing w:line="240" w:lineRule="exact"/>
                    <w:ind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2100</w:t>
                  </w:r>
                </w:p>
              </w:tc>
              <w:tc>
                <w:tcPr>
                  <w:tcW w:w="1081" w:type="dxa"/>
                  <w:noWrap w:val="0"/>
                  <w:vAlign w:val="center"/>
                </w:tcPr>
                <w:p w14:paraId="24892EF4">
                  <w:pPr>
                    <w:pStyle w:val="66"/>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+3858</w:t>
                  </w:r>
                </w:p>
              </w:tc>
            </w:tr>
          </w:tbl>
          <w:p w14:paraId="6A430B4F">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6A616AB">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506785D3">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2A799E5">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10C4210C">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54629288">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57AB8489">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1887981">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09C97A64">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F686326">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67542BD4">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2395EB33">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BB97C84">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17C56D9F">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6A27ABC2">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15B10E81">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1DADB8D">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69F0F372">
            <w:pPr>
              <w:pStyle w:val="22"/>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tc>
      </w:tr>
    </w:tbl>
    <w:p w14:paraId="5439ED4A">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14:paraId="52F162F7">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五、</w:t>
      </w:r>
      <w:bookmarkStart w:id="42" w:name="_Hlk54167917"/>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环境保护措施监督检查清单</w:t>
      </w:r>
      <w:bookmarkEnd w:id="42"/>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924"/>
        <w:gridCol w:w="1459"/>
        <w:gridCol w:w="2429"/>
        <w:gridCol w:w="2658"/>
      </w:tblGrid>
      <w:tr w14:paraId="104F2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tcPr>
          <w:p w14:paraId="186DDEAA">
            <w:pPr>
              <w:jc w:val="righ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-2540</wp:posOffset>
                      </wp:positionV>
                      <wp:extent cx="513080" cy="393065"/>
                      <wp:effectExtent l="3810" t="5080" r="16510" b="20955"/>
                      <wp:wrapNone/>
                      <wp:docPr id="97" name="直接连接符 4"/>
                      <wp:cNvGraphicFramePr/>
                      <a:graphic xmlns:a="http://schemas.openxmlformats.org/drawingml/2006/main">
                        <a:graphicData uri="http://schemas.microsoft.com/office/word/2010/wordprocessingShape">
                          <wps:wsp>
                            <wps:cNvCnPr/>
                            <wps:spPr>
                              <a:xfrm>
                                <a:off x="839470" y="1312545"/>
                                <a:ext cx="513080" cy="39306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4" o:spid="_x0000_s1026" o:spt="20" style="position:absolute;left:0pt;margin-left:-4.85pt;margin-top:-0.2pt;height:30.95pt;width:40.4pt;z-index:251663360;mso-width-relative:page;mso-height-relative:page;" filled="f" stroked="t" coordsize="21600,21600" o:gfxdata="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E9CxdcAAAAGAQAADwAAAAAAAAABACAAAAAiAAAAZHJzL2Rvd25yZXYueG1s&#10;UEsBAhQAFAAAAAgAh07iQFDroyL5AQAA0AMAAA4AAAAAAAAAAQAgAAAAJgEAAGRycy9lMm9Eb2Mu&#10;eG1sUEsFBgAAAAAGAAYAWQEAAJEFAAAAAA==&#10;">
                      <v:fill on="f" focussize="0,0"/>
                      <v:stroke weight="1pt" color="#000000" miterlimit="8" joinstyle="miter"/>
                      <v:imagedata o:title=""/>
                      <o:lock v:ext="edit" aspectratio="f"/>
                    </v:line>
                  </w:pict>
                </mc:Fallback>
              </mc:AlternateConten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内容</w:t>
            </w:r>
          </w:p>
          <w:p w14:paraId="2B6BAED5">
            <w:pP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要素</w:t>
            </w:r>
          </w:p>
        </w:tc>
        <w:tc>
          <w:tcPr>
            <w:tcW w:w="1035" w:type="pct"/>
            <w:tcBorders>
              <w:tl2br w:val="nil"/>
              <w:tr2bl w:val="nil"/>
            </w:tcBorders>
            <w:noWrap/>
            <w:vAlign w:val="center"/>
          </w:tcPr>
          <w:p w14:paraId="038F430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排放口（编号、名称）/污染源</w:t>
            </w:r>
          </w:p>
        </w:tc>
        <w:tc>
          <w:tcPr>
            <w:tcW w:w="785" w:type="pct"/>
            <w:tcBorders>
              <w:tl2br w:val="nil"/>
              <w:tr2bl w:val="nil"/>
            </w:tcBorders>
            <w:noWrap/>
            <w:vAlign w:val="center"/>
          </w:tcPr>
          <w:p w14:paraId="7C97A90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污染物项目</w:t>
            </w:r>
          </w:p>
        </w:tc>
        <w:tc>
          <w:tcPr>
            <w:tcW w:w="1307" w:type="pct"/>
            <w:tcBorders>
              <w:tl2br w:val="nil"/>
              <w:tr2bl w:val="nil"/>
            </w:tcBorders>
            <w:noWrap/>
            <w:vAlign w:val="center"/>
          </w:tcPr>
          <w:p w14:paraId="77637AE2">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环境保护措施</w:t>
            </w:r>
          </w:p>
        </w:tc>
        <w:tc>
          <w:tcPr>
            <w:tcW w:w="1430" w:type="pct"/>
            <w:tcBorders>
              <w:tl2br w:val="nil"/>
              <w:tr2bl w:val="nil"/>
            </w:tcBorders>
            <w:noWrap/>
            <w:vAlign w:val="center"/>
          </w:tcPr>
          <w:p w14:paraId="159860CE">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执行标准</w:t>
            </w:r>
          </w:p>
        </w:tc>
      </w:tr>
      <w:tr w14:paraId="2DF50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tcBorders>
              <w:tl2br w:val="nil"/>
              <w:tr2bl w:val="nil"/>
            </w:tcBorders>
            <w:noWrap/>
            <w:vAlign w:val="center"/>
          </w:tcPr>
          <w:p w14:paraId="57B7E1D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大气环境</w:t>
            </w:r>
          </w:p>
        </w:tc>
        <w:tc>
          <w:tcPr>
            <w:tcW w:w="1035" w:type="pct"/>
            <w:tcBorders>
              <w:tl2br w:val="nil"/>
              <w:tr2bl w:val="nil"/>
            </w:tcBorders>
            <w:shd w:val="clear" w:color="auto" w:fill="auto"/>
            <w:noWrap/>
            <w:vAlign w:val="center"/>
          </w:tcPr>
          <w:p w14:paraId="67B0061F">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破碎、筛分粉尘（DA001）</w:t>
            </w:r>
          </w:p>
        </w:tc>
        <w:tc>
          <w:tcPr>
            <w:tcW w:w="785" w:type="pct"/>
            <w:vMerge w:val="restart"/>
            <w:tcBorders>
              <w:tl2br w:val="nil"/>
              <w:tr2bl w:val="nil"/>
            </w:tcBorders>
            <w:noWrap/>
            <w:vAlign w:val="center"/>
          </w:tcPr>
          <w:p w14:paraId="4BB54DC4">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p>
        </w:tc>
        <w:tc>
          <w:tcPr>
            <w:tcW w:w="1307" w:type="pct"/>
            <w:tcBorders>
              <w:tl2br w:val="nil"/>
              <w:tr2bl w:val="nil"/>
            </w:tcBorders>
            <w:shd w:val="clear" w:color="auto" w:fill="auto"/>
            <w:noWrap/>
            <w:vAlign w:val="center"/>
          </w:tcPr>
          <w:p w14:paraId="2DF21941">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密闭生产车间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集气罩+1套布袋除尘+15m排气筒</w:t>
            </w:r>
          </w:p>
        </w:tc>
        <w:tc>
          <w:tcPr>
            <w:tcW w:w="1430" w:type="pct"/>
            <w:vMerge w:val="restart"/>
            <w:tcBorders>
              <w:tl2br w:val="nil"/>
              <w:tr2bl w:val="nil"/>
            </w:tcBorders>
            <w:noWrap/>
            <w:vAlign w:val="center"/>
          </w:tcPr>
          <w:p w14:paraId="69784B0D">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《大气污染物综合排放标准》（GB16297-1996）表2中浓度限值</w:t>
            </w:r>
          </w:p>
        </w:tc>
      </w:tr>
      <w:tr w14:paraId="7472C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noWrap/>
            <w:vAlign w:val="center"/>
          </w:tcPr>
          <w:p w14:paraId="554716EC">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p>
        </w:tc>
        <w:tc>
          <w:tcPr>
            <w:tcW w:w="1035" w:type="pct"/>
            <w:tcBorders>
              <w:tl2br w:val="nil"/>
              <w:tr2bl w:val="nil"/>
            </w:tcBorders>
            <w:shd w:val="clear" w:color="auto" w:fill="auto"/>
            <w:noWrap/>
            <w:vAlign w:val="center"/>
          </w:tcPr>
          <w:p w14:paraId="407D501B">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物料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卸粉尘</w:t>
            </w:r>
          </w:p>
        </w:tc>
        <w:tc>
          <w:tcPr>
            <w:tcW w:w="785" w:type="pct"/>
            <w:vMerge w:val="continue"/>
            <w:tcBorders>
              <w:tl2br w:val="nil"/>
              <w:tr2bl w:val="nil"/>
            </w:tcBorders>
            <w:noWrap/>
            <w:vAlign w:val="center"/>
          </w:tcPr>
          <w:p w14:paraId="014CE498">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c>
          <w:tcPr>
            <w:tcW w:w="1307" w:type="pct"/>
            <w:tcBorders>
              <w:tl2br w:val="nil"/>
              <w:tr2bl w:val="nil"/>
            </w:tcBorders>
            <w:shd w:val="clear" w:color="auto" w:fill="auto"/>
            <w:noWrap/>
            <w:vAlign w:val="center"/>
          </w:tcPr>
          <w:p w14:paraId="45DDC4B4">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密闭料棚</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车地点四周设置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喷雾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装置。</w:t>
            </w:r>
          </w:p>
        </w:tc>
        <w:tc>
          <w:tcPr>
            <w:tcW w:w="1430" w:type="pct"/>
            <w:vMerge w:val="continue"/>
            <w:tcBorders>
              <w:tl2br w:val="nil"/>
              <w:tr2bl w:val="nil"/>
            </w:tcBorders>
            <w:noWrap/>
            <w:vAlign w:val="center"/>
          </w:tcPr>
          <w:p w14:paraId="7B0885DD">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p>
        </w:tc>
      </w:tr>
      <w:tr w14:paraId="5B74B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noWrap/>
            <w:vAlign w:val="center"/>
          </w:tcPr>
          <w:p w14:paraId="1C7FD979">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p>
        </w:tc>
        <w:tc>
          <w:tcPr>
            <w:tcW w:w="1035" w:type="pct"/>
            <w:tcBorders>
              <w:tl2br w:val="nil"/>
              <w:tr2bl w:val="nil"/>
            </w:tcBorders>
            <w:shd w:val="clear" w:color="auto" w:fill="auto"/>
            <w:noWrap/>
            <w:vAlign w:val="center"/>
          </w:tcPr>
          <w:p w14:paraId="76D22E9C">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原料及成品堆场粉尘</w:t>
            </w:r>
          </w:p>
        </w:tc>
        <w:tc>
          <w:tcPr>
            <w:tcW w:w="785" w:type="pct"/>
            <w:vMerge w:val="continue"/>
            <w:tcBorders>
              <w:tl2br w:val="nil"/>
              <w:tr2bl w:val="nil"/>
            </w:tcBorders>
            <w:noWrap/>
            <w:vAlign w:val="center"/>
          </w:tcPr>
          <w:p w14:paraId="77D12098">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c>
          <w:tcPr>
            <w:tcW w:w="1307" w:type="pct"/>
            <w:tcBorders>
              <w:tl2br w:val="nil"/>
              <w:tr2bl w:val="nil"/>
            </w:tcBorders>
            <w:shd w:val="clear" w:color="auto" w:fill="auto"/>
            <w:noWrap/>
            <w:vAlign w:val="center"/>
          </w:tcPr>
          <w:p w14:paraId="4B8A1F60">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密闭车间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，并采取洒水抑尘。</w:t>
            </w:r>
          </w:p>
        </w:tc>
        <w:tc>
          <w:tcPr>
            <w:tcW w:w="1430" w:type="pct"/>
            <w:vMerge w:val="continue"/>
            <w:tcBorders>
              <w:tl2br w:val="nil"/>
              <w:tr2bl w:val="nil"/>
            </w:tcBorders>
            <w:noWrap/>
            <w:vAlign w:val="center"/>
          </w:tcPr>
          <w:p w14:paraId="1FE88D1D">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p>
        </w:tc>
      </w:tr>
      <w:tr w14:paraId="77CB1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noWrap/>
            <w:vAlign w:val="center"/>
          </w:tcPr>
          <w:p w14:paraId="6B2465F9">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p>
        </w:tc>
        <w:tc>
          <w:tcPr>
            <w:tcW w:w="1035" w:type="pct"/>
            <w:tcBorders>
              <w:tl2br w:val="nil"/>
              <w:tr2bl w:val="nil"/>
            </w:tcBorders>
            <w:shd w:val="clear" w:color="auto" w:fill="auto"/>
            <w:noWrap/>
            <w:vAlign w:val="center"/>
          </w:tcPr>
          <w:p w14:paraId="5C767DB4">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运输道路扬尘</w:t>
            </w:r>
          </w:p>
        </w:tc>
        <w:tc>
          <w:tcPr>
            <w:tcW w:w="785" w:type="pct"/>
            <w:vMerge w:val="continue"/>
            <w:tcBorders>
              <w:tl2br w:val="nil"/>
              <w:tr2bl w:val="nil"/>
            </w:tcBorders>
            <w:noWrap/>
            <w:vAlign w:val="center"/>
          </w:tcPr>
          <w:p w14:paraId="04D2893A">
            <w:pPr>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c>
          <w:tcPr>
            <w:tcW w:w="1307" w:type="pct"/>
            <w:tcBorders>
              <w:tl2br w:val="nil"/>
              <w:tr2bl w:val="nil"/>
            </w:tcBorders>
            <w:shd w:val="clear" w:color="auto" w:fill="auto"/>
            <w:noWrap/>
            <w:vAlign w:val="center"/>
          </w:tcPr>
          <w:p w14:paraId="7786D0CD">
            <w:pPr>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厂区出入口处设洗车平台，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运输道路路面硬化，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并设洒水车定期洒水，运输车辆加盖篷布。</w:t>
            </w:r>
          </w:p>
        </w:tc>
        <w:tc>
          <w:tcPr>
            <w:tcW w:w="1430" w:type="pct"/>
            <w:vMerge w:val="continue"/>
            <w:tcBorders>
              <w:tl2br w:val="nil"/>
              <w:tr2bl w:val="nil"/>
            </w:tcBorders>
            <w:noWrap/>
            <w:vAlign w:val="center"/>
          </w:tcPr>
          <w:p w14:paraId="66CA6091">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p>
        </w:tc>
      </w:tr>
      <w:tr w14:paraId="6049B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tcBorders>
              <w:tl2br w:val="nil"/>
              <w:tr2bl w:val="nil"/>
            </w:tcBorders>
            <w:noWrap/>
            <w:vAlign w:val="center"/>
          </w:tcPr>
          <w:p w14:paraId="4F998B92">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地表水环境</w:t>
            </w:r>
          </w:p>
        </w:tc>
        <w:tc>
          <w:tcPr>
            <w:tcW w:w="1035" w:type="pct"/>
            <w:tcBorders>
              <w:tl2br w:val="nil"/>
              <w:tr2bl w:val="nil"/>
            </w:tcBorders>
            <w:shd w:val="clear" w:color="auto" w:fill="auto"/>
            <w:noWrap/>
            <w:vAlign w:val="center"/>
          </w:tcPr>
          <w:p w14:paraId="1AEFEC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Calibri"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洗砂废水</w:t>
            </w:r>
          </w:p>
        </w:tc>
        <w:tc>
          <w:tcPr>
            <w:tcW w:w="785" w:type="pct"/>
            <w:tcBorders>
              <w:tl2br w:val="nil"/>
              <w:tr2bl w:val="nil"/>
            </w:tcBorders>
            <w:shd w:val="clear" w:color="auto" w:fill="auto"/>
            <w:noWrap/>
            <w:vAlign w:val="center"/>
          </w:tcPr>
          <w:p w14:paraId="378976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SS</w:t>
            </w:r>
          </w:p>
        </w:tc>
        <w:tc>
          <w:tcPr>
            <w:tcW w:w="1307" w:type="pct"/>
            <w:tcBorders>
              <w:tl2br w:val="nil"/>
              <w:tr2bl w:val="nil"/>
            </w:tcBorders>
            <w:shd w:val="clear" w:color="auto" w:fill="auto"/>
            <w:noWrap/>
            <w:vAlign w:val="center"/>
          </w:tcPr>
          <w:p w14:paraId="66232A05">
            <w:pPr>
              <w:jc w:val="cente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三级沉淀池（</w:t>
            </w:r>
            <w:r>
              <w:rPr>
                <w:rFonts w:hint="default" w:ascii="Times New Roman" w:hAnsi="Times New Roman" w:cs="Times New Roman"/>
                <w:color w:val="000000" w:themeColor="text1"/>
                <w:sz w:val="24"/>
                <w:szCs w:val="24"/>
                <w:highlight w:val="none"/>
                <w14:textFill>
                  <w14:solidFill>
                    <w14:schemeClr w14:val="tx1"/>
                  </w14:solidFill>
                </w14:textFill>
              </w:rPr>
              <w:t>容积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430" w:type="pct"/>
            <w:tcBorders>
              <w:tl2br w:val="nil"/>
              <w:tr2bl w:val="nil"/>
            </w:tcBorders>
            <w:shd w:val="clear" w:color="auto" w:fill="auto"/>
            <w:noWrap/>
            <w:vAlign w:val="center"/>
          </w:tcPr>
          <w:p w14:paraId="0109F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循环利用，不外排</w:t>
            </w:r>
          </w:p>
        </w:tc>
      </w:tr>
      <w:tr w14:paraId="720EB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noWrap/>
            <w:vAlign w:val="center"/>
          </w:tcPr>
          <w:p w14:paraId="22B8AEAA">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p>
        </w:tc>
        <w:tc>
          <w:tcPr>
            <w:tcW w:w="1035" w:type="pct"/>
            <w:tcBorders>
              <w:tl2br w:val="nil"/>
              <w:tr2bl w:val="nil"/>
            </w:tcBorders>
            <w:shd w:val="clear" w:color="auto" w:fill="auto"/>
            <w:noWrap/>
            <w:vAlign w:val="center"/>
          </w:tcPr>
          <w:p w14:paraId="6AD8F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Calibri"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车辆冲洗废水</w:t>
            </w:r>
          </w:p>
        </w:tc>
        <w:tc>
          <w:tcPr>
            <w:tcW w:w="785" w:type="pct"/>
            <w:tcBorders>
              <w:tl2br w:val="nil"/>
              <w:tr2bl w:val="nil"/>
            </w:tcBorders>
            <w:shd w:val="clear" w:color="auto" w:fill="auto"/>
            <w:noWrap/>
            <w:vAlign w:val="center"/>
          </w:tcPr>
          <w:p w14:paraId="160E38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SS</w:t>
            </w:r>
          </w:p>
        </w:tc>
        <w:tc>
          <w:tcPr>
            <w:tcW w:w="1307" w:type="pct"/>
            <w:tcBorders>
              <w:tl2br w:val="nil"/>
              <w:tr2bl w:val="nil"/>
            </w:tcBorders>
            <w:shd w:val="clear" w:color="auto" w:fill="auto"/>
            <w:noWrap/>
            <w:vAlign w:val="center"/>
          </w:tcPr>
          <w:p w14:paraId="7F292ACC">
            <w:pPr>
              <w:jc w:val="cente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三级沉淀池（</w:t>
            </w:r>
            <w:r>
              <w:rPr>
                <w:rFonts w:hint="default" w:ascii="Times New Roman" w:hAnsi="Times New Roman" w:cs="Times New Roman"/>
                <w:color w:val="000000" w:themeColor="text1"/>
                <w:sz w:val="24"/>
                <w:szCs w:val="24"/>
                <w:highlight w:val="none"/>
                <w14:textFill>
                  <w14:solidFill>
                    <w14:schemeClr w14:val="tx1"/>
                  </w14:solidFill>
                </w14:textFill>
              </w:rPr>
              <w:t>容积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430" w:type="pct"/>
            <w:tcBorders>
              <w:tl2br w:val="nil"/>
              <w:tr2bl w:val="nil"/>
            </w:tcBorders>
            <w:shd w:val="clear" w:color="auto" w:fill="auto"/>
            <w:noWrap/>
            <w:vAlign w:val="center"/>
          </w:tcPr>
          <w:p w14:paraId="55ACA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循环利用，不外排</w:t>
            </w:r>
          </w:p>
        </w:tc>
      </w:tr>
      <w:tr w14:paraId="107C2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2E00167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声环境</w:t>
            </w:r>
          </w:p>
        </w:tc>
        <w:tc>
          <w:tcPr>
            <w:tcW w:w="1035" w:type="pct"/>
            <w:tcBorders>
              <w:tl2br w:val="nil"/>
              <w:tr2bl w:val="nil"/>
            </w:tcBorders>
            <w:noWrap/>
            <w:vAlign w:val="center"/>
          </w:tcPr>
          <w:p w14:paraId="1CF97EF6">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设备噪声</w:t>
            </w:r>
          </w:p>
        </w:tc>
        <w:tc>
          <w:tcPr>
            <w:tcW w:w="785" w:type="pct"/>
            <w:tcBorders>
              <w:tl2br w:val="nil"/>
              <w:tr2bl w:val="nil"/>
            </w:tcBorders>
            <w:noWrap/>
            <w:vAlign w:val="center"/>
          </w:tcPr>
          <w:p w14:paraId="02F7BC99">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噪声</w:t>
            </w:r>
          </w:p>
        </w:tc>
        <w:tc>
          <w:tcPr>
            <w:tcW w:w="1307" w:type="pct"/>
            <w:tcBorders>
              <w:tl2br w:val="nil"/>
              <w:tr2bl w:val="nil"/>
            </w:tcBorders>
            <w:noWrap/>
            <w:vAlign w:val="center"/>
          </w:tcPr>
          <w:p w14:paraId="315FA3CD">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选用低噪声设备，基础减振、厂房隔声</w:t>
            </w:r>
          </w:p>
        </w:tc>
        <w:tc>
          <w:tcPr>
            <w:tcW w:w="1430" w:type="pct"/>
            <w:tcBorders>
              <w:tl2br w:val="nil"/>
              <w:tr2bl w:val="nil"/>
            </w:tcBorders>
            <w:noWrap/>
            <w:vAlign w:val="center"/>
          </w:tcPr>
          <w:p w14:paraId="24BA5F12">
            <w:pPr>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Cs/>
                <w:color w:val="000000" w:themeColor="text1"/>
                <w:sz w:val="24"/>
                <w:highlight w:val="none"/>
                <w14:textFill>
                  <w14:solidFill>
                    <w14:schemeClr w14:val="tx1"/>
                  </w14:solidFill>
                </w14:textFill>
              </w:rPr>
              <w:t>《工业企业厂界噪声排放标准》（GB12348-2008）中规定的</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2类</w:t>
            </w:r>
            <w:r>
              <w:rPr>
                <w:rFonts w:hint="default" w:ascii="Times New Roman" w:hAnsi="Times New Roman" w:cs="Times New Roman" w:eastAsiaTheme="minorEastAsia"/>
                <w:bCs/>
                <w:color w:val="000000" w:themeColor="text1"/>
                <w:sz w:val="24"/>
                <w:highlight w:val="none"/>
                <w14:textFill>
                  <w14:solidFill>
                    <w14:schemeClr w14:val="tx1"/>
                  </w14:solidFill>
                </w14:textFill>
              </w:rPr>
              <w:t>标准</w:t>
            </w:r>
          </w:p>
        </w:tc>
      </w:tr>
      <w:tr w14:paraId="7D6A1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08055DE3">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固体废物</w:t>
            </w:r>
          </w:p>
        </w:tc>
        <w:tc>
          <w:tcPr>
            <w:tcW w:w="4559" w:type="pct"/>
            <w:gridSpan w:val="4"/>
            <w:tcBorders>
              <w:tl2br w:val="nil"/>
              <w:tr2bl w:val="nil"/>
            </w:tcBorders>
            <w:noWrap/>
            <w:vAlign w:val="center"/>
          </w:tcPr>
          <w:p w14:paraId="682650A6">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生活垃圾统一分类收集，由环卫部门进行清运处理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沉降粉尘集中收集后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后掺入</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矿渣中出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售</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；分拣杂质集中收集后定期外售；</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沉淀</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池沉渣</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收集外售</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；除尘灰集中收集后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后掺入</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矿渣中出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售</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废</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润滑油</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、废油桶、</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废</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含油</w:t>
            </w:r>
            <w:r>
              <w:rPr>
                <w:rFonts w:hint="default"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抹布</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手套</w:t>
            </w:r>
            <w:r>
              <w:rPr>
                <w:rFonts w:hint="default" w:ascii="Times New Roman" w:hAnsi="Times New Roman" w:cs="Times New Roman" w:eastAsiaTheme="minorEastAsia"/>
                <w:color w:val="000000" w:themeColor="text1"/>
                <w:sz w:val="24"/>
                <w:highlight w:val="none"/>
                <w14:textFill>
                  <w14:solidFill>
                    <w14:schemeClr w14:val="tx1"/>
                  </w14:solidFill>
                </w14:textFill>
              </w:rPr>
              <w:t>暂存于</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危废暂存库</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8"/>
                <w:highlight w:val="none"/>
                <w14:textFill>
                  <w14:solidFill>
                    <w14:schemeClr w14:val="tx1"/>
                  </w14:solidFill>
                </w14:textFill>
              </w:rPr>
              <w:t>定期交有危险废物处理资质的单位安全处置。</w:t>
            </w:r>
          </w:p>
        </w:tc>
      </w:tr>
      <w:tr w14:paraId="71E0A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60FBFBC9">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土壤及地下水</w:t>
            </w:r>
          </w:p>
          <w:p w14:paraId="107A030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污染防治措施</w:t>
            </w:r>
          </w:p>
        </w:tc>
        <w:tc>
          <w:tcPr>
            <w:tcW w:w="4559" w:type="pct"/>
            <w:gridSpan w:val="4"/>
            <w:tcBorders>
              <w:tl2br w:val="nil"/>
              <w:tr2bl w:val="nil"/>
            </w:tcBorders>
            <w:noWrap/>
            <w:vAlign w:val="center"/>
          </w:tcPr>
          <w:p w14:paraId="274B3BA1">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危险废物根据其危险特性进行分类贮存，执行《危险废物贮存污染控制标准》（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GB18597-2023</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bCs/>
                <w:color w:val="000000" w:themeColor="text1"/>
                <w:sz w:val="24"/>
                <w:highlight w:val="none"/>
                <w14:textFill>
                  <w14:solidFill>
                    <w14:schemeClr w14:val="tx1"/>
                  </w14:solidFill>
                </w14:textFill>
              </w:rPr>
              <w:t>对</w:t>
            </w:r>
            <w:r>
              <w:rPr>
                <w:rFonts w:hint="default" w:ascii="Times New Roman" w:hAnsi="Times New Roman" w:cs="Times New Roman" w:eastAsiaTheme="minorEastAsia"/>
                <w:bCs/>
                <w:color w:val="000000" w:themeColor="text1"/>
                <w:sz w:val="24"/>
                <w:highlight w:val="none"/>
                <w:lang w:eastAsia="zh-CN"/>
                <w14:textFill>
                  <w14:solidFill>
                    <w14:schemeClr w14:val="tx1"/>
                  </w14:solidFill>
                </w14:textFill>
              </w:rPr>
              <w:t>危废暂存库、</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bCs/>
                <w:color w:val="000000" w:themeColor="text1"/>
                <w:sz w:val="24"/>
                <w:highlight w:val="none"/>
                <w:lang w:eastAsia="zh-CN"/>
                <w14:textFill>
                  <w14:solidFill>
                    <w14:schemeClr w14:val="tx1"/>
                  </w14:solidFill>
                </w14:textFill>
              </w:rPr>
              <w:t>暂存</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库</w:t>
            </w:r>
            <w:r>
              <w:rPr>
                <w:rFonts w:hint="default" w:ascii="Times New Roman" w:hAnsi="Times New Roman" w:cs="Times New Roman" w:eastAsiaTheme="minorEastAsia"/>
                <w:bCs/>
                <w:color w:val="000000" w:themeColor="text1"/>
                <w:sz w:val="24"/>
                <w:highlight w:val="none"/>
                <w14:textFill>
                  <w14:solidFill>
                    <w14:schemeClr w14:val="tx1"/>
                  </w14:solidFill>
                </w14:textFill>
              </w:rPr>
              <w:t>进行重点防渗处理</w:t>
            </w:r>
            <w:r>
              <w:rPr>
                <w:rFonts w:hint="default" w:ascii="Times New Roman" w:hAnsi="Times New Roman" w:cs="Times New Roman" w:eastAsiaTheme="minorEastAsia"/>
                <w:color w:val="000000" w:themeColor="text1"/>
                <w:sz w:val="24"/>
                <w:highlight w:val="none"/>
                <w14:textFill>
                  <w14:solidFill>
                    <w14:schemeClr w14:val="tx1"/>
                  </w14:solidFill>
                </w14:textFill>
              </w:rPr>
              <w:t>，同时，所有危废暂存容器底部配置托盘，防止入库过程中</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因</w:t>
            </w:r>
            <w:r>
              <w:rPr>
                <w:rFonts w:hint="default" w:ascii="Times New Roman" w:hAnsi="Times New Roman" w:cs="Times New Roman" w:eastAsiaTheme="minorEastAsia"/>
                <w:color w:val="000000" w:themeColor="text1"/>
                <w:sz w:val="24"/>
                <w:highlight w:val="none"/>
                <w14:textFill>
                  <w14:solidFill>
                    <w14:schemeClr w14:val="tx1"/>
                  </w14:solidFill>
                </w14:textFill>
              </w:rPr>
              <w:t>操作不当产生滴漏。</w:t>
            </w:r>
          </w:p>
          <w:p w14:paraId="6810E914">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加强日常环境管理，严格控制危险废物转移过程中产生</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的</w:t>
            </w:r>
            <w:r>
              <w:rPr>
                <w:rFonts w:hint="default" w:ascii="Times New Roman" w:hAnsi="Times New Roman" w:cs="Times New Roman" w:eastAsiaTheme="minorEastAsia"/>
                <w:color w:val="000000" w:themeColor="text1"/>
                <w:sz w:val="24"/>
                <w:highlight w:val="none"/>
                <w14:textFill>
                  <w14:solidFill>
                    <w14:schemeClr w14:val="tx1"/>
                  </w14:solidFill>
                </w14:textFill>
              </w:rPr>
              <w:t>跑、冒、滴、漏现象，</w:t>
            </w:r>
            <w:r>
              <w:rPr>
                <w:rFonts w:hint="default" w:ascii="Times New Roman" w:hAnsi="Times New Roman" w:cs="Times New Roman" w:eastAsiaTheme="minorEastAsia"/>
                <w:bCs/>
                <w:color w:val="000000" w:themeColor="text1"/>
                <w:sz w:val="24"/>
                <w:highlight w:val="none"/>
                <w14:textFill>
                  <w14:solidFill>
                    <w14:schemeClr w14:val="tx1"/>
                  </w14:solidFill>
                </w14:textFill>
              </w:rPr>
              <w:t>同时对危废暂存设施四周设置围堰，防止流出厂外。</w:t>
            </w:r>
          </w:p>
        </w:tc>
      </w:tr>
      <w:tr w14:paraId="04A81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22165996">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生态保护措施</w:t>
            </w:r>
          </w:p>
        </w:tc>
        <w:tc>
          <w:tcPr>
            <w:tcW w:w="4559" w:type="pct"/>
            <w:gridSpan w:val="4"/>
            <w:tcBorders>
              <w:tl2br w:val="nil"/>
              <w:tr2bl w:val="nil"/>
            </w:tcBorders>
            <w:noWrap/>
            <w:vAlign w:val="center"/>
          </w:tcPr>
          <w:p w14:paraId="6E706353">
            <w:pPr>
              <w:adjustRightInd w:val="0"/>
              <w:spacing w:line="360" w:lineRule="auto"/>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sz w:val="24"/>
                <w:highlight w:val="none"/>
                <w14:textFill>
                  <w14:solidFill>
                    <w14:schemeClr w14:val="tx1"/>
                  </w14:solidFill>
                </w14:textFill>
              </w:rPr>
              <w:t>/</w:t>
            </w:r>
          </w:p>
        </w:tc>
      </w:tr>
      <w:tr w14:paraId="377E0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4E6F69DE">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环境风险</w:t>
            </w:r>
          </w:p>
          <w:p w14:paraId="1CE7775F">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防范措施</w:t>
            </w:r>
          </w:p>
        </w:tc>
        <w:tc>
          <w:tcPr>
            <w:tcW w:w="4559" w:type="pct"/>
            <w:gridSpan w:val="4"/>
            <w:tcBorders>
              <w:tl2br w:val="nil"/>
              <w:tr2bl w:val="nil"/>
            </w:tcBorders>
            <w:noWrap/>
            <w:vAlign w:val="center"/>
          </w:tcPr>
          <w:p w14:paraId="46519CBD">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（1）</w:t>
            </w:r>
            <w:r>
              <w:rPr>
                <w:rFonts w:hint="default" w:ascii="Times New Roman" w:hAnsi="Times New Roman" w:cs="Times New Roman" w:eastAsiaTheme="minorEastAsia"/>
                <w:color w:val="000000" w:themeColor="text1"/>
                <w:sz w:val="24"/>
                <w:highlight w:val="none"/>
                <w14:textFill>
                  <w14:solidFill>
                    <w14:schemeClr w14:val="tx1"/>
                  </w14:solidFill>
                </w14:textFill>
              </w:rPr>
              <w:t>严格执行操作规程，及时排除</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润滑油、</w:t>
            </w:r>
            <w:r>
              <w:rPr>
                <w:rFonts w:hint="default" w:ascii="Times New Roman" w:hAnsi="Times New Roman" w:cs="Times New Roman" w:eastAsiaTheme="minorEastAsia"/>
                <w:color w:val="000000" w:themeColor="text1"/>
                <w:sz w:val="24"/>
                <w:highlight w:val="none"/>
                <w14:textFill>
                  <w14:solidFill>
                    <w14:schemeClr w14:val="tx1"/>
                  </w14:solidFill>
                </w14:textFill>
              </w:rPr>
              <w:t>废润滑油泄漏隐患。定期对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润滑油、</w:t>
            </w:r>
            <w:r>
              <w:rPr>
                <w:rFonts w:hint="default" w:ascii="Times New Roman" w:hAnsi="Times New Roman" w:cs="Times New Roman" w:eastAsiaTheme="minorEastAsia"/>
                <w:color w:val="000000" w:themeColor="text1"/>
                <w:sz w:val="24"/>
                <w:highlight w:val="none"/>
                <w14:textFill>
                  <w14:solidFill>
                    <w14:schemeClr w14:val="tx1"/>
                  </w14:solidFill>
                </w14:textFill>
              </w:rPr>
              <w:t>废润滑油暂存容器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进行</w:t>
            </w:r>
            <w:r>
              <w:rPr>
                <w:rFonts w:hint="default" w:ascii="Times New Roman" w:hAnsi="Times New Roman" w:cs="Times New Roman" w:eastAsiaTheme="minorEastAsia"/>
                <w:color w:val="000000" w:themeColor="text1"/>
                <w:sz w:val="24"/>
                <w:highlight w:val="none"/>
                <w14:textFill>
                  <w14:solidFill>
                    <w14:schemeClr w14:val="tx1"/>
                  </w14:solidFill>
                </w14:textFill>
              </w:rPr>
              <w:t>检查，保证其完好无损。</w:t>
            </w:r>
          </w:p>
          <w:p w14:paraId="4CDA6CD7">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公司主要领导负责全公司的消防、安全、环保工作，并组织相关人员成立事故处理应急小组，制定事故处理的应急预案，并进行定期演练。</w:t>
            </w:r>
          </w:p>
        </w:tc>
      </w:tr>
      <w:tr w14:paraId="7704D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ign w:val="center"/>
          </w:tcPr>
          <w:p w14:paraId="1EB34547">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其他环境</w:t>
            </w:r>
          </w:p>
          <w:p w14:paraId="085F3B68">
            <w:pPr>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管理要求</w:t>
            </w:r>
          </w:p>
        </w:tc>
        <w:tc>
          <w:tcPr>
            <w:tcW w:w="4559" w:type="pct"/>
            <w:gridSpan w:val="4"/>
            <w:tcBorders>
              <w:tl2br w:val="nil"/>
              <w:tr2bl w:val="nil"/>
            </w:tcBorders>
            <w:noWrap/>
            <w:vAlign w:val="center"/>
          </w:tcPr>
          <w:p w14:paraId="1E03F844">
            <w:pPr>
              <w:spacing w:line="360" w:lineRule="auto"/>
              <w:ind w:firstLine="482" w:firstLineChars="200"/>
              <w:rPr>
                <w:rFonts w:hint="default" w:ascii="Times New Roman" w:hAnsi="Times New Roman" w:cs="Times New Roman" w:eastAsiaTheme="minorEastAsia"/>
                <w:b/>
                <w:bCs/>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14:textFill>
                  <w14:solidFill>
                    <w14:schemeClr w14:val="tx1"/>
                  </w14:solidFill>
                </w14:textFill>
              </w:rPr>
              <w:t>1.环境管理</w:t>
            </w:r>
          </w:p>
          <w:p w14:paraId="4125681C">
            <w:pPr>
              <w:spacing w:line="360" w:lineRule="auto"/>
              <w:ind w:firstLine="480" w:firstLineChars="200"/>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根据《排污许可证申请与核发技术规范 总则》中相关要求，本项目环境管理内容如下：</w:t>
            </w:r>
          </w:p>
          <w:p w14:paraId="4EBEA776">
            <w:pPr>
              <w:spacing w:line="360" w:lineRule="auto"/>
              <w:ind w:firstLine="480" w:firstLineChars="200"/>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（1）按照自行监测方案开展自行监测；</w:t>
            </w:r>
          </w:p>
          <w:p w14:paraId="6089A8C7">
            <w:pPr>
              <w:spacing w:line="360" w:lineRule="auto"/>
              <w:ind w:firstLine="480" w:firstLineChars="200"/>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（2）按照排污许可证中环境管理台账记录要求记录相关内容，记录频次、形式等需满足排污许可证要求；</w:t>
            </w:r>
          </w:p>
          <w:p w14:paraId="6025662C">
            <w:pPr>
              <w:spacing w:line="360" w:lineRule="auto"/>
              <w:ind w:firstLine="480" w:firstLineChars="200"/>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（3）按照排污许可证中执行报告要求定期上报，上报内容需要符合要求；</w:t>
            </w:r>
          </w:p>
          <w:p w14:paraId="76EC82A6">
            <w:pPr>
              <w:spacing w:line="360" w:lineRule="auto"/>
              <w:ind w:firstLine="480" w:firstLineChars="200"/>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14:textFill>
                  <w14:solidFill>
                    <w14:schemeClr w14:val="tx1"/>
                  </w14:solidFill>
                </w14:textFill>
              </w:rPr>
              <w:t>（4）按照排污许可证要求定期开展信息公开。</w:t>
            </w:r>
          </w:p>
          <w:p w14:paraId="68DFC1C5">
            <w:pPr>
              <w:pStyle w:val="20"/>
              <w:adjustRightInd w:val="0"/>
              <w:ind w:firstLine="482" w:firstLineChars="20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2.排污口规范化</w:t>
            </w:r>
          </w:p>
          <w:p w14:paraId="72B7A1B9">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（1）废水排放口</w:t>
            </w:r>
          </w:p>
          <w:p w14:paraId="720D8912">
            <w:pPr>
              <w:spacing w:line="360" w:lineRule="auto"/>
              <w:ind w:firstLine="480" w:firstLineChars="200"/>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本项目废水不外排。</w:t>
            </w:r>
          </w:p>
          <w:p w14:paraId="6F146939">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（2）固定噪声源</w:t>
            </w:r>
          </w:p>
          <w:p w14:paraId="0AEDCC07">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在固定噪声源对厂界噪声影响最大处，设置环境保护图形标志牌。</w:t>
            </w:r>
          </w:p>
          <w:p w14:paraId="5720740F">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（3）固体废物贮存场所</w:t>
            </w:r>
          </w:p>
          <w:p w14:paraId="6AB34D39">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本项目设置2个固废临时贮场，一个为一般工业固废临时暂贮场，一个为危险工业固废临时暂贮场。</w:t>
            </w:r>
          </w:p>
          <w:p w14:paraId="05ECEEB3">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固废贮存场所要求：①固体废物贮存场所要有防火、防扬散、防流失、防渗漏、防雨措施；②固体废物贮存场所在醒目处设置一个标志牌，具体按照《环境保护图形标志》规定制作。</w:t>
            </w:r>
          </w:p>
          <w:p w14:paraId="6252356C">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本项目产生的危险固废和</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一般固废</w:t>
            </w:r>
            <w:r>
              <w:rPr>
                <w:rFonts w:hint="default" w:ascii="Times New Roman" w:hAnsi="Times New Roman" w:cs="Times New Roman" w:eastAsiaTheme="minorEastAsia"/>
                <w:color w:val="000000" w:themeColor="text1"/>
                <w:sz w:val="24"/>
                <w:highlight w:val="none"/>
                <w14:textFill>
                  <w14:solidFill>
                    <w14:schemeClr w14:val="tx1"/>
                  </w14:solidFill>
                </w14:textFill>
              </w:rPr>
              <w:t>等工业固废，要求设置固体废物临时贮存场所，且存放时间不</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宜</w:t>
            </w:r>
            <w:r>
              <w:rPr>
                <w:rFonts w:hint="default" w:ascii="Times New Roman" w:hAnsi="Times New Roman" w:cs="Times New Roman" w:eastAsiaTheme="minorEastAsia"/>
                <w:color w:val="000000" w:themeColor="text1"/>
                <w:sz w:val="24"/>
                <w:highlight w:val="none"/>
                <w14:textFill>
                  <w14:solidFill>
                    <w14:schemeClr w14:val="tx1"/>
                  </w14:solidFill>
                </w14:textFill>
              </w:rPr>
              <w:t>过长，应尽快收集并运至相应处置、利用场所，以防造成二次污染。固体废物临时贮存场所应按照</w:t>
            </w:r>
            <w:r>
              <w:rPr>
                <w:rFonts w:hint="default" w:ascii="Times New Roman" w:hAnsi="Times New Roman" w:eastAsia="宋体" w:cs="Times New Roman"/>
                <w:bCs/>
                <w:color w:val="000000" w:themeColor="text1"/>
                <w:kern w:val="0"/>
                <w:sz w:val="24"/>
                <w:highlight w:val="none"/>
                <w14:textFill>
                  <w14:solidFill>
                    <w14:schemeClr w14:val="tx1"/>
                  </w14:solidFill>
                </w14:textFill>
              </w:rPr>
              <w:t>《一般固体废物贮存</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和填埋污染控制标准</w:t>
            </w:r>
            <w:r>
              <w:rPr>
                <w:rFonts w:hint="default" w:ascii="Times New Roman" w:hAnsi="Times New Roman" w:eastAsia="宋体" w:cs="Times New Roman"/>
                <w:bCs/>
                <w:color w:val="000000" w:themeColor="text1"/>
                <w:kern w:val="0"/>
                <w:sz w:val="24"/>
                <w:highlight w:val="none"/>
                <w14:textFill>
                  <w14:solidFill>
                    <w14:schemeClr w14:val="tx1"/>
                  </w14:solidFill>
                </w14:textFill>
              </w:rPr>
              <w:t>》（GB18599-20</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kern w:val="0"/>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和《危险废物贮存污染控制标准》（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GB18597-2023</w:t>
            </w:r>
            <w:r>
              <w:rPr>
                <w:rFonts w:hint="default" w:ascii="Times New Roman" w:hAnsi="Times New Roman" w:cs="Times New Roman" w:eastAsiaTheme="minorEastAsia"/>
                <w:color w:val="000000" w:themeColor="text1"/>
                <w:sz w:val="24"/>
                <w:highlight w:val="none"/>
                <w14:textFill>
                  <w14:solidFill>
                    <w14:schemeClr w14:val="tx1"/>
                  </w14:solidFill>
                </w14:textFill>
              </w:rPr>
              <w:t>）中要求进行</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分类</w:t>
            </w:r>
            <w:r>
              <w:rPr>
                <w:rFonts w:hint="default" w:ascii="Times New Roman" w:hAnsi="Times New Roman" w:cs="Times New Roman" w:eastAsiaTheme="minorEastAsia"/>
                <w:color w:val="000000" w:themeColor="text1"/>
                <w:sz w:val="24"/>
                <w:highlight w:val="none"/>
                <w14:textFill>
                  <w14:solidFill>
                    <w14:schemeClr w14:val="tx1"/>
                  </w14:solidFill>
                </w14:textFill>
              </w:rPr>
              <w:t>贮存和处置。</w:t>
            </w:r>
          </w:p>
          <w:p w14:paraId="156DCDE1">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D79586B">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r>
    </w:tbl>
    <w:p w14:paraId="1C6F9B4E">
      <w:pPr>
        <w:pStyle w:val="19"/>
        <w:adjustRightInd w:val="0"/>
        <w:snapToGrid w:val="0"/>
        <w:spacing w:before="100" w:after="100"/>
        <w:jc w:val="center"/>
        <w:outlineLvl w:val="0"/>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lang w:val="en-US" w:eastAsia="zh-CN" w:bidi="ar-SA"/>
          <w14:textFill>
            <w14:solidFill>
              <w14:schemeClr w14:val="tx1"/>
            </w14:solidFill>
          </w14:textFill>
        </w:rPr>
        <w:t>六、结论</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E1F7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tcBorders>
              <w:tl2br w:val="nil"/>
              <w:tr2bl w:val="nil"/>
            </w:tcBorders>
            <w:noWrap/>
            <w:vAlign w:val="center"/>
          </w:tcPr>
          <w:p w14:paraId="0F20A075">
            <w:pPr>
              <w:spacing w:line="360" w:lineRule="auto"/>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从环境保护角度，本项目环境影响可行。</w:t>
            </w:r>
          </w:p>
          <w:p w14:paraId="3C1C644F">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4B0647C6">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249FDC8">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4922D193">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3A89A55">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1899967">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40456F5">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7CE6EBF">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49CAF20">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3FB0C3F">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E9BA075">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187EF90">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33ED09B">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687E954">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60F579F">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D8C830C">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76EB6383">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FDDD195">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C6FAEF1">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BB7F367">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EEF7CDE">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F51AF49">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29E5E4B">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2C120D3">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F304A5D">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29E2828">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06EEA6B">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F2A6299">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F100B2A">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94BFFA3">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5A87371">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B8FF4DC">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48D7DEDD">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850F693">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9DF324B">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7F615112">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6217264">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0275485">
            <w:pPr>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9F20457">
            <w:pPr>
              <w:rPr>
                <w:rFonts w:hint="default" w:ascii="Times New Roman" w:hAnsi="Times New Roman" w:cs="Times New Roman" w:eastAsiaTheme="minorEastAsia"/>
                <w:color w:val="000000" w:themeColor="text1"/>
                <w:sz w:val="24"/>
                <w:highlight w:val="none"/>
                <w14:textFill>
                  <w14:solidFill>
                    <w14:schemeClr w14:val="tx1"/>
                  </w14:solidFill>
                </w14:textFill>
              </w:rPr>
            </w:pPr>
          </w:p>
        </w:tc>
      </w:tr>
    </w:tbl>
    <w:p w14:paraId="4818E1EF">
      <w:pPr>
        <w:rPr>
          <w:rFonts w:hint="default" w:ascii="Times New Roman" w:hAnsi="Times New Roman" w:cs="Times New Roman" w:eastAsiaTheme="minorEastAsia"/>
          <w:b/>
          <w:bCs/>
          <w:color w:val="000000" w:themeColor="text1"/>
          <w:sz w:val="32"/>
          <w:szCs w:val="40"/>
          <w:highlight w:val="none"/>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14:paraId="6D290CCC">
      <w:pPr>
        <w:rPr>
          <w:rFonts w:hint="default" w:ascii="Times New Roman" w:hAnsi="Times New Roman" w:cs="Times New Roman" w:eastAsiaTheme="minorEastAsia"/>
          <w:b/>
          <w:bCs/>
          <w:color w:val="000000" w:themeColor="text1"/>
          <w:sz w:val="32"/>
          <w:szCs w:val="40"/>
          <w:highlight w:val="none"/>
          <w14:textFill>
            <w14:solidFill>
              <w14:schemeClr w14:val="tx1"/>
            </w14:solidFill>
          </w14:textFill>
        </w:rPr>
      </w:pPr>
      <w:r>
        <w:rPr>
          <w:rFonts w:hint="default" w:ascii="Times New Roman" w:hAnsi="Times New Roman" w:cs="Times New Roman" w:eastAsiaTheme="minorEastAsia"/>
          <w:b/>
          <w:bCs/>
          <w:color w:val="000000" w:themeColor="text1"/>
          <w:sz w:val="32"/>
          <w:szCs w:val="40"/>
          <w:highlight w:val="none"/>
          <w14:textFill>
            <w14:solidFill>
              <w14:schemeClr w14:val="tx1"/>
            </w14:solidFill>
          </w14:textFill>
        </w:rPr>
        <w:t>附表</w:t>
      </w:r>
    </w:p>
    <w:p w14:paraId="254A1803">
      <w:pPr>
        <w:jc w:val="center"/>
        <w:rPr>
          <w:rFonts w:hint="default" w:ascii="Times New Roman" w:hAnsi="Times New Roman" w:eastAsia="方正中雅宋简体" w:cs="Times New Roman"/>
          <w:b/>
          <w:bCs/>
          <w:color w:val="000000" w:themeColor="text1"/>
          <w:sz w:val="32"/>
          <w:szCs w:val="32"/>
          <w:highlight w:val="none"/>
          <w14:textFill>
            <w14:solidFill>
              <w14:schemeClr w14:val="tx1"/>
            </w14:solidFill>
          </w14:textFill>
        </w:rPr>
      </w:pPr>
      <w:r>
        <w:rPr>
          <w:rFonts w:hint="default" w:ascii="Times New Roman" w:hAnsi="Times New Roman" w:eastAsia="方正中雅宋简体" w:cs="Times New Roman"/>
          <w:b/>
          <w:bCs/>
          <w:color w:val="000000" w:themeColor="text1"/>
          <w:sz w:val="32"/>
          <w:szCs w:val="32"/>
          <w:highlight w:val="none"/>
          <w14:textFill>
            <w14:solidFill>
              <w14:schemeClr w14:val="tx1"/>
            </w14:solidFill>
          </w14:textFill>
        </w:rPr>
        <w:t>建设项目污染物排放量汇总表</w:t>
      </w:r>
    </w:p>
    <w:tbl>
      <w:tblPr>
        <w:tblStyle w:val="24"/>
        <w:tblW w:w="501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80"/>
        <w:gridCol w:w="1445"/>
        <w:gridCol w:w="1010"/>
        <w:gridCol w:w="2079"/>
        <w:gridCol w:w="1931"/>
        <w:gridCol w:w="2076"/>
        <w:gridCol w:w="1935"/>
        <w:gridCol w:w="1320"/>
      </w:tblGrid>
      <w:tr w14:paraId="3A30A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03" w:type="pct"/>
            <w:tcBorders>
              <w:tl2br w:val="nil"/>
              <w:tr2bl w:val="nil"/>
            </w:tcBorders>
            <w:noWrap/>
            <w:tcMar>
              <w:left w:w="28" w:type="dxa"/>
              <w:right w:w="28" w:type="dxa"/>
            </w:tcMar>
            <w:vAlign w:val="center"/>
          </w:tcPr>
          <w:p w14:paraId="28EB0E8F">
            <w:pPr>
              <w:jc w:val="right"/>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-25400</wp:posOffset>
                      </wp:positionH>
                      <wp:positionV relativeFrom="paragraph">
                        <wp:posOffset>-10160</wp:posOffset>
                      </wp:positionV>
                      <wp:extent cx="718185" cy="599440"/>
                      <wp:effectExtent l="3810" t="5080" r="20955" b="5080"/>
                      <wp:wrapNone/>
                      <wp:docPr id="98" name="直接连接符 5"/>
                      <wp:cNvGraphicFramePr/>
                      <a:graphic xmlns:a="http://schemas.openxmlformats.org/drawingml/2006/main">
                        <a:graphicData uri="http://schemas.microsoft.com/office/word/2010/wordprocessingShape">
                          <wps:wsp>
                            <wps:cNvCnPr/>
                            <wps:spPr>
                              <a:xfrm>
                                <a:off x="882650" y="1696085"/>
                                <a:ext cx="718185" cy="59944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5" o:spid="_x0000_s1026" o:spt="20" style="position:absolute;left:0pt;margin-left:-2pt;margin-top:-0.8pt;height:47.2pt;width:56.55pt;z-index:251664384;mso-width-relative:page;mso-height-relative:page;" filled="f" stroked="t" coordsize="21600,21600" o:gfxdata="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abWs9kAAAAIAQAADwAAAAAAAAABACAAAAAiAAAAZHJzL2Rvd25yZXYu&#10;eG1sUEsBAhQAFAAAAAgAh07iQMVzxCH6AQAA0AMAAA4AAAAAAAAAAQAgAAAAKAEAAGRycy9lMm9E&#10;b2MueG1sUEsFBgAAAAAGAAYAWQEAAJQFAAAAAA==&#10;">
                      <v:fill on="f" focussize="0,0"/>
                      <v:stroke weight="1pt" color="#000000" miterlimit="8" joinstyle="miter"/>
                      <v:imagedata o:title=""/>
                      <o:lock v:ext="edit" aspectratio="f"/>
                    </v:line>
                  </w:pict>
                </mc:Fallback>
              </mc:AlternateContent>
            </w:r>
            <w:r>
              <w:rPr>
                <w:rFonts w:hint="default" w:ascii="Times New Roman" w:hAnsi="Times New Roman" w:cs="Times New Roman" w:eastAsiaTheme="minorEastAsia"/>
                <w:color w:val="000000" w:themeColor="text1"/>
                <w:szCs w:val="21"/>
                <w:highlight w:val="none"/>
                <w14:textFill>
                  <w14:solidFill>
                    <w14:schemeClr w14:val="tx1"/>
                  </w14:solidFill>
                </w14:textFill>
              </w:rPr>
              <w:t>项目</w:t>
            </w:r>
          </w:p>
          <w:p w14:paraId="5E709C7A">
            <w:pPr>
              <w:jc w:val="left"/>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分类</w:t>
            </w:r>
          </w:p>
        </w:tc>
        <w:tc>
          <w:tcPr>
            <w:tcW w:w="417" w:type="pct"/>
            <w:tcBorders>
              <w:tl2br w:val="nil"/>
              <w:tr2bl w:val="nil"/>
            </w:tcBorders>
            <w:noWrap/>
            <w:tcMar>
              <w:left w:w="28" w:type="dxa"/>
              <w:right w:w="28" w:type="dxa"/>
            </w:tcMar>
            <w:vAlign w:val="center"/>
          </w:tcPr>
          <w:p w14:paraId="4AC2AAF9">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污染物名称</w:t>
            </w:r>
          </w:p>
        </w:tc>
        <w:tc>
          <w:tcPr>
            <w:tcW w:w="511" w:type="pct"/>
            <w:tcBorders>
              <w:tl2br w:val="nil"/>
              <w:tr2bl w:val="nil"/>
            </w:tcBorders>
            <w:noWrap/>
            <w:tcMar>
              <w:left w:w="28" w:type="dxa"/>
              <w:right w:w="28" w:type="dxa"/>
            </w:tcMar>
            <w:vAlign w:val="center"/>
          </w:tcPr>
          <w:p w14:paraId="3D2F5C3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现有工程排放量（固体废物产生量）①</w:t>
            </w:r>
          </w:p>
        </w:tc>
        <w:tc>
          <w:tcPr>
            <w:tcW w:w="357" w:type="pct"/>
            <w:tcBorders>
              <w:tl2br w:val="nil"/>
              <w:tr2bl w:val="nil"/>
            </w:tcBorders>
            <w:noWrap/>
            <w:tcMar>
              <w:left w:w="28" w:type="dxa"/>
              <w:right w:w="28" w:type="dxa"/>
            </w:tcMar>
            <w:vAlign w:val="center"/>
          </w:tcPr>
          <w:p w14:paraId="41F211A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现有工程许可排放量②</w:t>
            </w:r>
          </w:p>
        </w:tc>
        <w:tc>
          <w:tcPr>
            <w:tcW w:w="736" w:type="pct"/>
            <w:tcBorders>
              <w:tl2br w:val="nil"/>
              <w:tr2bl w:val="nil"/>
            </w:tcBorders>
            <w:noWrap/>
            <w:tcMar>
              <w:left w:w="28" w:type="dxa"/>
              <w:right w:w="28" w:type="dxa"/>
            </w:tcMar>
            <w:vAlign w:val="center"/>
          </w:tcPr>
          <w:p w14:paraId="2F1ED3C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在建工程排放量（固体废物产生量）③</w:t>
            </w:r>
          </w:p>
        </w:tc>
        <w:tc>
          <w:tcPr>
            <w:tcW w:w="684" w:type="pct"/>
            <w:tcBorders>
              <w:tl2br w:val="nil"/>
              <w:tr2bl w:val="nil"/>
            </w:tcBorders>
            <w:noWrap/>
            <w:tcMar>
              <w:left w:w="28" w:type="dxa"/>
              <w:right w:w="28" w:type="dxa"/>
            </w:tcMar>
            <w:vAlign w:val="center"/>
          </w:tcPr>
          <w:p w14:paraId="50EB984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本项目排放量（固体废物产生量）④</w:t>
            </w:r>
          </w:p>
        </w:tc>
        <w:tc>
          <w:tcPr>
            <w:tcW w:w="735" w:type="pct"/>
            <w:tcBorders>
              <w:tl2br w:val="nil"/>
              <w:tr2bl w:val="nil"/>
            </w:tcBorders>
            <w:noWrap/>
            <w:tcMar>
              <w:left w:w="28" w:type="dxa"/>
              <w:right w:w="28" w:type="dxa"/>
            </w:tcMar>
            <w:vAlign w:val="center"/>
          </w:tcPr>
          <w:p w14:paraId="645A7F3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以新带老削减量</w:t>
            </w:r>
          </w:p>
          <w:p w14:paraId="30076EB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（新建项目不填）⑤</w:t>
            </w:r>
          </w:p>
        </w:tc>
        <w:tc>
          <w:tcPr>
            <w:tcW w:w="685" w:type="pct"/>
            <w:tcBorders>
              <w:tl2br w:val="nil"/>
              <w:tr2bl w:val="nil"/>
            </w:tcBorders>
            <w:noWrap/>
            <w:tcMar>
              <w:left w:w="28" w:type="dxa"/>
              <w:right w:w="28" w:type="dxa"/>
            </w:tcMar>
            <w:vAlign w:val="center"/>
          </w:tcPr>
          <w:p w14:paraId="4C35836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本项目建成后全厂排放量（固体废物产生量）⑥</w:t>
            </w:r>
          </w:p>
        </w:tc>
        <w:tc>
          <w:tcPr>
            <w:tcW w:w="467" w:type="pct"/>
            <w:tcBorders>
              <w:tl2br w:val="nil"/>
              <w:tr2bl w:val="nil"/>
            </w:tcBorders>
            <w:noWrap/>
            <w:tcMar>
              <w:left w:w="28" w:type="dxa"/>
              <w:right w:w="28" w:type="dxa"/>
            </w:tcMar>
            <w:vAlign w:val="center"/>
          </w:tcPr>
          <w:p w14:paraId="535757D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变化量⑦</w:t>
            </w:r>
          </w:p>
        </w:tc>
      </w:tr>
      <w:tr w14:paraId="78018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tcBorders>
              <w:tl2br w:val="nil"/>
              <w:tr2bl w:val="nil"/>
            </w:tcBorders>
            <w:noWrap/>
            <w:vAlign w:val="center"/>
          </w:tcPr>
          <w:p w14:paraId="43CF27B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废气</w:t>
            </w:r>
          </w:p>
        </w:tc>
        <w:tc>
          <w:tcPr>
            <w:tcW w:w="417" w:type="pct"/>
            <w:tcBorders>
              <w:tl2br w:val="nil"/>
              <w:tr2bl w:val="nil"/>
            </w:tcBorders>
            <w:noWrap/>
          </w:tcPr>
          <w:p w14:paraId="7C2FC98D">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t>颗粒物</w:t>
            </w:r>
          </w:p>
        </w:tc>
        <w:tc>
          <w:tcPr>
            <w:tcW w:w="511" w:type="pct"/>
            <w:tcBorders>
              <w:tl2br w:val="nil"/>
              <w:tr2bl w:val="nil"/>
            </w:tcBorders>
            <w:noWrap/>
            <w:vAlign w:val="center"/>
          </w:tcPr>
          <w:p w14:paraId="1942AFBE">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0.07</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357" w:type="pct"/>
            <w:tcBorders>
              <w:tl2br w:val="nil"/>
              <w:tr2bl w:val="nil"/>
            </w:tcBorders>
            <w:noWrap/>
            <w:vAlign w:val="center"/>
          </w:tcPr>
          <w:p w14:paraId="74D12DE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255AF3A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shd w:val="clear" w:color="auto" w:fill="auto"/>
            <w:noWrap/>
            <w:vAlign w:val="center"/>
          </w:tcPr>
          <w:p w14:paraId="66AFF1EB">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19.94</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tcBorders>
              <w:tl2br w:val="nil"/>
              <w:tr2bl w:val="nil"/>
            </w:tcBorders>
            <w:shd w:val="clear" w:color="auto" w:fill="auto"/>
            <w:noWrap/>
            <w:vAlign w:val="center"/>
          </w:tcPr>
          <w:p w14:paraId="56F3EB75">
            <w:pPr>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0.07</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685" w:type="pct"/>
            <w:tcBorders>
              <w:tl2br w:val="nil"/>
              <w:tr2bl w:val="nil"/>
            </w:tcBorders>
            <w:shd w:val="clear" w:color="auto" w:fill="auto"/>
            <w:noWrap/>
            <w:vAlign w:val="center"/>
          </w:tcPr>
          <w:p w14:paraId="12278EED">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19.94</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tcBorders>
              <w:tl2br w:val="nil"/>
              <w:tr2bl w:val="nil"/>
            </w:tcBorders>
            <w:shd w:val="clear" w:color="auto" w:fill="auto"/>
            <w:noWrap/>
            <w:vAlign w:val="center"/>
          </w:tcPr>
          <w:p w14:paraId="2D55CF8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19.87</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76D9E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restart"/>
            <w:tcBorders>
              <w:tl2br w:val="nil"/>
              <w:tr2bl w:val="nil"/>
            </w:tcBorders>
            <w:noWrap/>
            <w:vAlign w:val="center"/>
          </w:tcPr>
          <w:p w14:paraId="670EF50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废水</w:t>
            </w:r>
          </w:p>
        </w:tc>
        <w:tc>
          <w:tcPr>
            <w:tcW w:w="417" w:type="pct"/>
            <w:tcBorders>
              <w:tl2br w:val="nil"/>
              <w:tr2bl w:val="nil"/>
            </w:tcBorders>
            <w:noWrap/>
          </w:tcPr>
          <w:p w14:paraId="6A271DE7">
            <w:pPr>
              <w:widowControl/>
              <w:jc w:val="center"/>
              <w:textAlignment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废水量</w:t>
            </w:r>
          </w:p>
        </w:tc>
        <w:tc>
          <w:tcPr>
            <w:tcW w:w="511" w:type="pct"/>
            <w:tcBorders>
              <w:tl2br w:val="nil"/>
              <w:tr2bl w:val="nil"/>
            </w:tcBorders>
            <w:noWrap/>
            <w:vAlign w:val="center"/>
          </w:tcPr>
          <w:p w14:paraId="231D434A">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357" w:type="pct"/>
            <w:tcBorders>
              <w:tl2br w:val="nil"/>
              <w:tr2bl w:val="nil"/>
            </w:tcBorders>
            <w:noWrap/>
            <w:vAlign w:val="center"/>
          </w:tcPr>
          <w:p w14:paraId="0DB4CE4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05742A1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shd w:val="clear" w:color="auto" w:fill="auto"/>
            <w:noWrap/>
            <w:vAlign w:val="center"/>
          </w:tcPr>
          <w:p w14:paraId="3CC0A88C">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5" w:type="pct"/>
            <w:tcBorders>
              <w:tl2br w:val="nil"/>
              <w:tr2bl w:val="nil"/>
            </w:tcBorders>
            <w:shd w:val="clear" w:color="auto" w:fill="auto"/>
            <w:noWrap/>
            <w:vAlign w:val="center"/>
          </w:tcPr>
          <w:p w14:paraId="64993DA9">
            <w:pPr>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5" w:type="pct"/>
            <w:tcBorders>
              <w:tl2br w:val="nil"/>
              <w:tr2bl w:val="nil"/>
            </w:tcBorders>
            <w:shd w:val="clear" w:color="auto" w:fill="auto"/>
            <w:noWrap/>
            <w:vAlign w:val="center"/>
          </w:tcPr>
          <w:p w14:paraId="59E11B3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467" w:type="pct"/>
            <w:tcBorders>
              <w:tl2br w:val="nil"/>
              <w:tr2bl w:val="nil"/>
            </w:tcBorders>
            <w:shd w:val="clear" w:color="auto" w:fill="auto"/>
            <w:noWrap/>
            <w:vAlign w:val="center"/>
          </w:tcPr>
          <w:p w14:paraId="266ECC0E">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r>
      <w:tr w14:paraId="1B2FF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continue"/>
            <w:tcBorders>
              <w:tl2br w:val="nil"/>
              <w:tr2bl w:val="nil"/>
            </w:tcBorders>
            <w:noWrap/>
            <w:vAlign w:val="center"/>
          </w:tcPr>
          <w:p w14:paraId="46DAF66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tcBorders>
              <w:tl2br w:val="nil"/>
              <w:tr2bl w:val="nil"/>
            </w:tcBorders>
            <w:noWrap/>
            <w:vAlign w:val="center"/>
          </w:tcPr>
          <w:p w14:paraId="62723889">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COD</w:t>
            </w:r>
          </w:p>
        </w:tc>
        <w:tc>
          <w:tcPr>
            <w:tcW w:w="511" w:type="pct"/>
            <w:tcBorders>
              <w:tl2br w:val="nil"/>
              <w:tr2bl w:val="nil"/>
            </w:tcBorders>
            <w:noWrap/>
            <w:vAlign w:val="center"/>
          </w:tcPr>
          <w:p w14:paraId="1F4A9DB2">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357" w:type="pct"/>
            <w:tcBorders>
              <w:tl2br w:val="nil"/>
              <w:tr2bl w:val="nil"/>
            </w:tcBorders>
            <w:noWrap/>
            <w:vAlign w:val="center"/>
          </w:tcPr>
          <w:p w14:paraId="706578E9">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07D458D7">
            <w:pPr>
              <w:jc w:val="center"/>
              <w:rPr>
                <w:rFonts w:hint="default"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shd w:val="clear" w:color="auto" w:fill="auto"/>
            <w:noWrap/>
            <w:vAlign w:val="center"/>
          </w:tcPr>
          <w:p w14:paraId="5617FF5E">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5" w:type="pct"/>
            <w:tcBorders>
              <w:tl2br w:val="nil"/>
              <w:tr2bl w:val="nil"/>
            </w:tcBorders>
            <w:shd w:val="clear" w:color="auto" w:fill="auto"/>
            <w:noWrap/>
            <w:vAlign w:val="center"/>
          </w:tcPr>
          <w:p w14:paraId="25C7AAC2">
            <w:pPr>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5" w:type="pct"/>
            <w:tcBorders>
              <w:tl2br w:val="nil"/>
              <w:tr2bl w:val="nil"/>
            </w:tcBorders>
            <w:shd w:val="clear" w:color="auto" w:fill="auto"/>
            <w:noWrap/>
            <w:vAlign w:val="center"/>
          </w:tcPr>
          <w:p w14:paraId="1C997678">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467" w:type="pct"/>
            <w:tcBorders>
              <w:tl2br w:val="nil"/>
              <w:tr2bl w:val="nil"/>
            </w:tcBorders>
            <w:shd w:val="clear" w:color="auto" w:fill="auto"/>
            <w:noWrap/>
            <w:vAlign w:val="center"/>
          </w:tcPr>
          <w:p w14:paraId="2D96D8FA">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r>
      <w:tr w14:paraId="3F9C5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continue"/>
            <w:tcBorders>
              <w:tl2br w:val="nil"/>
              <w:tr2bl w:val="nil"/>
            </w:tcBorders>
            <w:noWrap/>
            <w:vAlign w:val="center"/>
          </w:tcPr>
          <w:p w14:paraId="61C4020E">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tcBorders>
              <w:tl2br w:val="nil"/>
              <w:tr2bl w:val="nil"/>
            </w:tcBorders>
            <w:noWrap/>
            <w:vAlign w:val="center"/>
          </w:tcPr>
          <w:p w14:paraId="37B03A1F">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氨氮</w:t>
            </w:r>
          </w:p>
        </w:tc>
        <w:tc>
          <w:tcPr>
            <w:tcW w:w="511" w:type="pct"/>
            <w:tcBorders>
              <w:tl2br w:val="nil"/>
              <w:tr2bl w:val="nil"/>
            </w:tcBorders>
            <w:noWrap/>
            <w:vAlign w:val="center"/>
          </w:tcPr>
          <w:p w14:paraId="4315CC3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357" w:type="pct"/>
            <w:tcBorders>
              <w:tl2br w:val="nil"/>
              <w:tr2bl w:val="nil"/>
            </w:tcBorders>
            <w:noWrap/>
            <w:vAlign w:val="center"/>
          </w:tcPr>
          <w:p w14:paraId="3763951D">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26E16492">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shd w:val="clear" w:color="auto" w:fill="auto"/>
            <w:noWrap/>
            <w:vAlign w:val="center"/>
          </w:tcPr>
          <w:p w14:paraId="75D98EF2">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5" w:type="pct"/>
            <w:tcBorders>
              <w:tl2br w:val="nil"/>
              <w:tr2bl w:val="nil"/>
            </w:tcBorders>
            <w:shd w:val="clear" w:color="auto" w:fill="auto"/>
            <w:noWrap/>
            <w:vAlign w:val="center"/>
          </w:tcPr>
          <w:p w14:paraId="1F578142">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5" w:type="pct"/>
            <w:tcBorders>
              <w:tl2br w:val="nil"/>
              <w:tr2bl w:val="nil"/>
            </w:tcBorders>
            <w:shd w:val="clear" w:color="auto" w:fill="auto"/>
            <w:noWrap/>
            <w:vAlign w:val="center"/>
          </w:tcPr>
          <w:p w14:paraId="3AF904D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467" w:type="pct"/>
            <w:tcBorders>
              <w:tl2br w:val="nil"/>
              <w:tr2bl w:val="nil"/>
            </w:tcBorders>
            <w:shd w:val="clear" w:color="auto" w:fill="auto"/>
            <w:noWrap/>
            <w:vAlign w:val="center"/>
          </w:tcPr>
          <w:p w14:paraId="481202B0">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r>
      <w:tr w14:paraId="44799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3" w:type="pct"/>
            <w:vMerge w:val="restart"/>
            <w:tcBorders>
              <w:tl2br w:val="nil"/>
              <w:tr2bl w:val="nil"/>
            </w:tcBorders>
            <w:noWrap/>
            <w:vAlign w:val="center"/>
          </w:tcPr>
          <w:p w14:paraId="3A1E2B5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一般工业固体废物</w:t>
            </w:r>
          </w:p>
        </w:tc>
        <w:tc>
          <w:tcPr>
            <w:tcW w:w="417" w:type="pct"/>
            <w:tcBorders>
              <w:tl2br w:val="nil"/>
              <w:tr2bl w:val="nil"/>
            </w:tcBorders>
            <w:noWrap/>
            <w:vAlign w:val="center"/>
          </w:tcPr>
          <w:p w14:paraId="598342B9">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沉淀</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池沉渣</w:t>
            </w:r>
          </w:p>
        </w:tc>
        <w:tc>
          <w:tcPr>
            <w:tcW w:w="511" w:type="pct"/>
            <w:tcBorders>
              <w:bottom w:val="single" w:color="000000" w:sz="12" w:space="0"/>
              <w:tl2br w:val="nil"/>
              <w:tr2bl w:val="nil"/>
            </w:tcBorders>
            <w:noWrap/>
            <w:vAlign w:val="center"/>
          </w:tcPr>
          <w:p w14:paraId="28DC3FDD">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357" w:type="pct"/>
            <w:tcBorders>
              <w:tl2br w:val="nil"/>
              <w:tr2bl w:val="nil"/>
            </w:tcBorders>
            <w:noWrap/>
            <w:vAlign w:val="center"/>
          </w:tcPr>
          <w:p w14:paraId="2EA7EFE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164C09D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noWrap/>
            <w:vAlign w:val="center"/>
          </w:tcPr>
          <w:p w14:paraId="578CA72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tcBorders>
              <w:bottom w:val="single" w:color="000000" w:sz="12" w:space="0"/>
              <w:tl2br w:val="nil"/>
              <w:tr2bl w:val="nil"/>
            </w:tcBorders>
            <w:noWrap/>
            <w:vAlign w:val="center"/>
          </w:tcPr>
          <w:p w14:paraId="0CE3C8D3">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w:t>
            </w:r>
          </w:p>
        </w:tc>
        <w:tc>
          <w:tcPr>
            <w:tcW w:w="685" w:type="pct"/>
            <w:tcBorders>
              <w:tl2br w:val="nil"/>
              <w:tr2bl w:val="nil"/>
            </w:tcBorders>
            <w:shd w:val="clear" w:color="auto" w:fill="auto"/>
            <w:noWrap/>
            <w:vAlign w:val="center"/>
          </w:tcPr>
          <w:p w14:paraId="23578EE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tcBorders>
              <w:tl2br w:val="nil"/>
              <w:tr2bl w:val="nil"/>
            </w:tcBorders>
            <w:shd w:val="clear" w:color="auto" w:fill="auto"/>
            <w:noWrap/>
            <w:vAlign w:val="center"/>
          </w:tcPr>
          <w:p w14:paraId="24521C7F">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1F89A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3" w:type="pct"/>
            <w:vMerge w:val="continue"/>
            <w:tcBorders>
              <w:tl2br w:val="nil"/>
              <w:tr2bl w:val="nil"/>
            </w:tcBorders>
            <w:noWrap/>
            <w:vAlign w:val="center"/>
          </w:tcPr>
          <w:p w14:paraId="397977B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tcBorders>
              <w:tl2br w:val="nil"/>
              <w:tr2bl w:val="nil"/>
            </w:tcBorders>
            <w:noWrap/>
            <w:vAlign w:val="center"/>
          </w:tcPr>
          <w:p w14:paraId="3D3C926E">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分拣杂质</w:t>
            </w:r>
          </w:p>
        </w:tc>
        <w:tc>
          <w:tcPr>
            <w:tcW w:w="511" w:type="pct"/>
            <w:tcBorders>
              <w:top w:val="single" w:color="000000" w:sz="12" w:space="0"/>
              <w:bottom w:val="single" w:color="000000" w:sz="12" w:space="0"/>
              <w:tl2br w:val="nil"/>
              <w:tr2bl w:val="nil"/>
            </w:tcBorders>
            <w:noWrap/>
            <w:vAlign w:val="center"/>
          </w:tcPr>
          <w:p w14:paraId="5F2164C3">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w:t>
            </w:r>
          </w:p>
        </w:tc>
        <w:tc>
          <w:tcPr>
            <w:tcW w:w="357" w:type="pct"/>
            <w:tcBorders>
              <w:tl2br w:val="nil"/>
              <w:tr2bl w:val="nil"/>
            </w:tcBorders>
            <w:noWrap/>
            <w:vAlign w:val="center"/>
          </w:tcPr>
          <w:p w14:paraId="5F09BA7C">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62FB3A9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noWrap/>
            <w:vAlign w:val="center"/>
          </w:tcPr>
          <w:p w14:paraId="00F020E6">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4939.75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tcBorders>
              <w:top w:val="single" w:color="000000" w:sz="12" w:space="0"/>
              <w:bottom w:val="single" w:color="000000" w:sz="12" w:space="0"/>
              <w:tl2br w:val="nil"/>
              <w:tr2bl w:val="nil"/>
            </w:tcBorders>
            <w:noWrap/>
            <w:vAlign w:val="center"/>
          </w:tcPr>
          <w:p w14:paraId="3E2ABB15">
            <w:pPr>
              <w:jc w:val="cente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w:t>
            </w:r>
          </w:p>
        </w:tc>
        <w:tc>
          <w:tcPr>
            <w:tcW w:w="685" w:type="pct"/>
            <w:tcBorders>
              <w:tl2br w:val="nil"/>
              <w:tr2bl w:val="nil"/>
            </w:tcBorders>
            <w:shd w:val="clear" w:color="auto" w:fill="auto"/>
            <w:noWrap/>
            <w:vAlign w:val="center"/>
          </w:tcPr>
          <w:p w14:paraId="5D804574">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4939.75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tcBorders>
              <w:tl2br w:val="nil"/>
              <w:tr2bl w:val="nil"/>
            </w:tcBorders>
            <w:shd w:val="clear" w:color="auto" w:fill="auto"/>
            <w:noWrap/>
            <w:vAlign w:val="center"/>
          </w:tcPr>
          <w:p w14:paraId="47457E69">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+4939.75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515AB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3" w:type="pct"/>
            <w:vMerge w:val="continue"/>
            <w:tcBorders>
              <w:tl2br w:val="nil"/>
              <w:tr2bl w:val="nil"/>
            </w:tcBorders>
            <w:noWrap/>
            <w:vAlign w:val="center"/>
          </w:tcPr>
          <w:p w14:paraId="0D56131A">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tcBorders>
              <w:tl2br w:val="nil"/>
              <w:tr2bl w:val="nil"/>
            </w:tcBorders>
            <w:noWrap/>
            <w:vAlign w:val="center"/>
          </w:tcPr>
          <w:p w14:paraId="16D45F60">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沉降粉尘</w:t>
            </w:r>
          </w:p>
        </w:tc>
        <w:tc>
          <w:tcPr>
            <w:tcW w:w="511" w:type="pct"/>
            <w:vMerge w:val="restart"/>
            <w:tcBorders>
              <w:top w:val="single" w:color="000000" w:sz="12" w:space="0"/>
              <w:tl2br w:val="nil"/>
              <w:tr2bl w:val="nil"/>
            </w:tcBorders>
            <w:noWrap/>
            <w:vAlign w:val="center"/>
          </w:tcPr>
          <w:p w14:paraId="2F82FC17">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2100</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357" w:type="pct"/>
            <w:tcBorders>
              <w:tl2br w:val="nil"/>
              <w:tr2bl w:val="nil"/>
            </w:tcBorders>
            <w:noWrap/>
            <w:vAlign w:val="center"/>
          </w:tcPr>
          <w:p w14:paraId="4C379B46">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noWrap/>
            <w:vAlign w:val="center"/>
          </w:tcPr>
          <w:p w14:paraId="621D85D4">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noWrap/>
            <w:vAlign w:val="center"/>
          </w:tcPr>
          <w:p w14:paraId="06DD3D4D">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4.25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vMerge w:val="restart"/>
            <w:tcBorders>
              <w:top w:val="single" w:color="000000" w:sz="12" w:space="0"/>
              <w:tl2br w:val="nil"/>
              <w:tr2bl w:val="nil"/>
            </w:tcBorders>
            <w:noWrap/>
            <w:vAlign w:val="center"/>
          </w:tcPr>
          <w:p w14:paraId="323BBCF7">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2100</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685" w:type="pct"/>
            <w:tcBorders>
              <w:tl2br w:val="nil"/>
              <w:tr2bl w:val="nil"/>
            </w:tcBorders>
            <w:shd w:val="clear" w:color="auto" w:fill="auto"/>
            <w:noWrap/>
            <w:vAlign w:val="center"/>
          </w:tcPr>
          <w:p w14:paraId="56CDB764">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4.25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vMerge w:val="restart"/>
            <w:tcBorders>
              <w:tl2br w:val="nil"/>
              <w:tr2bl w:val="nil"/>
            </w:tcBorders>
            <w:shd w:val="clear" w:color="auto" w:fill="auto"/>
            <w:noWrap/>
            <w:vAlign w:val="center"/>
          </w:tcPr>
          <w:p w14:paraId="0FDED4AF">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-1384.75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504D6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3" w:type="pct"/>
            <w:vMerge w:val="continue"/>
            <w:tcBorders>
              <w:tl2br w:val="nil"/>
              <w:tr2bl w:val="nil"/>
            </w:tcBorders>
            <w:noWrap/>
            <w:vAlign w:val="center"/>
          </w:tcPr>
          <w:p w14:paraId="3E15CEFF">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tcBorders>
              <w:tl2br w:val="nil"/>
              <w:tr2bl w:val="nil"/>
            </w:tcBorders>
            <w:noWrap/>
            <w:vAlign w:val="center"/>
          </w:tcPr>
          <w:p w14:paraId="5D23E8D0">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布袋除尘灰</w:t>
            </w:r>
          </w:p>
        </w:tc>
        <w:tc>
          <w:tcPr>
            <w:tcW w:w="511" w:type="pct"/>
            <w:vMerge w:val="continue"/>
            <w:tcBorders>
              <w:top w:val="single" w:color="000000" w:sz="12" w:space="0"/>
              <w:bottom w:val="single" w:color="000000" w:sz="12" w:space="0"/>
              <w:tl2br w:val="nil"/>
              <w:tr2bl w:val="nil"/>
            </w:tcBorders>
            <w:shd w:val="clear" w:color="auto" w:fill="auto"/>
            <w:noWrap/>
            <w:vAlign w:val="center"/>
          </w:tcPr>
          <w:p w14:paraId="069C8873">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357" w:type="pct"/>
            <w:tcBorders>
              <w:tl2br w:val="nil"/>
              <w:tr2bl w:val="nil"/>
            </w:tcBorders>
            <w:shd w:val="clear" w:color="auto" w:fill="auto"/>
            <w:noWrap/>
            <w:vAlign w:val="center"/>
          </w:tcPr>
          <w:p w14:paraId="33D1284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tcBorders>
              <w:tl2br w:val="nil"/>
              <w:tr2bl w:val="nil"/>
            </w:tcBorders>
            <w:shd w:val="clear" w:color="auto" w:fill="auto"/>
            <w:noWrap/>
            <w:vAlign w:val="center"/>
          </w:tcPr>
          <w:p w14:paraId="5AC9557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tcBorders>
              <w:tl2br w:val="nil"/>
              <w:tr2bl w:val="nil"/>
            </w:tcBorders>
            <w:noWrap/>
            <w:vAlign w:val="center"/>
          </w:tcPr>
          <w:p w14:paraId="5E5799E3">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711</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vMerge w:val="continue"/>
            <w:tcBorders>
              <w:top w:val="single" w:color="000000" w:sz="12" w:space="0"/>
              <w:bottom w:val="single" w:color="000000" w:sz="12" w:space="0"/>
              <w:tl2br w:val="nil"/>
              <w:tr2bl w:val="nil"/>
            </w:tcBorders>
            <w:noWrap/>
            <w:vAlign w:val="center"/>
          </w:tcPr>
          <w:p w14:paraId="545C165F">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685" w:type="pct"/>
            <w:tcBorders>
              <w:tl2br w:val="nil"/>
              <w:tr2bl w:val="nil"/>
            </w:tcBorders>
            <w:shd w:val="clear" w:color="auto" w:fill="auto"/>
            <w:noWrap/>
            <w:vAlign w:val="center"/>
          </w:tcPr>
          <w:p w14:paraId="73CB7916">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711</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vMerge w:val="continue"/>
            <w:tcBorders>
              <w:tl2br w:val="nil"/>
              <w:tr2bl w:val="nil"/>
            </w:tcBorders>
            <w:shd w:val="clear" w:color="auto" w:fill="auto"/>
            <w:noWrap/>
            <w:vAlign w:val="center"/>
          </w:tcPr>
          <w:p w14:paraId="3A1D58BC">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r w14:paraId="4E903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restart"/>
            <w:vAlign w:val="center"/>
          </w:tcPr>
          <w:p w14:paraId="2AA5107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危险废物</w:t>
            </w:r>
          </w:p>
        </w:tc>
        <w:tc>
          <w:tcPr>
            <w:tcW w:w="417" w:type="pct"/>
            <w:shd w:val="clear" w:color="auto" w:fill="auto"/>
            <w:vAlign w:val="center"/>
          </w:tcPr>
          <w:p w14:paraId="11C3EEEF">
            <w:pPr>
              <w:jc w:val="center"/>
              <w:rPr>
                <w:rFonts w:hint="default" w:ascii="Times New Roman" w:hAnsi="Times New Roman" w:cs="Times New Roman" w:eastAsiaTheme="minorEastAsia"/>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润滑油</w:t>
            </w:r>
          </w:p>
        </w:tc>
        <w:tc>
          <w:tcPr>
            <w:tcW w:w="511" w:type="pct"/>
            <w:tcBorders>
              <w:top w:val="single" w:color="000000" w:sz="12" w:space="0"/>
            </w:tcBorders>
            <w:shd w:val="clear" w:color="auto" w:fill="auto"/>
            <w:vAlign w:val="center"/>
          </w:tcPr>
          <w:p w14:paraId="19345302">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0.7</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357" w:type="pct"/>
            <w:shd w:val="clear" w:color="auto" w:fill="auto"/>
            <w:vAlign w:val="center"/>
          </w:tcPr>
          <w:p w14:paraId="2AC1C7CF">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shd w:val="clear" w:color="auto" w:fill="auto"/>
            <w:vAlign w:val="center"/>
          </w:tcPr>
          <w:p w14:paraId="5AB76E74">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shd w:val="clear" w:color="auto" w:fill="auto"/>
            <w:vAlign w:val="center"/>
          </w:tcPr>
          <w:p w14:paraId="7010634F">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tcBorders>
              <w:top w:val="single" w:color="000000" w:sz="12" w:space="0"/>
            </w:tcBorders>
            <w:shd w:val="clear" w:color="auto" w:fill="auto"/>
            <w:vAlign w:val="center"/>
          </w:tcPr>
          <w:p w14:paraId="3FAA0A1D">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0.7</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685" w:type="pct"/>
            <w:shd w:val="clear" w:color="auto" w:fill="auto"/>
            <w:vAlign w:val="center"/>
          </w:tcPr>
          <w:p w14:paraId="5920736B">
            <w:pPr>
              <w:jc w:val="center"/>
              <w:rPr>
                <w:rFonts w:hint="default" w:ascii="Times New Roman" w:hAnsi="Times New Roman" w:cs="Times New Roman" w:eastAsiaTheme="minorEastAsia"/>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shd w:val="clear" w:color="auto" w:fill="auto"/>
            <w:vAlign w:val="center"/>
          </w:tcPr>
          <w:p w14:paraId="13A71B47">
            <w:pPr>
              <w:jc w:val="center"/>
              <w:rPr>
                <w:rFonts w:hint="default" w:ascii="Times New Roman" w:hAnsi="Times New Roman" w:cs="Times New Roman" w:eastAsiaTheme="minorEastAsia"/>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+0.5</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6C367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continue"/>
            <w:vAlign w:val="center"/>
          </w:tcPr>
          <w:p w14:paraId="61437C00">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shd w:val="clear" w:color="auto" w:fill="auto"/>
            <w:vAlign w:val="center"/>
          </w:tcPr>
          <w:p w14:paraId="3EBD7FBC">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废</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油桶</w:t>
            </w:r>
          </w:p>
        </w:tc>
        <w:tc>
          <w:tcPr>
            <w:tcW w:w="511" w:type="pct"/>
            <w:shd w:val="clear" w:color="auto" w:fill="auto"/>
            <w:vAlign w:val="center"/>
          </w:tcPr>
          <w:p w14:paraId="489644DB">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357" w:type="pct"/>
            <w:shd w:val="clear" w:color="auto" w:fill="auto"/>
            <w:vAlign w:val="center"/>
          </w:tcPr>
          <w:p w14:paraId="58D2822A">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shd w:val="clear" w:color="auto" w:fill="auto"/>
            <w:vAlign w:val="center"/>
          </w:tcPr>
          <w:p w14:paraId="3C6F640A">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shd w:val="clear" w:color="auto" w:fill="auto"/>
            <w:vAlign w:val="center"/>
          </w:tcPr>
          <w:p w14:paraId="2A523935">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0.2</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shd w:val="clear" w:color="auto" w:fill="auto"/>
            <w:vAlign w:val="center"/>
          </w:tcPr>
          <w:p w14:paraId="6418EB7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5" w:type="pct"/>
            <w:shd w:val="clear" w:color="auto" w:fill="auto"/>
            <w:vAlign w:val="center"/>
          </w:tcPr>
          <w:p w14:paraId="0BD088C0">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0.2</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shd w:val="clear" w:color="auto" w:fill="auto"/>
            <w:vAlign w:val="center"/>
          </w:tcPr>
          <w:p w14:paraId="6A3564A3">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+0.08</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r w14:paraId="6D908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3" w:type="pct"/>
            <w:vMerge w:val="continue"/>
            <w:vAlign w:val="center"/>
          </w:tcPr>
          <w:p w14:paraId="5D98740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p>
        </w:tc>
        <w:tc>
          <w:tcPr>
            <w:tcW w:w="417" w:type="pct"/>
            <w:shd w:val="clear" w:color="auto" w:fill="auto"/>
            <w:vAlign w:val="center"/>
          </w:tcPr>
          <w:p w14:paraId="375612F7">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zh-CN" w:eastAsia="zh-CN"/>
                <w14:textFill>
                  <w14:solidFill>
                    <w14:schemeClr w14:val="tx1"/>
                  </w14:solidFill>
                </w14:textFill>
              </w:rPr>
              <w:t>废</w:t>
            </w:r>
            <w:r>
              <w:rPr>
                <w:rFonts w:hint="default" w:ascii="Times New Roman" w:hAnsi="Times New Roman" w:cs="Times New Roman" w:eastAsiaTheme="minorEastAsia"/>
                <w:color w:val="000000" w:themeColor="text1"/>
                <w:szCs w:val="21"/>
                <w:highlight w:val="none"/>
                <w:lang w:val="zh-CN"/>
                <w14:textFill>
                  <w14:solidFill>
                    <w14:schemeClr w14:val="tx1"/>
                  </w14:solidFill>
                </w14:textFill>
              </w:rPr>
              <w:t>含油</w:t>
            </w:r>
            <w:r>
              <w:rPr>
                <w:rFonts w:hint="default" w:ascii="Times New Roman" w:hAnsi="Times New Roman" w:cs="Times New Roman" w:eastAsiaTheme="minorEastAsia"/>
                <w:color w:val="000000" w:themeColor="text1"/>
                <w:szCs w:val="21"/>
                <w:highlight w:val="none"/>
                <w:lang w:val="zh-CN" w:eastAsia="zh-CN"/>
                <w14:textFill>
                  <w14:solidFill>
                    <w14:schemeClr w14:val="tx1"/>
                  </w14:solidFill>
                </w14:textFill>
              </w:rPr>
              <w:t>抹布</w:t>
            </w:r>
            <w:r>
              <w:rPr>
                <w:rFonts w:hint="default" w:ascii="Times New Roman" w:hAnsi="Times New Roman" w:cs="Times New Roman" w:eastAsiaTheme="minorEastAsia"/>
                <w:color w:val="000000" w:themeColor="text1"/>
                <w:szCs w:val="21"/>
                <w:highlight w:val="none"/>
                <w:lang w:val="zh-CN"/>
                <w14:textFill>
                  <w14:solidFill>
                    <w14:schemeClr w14:val="tx1"/>
                  </w14:solidFill>
                </w14:textFill>
              </w:rPr>
              <w:t>手套</w:t>
            </w:r>
          </w:p>
        </w:tc>
        <w:tc>
          <w:tcPr>
            <w:tcW w:w="511" w:type="pct"/>
            <w:shd w:val="clear" w:color="auto" w:fill="auto"/>
            <w:vAlign w:val="center"/>
          </w:tcPr>
          <w:p w14:paraId="7A03EB11">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357" w:type="pct"/>
            <w:shd w:val="clear" w:color="auto" w:fill="auto"/>
            <w:vAlign w:val="center"/>
          </w:tcPr>
          <w:p w14:paraId="3779361D">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736" w:type="pct"/>
            <w:shd w:val="clear" w:color="auto" w:fill="auto"/>
            <w:vAlign w:val="center"/>
          </w:tcPr>
          <w:p w14:paraId="23A754E9">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4" w:type="pct"/>
            <w:shd w:val="clear" w:color="auto" w:fill="auto"/>
            <w:vAlign w:val="center"/>
          </w:tcPr>
          <w:p w14:paraId="5D753CB4">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0.01</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735" w:type="pct"/>
            <w:shd w:val="clear" w:color="auto" w:fill="auto"/>
            <w:vAlign w:val="center"/>
          </w:tcPr>
          <w:p w14:paraId="4D05BE56">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tc>
        <w:tc>
          <w:tcPr>
            <w:tcW w:w="685" w:type="pct"/>
            <w:shd w:val="clear" w:color="auto" w:fill="auto"/>
            <w:vAlign w:val="center"/>
          </w:tcPr>
          <w:p w14:paraId="75174A4B">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0.01</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c>
          <w:tcPr>
            <w:tcW w:w="467" w:type="pct"/>
            <w:shd w:val="clear" w:color="auto" w:fill="auto"/>
            <w:vAlign w:val="center"/>
          </w:tcPr>
          <w:p w14:paraId="6FD97855">
            <w:pPr>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+0.01</w:t>
            </w:r>
            <w:r>
              <w:rPr>
                <w:rFonts w:hint="default" w:ascii="Times New Roman" w:hAnsi="Times New Roman" w:cs="Times New Roman" w:eastAsiaTheme="minorEastAsia"/>
                <w:color w:val="000000" w:themeColor="text1"/>
                <w:szCs w:val="21"/>
                <w:highlight w:val="none"/>
                <w14:textFill>
                  <w14:solidFill>
                    <w14:schemeClr w14:val="tx1"/>
                  </w14:solidFill>
                </w14:textFill>
              </w:rPr>
              <w:t>t/a</w:t>
            </w:r>
          </w:p>
        </w:tc>
      </w:tr>
    </w:tbl>
    <w:p w14:paraId="1BF0FBD7">
      <w:pPr>
        <w:rPr>
          <w:rFonts w:hint="default" w:ascii="Times New Roman" w:hAnsi="Times New Roman" w:cs="Times New Roman" w:eastAsiaTheme="minorEastAsia"/>
          <w:b/>
          <w:bCs/>
          <w:color w:val="000000" w:themeColor="text1"/>
          <w:sz w:val="32"/>
          <w:szCs w:val="40"/>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注：</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6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⑥</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1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①</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3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③</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4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④</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5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⑤</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7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⑦</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6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⑥</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instrText xml:space="preserve"> = 1 \* GB3 \* MERGEFORMAT </w:instrTex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t>①</w:t>
      </w:r>
      <w:r>
        <w:rPr>
          <w:rFonts w:hint="default" w:ascii="Times New Roman" w:hAnsi="Times New Roman" w:cs="Times New Roman" w:eastAsiaTheme="minorEastAsia"/>
          <w:color w:val="000000" w:themeColor="text1"/>
          <w:sz w:val="24"/>
          <w:szCs w:val="32"/>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32"/>
          <w:highlight w:val="none"/>
          <w:lang w:eastAsia="zh-CN"/>
          <w14:textFill>
            <w14:solidFill>
              <w14:schemeClr w14:val="tx1"/>
            </w14:solidFill>
          </w14:textFill>
        </w:rPr>
        <w:t>。</w:t>
      </w:r>
    </w:p>
    <w:sectPr>
      <w:headerReference r:id="rId7" w:type="default"/>
      <w:footerReference r:id="rId8"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Georgia">
    <w:panose1 w:val="02040502050405020303"/>
    <w:charset w:val="00"/>
    <w:family w:val="roman"/>
    <w:pitch w:val="default"/>
    <w:sig w:usb0="00000287" w:usb1="00000000" w:usb2="00000000" w:usb3="00000000" w:csb0="2000009F" w:csb1="00000000"/>
  </w:font>
  <w:font w:name="Times New Roman PS MT">
    <w:altName w:val="Times New Roman"/>
    <w:panose1 w:val="00000000000000000000"/>
    <w:charset w:val="00"/>
    <w:family w:val="auto"/>
    <w:pitch w:val="default"/>
    <w:sig w:usb0="00000000" w:usb1="00000000" w:usb2="00000000" w:usb3="00000000" w:csb0="00000000" w:csb1="00000000"/>
  </w:font>
  <w:font w:name="方正中雅宋简体">
    <w:altName w:val="宋体"/>
    <w:panose1 w:val="020005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9254">
    <w:pPr>
      <w:pStyle w:val="14"/>
      <w:tabs>
        <w:tab w:val="center" w:pos="4422"/>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DE35">
    <w:pPr>
      <w:pStyle w:val="14"/>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14:paraId="4CFA65DB">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729D9">
    <w:pPr>
      <w:pStyle w:val="1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8CE4D">
                          <w:pPr>
                            <w:pStyle w:val="1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428CE4D">
                    <w:pPr>
                      <w:pStyle w:val="1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B15B7">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DF991">
                          <w:pPr>
                            <w:pStyle w:val="1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81DF991">
                    <w:pPr>
                      <w:pStyle w:val="1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E4936">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C0E45">
                          <w:pPr>
                            <w:pStyle w:val="14"/>
                          </w:pPr>
                          <w:r>
                            <w:t xml:space="preserve">— </w:t>
                          </w:r>
                          <w:r>
                            <w:fldChar w:fldCharType="begin"/>
                          </w:r>
                          <w:r>
                            <w:instrText xml:space="preserve"> PAGE  \* MERGEFORMAT </w:instrText>
                          </w:r>
                          <w:r>
                            <w:fldChar w:fldCharType="separate"/>
                          </w:r>
                          <w:r>
                            <w:t>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68C0E45">
                    <w:pPr>
                      <w:pStyle w:val="14"/>
                    </w:pPr>
                    <w:r>
                      <w:t xml:space="preserve">— </w:t>
                    </w:r>
                    <w:r>
                      <w:fldChar w:fldCharType="begin"/>
                    </w:r>
                    <w:r>
                      <w:instrText xml:space="preserve"> PAGE  \* MERGEFORMAT </w:instrText>
                    </w:r>
                    <w:r>
                      <w:fldChar w:fldCharType="separate"/>
                    </w:r>
                    <w:r>
                      <w:t>26</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7D723">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C6712"/>
    <w:multiLevelType w:val="singleLevel"/>
    <w:tmpl w:val="CF0C671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2Y1MDgzMmRhMWU4MmIwOGFhODc5OWIwNzAxMTYifQ=="/>
  </w:docVars>
  <w:rsids>
    <w:rsidRoot w:val="00742B75"/>
    <w:rsid w:val="000922B3"/>
    <w:rsid w:val="000B51A4"/>
    <w:rsid w:val="000B61DC"/>
    <w:rsid w:val="00101090"/>
    <w:rsid w:val="001050A5"/>
    <w:rsid w:val="00133387"/>
    <w:rsid w:val="001B223C"/>
    <w:rsid w:val="002235CA"/>
    <w:rsid w:val="00243801"/>
    <w:rsid w:val="00244744"/>
    <w:rsid w:val="0026172D"/>
    <w:rsid w:val="00371536"/>
    <w:rsid w:val="003B2EB6"/>
    <w:rsid w:val="003C13A5"/>
    <w:rsid w:val="00423C6D"/>
    <w:rsid w:val="004373AD"/>
    <w:rsid w:val="00456A25"/>
    <w:rsid w:val="00461B81"/>
    <w:rsid w:val="004C7F99"/>
    <w:rsid w:val="004E2F3B"/>
    <w:rsid w:val="00552DB4"/>
    <w:rsid w:val="00606090"/>
    <w:rsid w:val="006639B4"/>
    <w:rsid w:val="006C603C"/>
    <w:rsid w:val="006D0CE9"/>
    <w:rsid w:val="006D72B1"/>
    <w:rsid w:val="00713928"/>
    <w:rsid w:val="00733E26"/>
    <w:rsid w:val="00742B75"/>
    <w:rsid w:val="007B1E0B"/>
    <w:rsid w:val="007B45F0"/>
    <w:rsid w:val="007B4A44"/>
    <w:rsid w:val="0084520B"/>
    <w:rsid w:val="00850373"/>
    <w:rsid w:val="00867C46"/>
    <w:rsid w:val="00876EF0"/>
    <w:rsid w:val="008E051D"/>
    <w:rsid w:val="008F2673"/>
    <w:rsid w:val="008F29E3"/>
    <w:rsid w:val="00942B50"/>
    <w:rsid w:val="0095773F"/>
    <w:rsid w:val="009B2992"/>
    <w:rsid w:val="009C0502"/>
    <w:rsid w:val="00A920CC"/>
    <w:rsid w:val="00AA0E72"/>
    <w:rsid w:val="00AB328E"/>
    <w:rsid w:val="00B269F2"/>
    <w:rsid w:val="00B71F65"/>
    <w:rsid w:val="00BE7797"/>
    <w:rsid w:val="00BF3A75"/>
    <w:rsid w:val="00BF77A3"/>
    <w:rsid w:val="00C5505A"/>
    <w:rsid w:val="00C565E4"/>
    <w:rsid w:val="00C573D7"/>
    <w:rsid w:val="00C710D5"/>
    <w:rsid w:val="00C72B94"/>
    <w:rsid w:val="00CB67D3"/>
    <w:rsid w:val="00CE1F63"/>
    <w:rsid w:val="00D344E1"/>
    <w:rsid w:val="00D40F51"/>
    <w:rsid w:val="00D47F57"/>
    <w:rsid w:val="00D6571B"/>
    <w:rsid w:val="00D87799"/>
    <w:rsid w:val="00DC7C1D"/>
    <w:rsid w:val="00E14DA7"/>
    <w:rsid w:val="00E15B0B"/>
    <w:rsid w:val="00E40880"/>
    <w:rsid w:val="00E518DF"/>
    <w:rsid w:val="00EB3D56"/>
    <w:rsid w:val="00EE0562"/>
    <w:rsid w:val="00F1191B"/>
    <w:rsid w:val="00F12D84"/>
    <w:rsid w:val="00F52A8D"/>
    <w:rsid w:val="00FC7989"/>
    <w:rsid w:val="010470E8"/>
    <w:rsid w:val="01050F22"/>
    <w:rsid w:val="010D07CB"/>
    <w:rsid w:val="011078C7"/>
    <w:rsid w:val="011949CD"/>
    <w:rsid w:val="011D548F"/>
    <w:rsid w:val="012C2BC2"/>
    <w:rsid w:val="012D435A"/>
    <w:rsid w:val="0134055D"/>
    <w:rsid w:val="01390BCC"/>
    <w:rsid w:val="014001AC"/>
    <w:rsid w:val="01435EF1"/>
    <w:rsid w:val="01475749"/>
    <w:rsid w:val="014C6B51"/>
    <w:rsid w:val="014F496E"/>
    <w:rsid w:val="01543C57"/>
    <w:rsid w:val="015F1D03"/>
    <w:rsid w:val="01644CDC"/>
    <w:rsid w:val="017D7424"/>
    <w:rsid w:val="018207C5"/>
    <w:rsid w:val="01846F0A"/>
    <w:rsid w:val="018D0F17"/>
    <w:rsid w:val="0196601E"/>
    <w:rsid w:val="019A04BE"/>
    <w:rsid w:val="019B3879"/>
    <w:rsid w:val="019C520C"/>
    <w:rsid w:val="01A50E83"/>
    <w:rsid w:val="01A7022B"/>
    <w:rsid w:val="01AB47D5"/>
    <w:rsid w:val="01AF1E59"/>
    <w:rsid w:val="01B34E22"/>
    <w:rsid w:val="01BC3DA3"/>
    <w:rsid w:val="01C74429"/>
    <w:rsid w:val="01DB6127"/>
    <w:rsid w:val="01E274B5"/>
    <w:rsid w:val="01F0403A"/>
    <w:rsid w:val="01F06499"/>
    <w:rsid w:val="01F37E0F"/>
    <w:rsid w:val="02016455"/>
    <w:rsid w:val="0204230A"/>
    <w:rsid w:val="020E11B2"/>
    <w:rsid w:val="02111B48"/>
    <w:rsid w:val="02126885"/>
    <w:rsid w:val="02187528"/>
    <w:rsid w:val="021E0195"/>
    <w:rsid w:val="021E775C"/>
    <w:rsid w:val="022035A8"/>
    <w:rsid w:val="02261BE3"/>
    <w:rsid w:val="022A6766"/>
    <w:rsid w:val="0236335D"/>
    <w:rsid w:val="02390242"/>
    <w:rsid w:val="025517E0"/>
    <w:rsid w:val="02571C51"/>
    <w:rsid w:val="025C1A84"/>
    <w:rsid w:val="02634B4A"/>
    <w:rsid w:val="02654E0F"/>
    <w:rsid w:val="026826AB"/>
    <w:rsid w:val="026E0D49"/>
    <w:rsid w:val="026F5C8D"/>
    <w:rsid w:val="0275631F"/>
    <w:rsid w:val="027A666A"/>
    <w:rsid w:val="027A76EE"/>
    <w:rsid w:val="02806D99"/>
    <w:rsid w:val="028311D2"/>
    <w:rsid w:val="028A3101"/>
    <w:rsid w:val="02932388"/>
    <w:rsid w:val="029640FE"/>
    <w:rsid w:val="029A1B3E"/>
    <w:rsid w:val="029F0C69"/>
    <w:rsid w:val="02A242C8"/>
    <w:rsid w:val="02AD7E99"/>
    <w:rsid w:val="02C51C0B"/>
    <w:rsid w:val="02F24EE2"/>
    <w:rsid w:val="02F72AEC"/>
    <w:rsid w:val="02F73485"/>
    <w:rsid w:val="03012D45"/>
    <w:rsid w:val="03065EF4"/>
    <w:rsid w:val="030661AE"/>
    <w:rsid w:val="03123DCA"/>
    <w:rsid w:val="03140BF2"/>
    <w:rsid w:val="03176EB7"/>
    <w:rsid w:val="031A22F3"/>
    <w:rsid w:val="031A6E39"/>
    <w:rsid w:val="031C69F7"/>
    <w:rsid w:val="03227C2F"/>
    <w:rsid w:val="03250E34"/>
    <w:rsid w:val="032633D2"/>
    <w:rsid w:val="03280EF8"/>
    <w:rsid w:val="03303212"/>
    <w:rsid w:val="033D7C5A"/>
    <w:rsid w:val="03411FB9"/>
    <w:rsid w:val="03433F84"/>
    <w:rsid w:val="03476509"/>
    <w:rsid w:val="034A49CD"/>
    <w:rsid w:val="03764359"/>
    <w:rsid w:val="03811E2A"/>
    <w:rsid w:val="0388663C"/>
    <w:rsid w:val="038D5C29"/>
    <w:rsid w:val="03990047"/>
    <w:rsid w:val="039C5442"/>
    <w:rsid w:val="03A10CAA"/>
    <w:rsid w:val="03A130DE"/>
    <w:rsid w:val="03AF0A93"/>
    <w:rsid w:val="03B15391"/>
    <w:rsid w:val="03B34FA0"/>
    <w:rsid w:val="03B35CEE"/>
    <w:rsid w:val="03B629A7"/>
    <w:rsid w:val="03BC7892"/>
    <w:rsid w:val="03C6073D"/>
    <w:rsid w:val="03CB1077"/>
    <w:rsid w:val="03D0465B"/>
    <w:rsid w:val="03D1333D"/>
    <w:rsid w:val="03DD0363"/>
    <w:rsid w:val="03E00A2D"/>
    <w:rsid w:val="03E26FE3"/>
    <w:rsid w:val="03E43571"/>
    <w:rsid w:val="03F35447"/>
    <w:rsid w:val="03FF10D4"/>
    <w:rsid w:val="040D6D41"/>
    <w:rsid w:val="040E7907"/>
    <w:rsid w:val="040F1E36"/>
    <w:rsid w:val="04315BF8"/>
    <w:rsid w:val="04333FF8"/>
    <w:rsid w:val="04377285"/>
    <w:rsid w:val="04531FA4"/>
    <w:rsid w:val="04584DB5"/>
    <w:rsid w:val="04610B65"/>
    <w:rsid w:val="04695C6C"/>
    <w:rsid w:val="046B32C9"/>
    <w:rsid w:val="0473320E"/>
    <w:rsid w:val="047333D2"/>
    <w:rsid w:val="04744A01"/>
    <w:rsid w:val="04812FB5"/>
    <w:rsid w:val="04891E6A"/>
    <w:rsid w:val="049645F8"/>
    <w:rsid w:val="04AE73E4"/>
    <w:rsid w:val="04B002DD"/>
    <w:rsid w:val="04BC0AE9"/>
    <w:rsid w:val="04C577DF"/>
    <w:rsid w:val="04D05CEB"/>
    <w:rsid w:val="04DA6B4D"/>
    <w:rsid w:val="04F27A0F"/>
    <w:rsid w:val="050414F1"/>
    <w:rsid w:val="050558D1"/>
    <w:rsid w:val="050C6EA6"/>
    <w:rsid w:val="05216546"/>
    <w:rsid w:val="052265D2"/>
    <w:rsid w:val="052D4EEB"/>
    <w:rsid w:val="054469D9"/>
    <w:rsid w:val="05455794"/>
    <w:rsid w:val="055D75CA"/>
    <w:rsid w:val="055E6E53"/>
    <w:rsid w:val="05622323"/>
    <w:rsid w:val="05654685"/>
    <w:rsid w:val="056A6870"/>
    <w:rsid w:val="056B1B3F"/>
    <w:rsid w:val="056E2359"/>
    <w:rsid w:val="05710B0F"/>
    <w:rsid w:val="058D4346"/>
    <w:rsid w:val="05922FA0"/>
    <w:rsid w:val="05955811"/>
    <w:rsid w:val="059609B9"/>
    <w:rsid w:val="059B1E55"/>
    <w:rsid w:val="05AC4062"/>
    <w:rsid w:val="05B0602F"/>
    <w:rsid w:val="05B16FE4"/>
    <w:rsid w:val="05BB0400"/>
    <w:rsid w:val="05CE0532"/>
    <w:rsid w:val="05D171F9"/>
    <w:rsid w:val="05D44FE4"/>
    <w:rsid w:val="05D67331"/>
    <w:rsid w:val="05E03D0C"/>
    <w:rsid w:val="05EC39A1"/>
    <w:rsid w:val="05F67E96"/>
    <w:rsid w:val="05F94DCD"/>
    <w:rsid w:val="060317A8"/>
    <w:rsid w:val="06071F71"/>
    <w:rsid w:val="061F70AC"/>
    <w:rsid w:val="06257327"/>
    <w:rsid w:val="0629152C"/>
    <w:rsid w:val="062F6A41"/>
    <w:rsid w:val="06340386"/>
    <w:rsid w:val="06347D7F"/>
    <w:rsid w:val="0635675A"/>
    <w:rsid w:val="06367ABF"/>
    <w:rsid w:val="063B53E6"/>
    <w:rsid w:val="064F49ED"/>
    <w:rsid w:val="06514813"/>
    <w:rsid w:val="065643E7"/>
    <w:rsid w:val="06684BBA"/>
    <w:rsid w:val="066E7569"/>
    <w:rsid w:val="06701B73"/>
    <w:rsid w:val="067508F8"/>
    <w:rsid w:val="067D2A36"/>
    <w:rsid w:val="068428E9"/>
    <w:rsid w:val="068D470D"/>
    <w:rsid w:val="069A65B0"/>
    <w:rsid w:val="06A02F7E"/>
    <w:rsid w:val="06A05249"/>
    <w:rsid w:val="06A35E92"/>
    <w:rsid w:val="06A875B8"/>
    <w:rsid w:val="06BF1482"/>
    <w:rsid w:val="06D82C35"/>
    <w:rsid w:val="06DF0467"/>
    <w:rsid w:val="06E23AB3"/>
    <w:rsid w:val="06F85085"/>
    <w:rsid w:val="06FC2DC7"/>
    <w:rsid w:val="07107A01"/>
    <w:rsid w:val="071A5FC4"/>
    <w:rsid w:val="071B72C1"/>
    <w:rsid w:val="072034F0"/>
    <w:rsid w:val="072873E8"/>
    <w:rsid w:val="07366AB4"/>
    <w:rsid w:val="073700E5"/>
    <w:rsid w:val="0749768F"/>
    <w:rsid w:val="07573D64"/>
    <w:rsid w:val="075852F4"/>
    <w:rsid w:val="075A3282"/>
    <w:rsid w:val="075A5DB7"/>
    <w:rsid w:val="076F21F4"/>
    <w:rsid w:val="077E5935"/>
    <w:rsid w:val="078B54FB"/>
    <w:rsid w:val="079E6376"/>
    <w:rsid w:val="07A35216"/>
    <w:rsid w:val="07A9580E"/>
    <w:rsid w:val="07AE4C64"/>
    <w:rsid w:val="07AF406D"/>
    <w:rsid w:val="07B05960"/>
    <w:rsid w:val="07BC5521"/>
    <w:rsid w:val="07C115F6"/>
    <w:rsid w:val="07D96C64"/>
    <w:rsid w:val="07F67816"/>
    <w:rsid w:val="07F751B7"/>
    <w:rsid w:val="08007AC9"/>
    <w:rsid w:val="08020CAE"/>
    <w:rsid w:val="08053EFD"/>
    <w:rsid w:val="08122176"/>
    <w:rsid w:val="08157B45"/>
    <w:rsid w:val="08167EB9"/>
    <w:rsid w:val="081A31D6"/>
    <w:rsid w:val="081D1247"/>
    <w:rsid w:val="08292EF0"/>
    <w:rsid w:val="08323800"/>
    <w:rsid w:val="0834033F"/>
    <w:rsid w:val="08362309"/>
    <w:rsid w:val="083C4A8F"/>
    <w:rsid w:val="08430582"/>
    <w:rsid w:val="08471D65"/>
    <w:rsid w:val="084F5179"/>
    <w:rsid w:val="085551B9"/>
    <w:rsid w:val="08556700"/>
    <w:rsid w:val="085A5AD1"/>
    <w:rsid w:val="085F4C1A"/>
    <w:rsid w:val="086C77D2"/>
    <w:rsid w:val="087F5A5E"/>
    <w:rsid w:val="088D4389"/>
    <w:rsid w:val="08AA154B"/>
    <w:rsid w:val="08B41528"/>
    <w:rsid w:val="08B46D7E"/>
    <w:rsid w:val="08BA6A96"/>
    <w:rsid w:val="08BD6586"/>
    <w:rsid w:val="08C47AD1"/>
    <w:rsid w:val="08D310C7"/>
    <w:rsid w:val="08D37B58"/>
    <w:rsid w:val="08D5372F"/>
    <w:rsid w:val="08D60021"/>
    <w:rsid w:val="08DD4532"/>
    <w:rsid w:val="08E6788B"/>
    <w:rsid w:val="08E7715F"/>
    <w:rsid w:val="08FC124B"/>
    <w:rsid w:val="08FF1344"/>
    <w:rsid w:val="090917CB"/>
    <w:rsid w:val="090B10A0"/>
    <w:rsid w:val="090C077E"/>
    <w:rsid w:val="091A5CFC"/>
    <w:rsid w:val="092403B3"/>
    <w:rsid w:val="0930241E"/>
    <w:rsid w:val="093738EA"/>
    <w:rsid w:val="095742E5"/>
    <w:rsid w:val="096249C6"/>
    <w:rsid w:val="09631BC7"/>
    <w:rsid w:val="09762B92"/>
    <w:rsid w:val="0979586D"/>
    <w:rsid w:val="0988465A"/>
    <w:rsid w:val="099866AB"/>
    <w:rsid w:val="09987BF4"/>
    <w:rsid w:val="099A2423"/>
    <w:rsid w:val="09A23581"/>
    <w:rsid w:val="09A92667"/>
    <w:rsid w:val="09AC53ED"/>
    <w:rsid w:val="09CE1022"/>
    <w:rsid w:val="09D34B43"/>
    <w:rsid w:val="09E34BC0"/>
    <w:rsid w:val="09E47B84"/>
    <w:rsid w:val="09E53D0F"/>
    <w:rsid w:val="09EB2C7F"/>
    <w:rsid w:val="09EF451D"/>
    <w:rsid w:val="09F479B8"/>
    <w:rsid w:val="09FD1719"/>
    <w:rsid w:val="0A042457"/>
    <w:rsid w:val="0A077483"/>
    <w:rsid w:val="0A093889"/>
    <w:rsid w:val="0A0D7099"/>
    <w:rsid w:val="0A1301F7"/>
    <w:rsid w:val="0A2A5ABF"/>
    <w:rsid w:val="0A2E2D06"/>
    <w:rsid w:val="0A2F1DA4"/>
    <w:rsid w:val="0A2F5262"/>
    <w:rsid w:val="0A36214C"/>
    <w:rsid w:val="0A410924"/>
    <w:rsid w:val="0A5A60EA"/>
    <w:rsid w:val="0A5B0944"/>
    <w:rsid w:val="0A7A49BE"/>
    <w:rsid w:val="0A7A7148"/>
    <w:rsid w:val="0A841F9E"/>
    <w:rsid w:val="0A951CE9"/>
    <w:rsid w:val="0A9D11AB"/>
    <w:rsid w:val="0AA51080"/>
    <w:rsid w:val="0AB539B9"/>
    <w:rsid w:val="0AD23ADB"/>
    <w:rsid w:val="0ADD4085"/>
    <w:rsid w:val="0ADF4C24"/>
    <w:rsid w:val="0AE37FA3"/>
    <w:rsid w:val="0AE941D3"/>
    <w:rsid w:val="0AED6D2B"/>
    <w:rsid w:val="0AF65D7F"/>
    <w:rsid w:val="0AFF19D8"/>
    <w:rsid w:val="0AFF7BE5"/>
    <w:rsid w:val="0B06020B"/>
    <w:rsid w:val="0B0D3F2D"/>
    <w:rsid w:val="0B0F6DBA"/>
    <w:rsid w:val="0B1B7594"/>
    <w:rsid w:val="0B1F63F1"/>
    <w:rsid w:val="0B1F7084"/>
    <w:rsid w:val="0B212DFC"/>
    <w:rsid w:val="0B32577C"/>
    <w:rsid w:val="0B4F2968"/>
    <w:rsid w:val="0B535EEC"/>
    <w:rsid w:val="0B5C1325"/>
    <w:rsid w:val="0B5F1B77"/>
    <w:rsid w:val="0B624CBC"/>
    <w:rsid w:val="0B6E5911"/>
    <w:rsid w:val="0B792C38"/>
    <w:rsid w:val="0B7B7D63"/>
    <w:rsid w:val="0B810A34"/>
    <w:rsid w:val="0B883F1F"/>
    <w:rsid w:val="0B8D0492"/>
    <w:rsid w:val="0B907F82"/>
    <w:rsid w:val="0BAE575C"/>
    <w:rsid w:val="0BB023D2"/>
    <w:rsid w:val="0BB579E9"/>
    <w:rsid w:val="0BC908E0"/>
    <w:rsid w:val="0BD16C8D"/>
    <w:rsid w:val="0BDA11FD"/>
    <w:rsid w:val="0BE1258C"/>
    <w:rsid w:val="0C142961"/>
    <w:rsid w:val="0C1572C7"/>
    <w:rsid w:val="0C2D57D1"/>
    <w:rsid w:val="0C321039"/>
    <w:rsid w:val="0C322DE7"/>
    <w:rsid w:val="0C3A21C5"/>
    <w:rsid w:val="0C3B7EEE"/>
    <w:rsid w:val="0C4548C9"/>
    <w:rsid w:val="0C460641"/>
    <w:rsid w:val="0C575F4D"/>
    <w:rsid w:val="0C6A5254"/>
    <w:rsid w:val="0C6C06F2"/>
    <w:rsid w:val="0C727688"/>
    <w:rsid w:val="0C766088"/>
    <w:rsid w:val="0C9D42A9"/>
    <w:rsid w:val="0CA154BB"/>
    <w:rsid w:val="0CA77331"/>
    <w:rsid w:val="0CAB7129"/>
    <w:rsid w:val="0CAE12C9"/>
    <w:rsid w:val="0CB0724F"/>
    <w:rsid w:val="0CB67574"/>
    <w:rsid w:val="0CBB3049"/>
    <w:rsid w:val="0CBF5CFF"/>
    <w:rsid w:val="0CC550C6"/>
    <w:rsid w:val="0CC6110C"/>
    <w:rsid w:val="0CCB6B37"/>
    <w:rsid w:val="0CCC4E00"/>
    <w:rsid w:val="0CCD3EA4"/>
    <w:rsid w:val="0CCF6888"/>
    <w:rsid w:val="0CDB11E8"/>
    <w:rsid w:val="0CE23EB3"/>
    <w:rsid w:val="0CE91F70"/>
    <w:rsid w:val="0CEA36C2"/>
    <w:rsid w:val="0CF6390D"/>
    <w:rsid w:val="0CF74903"/>
    <w:rsid w:val="0CFD33F5"/>
    <w:rsid w:val="0CFF53BF"/>
    <w:rsid w:val="0D00703B"/>
    <w:rsid w:val="0D0522AA"/>
    <w:rsid w:val="0D0613D3"/>
    <w:rsid w:val="0D187231"/>
    <w:rsid w:val="0D2B7F62"/>
    <w:rsid w:val="0D384DFB"/>
    <w:rsid w:val="0D3A3D4E"/>
    <w:rsid w:val="0D3F07C8"/>
    <w:rsid w:val="0D4323D5"/>
    <w:rsid w:val="0D4F1739"/>
    <w:rsid w:val="0D5071AA"/>
    <w:rsid w:val="0D5D6FC8"/>
    <w:rsid w:val="0D5F7C0C"/>
    <w:rsid w:val="0D680E17"/>
    <w:rsid w:val="0D6C5454"/>
    <w:rsid w:val="0D6F756B"/>
    <w:rsid w:val="0D892EDB"/>
    <w:rsid w:val="0D8A6105"/>
    <w:rsid w:val="0D8A6772"/>
    <w:rsid w:val="0D927FE1"/>
    <w:rsid w:val="0D9A0C44"/>
    <w:rsid w:val="0D9A2076"/>
    <w:rsid w:val="0D9C0EFA"/>
    <w:rsid w:val="0DA506E6"/>
    <w:rsid w:val="0DB22432"/>
    <w:rsid w:val="0DB24DDF"/>
    <w:rsid w:val="0DC363ED"/>
    <w:rsid w:val="0DEA2F67"/>
    <w:rsid w:val="0DEB76F2"/>
    <w:rsid w:val="0DF04D08"/>
    <w:rsid w:val="0DFF1C30"/>
    <w:rsid w:val="0E014872"/>
    <w:rsid w:val="0E032C8D"/>
    <w:rsid w:val="0E115D2D"/>
    <w:rsid w:val="0E3A534D"/>
    <w:rsid w:val="0E4B0190"/>
    <w:rsid w:val="0E53662A"/>
    <w:rsid w:val="0E6265C1"/>
    <w:rsid w:val="0E715598"/>
    <w:rsid w:val="0E720FA7"/>
    <w:rsid w:val="0E841B1D"/>
    <w:rsid w:val="0E8B67DF"/>
    <w:rsid w:val="0E906868"/>
    <w:rsid w:val="0E946FD3"/>
    <w:rsid w:val="0E956D7D"/>
    <w:rsid w:val="0E971943"/>
    <w:rsid w:val="0EA1730C"/>
    <w:rsid w:val="0EA63619"/>
    <w:rsid w:val="0EBC2D73"/>
    <w:rsid w:val="0EC51CF1"/>
    <w:rsid w:val="0ECE4512"/>
    <w:rsid w:val="0ECF2B6F"/>
    <w:rsid w:val="0ED32660"/>
    <w:rsid w:val="0ED661AC"/>
    <w:rsid w:val="0ED70339"/>
    <w:rsid w:val="0ED97690"/>
    <w:rsid w:val="0EF80318"/>
    <w:rsid w:val="0EFE0A05"/>
    <w:rsid w:val="0F000D97"/>
    <w:rsid w:val="0F135CB9"/>
    <w:rsid w:val="0F1C3AFD"/>
    <w:rsid w:val="0F216FC8"/>
    <w:rsid w:val="0F296723"/>
    <w:rsid w:val="0F317386"/>
    <w:rsid w:val="0F39623B"/>
    <w:rsid w:val="0F3B6B1D"/>
    <w:rsid w:val="0F490B74"/>
    <w:rsid w:val="0F4E7F38"/>
    <w:rsid w:val="0F561EF4"/>
    <w:rsid w:val="0F58285B"/>
    <w:rsid w:val="0F6C2CA7"/>
    <w:rsid w:val="0F7F4595"/>
    <w:rsid w:val="0F841BAC"/>
    <w:rsid w:val="0F847DFE"/>
    <w:rsid w:val="0F8C280E"/>
    <w:rsid w:val="0F902B36"/>
    <w:rsid w:val="0F97417B"/>
    <w:rsid w:val="0FA25CB6"/>
    <w:rsid w:val="0FA37DAC"/>
    <w:rsid w:val="0FA67D74"/>
    <w:rsid w:val="0FB02D4D"/>
    <w:rsid w:val="0FBA381F"/>
    <w:rsid w:val="0FC03CC5"/>
    <w:rsid w:val="0FCD6A7A"/>
    <w:rsid w:val="0FD0015F"/>
    <w:rsid w:val="0FD22917"/>
    <w:rsid w:val="0FD856DE"/>
    <w:rsid w:val="0FE05FA8"/>
    <w:rsid w:val="0FE465FF"/>
    <w:rsid w:val="0FEB18AD"/>
    <w:rsid w:val="0FED59A3"/>
    <w:rsid w:val="0FF30ADF"/>
    <w:rsid w:val="0FF46D31"/>
    <w:rsid w:val="0FFF202D"/>
    <w:rsid w:val="0FFF56D6"/>
    <w:rsid w:val="100107CC"/>
    <w:rsid w:val="10056B6D"/>
    <w:rsid w:val="100B5E29"/>
    <w:rsid w:val="10212EDE"/>
    <w:rsid w:val="1021389E"/>
    <w:rsid w:val="10234FF5"/>
    <w:rsid w:val="1025693D"/>
    <w:rsid w:val="10284558"/>
    <w:rsid w:val="103A04BC"/>
    <w:rsid w:val="104650B3"/>
    <w:rsid w:val="10613C9B"/>
    <w:rsid w:val="106A6FF4"/>
    <w:rsid w:val="106B1D32"/>
    <w:rsid w:val="107137CE"/>
    <w:rsid w:val="10741E80"/>
    <w:rsid w:val="1074577C"/>
    <w:rsid w:val="107757E2"/>
    <w:rsid w:val="10792D1F"/>
    <w:rsid w:val="107B5820"/>
    <w:rsid w:val="107F2A10"/>
    <w:rsid w:val="10872BD1"/>
    <w:rsid w:val="108F0808"/>
    <w:rsid w:val="10935762"/>
    <w:rsid w:val="10A100D7"/>
    <w:rsid w:val="10A357D8"/>
    <w:rsid w:val="10A5767D"/>
    <w:rsid w:val="10A658BE"/>
    <w:rsid w:val="10A73DA4"/>
    <w:rsid w:val="10AB0662"/>
    <w:rsid w:val="10B4201D"/>
    <w:rsid w:val="10B97124"/>
    <w:rsid w:val="10C40AE9"/>
    <w:rsid w:val="10C502AE"/>
    <w:rsid w:val="10C57012"/>
    <w:rsid w:val="10DB78ED"/>
    <w:rsid w:val="10E6462C"/>
    <w:rsid w:val="10E8616A"/>
    <w:rsid w:val="10EB2F5E"/>
    <w:rsid w:val="10F42D61"/>
    <w:rsid w:val="10FE14EA"/>
    <w:rsid w:val="11017FF3"/>
    <w:rsid w:val="1108435C"/>
    <w:rsid w:val="110A7E8F"/>
    <w:rsid w:val="111022AF"/>
    <w:rsid w:val="111411BF"/>
    <w:rsid w:val="111874D4"/>
    <w:rsid w:val="11252F1A"/>
    <w:rsid w:val="112648DD"/>
    <w:rsid w:val="11332BDF"/>
    <w:rsid w:val="11355F72"/>
    <w:rsid w:val="11366ED6"/>
    <w:rsid w:val="113B273E"/>
    <w:rsid w:val="11427949"/>
    <w:rsid w:val="114A5E54"/>
    <w:rsid w:val="116B48D8"/>
    <w:rsid w:val="117B60A6"/>
    <w:rsid w:val="118057AC"/>
    <w:rsid w:val="11860234"/>
    <w:rsid w:val="119118E5"/>
    <w:rsid w:val="11954F74"/>
    <w:rsid w:val="11A13CDB"/>
    <w:rsid w:val="11AE2F10"/>
    <w:rsid w:val="11AF49CC"/>
    <w:rsid w:val="11B86C3B"/>
    <w:rsid w:val="11BA47CD"/>
    <w:rsid w:val="11BC1B28"/>
    <w:rsid w:val="11DD37F5"/>
    <w:rsid w:val="11DD3FDC"/>
    <w:rsid w:val="11EA48C7"/>
    <w:rsid w:val="11FE27E9"/>
    <w:rsid w:val="12072620"/>
    <w:rsid w:val="120D09C2"/>
    <w:rsid w:val="1212576D"/>
    <w:rsid w:val="12224FE4"/>
    <w:rsid w:val="12274A70"/>
    <w:rsid w:val="122E0F3C"/>
    <w:rsid w:val="123F625E"/>
    <w:rsid w:val="12445622"/>
    <w:rsid w:val="12560B6F"/>
    <w:rsid w:val="125C6E10"/>
    <w:rsid w:val="125E7697"/>
    <w:rsid w:val="12635AA8"/>
    <w:rsid w:val="12665140"/>
    <w:rsid w:val="1272218F"/>
    <w:rsid w:val="12850115"/>
    <w:rsid w:val="128C1DA1"/>
    <w:rsid w:val="12966EC3"/>
    <w:rsid w:val="12993BC0"/>
    <w:rsid w:val="129B1D1F"/>
    <w:rsid w:val="12A83385"/>
    <w:rsid w:val="12B61620"/>
    <w:rsid w:val="12B75DF4"/>
    <w:rsid w:val="12CF792E"/>
    <w:rsid w:val="12E23E98"/>
    <w:rsid w:val="12E3738C"/>
    <w:rsid w:val="12EA7F78"/>
    <w:rsid w:val="12F11306"/>
    <w:rsid w:val="12F6698B"/>
    <w:rsid w:val="12F93A2A"/>
    <w:rsid w:val="130324BB"/>
    <w:rsid w:val="130B33E8"/>
    <w:rsid w:val="130C3D06"/>
    <w:rsid w:val="130D37E5"/>
    <w:rsid w:val="13151D22"/>
    <w:rsid w:val="1323348A"/>
    <w:rsid w:val="13382A5C"/>
    <w:rsid w:val="13390EFF"/>
    <w:rsid w:val="133A3566"/>
    <w:rsid w:val="13410312"/>
    <w:rsid w:val="13421B62"/>
    <w:rsid w:val="134619A7"/>
    <w:rsid w:val="134820BA"/>
    <w:rsid w:val="13495C7E"/>
    <w:rsid w:val="13504281"/>
    <w:rsid w:val="13526AA7"/>
    <w:rsid w:val="135342BC"/>
    <w:rsid w:val="13627AEB"/>
    <w:rsid w:val="136A0EE3"/>
    <w:rsid w:val="136A67D5"/>
    <w:rsid w:val="136C3A6D"/>
    <w:rsid w:val="1375788C"/>
    <w:rsid w:val="13825653"/>
    <w:rsid w:val="138E1CF5"/>
    <w:rsid w:val="138F1D93"/>
    <w:rsid w:val="13906D71"/>
    <w:rsid w:val="13936861"/>
    <w:rsid w:val="13955E87"/>
    <w:rsid w:val="13A46379"/>
    <w:rsid w:val="13C945E3"/>
    <w:rsid w:val="13CE5AEB"/>
    <w:rsid w:val="13D50C28"/>
    <w:rsid w:val="13D545A6"/>
    <w:rsid w:val="13D65D70"/>
    <w:rsid w:val="13D74E0E"/>
    <w:rsid w:val="13F47103"/>
    <w:rsid w:val="13FE4729"/>
    <w:rsid w:val="13FF5CA5"/>
    <w:rsid w:val="14035A8F"/>
    <w:rsid w:val="14092680"/>
    <w:rsid w:val="140A2FFC"/>
    <w:rsid w:val="14125749"/>
    <w:rsid w:val="14263231"/>
    <w:rsid w:val="142676D5"/>
    <w:rsid w:val="14292753"/>
    <w:rsid w:val="143D1571"/>
    <w:rsid w:val="144E5347"/>
    <w:rsid w:val="14575AE1"/>
    <w:rsid w:val="14641FAC"/>
    <w:rsid w:val="14643C4F"/>
    <w:rsid w:val="1466786F"/>
    <w:rsid w:val="146855F8"/>
    <w:rsid w:val="14694C0A"/>
    <w:rsid w:val="146E25C8"/>
    <w:rsid w:val="146E6B13"/>
    <w:rsid w:val="14795A57"/>
    <w:rsid w:val="147C2395"/>
    <w:rsid w:val="148126F8"/>
    <w:rsid w:val="14812B5E"/>
    <w:rsid w:val="148A2BC0"/>
    <w:rsid w:val="14972B47"/>
    <w:rsid w:val="149B66A7"/>
    <w:rsid w:val="149E54BE"/>
    <w:rsid w:val="14B051F1"/>
    <w:rsid w:val="14B163DC"/>
    <w:rsid w:val="14B468BF"/>
    <w:rsid w:val="14B545B5"/>
    <w:rsid w:val="14C036BA"/>
    <w:rsid w:val="14C24163"/>
    <w:rsid w:val="14DC7D94"/>
    <w:rsid w:val="14EC73E1"/>
    <w:rsid w:val="14F1166B"/>
    <w:rsid w:val="14F21366"/>
    <w:rsid w:val="14FF2B7F"/>
    <w:rsid w:val="150111F4"/>
    <w:rsid w:val="15042BF8"/>
    <w:rsid w:val="150D257F"/>
    <w:rsid w:val="15125A91"/>
    <w:rsid w:val="151439D2"/>
    <w:rsid w:val="151B4AF5"/>
    <w:rsid w:val="15267261"/>
    <w:rsid w:val="153320AA"/>
    <w:rsid w:val="153951E6"/>
    <w:rsid w:val="154D2A40"/>
    <w:rsid w:val="154E177F"/>
    <w:rsid w:val="1557566D"/>
    <w:rsid w:val="155C74D6"/>
    <w:rsid w:val="156D1A42"/>
    <w:rsid w:val="156F2530"/>
    <w:rsid w:val="15712BD2"/>
    <w:rsid w:val="15744470"/>
    <w:rsid w:val="157470F1"/>
    <w:rsid w:val="157F1A92"/>
    <w:rsid w:val="15810395"/>
    <w:rsid w:val="158D1A3D"/>
    <w:rsid w:val="159B19FD"/>
    <w:rsid w:val="159F6213"/>
    <w:rsid w:val="15A07014"/>
    <w:rsid w:val="15B346F0"/>
    <w:rsid w:val="15B77F45"/>
    <w:rsid w:val="15C058FA"/>
    <w:rsid w:val="15C35F37"/>
    <w:rsid w:val="15DF5D8E"/>
    <w:rsid w:val="15E21563"/>
    <w:rsid w:val="15E572BF"/>
    <w:rsid w:val="15EF0127"/>
    <w:rsid w:val="15F87315"/>
    <w:rsid w:val="15FC24FD"/>
    <w:rsid w:val="1615318B"/>
    <w:rsid w:val="16181094"/>
    <w:rsid w:val="1623366B"/>
    <w:rsid w:val="163778C4"/>
    <w:rsid w:val="163D2AB4"/>
    <w:rsid w:val="16481D0C"/>
    <w:rsid w:val="165431D1"/>
    <w:rsid w:val="165A5414"/>
    <w:rsid w:val="166718DF"/>
    <w:rsid w:val="166829B6"/>
    <w:rsid w:val="167E2426"/>
    <w:rsid w:val="1688192D"/>
    <w:rsid w:val="169E79F7"/>
    <w:rsid w:val="16AC0FDD"/>
    <w:rsid w:val="16AD7175"/>
    <w:rsid w:val="16B021C3"/>
    <w:rsid w:val="16B62EBD"/>
    <w:rsid w:val="16BA2357"/>
    <w:rsid w:val="16CE14C5"/>
    <w:rsid w:val="16D451C7"/>
    <w:rsid w:val="16DB47A7"/>
    <w:rsid w:val="16DE1D16"/>
    <w:rsid w:val="16EF3DAF"/>
    <w:rsid w:val="17025A4C"/>
    <w:rsid w:val="1715128F"/>
    <w:rsid w:val="172029F8"/>
    <w:rsid w:val="172561DF"/>
    <w:rsid w:val="172872C1"/>
    <w:rsid w:val="172B1F95"/>
    <w:rsid w:val="175C5BC1"/>
    <w:rsid w:val="175E2CE2"/>
    <w:rsid w:val="17604CAC"/>
    <w:rsid w:val="176F4EEF"/>
    <w:rsid w:val="17764BF3"/>
    <w:rsid w:val="17810625"/>
    <w:rsid w:val="17884786"/>
    <w:rsid w:val="179001D1"/>
    <w:rsid w:val="179E5F3A"/>
    <w:rsid w:val="17A32DEB"/>
    <w:rsid w:val="17AC4D67"/>
    <w:rsid w:val="17B211DA"/>
    <w:rsid w:val="17B40B68"/>
    <w:rsid w:val="17BF5F86"/>
    <w:rsid w:val="17CD1C16"/>
    <w:rsid w:val="17D26E39"/>
    <w:rsid w:val="17DF19BF"/>
    <w:rsid w:val="17DF2075"/>
    <w:rsid w:val="17E85E92"/>
    <w:rsid w:val="17EC50B3"/>
    <w:rsid w:val="17FC1D8D"/>
    <w:rsid w:val="18005D4F"/>
    <w:rsid w:val="18062254"/>
    <w:rsid w:val="18065125"/>
    <w:rsid w:val="180A1D0F"/>
    <w:rsid w:val="18107DB4"/>
    <w:rsid w:val="18133ACD"/>
    <w:rsid w:val="18141B52"/>
    <w:rsid w:val="181B0BD3"/>
    <w:rsid w:val="182249A5"/>
    <w:rsid w:val="1827044F"/>
    <w:rsid w:val="182954BE"/>
    <w:rsid w:val="18386835"/>
    <w:rsid w:val="183879D7"/>
    <w:rsid w:val="183D1925"/>
    <w:rsid w:val="183D78D5"/>
    <w:rsid w:val="18430688"/>
    <w:rsid w:val="18495740"/>
    <w:rsid w:val="185248A4"/>
    <w:rsid w:val="18530F92"/>
    <w:rsid w:val="18645AAB"/>
    <w:rsid w:val="186C3B73"/>
    <w:rsid w:val="187D363C"/>
    <w:rsid w:val="188356FF"/>
    <w:rsid w:val="18954E2A"/>
    <w:rsid w:val="18980476"/>
    <w:rsid w:val="18982224"/>
    <w:rsid w:val="18A62B93"/>
    <w:rsid w:val="18AC5CCF"/>
    <w:rsid w:val="18AD593E"/>
    <w:rsid w:val="18B10D91"/>
    <w:rsid w:val="18B708FC"/>
    <w:rsid w:val="18BE612E"/>
    <w:rsid w:val="18C56547"/>
    <w:rsid w:val="18C64FE3"/>
    <w:rsid w:val="18C93FC0"/>
    <w:rsid w:val="18CC437C"/>
    <w:rsid w:val="18D11EB9"/>
    <w:rsid w:val="18D70F9E"/>
    <w:rsid w:val="18D97E3B"/>
    <w:rsid w:val="18DA68F2"/>
    <w:rsid w:val="18EB619F"/>
    <w:rsid w:val="18ED431E"/>
    <w:rsid w:val="18F16FE7"/>
    <w:rsid w:val="18FC77C6"/>
    <w:rsid w:val="190456BE"/>
    <w:rsid w:val="19067AD5"/>
    <w:rsid w:val="190B2A0F"/>
    <w:rsid w:val="190C2FA2"/>
    <w:rsid w:val="190D44B0"/>
    <w:rsid w:val="190E2DAA"/>
    <w:rsid w:val="19121A44"/>
    <w:rsid w:val="19137AFC"/>
    <w:rsid w:val="191F13C5"/>
    <w:rsid w:val="191F46F3"/>
    <w:rsid w:val="191F512B"/>
    <w:rsid w:val="19255582"/>
    <w:rsid w:val="19286BA2"/>
    <w:rsid w:val="19370ACC"/>
    <w:rsid w:val="194257ED"/>
    <w:rsid w:val="19456042"/>
    <w:rsid w:val="19520D8A"/>
    <w:rsid w:val="19553454"/>
    <w:rsid w:val="195A5FE0"/>
    <w:rsid w:val="19681049"/>
    <w:rsid w:val="197807FF"/>
    <w:rsid w:val="19782558"/>
    <w:rsid w:val="19827303"/>
    <w:rsid w:val="199131C9"/>
    <w:rsid w:val="199E0D03"/>
    <w:rsid w:val="19A35324"/>
    <w:rsid w:val="19AC44AC"/>
    <w:rsid w:val="19B412DF"/>
    <w:rsid w:val="19C13A96"/>
    <w:rsid w:val="19CB47EA"/>
    <w:rsid w:val="19E24986"/>
    <w:rsid w:val="19E82D37"/>
    <w:rsid w:val="19EA67AC"/>
    <w:rsid w:val="19F416DC"/>
    <w:rsid w:val="19FE331A"/>
    <w:rsid w:val="19FE7678"/>
    <w:rsid w:val="1A0A093F"/>
    <w:rsid w:val="1A0A3D3C"/>
    <w:rsid w:val="1A147FD0"/>
    <w:rsid w:val="1A172635"/>
    <w:rsid w:val="1A1B03D6"/>
    <w:rsid w:val="1A253F8B"/>
    <w:rsid w:val="1A266185"/>
    <w:rsid w:val="1A330456"/>
    <w:rsid w:val="1A3366A8"/>
    <w:rsid w:val="1A3437A2"/>
    <w:rsid w:val="1A3807FF"/>
    <w:rsid w:val="1A491A28"/>
    <w:rsid w:val="1A536DB3"/>
    <w:rsid w:val="1A607EA5"/>
    <w:rsid w:val="1A6C0815"/>
    <w:rsid w:val="1A79037D"/>
    <w:rsid w:val="1A8962C8"/>
    <w:rsid w:val="1A8B0593"/>
    <w:rsid w:val="1A9B0BEB"/>
    <w:rsid w:val="1A9F12D7"/>
    <w:rsid w:val="1AA8344A"/>
    <w:rsid w:val="1AA9305D"/>
    <w:rsid w:val="1ABA2925"/>
    <w:rsid w:val="1ABD0513"/>
    <w:rsid w:val="1ABD5F72"/>
    <w:rsid w:val="1AD559B1"/>
    <w:rsid w:val="1ADF24D1"/>
    <w:rsid w:val="1AEE25CF"/>
    <w:rsid w:val="1AF2611F"/>
    <w:rsid w:val="1AF745BC"/>
    <w:rsid w:val="1B0034A2"/>
    <w:rsid w:val="1B104CFC"/>
    <w:rsid w:val="1B1262BE"/>
    <w:rsid w:val="1B185113"/>
    <w:rsid w:val="1B2028BA"/>
    <w:rsid w:val="1B26620D"/>
    <w:rsid w:val="1B2C029F"/>
    <w:rsid w:val="1B3C40A9"/>
    <w:rsid w:val="1B3E13BF"/>
    <w:rsid w:val="1B4667CC"/>
    <w:rsid w:val="1B5B4923"/>
    <w:rsid w:val="1B6034CD"/>
    <w:rsid w:val="1B713895"/>
    <w:rsid w:val="1B751B6D"/>
    <w:rsid w:val="1B7A7ADD"/>
    <w:rsid w:val="1B866CAC"/>
    <w:rsid w:val="1B882A24"/>
    <w:rsid w:val="1B8B6070"/>
    <w:rsid w:val="1B8D3B96"/>
    <w:rsid w:val="1B9B6500"/>
    <w:rsid w:val="1B9C64CF"/>
    <w:rsid w:val="1BA01B1B"/>
    <w:rsid w:val="1BA66AB5"/>
    <w:rsid w:val="1BB11F7A"/>
    <w:rsid w:val="1BB3427C"/>
    <w:rsid w:val="1BBB51DF"/>
    <w:rsid w:val="1BC148EF"/>
    <w:rsid w:val="1BC31CAE"/>
    <w:rsid w:val="1BC577D4"/>
    <w:rsid w:val="1BCA303C"/>
    <w:rsid w:val="1BD11C33"/>
    <w:rsid w:val="1BD73999"/>
    <w:rsid w:val="1BDE0DE4"/>
    <w:rsid w:val="1BE56D40"/>
    <w:rsid w:val="1BEC0C12"/>
    <w:rsid w:val="1BEC2FB3"/>
    <w:rsid w:val="1BF5336B"/>
    <w:rsid w:val="1C00080C"/>
    <w:rsid w:val="1C0B3A06"/>
    <w:rsid w:val="1C0C71B1"/>
    <w:rsid w:val="1C1B3898"/>
    <w:rsid w:val="1C233DD9"/>
    <w:rsid w:val="1C252021"/>
    <w:rsid w:val="1C27452C"/>
    <w:rsid w:val="1C3D4670"/>
    <w:rsid w:val="1C413A7E"/>
    <w:rsid w:val="1C4E11FC"/>
    <w:rsid w:val="1C4E5B24"/>
    <w:rsid w:val="1C654B13"/>
    <w:rsid w:val="1C6D7577"/>
    <w:rsid w:val="1C735D4E"/>
    <w:rsid w:val="1C7803D0"/>
    <w:rsid w:val="1C8901D0"/>
    <w:rsid w:val="1C8C13C8"/>
    <w:rsid w:val="1C955CCD"/>
    <w:rsid w:val="1C981F6B"/>
    <w:rsid w:val="1C9B0535"/>
    <w:rsid w:val="1C9B387A"/>
    <w:rsid w:val="1CA90EA4"/>
    <w:rsid w:val="1CAE64BA"/>
    <w:rsid w:val="1CB00DE8"/>
    <w:rsid w:val="1CB82578"/>
    <w:rsid w:val="1CBA3120"/>
    <w:rsid w:val="1CBF2475"/>
    <w:rsid w:val="1CEB326A"/>
    <w:rsid w:val="1CEB6DC6"/>
    <w:rsid w:val="1CED2F4F"/>
    <w:rsid w:val="1CF540E9"/>
    <w:rsid w:val="1CFA16FF"/>
    <w:rsid w:val="1CFD28CA"/>
    <w:rsid w:val="1D027DA6"/>
    <w:rsid w:val="1D083E1C"/>
    <w:rsid w:val="1D0B1216"/>
    <w:rsid w:val="1D1B65B7"/>
    <w:rsid w:val="1D1D0F4A"/>
    <w:rsid w:val="1D280446"/>
    <w:rsid w:val="1D295B40"/>
    <w:rsid w:val="1D2E13A9"/>
    <w:rsid w:val="1D2E61D3"/>
    <w:rsid w:val="1D2E6856"/>
    <w:rsid w:val="1D2F0368"/>
    <w:rsid w:val="1D346863"/>
    <w:rsid w:val="1D37025D"/>
    <w:rsid w:val="1D413C15"/>
    <w:rsid w:val="1D4E55A7"/>
    <w:rsid w:val="1D4F6E3B"/>
    <w:rsid w:val="1D61177E"/>
    <w:rsid w:val="1D677FC0"/>
    <w:rsid w:val="1D7E13D8"/>
    <w:rsid w:val="1D840FC9"/>
    <w:rsid w:val="1D8E5E18"/>
    <w:rsid w:val="1D927883"/>
    <w:rsid w:val="1D9B4C90"/>
    <w:rsid w:val="1DA04055"/>
    <w:rsid w:val="1DA17DCD"/>
    <w:rsid w:val="1DA358F3"/>
    <w:rsid w:val="1DAB23DA"/>
    <w:rsid w:val="1DAB29F9"/>
    <w:rsid w:val="1DB4365C"/>
    <w:rsid w:val="1DCF3E6B"/>
    <w:rsid w:val="1DD84D2C"/>
    <w:rsid w:val="1DDE39C5"/>
    <w:rsid w:val="1DE76131"/>
    <w:rsid w:val="1DEB1048"/>
    <w:rsid w:val="1E05035C"/>
    <w:rsid w:val="1E135665"/>
    <w:rsid w:val="1E2960C9"/>
    <w:rsid w:val="1E391DB3"/>
    <w:rsid w:val="1E4075E6"/>
    <w:rsid w:val="1E414EAF"/>
    <w:rsid w:val="1E522E75"/>
    <w:rsid w:val="1E5259AF"/>
    <w:rsid w:val="1E537319"/>
    <w:rsid w:val="1E5A525D"/>
    <w:rsid w:val="1E5B1898"/>
    <w:rsid w:val="1E5E47E0"/>
    <w:rsid w:val="1E651BEC"/>
    <w:rsid w:val="1E673ED5"/>
    <w:rsid w:val="1E721445"/>
    <w:rsid w:val="1E79668E"/>
    <w:rsid w:val="1E7A2AF8"/>
    <w:rsid w:val="1E965458"/>
    <w:rsid w:val="1E9736C0"/>
    <w:rsid w:val="1E9A34C4"/>
    <w:rsid w:val="1E9E5891"/>
    <w:rsid w:val="1E9F7CF1"/>
    <w:rsid w:val="1EAC1325"/>
    <w:rsid w:val="1EB01A1E"/>
    <w:rsid w:val="1EB233CF"/>
    <w:rsid w:val="1EB36E23"/>
    <w:rsid w:val="1EB661F5"/>
    <w:rsid w:val="1EB83620"/>
    <w:rsid w:val="1EBB0A1A"/>
    <w:rsid w:val="1ED975BC"/>
    <w:rsid w:val="1EE13D50"/>
    <w:rsid w:val="1EE241F9"/>
    <w:rsid w:val="1EEA1E45"/>
    <w:rsid w:val="1EEA5C2B"/>
    <w:rsid w:val="1EEF7FE2"/>
    <w:rsid w:val="1F0028D1"/>
    <w:rsid w:val="1F0A4C39"/>
    <w:rsid w:val="1F0B693B"/>
    <w:rsid w:val="1F0E1492"/>
    <w:rsid w:val="1F10520A"/>
    <w:rsid w:val="1F164D67"/>
    <w:rsid w:val="1F1F369F"/>
    <w:rsid w:val="1F204627"/>
    <w:rsid w:val="1F2A29CF"/>
    <w:rsid w:val="1F37259C"/>
    <w:rsid w:val="1F3C251B"/>
    <w:rsid w:val="1F3E1D77"/>
    <w:rsid w:val="1F4A05AA"/>
    <w:rsid w:val="1F4E5D32"/>
    <w:rsid w:val="1F520E6A"/>
    <w:rsid w:val="1F533349"/>
    <w:rsid w:val="1F5F4C80"/>
    <w:rsid w:val="1F6966C8"/>
    <w:rsid w:val="1F7C12B0"/>
    <w:rsid w:val="1F86727A"/>
    <w:rsid w:val="1F8D685B"/>
    <w:rsid w:val="1F9C37E1"/>
    <w:rsid w:val="1F9C6A9E"/>
    <w:rsid w:val="1FA808F8"/>
    <w:rsid w:val="1FAA2283"/>
    <w:rsid w:val="1FAE7994"/>
    <w:rsid w:val="1FB05EDC"/>
    <w:rsid w:val="1FBC43A1"/>
    <w:rsid w:val="1FBC6066"/>
    <w:rsid w:val="1FD06747"/>
    <w:rsid w:val="1FDC564F"/>
    <w:rsid w:val="1FE2346F"/>
    <w:rsid w:val="1FED10A7"/>
    <w:rsid w:val="1FF70178"/>
    <w:rsid w:val="1FFC12EA"/>
    <w:rsid w:val="2009009E"/>
    <w:rsid w:val="200F60C4"/>
    <w:rsid w:val="201A0F5B"/>
    <w:rsid w:val="203A349A"/>
    <w:rsid w:val="204333BD"/>
    <w:rsid w:val="20481E94"/>
    <w:rsid w:val="20495199"/>
    <w:rsid w:val="204C14F0"/>
    <w:rsid w:val="205E1FA5"/>
    <w:rsid w:val="206016CD"/>
    <w:rsid w:val="206C021E"/>
    <w:rsid w:val="20722944"/>
    <w:rsid w:val="20757868"/>
    <w:rsid w:val="20790B8D"/>
    <w:rsid w:val="20796DDF"/>
    <w:rsid w:val="207978E8"/>
    <w:rsid w:val="207A05EC"/>
    <w:rsid w:val="208714FC"/>
    <w:rsid w:val="208F03B0"/>
    <w:rsid w:val="209B7C66"/>
    <w:rsid w:val="209D0D1F"/>
    <w:rsid w:val="209E5705"/>
    <w:rsid w:val="209F2A54"/>
    <w:rsid w:val="209F45BD"/>
    <w:rsid w:val="20A51982"/>
    <w:rsid w:val="20C51CD3"/>
    <w:rsid w:val="20D4639D"/>
    <w:rsid w:val="20D66E22"/>
    <w:rsid w:val="20DA037C"/>
    <w:rsid w:val="20DA472F"/>
    <w:rsid w:val="20E029BA"/>
    <w:rsid w:val="20E643A0"/>
    <w:rsid w:val="20F87891"/>
    <w:rsid w:val="20FD531A"/>
    <w:rsid w:val="210A7A37"/>
    <w:rsid w:val="21132D8F"/>
    <w:rsid w:val="21151023"/>
    <w:rsid w:val="211F7986"/>
    <w:rsid w:val="212030B2"/>
    <w:rsid w:val="21211C5A"/>
    <w:rsid w:val="212F6347"/>
    <w:rsid w:val="2136082C"/>
    <w:rsid w:val="213C7056"/>
    <w:rsid w:val="213F0878"/>
    <w:rsid w:val="213F2226"/>
    <w:rsid w:val="214C3BAE"/>
    <w:rsid w:val="21502667"/>
    <w:rsid w:val="21671048"/>
    <w:rsid w:val="216A30E1"/>
    <w:rsid w:val="21846149"/>
    <w:rsid w:val="21860142"/>
    <w:rsid w:val="218A325D"/>
    <w:rsid w:val="218C684C"/>
    <w:rsid w:val="21925261"/>
    <w:rsid w:val="21933ED0"/>
    <w:rsid w:val="21957AA6"/>
    <w:rsid w:val="219E6AFD"/>
    <w:rsid w:val="219F3832"/>
    <w:rsid w:val="219F4623"/>
    <w:rsid w:val="21A1039B"/>
    <w:rsid w:val="21A51EC6"/>
    <w:rsid w:val="21AE532C"/>
    <w:rsid w:val="21B80B42"/>
    <w:rsid w:val="21C24E71"/>
    <w:rsid w:val="21D21888"/>
    <w:rsid w:val="21E12E8E"/>
    <w:rsid w:val="21E32762"/>
    <w:rsid w:val="21E71DEA"/>
    <w:rsid w:val="21ED5BD6"/>
    <w:rsid w:val="22023065"/>
    <w:rsid w:val="22037E3D"/>
    <w:rsid w:val="220628F4"/>
    <w:rsid w:val="221537A1"/>
    <w:rsid w:val="221768AF"/>
    <w:rsid w:val="22194137"/>
    <w:rsid w:val="221E5B15"/>
    <w:rsid w:val="22274D44"/>
    <w:rsid w:val="22356D36"/>
    <w:rsid w:val="223B6BE7"/>
    <w:rsid w:val="223C1E72"/>
    <w:rsid w:val="22531C2F"/>
    <w:rsid w:val="2262063B"/>
    <w:rsid w:val="226508ED"/>
    <w:rsid w:val="22665141"/>
    <w:rsid w:val="226976AF"/>
    <w:rsid w:val="227635D6"/>
    <w:rsid w:val="22792AE5"/>
    <w:rsid w:val="227930C6"/>
    <w:rsid w:val="228B6AB8"/>
    <w:rsid w:val="22954DFB"/>
    <w:rsid w:val="22A2261D"/>
    <w:rsid w:val="22AA14D2"/>
    <w:rsid w:val="22B20386"/>
    <w:rsid w:val="22B32F7A"/>
    <w:rsid w:val="22B70A69"/>
    <w:rsid w:val="22BA2C18"/>
    <w:rsid w:val="22BD1205"/>
    <w:rsid w:val="22C00CF5"/>
    <w:rsid w:val="22C65AEC"/>
    <w:rsid w:val="22C84FC9"/>
    <w:rsid w:val="22CE13BD"/>
    <w:rsid w:val="22D45D1F"/>
    <w:rsid w:val="22D81392"/>
    <w:rsid w:val="22E53212"/>
    <w:rsid w:val="22E907A2"/>
    <w:rsid w:val="22EA373B"/>
    <w:rsid w:val="22EA7B20"/>
    <w:rsid w:val="230279FC"/>
    <w:rsid w:val="23113D47"/>
    <w:rsid w:val="231223A3"/>
    <w:rsid w:val="23151041"/>
    <w:rsid w:val="232A313F"/>
    <w:rsid w:val="234256AB"/>
    <w:rsid w:val="23452FA8"/>
    <w:rsid w:val="23495CBC"/>
    <w:rsid w:val="234B6811"/>
    <w:rsid w:val="235D4796"/>
    <w:rsid w:val="235F0369"/>
    <w:rsid w:val="2371065B"/>
    <w:rsid w:val="23713D9D"/>
    <w:rsid w:val="23791DA0"/>
    <w:rsid w:val="23A93537"/>
    <w:rsid w:val="23AC1E5D"/>
    <w:rsid w:val="23B720F8"/>
    <w:rsid w:val="23B819CC"/>
    <w:rsid w:val="23BD6FE3"/>
    <w:rsid w:val="23C1207F"/>
    <w:rsid w:val="23C3338D"/>
    <w:rsid w:val="23C62FBD"/>
    <w:rsid w:val="23C81C42"/>
    <w:rsid w:val="23D20CE0"/>
    <w:rsid w:val="23E10F23"/>
    <w:rsid w:val="23EB7FF4"/>
    <w:rsid w:val="23F26279"/>
    <w:rsid w:val="23FC5D5D"/>
    <w:rsid w:val="23FF595C"/>
    <w:rsid w:val="240159B3"/>
    <w:rsid w:val="24042E63"/>
    <w:rsid w:val="24101808"/>
    <w:rsid w:val="241678C4"/>
    <w:rsid w:val="241E2AAD"/>
    <w:rsid w:val="2421326D"/>
    <w:rsid w:val="24261DBA"/>
    <w:rsid w:val="242B1AE0"/>
    <w:rsid w:val="242E4F6B"/>
    <w:rsid w:val="243F5C4A"/>
    <w:rsid w:val="244B28FD"/>
    <w:rsid w:val="246758CC"/>
    <w:rsid w:val="24776664"/>
    <w:rsid w:val="24832D6D"/>
    <w:rsid w:val="248D27F1"/>
    <w:rsid w:val="24963975"/>
    <w:rsid w:val="249720B1"/>
    <w:rsid w:val="24977834"/>
    <w:rsid w:val="249B1395"/>
    <w:rsid w:val="24AA3E9F"/>
    <w:rsid w:val="24AC69D2"/>
    <w:rsid w:val="24B94ECC"/>
    <w:rsid w:val="24C26FA6"/>
    <w:rsid w:val="24C42EA1"/>
    <w:rsid w:val="24CC0649"/>
    <w:rsid w:val="24CD1C80"/>
    <w:rsid w:val="24D368CC"/>
    <w:rsid w:val="24E24F53"/>
    <w:rsid w:val="24E52C95"/>
    <w:rsid w:val="24E76A0D"/>
    <w:rsid w:val="24E85B0E"/>
    <w:rsid w:val="24E9594A"/>
    <w:rsid w:val="24F91FD7"/>
    <w:rsid w:val="24FC2312"/>
    <w:rsid w:val="24FD1D8D"/>
    <w:rsid w:val="24FF2735"/>
    <w:rsid w:val="250046DC"/>
    <w:rsid w:val="250937F2"/>
    <w:rsid w:val="25146DA4"/>
    <w:rsid w:val="25150F03"/>
    <w:rsid w:val="25161E0D"/>
    <w:rsid w:val="252F3F10"/>
    <w:rsid w:val="2546218C"/>
    <w:rsid w:val="25476578"/>
    <w:rsid w:val="25551BC9"/>
    <w:rsid w:val="255F52DD"/>
    <w:rsid w:val="25623C83"/>
    <w:rsid w:val="25641764"/>
    <w:rsid w:val="25670E64"/>
    <w:rsid w:val="25836A16"/>
    <w:rsid w:val="25950217"/>
    <w:rsid w:val="259767E1"/>
    <w:rsid w:val="25997F44"/>
    <w:rsid w:val="259A3A7F"/>
    <w:rsid w:val="259A582D"/>
    <w:rsid w:val="259D0E7A"/>
    <w:rsid w:val="259D5804"/>
    <w:rsid w:val="25AE5C8C"/>
    <w:rsid w:val="25BF34E6"/>
    <w:rsid w:val="25CC2205"/>
    <w:rsid w:val="25CF7B25"/>
    <w:rsid w:val="25DB3A7F"/>
    <w:rsid w:val="25EF3DCB"/>
    <w:rsid w:val="25EF71CB"/>
    <w:rsid w:val="25F0544D"/>
    <w:rsid w:val="25F34F3E"/>
    <w:rsid w:val="26045C60"/>
    <w:rsid w:val="261550D4"/>
    <w:rsid w:val="261A49D8"/>
    <w:rsid w:val="261B56FC"/>
    <w:rsid w:val="2621677C"/>
    <w:rsid w:val="262306F1"/>
    <w:rsid w:val="26261822"/>
    <w:rsid w:val="262B4B2A"/>
    <w:rsid w:val="262E0050"/>
    <w:rsid w:val="2630659C"/>
    <w:rsid w:val="263B259E"/>
    <w:rsid w:val="26414594"/>
    <w:rsid w:val="264C3087"/>
    <w:rsid w:val="26716CD2"/>
    <w:rsid w:val="26767AD1"/>
    <w:rsid w:val="26797620"/>
    <w:rsid w:val="26850942"/>
    <w:rsid w:val="26864004"/>
    <w:rsid w:val="26890504"/>
    <w:rsid w:val="268C4A4A"/>
    <w:rsid w:val="26903450"/>
    <w:rsid w:val="26991969"/>
    <w:rsid w:val="26A34BB6"/>
    <w:rsid w:val="26A36964"/>
    <w:rsid w:val="26AD76D2"/>
    <w:rsid w:val="26B5091A"/>
    <w:rsid w:val="26D15241"/>
    <w:rsid w:val="26D92385"/>
    <w:rsid w:val="26E36D60"/>
    <w:rsid w:val="26EC20B9"/>
    <w:rsid w:val="26F7280B"/>
    <w:rsid w:val="26F95486"/>
    <w:rsid w:val="26FD3AB6"/>
    <w:rsid w:val="27017F84"/>
    <w:rsid w:val="27085698"/>
    <w:rsid w:val="27086D5E"/>
    <w:rsid w:val="2710526A"/>
    <w:rsid w:val="27115412"/>
    <w:rsid w:val="27194E78"/>
    <w:rsid w:val="27233CC4"/>
    <w:rsid w:val="273B4DEE"/>
    <w:rsid w:val="273B4F86"/>
    <w:rsid w:val="27475901"/>
    <w:rsid w:val="274E0C19"/>
    <w:rsid w:val="27547EF1"/>
    <w:rsid w:val="2762237B"/>
    <w:rsid w:val="278247CB"/>
    <w:rsid w:val="27A33008"/>
    <w:rsid w:val="27A83328"/>
    <w:rsid w:val="27AC6E57"/>
    <w:rsid w:val="27C04F06"/>
    <w:rsid w:val="27C923FA"/>
    <w:rsid w:val="27D8516B"/>
    <w:rsid w:val="27E014F2"/>
    <w:rsid w:val="27E31A18"/>
    <w:rsid w:val="27F21951"/>
    <w:rsid w:val="28013942"/>
    <w:rsid w:val="280B1A43"/>
    <w:rsid w:val="280E2503"/>
    <w:rsid w:val="2816750C"/>
    <w:rsid w:val="28201A72"/>
    <w:rsid w:val="282633A8"/>
    <w:rsid w:val="285E0D94"/>
    <w:rsid w:val="28645955"/>
    <w:rsid w:val="28645BDB"/>
    <w:rsid w:val="28732384"/>
    <w:rsid w:val="287B1CF7"/>
    <w:rsid w:val="287C74F6"/>
    <w:rsid w:val="287D0F40"/>
    <w:rsid w:val="28927BEE"/>
    <w:rsid w:val="289447B6"/>
    <w:rsid w:val="289D72E9"/>
    <w:rsid w:val="28A80261"/>
    <w:rsid w:val="28C204EE"/>
    <w:rsid w:val="28D265E4"/>
    <w:rsid w:val="28E84B02"/>
    <w:rsid w:val="291E49C7"/>
    <w:rsid w:val="29200286"/>
    <w:rsid w:val="29263821"/>
    <w:rsid w:val="29347D47"/>
    <w:rsid w:val="293876EC"/>
    <w:rsid w:val="29411409"/>
    <w:rsid w:val="29542CFE"/>
    <w:rsid w:val="296D0493"/>
    <w:rsid w:val="2974623F"/>
    <w:rsid w:val="297C349F"/>
    <w:rsid w:val="298955F8"/>
    <w:rsid w:val="298B7936"/>
    <w:rsid w:val="298E38FB"/>
    <w:rsid w:val="298F31CF"/>
    <w:rsid w:val="29904216"/>
    <w:rsid w:val="299261DF"/>
    <w:rsid w:val="29997033"/>
    <w:rsid w:val="29B82726"/>
    <w:rsid w:val="29B9142F"/>
    <w:rsid w:val="29BB15F8"/>
    <w:rsid w:val="29BF52CD"/>
    <w:rsid w:val="29C42E79"/>
    <w:rsid w:val="29C62990"/>
    <w:rsid w:val="29CB06AB"/>
    <w:rsid w:val="29CC6CA4"/>
    <w:rsid w:val="29D33359"/>
    <w:rsid w:val="29D3380A"/>
    <w:rsid w:val="29D564C2"/>
    <w:rsid w:val="29E05449"/>
    <w:rsid w:val="29E17ECF"/>
    <w:rsid w:val="29ED0D25"/>
    <w:rsid w:val="2A0140CD"/>
    <w:rsid w:val="2A076C8B"/>
    <w:rsid w:val="2A0B4F4C"/>
    <w:rsid w:val="2A141E18"/>
    <w:rsid w:val="2A1A0E01"/>
    <w:rsid w:val="2A1C3F0A"/>
    <w:rsid w:val="2A2348E7"/>
    <w:rsid w:val="2A273408"/>
    <w:rsid w:val="2A3049B2"/>
    <w:rsid w:val="2A3E4394"/>
    <w:rsid w:val="2A4346E5"/>
    <w:rsid w:val="2A506E02"/>
    <w:rsid w:val="2A521023"/>
    <w:rsid w:val="2A5A2A9B"/>
    <w:rsid w:val="2A613F72"/>
    <w:rsid w:val="2A6C52BE"/>
    <w:rsid w:val="2A6E1037"/>
    <w:rsid w:val="2A6E5995"/>
    <w:rsid w:val="2A7228D5"/>
    <w:rsid w:val="2AA35184"/>
    <w:rsid w:val="2AA44A58"/>
    <w:rsid w:val="2AAB3C66"/>
    <w:rsid w:val="2AAB6623"/>
    <w:rsid w:val="2AAD417B"/>
    <w:rsid w:val="2AAF4215"/>
    <w:rsid w:val="2ABD11D7"/>
    <w:rsid w:val="2AC34B3B"/>
    <w:rsid w:val="2AC86999"/>
    <w:rsid w:val="2AD05F31"/>
    <w:rsid w:val="2AD33110"/>
    <w:rsid w:val="2AD40919"/>
    <w:rsid w:val="2AD43590"/>
    <w:rsid w:val="2AE5579D"/>
    <w:rsid w:val="2AEB07F7"/>
    <w:rsid w:val="2AEB15F8"/>
    <w:rsid w:val="2AF54C38"/>
    <w:rsid w:val="2AF75775"/>
    <w:rsid w:val="2AF958C0"/>
    <w:rsid w:val="2AFC42D1"/>
    <w:rsid w:val="2AFE3223"/>
    <w:rsid w:val="2B0F0E4C"/>
    <w:rsid w:val="2B1E0CAF"/>
    <w:rsid w:val="2B200C24"/>
    <w:rsid w:val="2B2D0EF2"/>
    <w:rsid w:val="2B3E6C5B"/>
    <w:rsid w:val="2B3F54F1"/>
    <w:rsid w:val="2B465B0F"/>
    <w:rsid w:val="2B55240C"/>
    <w:rsid w:val="2B5841C1"/>
    <w:rsid w:val="2B5926E0"/>
    <w:rsid w:val="2B632B65"/>
    <w:rsid w:val="2B6C6A93"/>
    <w:rsid w:val="2B700A50"/>
    <w:rsid w:val="2B717030"/>
    <w:rsid w:val="2B82123D"/>
    <w:rsid w:val="2B832919"/>
    <w:rsid w:val="2B87340F"/>
    <w:rsid w:val="2B885500"/>
    <w:rsid w:val="2B922289"/>
    <w:rsid w:val="2BB71FB5"/>
    <w:rsid w:val="2BCF633B"/>
    <w:rsid w:val="2BE55943"/>
    <w:rsid w:val="2BE772F2"/>
    <w:rsid w:val="2BE77795"/>
    <w:rsid w:val="2C057779"/>
    <w:rsid w:val="2C06436C"/>
    <w:rsid w:val="2C0B2C64"/>
    <w:rsid w:val="2C0C1D01"/>
    <w:rsid w:val="2C0E6579"/>
    <w:rsid w:val="2C106849"/>
    <w:rsid w:val="2C1764C2"/>
    <w:rsid w:val="2C1E4728"/>
    <w:rsid w:val="2C2422F5"/>
    <w:rsid w:val="2C2F7B89"/>
    <w:rsid w:val="2C4B7DF0"/>
    <w:rsid w:val="2C561EEC"/>
    <w:rsid w:val="2C583D4C"/>
    <w:rsid w:val="2C5B55EB"/>
    <w:rsid w:val="2C5F2B65"/>
    <w:rsid w:val="2C6D1C96"/>
    <w:rsid w:val="2C6E3BBE"/>
    <w:rsid w:val="2C6E6B28"/>
    <w:rsid w:val="2C7E2C78"/>
    <w:rsid w:val="2C820DC9"/>
    <w:rsid w:val="2C884E59"/>
    <w:rsid w:val="2C950AFD"/>
    <w:rsid w:val="2CC413E2"/>
    <w:rsid w:val="2CCF6239"/>
    <w:rsid w:val="2CD20428"/>
    <w:rsid w:val="2CD242A3"/>
    <w:rsid w:val="2CD25FEA"/>
    <w:rsid w:val="2CD54D1D"/>
    <w:rsid w:val="2CDF2583"/>
    <w:rsid w:val="2CDF621C"/>
    <w:rsid w:val="2CE81574"/>
    <w:rsid w:val="2CF03F85"/>
    <w:rsid w:val="2CF04DFE"/>
    <w:rsid w:val="2D1242B0"/>
    <w:rsid w:val="2D214A9F"/>
    <w:rsid w:val="2D340315"/>
    <w:rsid w:val="2D3A39FB"/>
    <w:rsid w:val="2D474412"/>
    <w:rsid w:val="2D4744ED"/>
    <w:rsid w:val="2D4E203D"/>
    <w:rsid w:val="2D517119"/>
    <w:rsid w:val="2D547854"/>
    <w:rsid w:val="2D5719FD"/>
    <w:rsid w:val="2D885FB0"/>
    <w:rsid w:val="2D8A3711"/>
    <w:rsid w:val="2D8B7E46"/>
    <w:rsid w:val="2D8C0151"/>
    <w:rsid w:val="2D943381"/>
    <w:rsid w:val="2D9A3018"/>
    <w:rsid w:val="2DA27975"/>
    <w:rsid w:val="2DAA28F9"/>
    <w:rsid w:val="2DB050F7"/>
    <w:rsid w:val="2DB540BA"/>
    <w:rsid w:val="2DB70EB7"/>
    <w:rsid w:val="2DBC359D"/>
    <w:rsid w:val="2DBF09AB"/>
    <w:rsid w:val="2DD074DC"/>
    <w:rsid w:val="2DD12008"/>
    <w:rsid w:val="2DD80E6F"/>
    <w:rsid w:val="2DE949C5"/>
    <w:rsid w:val="2DF11AEB"/>
    <w:rsid w:val="2DF31F7F"/>
    <w:rsid w:val="2DF45796"/>
    <w:rsid w:val="2E057F04"/>
    <w:rsid w:val="2E093082"/>
    <w:rsid w:val="2E0B63F5"/>
    <w:rsid w:val="2E0D12EA"/>
    <w:rsid w:val="2E187865"/>
    <w:rsid w:val="2E255EB0"/>
    <w:rsid w:val="2E2627B5"/>
    <w:rsid w:val="2E2A34C6"/>
    <w:rsid w:val="2E2C36E3"/>
    <w:rsid w:val="2E4D2353"/>
    <w:rsid w:val="2E501652"/>
    <w:rsid w:val="2E586286"/>
    <w:rsid w:val="2E601599"/>
    <w:rsid w:val="2E69345D"/>
    <w:rsid w:val="2E6D4270"/>
    <w:rsid w:val="2E757D46"/>
    <w:rsid w:val="2E821554"/>
    <w:rsid w:val="2E9279E9"/>
    <w:rsid w:val="2E961C8D"/>
    <w:rsid w:val="2E9A7ACB"/>
    <w:rsid w:val="2E9E47DE"/>
    <w:rsid w:val="2EB536D8"/>
    <w:rsid w:val="2EB865D8"/>
    <w:rsid w:val="2EBA32EE"/>
    <w:rsid w:val="2EC27BA3"/>
    <w:rsid w:val="2EC851B9"/>
    <w:rsid w:val="2ED350EC"/>
    <w:rsid w:val="2ED36EE3"/>
    <w:rsid w:val="2ED7364E"/>
    <w:rsid w:val="2F1A79DF"/>
    <w:rsid w:val="2F1D0953"/>
    <w:rsid w:val="2F24653F"/>
    <w:rsid w:val="2F3E5CCB"/>
    <w:rsid w:val="2F47084F"/>
    <w:rsid w:val="2F4B06AE"/>
    <w:rsid w:val="2F560A17"/>
    <w:rsid w:val="2F570FD7"/>
    <w:rsid w:val="2F6D7FDB"/>
    <w:rsid w:val="2F6E3407"/>
    <w:rsid w:val="2F6F7D2B"/>
    <w:rsid w:val="2F731324"/>
    <w:rsid w:val="2F750BAF"/>
    <w:rsid w:val="2F76051C"/>
    <w:rsid w:val="2F77098D"/>
    <w:rsid w:val="2F807842"/>
    <w:rsid w:val="2F85474A"/>
    <w:rsid w:val="2F902E20"/>
    <w:rsid w:val="2F966D8F"/>
    <w:rsid w:val="2FAF1CC4"/>
    <w:rsid w:val="2FB25651"/>
    <w:rsid w:val="2FB41BE1"/>
    <w:rsid w:val="2FB475A5"/>
    <w:rsid w:val="2FB8055F"/>
    <w:rsid w:val="2FBE036A"/>
    <w:rsid w:val="2FC516F9"/>
    <w:rsid w:val="2FCA72C2"/>
    <w:rsid w:val="2FDD5A67"/>
    <w:rsid w:val="2FEB727A"/>
    <w:rsid w:val="2FF11C50"/>
    <w:rsid w:val="300C37CC"/>
    <w:rsid w:val="30156353"/>
    <w:rsid w:val="30180474"/>
    <w:rsid w:val="3025300D"/>
    <w:rsid w:val="30312C09"/>
    <w:rsid w:val="30357ABB"/>
    <w:rsid w:val="30405AEB"/>
    <w:rsid w:val="30416433"/>
    <w:rsid w:val="305B2034"/>
    <w:rsid w:val="305F7D9F"/>
    <w:rsid w:val="30646BFD"/>
    <w:rsid w:val="30666918"/>
    <w:rsid w:val="306A652A"/>
    <w:rsid w:val="306A7CB8"/>
    <w:rsid w:val="306B6744"/>
    <w:rsid w:val="30797A5F"/>
    <w:rsid w:val="307D1FD3"/>
    <w:rsid w:val="30851A6D"/>
    <w:rsid w:val="30893E07"/>
    <w:rsid w:val="308C0468"/>
    <w:rsid w:val="308D19DE"/>
    <w:rsid w:val="30924DDF"/>
    <w:rsid w:val="30934DE4"/>
    <w:rsid w:val="309409D1"/>
    <w:rsid w:val="309644F8"/>
    <w:rsid w:val="30A43510"/>
    <w:rsid w:val="30A47560"/>
    <w:rsid w:val="30AE4883"/>
    <w:rsid w:val="30C4517D"/>
    <w:rsid w:val="30C70FBE"/>
    <w:rsid w:val="30C77358"/>
    <w:rsid w:val="30D330AB"/>
    <w:rsid w:val="30E45AB0"/>
    <w:rsid w:val="30EB518F"/>
    <w:rsid w:val="30F962A3"/>
    <w:rsid w:val="30FD3669"/>
    <w:rsid w:val="31004305"/>
    <w:rsid w:val="3105267B"/>
    <w:rsid w:val="310821E5"/>
    <w:rsid w:val="310C4884"/>
    <w:rsid w:val="31195478"/>
    <w:rsid w:val="311970B4"/>
    <w:rsid w:val="3121625B"/>
    <w:rsid w:val="31272204"/>
    <w:rsid w:val="312863E3"/>
    <w:rsid w:val="313905F0"/>
    <w:rsid w:val="31392D96"/>
    <w:rsid w:val="313E0EC8"/>
    <w:rsid w:val="31450871"/>
    <w:rsid w:val="314B66CC"/>
    <w:rsid w:val="315A2315"/>
    <w:rsid w:val="315A7B86"/>
    <w:rsid w:val="315E1EBC"/>
    <w:rsid w:val="31610221"/>
    <w:rsid w:val="31624BBF"/>
    <w:rsid w:val="317C5755"/>
    <w:rsid w:val="317F3CC1"/>
    <w:rsid w:val="31827DAB"/>
    <w:rsid w:val="31833AED"/>
    <w:rsid w:val="318765DF"/>
    <w:rsid w:val="318D6246"/>
    <w:rsid w:val="319B6BB5"/>
    <w:rsid w:val="31A64E42"/>
    <w:rsid w:val="31B1462B"/>
    <w:rsid w:val="31B71515"/>
    <w:rsid w:val="31B9528D"/>
    <w:rsid w:val="31C54436"/>
    <w:rsid w:val="31C679AA"/>
    <w:rsid w:val="31C9380E"/>
    <w:rsid w:val="31CC1328"/>
    <w:rsid w:val="31DB3455"/>
    <w:rsid w:val="31DE4CF4"/>
    <w:rsid w:val="31E83DC4"/>
    <w:rsid w:val="31EC5663"/>
    <w:rsid w:val="31F75486"/>
    <w:rsid w:val="31FC4E6F"/>
    <w:rsid w:val="3200110E"/>
    <w:rsid w:val="32052E86"/>
    <w:rsid w:val="3218136E"/>
    <w:rsid w:val="321E639F"/>
    <w:rsid w:val="322112BA"/>
    <w:rsid w:val="322D7B5F"/>
    <w:rsid w:val="32561097"/>
    <w:rsid w:val="326A2D20"/>
    <w:rsid w:val="326A4C5E"/>
    <w:rsid w:val="32764F2C"/>
    <w:rsid w:val="32827D75"/>
    <w:rsid w:val="32852B7B"/>
    <w:rsid w:val="32877139"/>
    <w:rsid w:val="328F3FE9"/>
    <w:rsid w:val="32935879"/>
    <w:rsid w:val="32A0200E"/>
    <w:rsid w:val="32A72D83"/>
    <w:rsid w:val="32B20681"/>
    <w:rsid w:val="32BC3287"/>
    <w:rsid w:val="32C1138B"/>
    <w:rsid w:val="32C43169"/>
    <w:rsid w:val="32C57C62"/>
    <w:rsid w:val="32CB56A5"/>
    <w:rsid w:val="32D026E1"/>
    <w:rsid w:val="32FD68F6"/>
    <w:rsid w:val="32FE731E"/>
    <w:rsid w:val="33016EEC"/>
    <w:rsid w:val="330A59BC"/>
    <w:rsid w:val="33112B67"/>
    <w:rsid w:val="332C05CF"/>
    <w:rsid w:val="332D4273"/>
    <w:rsid w:val="332E5807"/>
    <w:rsid w:val="33336C3F"/>
    <w:rsid w:val="333721D8"/>
    <w:rsid w:val="333E1891"/>
    <w:rsid w:val="33443CEA"/>
    <w:rsid w:val="3351443E"/>
    <w:rsid w:val="33550153"/>
    <w:rsid w:val="335A2AA0"/>
    <w:rsid w:val="335A3660"/>
    <w:rsid w:val="336531D4"/>
    <w:rsid w:val="33680D19"/>
    <w:rsid w:val="33781BD8"/>
    <w:rsid w:val="337904BA"/>
    <w:rsid w:val="337E678E"/>
    <w:rsid w:val="33825F4A"/>
    <w:rsid w:val="33863895"/>
    <w:rsid w:val="338813BB"/>
    <w:rsid w:val="339715FE"/>
    <w:rsid w:val="33984304"/>
    <w:rsid w:val="339E298D"/>
    <w:rsid w:val="33A82D64"/>
    <w:rsid w:val="33BF342F"/>
    <w:rsid w:val="33C70135"/>
    <w:rsid w:val="33CA657B"/>
    <w:rsid w:val="33CF6FEA"/>
    <w:rsid w:val="33D340A9"/>
    <w:rsid w:val="33DC4794"/>
    <w:rsid w:val="33DC5263"/>
    <w:rsid w:val="33F36E40"/>
    <w:rsid w:val="33F56325"/>
    <w:rsid w:val="34000EC8"/>
    <w:rsid w:val="34015D57"/>
    <w:rsid w:val="34034EE6"/>
    <w:rsid w:val="34076784"/>
    <w:rsid w:val="340839BF"/>
    <w:rsid w:val="340842AA"/>
    <w:rsid w:val="340C3D9A"/>
    <w:rsid w:val="34133946"/>
    <w:rsid w:val="34160775"/>
    <w:rsid w:val="341A3E87"/>
    <w:rsid w:val="34360E17"/>
    <w:rsid w:val="34371239"/>
    <w:rsid w:val="34384957"/>
    <w:rsid w:val="3444356E"/>
    <w:rsid w:val="34453D9F"/>
    <w:rsid w:val="344C595B"/>
    <w:rsid w:val="345E3ECA"/>
    <w:rsid w:val="346B6C5F"/>
    <w:rsid w:val="346C2A8B"/>
    <w:rsid w:val="34741569"/>
    <w:rsid w:val="34842C2E"/>
    <w:rsid w:val="348B2EC1"/>
    <w:rsid w:val="348F22D5"/>
    <w:rsid w:val="34980AC4"/>
    <w:rsid w:val="34B1049E"/>
    <w:rsid w:val="34B9221B"/>
    <w:rsid w:val="34BE410B"/>
    <w:rsid w:val="34C46423"/>
    <w:rsid w:val="34CC65D3"/>
    <w:rsid w:val="34CD71AE"/>
    <w:rsid w:val="34D523DE"/>
    <w:rsid w:val="34D80120"/>
    <w:rsid w:val="34D92909"/>
    <w:rsid w:val="34DB19BE"/>
    <w:rsid w:val="34E22D4D"/>
    <w:rsid w:val="34E97C37"/>
    <w:rsid w:val="34F405FF"/>
    <w:rsid w:val="34F85849"/>
    <w:rsid w:val="34FA0097"/>
    <w:rsid w:val="34FE0AB4"/>
    <w:rsid w:val="35082926"/>
    <w:rsid w:val="350F0945"/>
    <w:rsid w:val="35213875"/>
    <w:rsid w:val="352B6A5C"/>
    <w:rsid w:val="352D221A"/>
    <w:rsid w:val="352F308C"/>
    <w:rsid w:val="35301317"/>
    <w:rsid w:val="353103B5"/>
    <w:rsid w:val="35356CED"/>
    <w:rsid w:val="353C4514"/>
    <w:rsid w:val="35421F0D"/>
    <w:rsid w:val="355C710A"/>
    <w:rsid w:val="355D23D3"/>
    <w:rsid w:val="355E6877"/>
    <w:rsid w:val="35647C06"/>
    <w:rsid w:val="35690D78"/>
    <w:rsid w:val="356B6A57"/>
    <w:rsid w:val="356E6D37"/>
    <w:rsid w:val="357945E5"/>
    <w:rsid w:val="35876C0D"/>
    <w:rsid w:val="358856A2"/>
    <w:rsid w:val="35977A46"/>
    <w:rsid w:val="35A3072E"/>
    <w:rsid w:val="35A31C66"/>
    <w:rsid w:val="35A97A42"/>
    <w:rsid w:val="35AB4A15"/>
    <w:rsid w:val="35AC38F8"/>
    <w:rsid w:val="35B84990"/>
    <w:rsid w:val="35BB5A78"/>
    <w:rsid w:val="35C8047F"/>
    <w:rsid w:val="35CC3135"/>
    <w:rsid w:val="35D703D8"/>
    <w:rsid w:val="35EF74CF"/>
    <w:rsid w:val="35FA7C22"/>
    <w:rsid w:val="360F7B72"/>
    <w:rsid w:val="361B54D7"/>
    <w:rsid w:val="36214281"/>
    <w:rsid w:val="36296DAE"/>
    <w:rsid w:val="3632560E"/>
    <w:rsid w:val="363E3FB3"/>
    <w:rsid w:val="36421CF5"/>
    <w:rsid w:val="36463B94"/>
    <w:rsid w:val="364728C6"/>
    <w:rsid w:val="365256CD"/>
    <w:rsid w:val="36541A28"/>
    <w:rsid w:val="365A5D15"/>
    <w:rsid w:val="366213DA"/>
    <w:rsid w:val="3665711A"/>
    <w:rsid w:val="36723C5D"/>
    <w:rsid w:val="369B7657"/>
    <w:rsid w:val="369E2CA4"/>
    <w:rsid w:val="36A24542"/>
    <w:rsid w:val="36A46DB4"/>
    <w:rsid w:val="36AB2A97"/>
    <w:rsid w:val="36AF6C5F"/>
    <w:rsid w:val="36BE5673"/>
    <w:rsid w:val="36CD05C3"/>
    <w:rsid w:val="36EC3A0F"/>
    <w:rsid w:val="36EE59D9"/>
    <w:rsid w:val="37013421"/>
    <w:rsid w:val="37040B9D"/>
    <w:rsid w:val="371A0990"/>
    <w:rsid w:val="372D0D72"/>
    <w:rsid w:val="37341DBA"/>
    <w:rsid w:val="373830F8"/>
    <w:rsid w:val="37397F6D"/>
    <w:rsid w:val="373B6744"/>
    <w:rsid w:val="373D1531"/>
    <w:rsid w:val="37433F55"/>
    <w:rsid w:val="3748158D"/>
    <w:rsid w:val="375F3344"/>
    <w:rsid w:val="37603F8F"/>
    <w:rsid w:val="37684573"/>
    <w:rsid w:val="377203B8"/>
    <w:rsid w:val="37783736"/>
    <w:rsid w:val="378356B5"/>
    <w:rsid w:val="37932920"/>
    <w:rsid w:val="379524E0"/>
    <w:rsid w:val="379F2B4A"/>
    <w:rsid w:val="37A23FE5"/>
    <w:rsid w:val="37A32B62"/>
    <w:rsid w:val="37A95B01"/>
    <w:rsid w:val="37AC4521"/>
    <w:rsid w:val="37B426A3"/>
    <w:rsid w:val="37B8123D"/>
    <w:rsid w:val="37BA3B0D"/>
    <w:rsid w:val="37BF4F82"/>
    <w:rsid w:val="37C84F19"/>
    <w:rsid w:val="37D73D98"/>
    <w:rsid w:val="37D81A36"/>
    <w:rsid w:val="37DC1CD5"/>
    <w:rsid w:val="37DC6776"/>
    <w:rsid w:val="37DF1F1A"/>
    <w:rsid w:val="37E56DDC"/>
    <w:rsid w:val="37E8067A"/>
    <w:rsid w:val="37FB65FF"/>
    <w:rsid w:val="37FF59C4"/>
    <w:rsid w:val="380533E9"/>
    <w:rsid w:val="38103A87"/>
    <w:rsid w:val="381E64F5"/>
    <w:rsid w:val="38263B5F"/>
    <w:rsid w:val="382B20B3"/>
    <w:rsid w:val="382D55B6"/>
    <w:rsid w:val="383149C2"/>
    <w:rsid w:val="38323C8A"/>
    <w:rsid w:val="383F6EE0"/>
    <w:rsid w:val="38434DC4"/>
    <w:rsid w:val="384719E3"/>
    <w:rsid w:val="38664C72"/>
    <w:rsid w:val="38677D19"/>
    <w:rsid w:val="38707091"/>
    <w:rsid w:val="38750761"/>
    <w:rsid w:val="387B2E13"/>
    <w:rsid w:val="38821599"/>
    <w:rsid w:val="388D1222"/>
    <w:rsid w:val="38902794"/>
    <w:rsid w:val="389820A0"/>
    <w:rsid w:val="38BB7B3D"/>
    <w:rsid w:val="38C34C43"/>
    <w:rsid w:val="38C369F1"/>
    <w:rsid w:val="38CD7F35"/>
    <w:rsid w:val="38ED2171"/>
    <w:rsid w:val="38F2046B"/>
    <w:rsid w:val="38F56527"/>
    <w:rsid w:val="38F8063F"/>
    <w:rsid w:val="38F80D91"/>
    <w:rsid w:val="38FB607F"/>
    <w:rsid w:val="390842F2"/>
    <w:rsid w:val="390A2872"/>
    <w:rsid w:val="390E705C"/>
    <w:rsid w:val="391A1D33"/>
    <w:rsid w:val="3921237D"/>
    <w:rsid w:val="39217BFC"/>
    <w:rsid w:val="39225E0E"/>
    <w:rsid w:val="39373743"/>
    <w:rsid w:val="39415040"/>
    <w:rsid w:val="394250FE"/>
    <w:rsid w:val="394713D0"/>
    <w:rsid w:val="39496958"/>
    <w:rsid w:val="39504729"/>
    <w:rsid w:val="396300AA"/>
    <w:rsid w:val="396401D4"/>
    <w:rsid w:val="39644D95"/>
    <w:rsid w:val="39682ADB"/>
    <w:rsid w:val="396B3311"/>
    <w:rsid w:val="39723725"/>
    <w:rsid w:val="39765FC0"/>
    <w:rsid w:val="398126A4"/>
    <w:rsid w:val="398154AF"/>
    <w:rsid w:val="39871519"/>
    <w:rsid w:val="39903AEB"/>
    <w:rsid w:val="399121B5"/>
    <w:rsid w:val="39953421"/>
    <w:rsid w:val="39A04098"/>
    <w:rsid w:val="39A04C8F"/>
    <w:rsid w:val="39A05497"/>
    <w:rsid w:val="39AC7D00"/>
    <w:rsid w:val="39B324CD"/>
    <w:rsid w:val="39B822CE"/>
    <w:rsid w:val="39C52C0D"/>
    <w:rsid w:val="39CB0253"/>
    <w:rsid w:val="39CD0FE4"/>
    <w:rsid w:val="39CD7260"/>
    <w:rsid w:val="39D33524"/>
    <w:rsid w:val="39D74761"/>
    <w:rsid w:val="39DD371F"/>
    <w:rsid w:val="39DD3AE3"/>
    <w:rsid w:val="39E135D3"/>
    <w:rsid w:val="39EA12CC"/>
    <w:rsid w:val="39F07CBA"/>
    <w:rsid w:val="39F601D0"/>
    <w:rsid w:val="39F6317C"/>
    <w:rsid w:val="39F71049"/>
    <w:rsid w:val="39F77D54"/>
    <w:rsid w:val="39F94DC1"/>
    <w:rsid w:val="39FA28E7"/>
    <w:rsid w:val="39FD0783"/>
    <w:rsid w:val="3A083BC2"/>
    <w:rsid w:val="3A092081"/>
    <w:rsid w:val="3A0C3897"/>
    <w:rsid w:val="3A162F92"/>
    <w:rsid w:val="3A1918DE"/>
    <w:rsid w:val="3A263172"/>
    <w:rsid w:val="3A290D5D"/>
    <w:rsid w:val="3A2A53FC"/>
    <w:rsid w:val="3A2B0CF2"/>
    <w:rsid w:val="3A322808"/>
    <w:rsid w:val="3A421856"/>
    <w:rsid w:val="3A4F49E1"/>
    <w:rsid w:val="3A52705B"/>
    <w:rsid w:val="3A54012E"/>
    <w:rsid w:val="3A6464DA"/>
    <w:rsid w:val="3A6467EB"/>
    <w:rsid w:val="3A6C5593"/>
    <w:rsid w:val="3A6D4E67"/>
    <w:rsid w:val="3A751082"/>
    <w:rsid w:val="3A7B3F01"/>
    <w:rsid w:val="3A854144"/>
    <w:rsid w:val="3A86542E"/>
    <w:rsid w:val="3A8A3559"/>
    <w:rsid w:val="3A8D1EDA"/>
    <w:rsid w:val="3A925AE8"/>
    <w:rsid w:val="3A9F75B9"/>
    <w:rsid w:val="3AA06C00"/>
    <w:rsid w:val="3AA6008B"/>
    <w:rsid w:val="3AA65FFC"/>
    <w:rsid w:val="3AA755BB"/>
    <w:rsid w:val="3ABB1F8D"/>
    <w:rsid w:val="3AEE222D"/>
    <w:rsid w:val="3AF61300"/>
    <w:rsid w:val="3AF81AD8"/>
    <w:rsid w:val="3B0B7552"/>
    <w:rsid w:val="3B152C0F"/>
    <w:rsid w:val="3B1B0D67"/>
    <w:rsid w:val="3B2E0154"/>
    <w:rsid w:val="3B3360B0"/>
    <w:rsid w:val="3B351E28"/>
    <w:rsid w:val="3B394104"/>
    <w:rsid w:val="3B4824DB"/>
    <w:rsid w:val="3B5322AF"/>
    <w:rsid w:val="3B54266B"/>
    <w:rsid w:val="3B5B1163"/>
    <w:rsid w:val="3B672905"/>
    <w:rsid w:val="3B691AD2"/>
    <w:rsid w:val="3B702E61"/>
    <w:rsid w:val="3B731601"/>
    <w:rsid w:val="3B737396"/>
    <w:rsid w:val="3B7B35B3"/>
    <w:rsid w:val="3B80097F"/>
    <w:rsid w:val="3B90705F"/>
    <w:rsid w:val="3B950B19"/>
    <w:rsid w:val="3BA56B50"/>
    <w:rsid w:val="3BA86C61"/>
    <w:rsid w:val="3BB41BA7"/>
    <w:rsid w:val="3BB978A9"/>
    <w:rsid w:val="3BC907C3"/>
    <w:rsid w:val="3BC9358E"/>
    <w:rsid w:val="3BD74C8E"/>
    <w:rsid w:val="3BE8519F"/>
    <w:rsid w:val="3BE86E9B"/>
    <w:rsid w:val="3BEE46CD"/>
    <w:rsid w:val="3BF227E9"/>
    <w:rsid w:val="3BF33A92"/>
    <w:rsid w:val="3BF70E8C"/>
    <w:rsid w:val="3BF82E56"/>
    <w:rsid w:val="3C0042F3"/>
    <w:rsid w:val="3C0161AE"/>
    <w:rsid w:val="3C066FA7"/>
    <w:rsid w:val="3C1202E3"/>
    <w:rsid w:val="3C1F4887"/>
    <w:rsid w:val="3C2105FF"/>
    <w:rsid w:val="3C243C4B"/>
    <w:rsid w:val="3C2F4ACD"/>
    <w:rsid w:val="3C3814A4"/>
    <w:rsid w:val="3C4248CF"/>
    <w:rsid w:val="3C4E6795"/>
    <w:rsid w:val="3C502C92"/>
    <w:rsid w:val="3C526A0A"/>
    <w:rsid w:val="3C552516"/>
    <w:rsid w:val="3C5A4393"/>
    <w:rsid w:val="3C5A766D"/>
    <w:rsid w:val="3C5C33E5"/>
    <w:rsid w:val="3C6458E9"/>
    <w:rsid w:val="3C6D35E8"/>
    <w:rsid w:val="3C88242C"/>
    <w:rsid w:val="3C926AEF"/>
    <w:rsid w:val="3C9D5708"/>
    <w:rsid w:val="3CA43E5C"/>
    <w:rsid w:val="3CAE5605"/>
    <w:rsid w:val="3CB74ABF"/>
    <w:rsid w:val="3CC03AAB"/>
    <w:rsid w:val="3CC1608E"/>
    <w:rsid w:val="3CC35212"/>
    <w:rsid w:val="3CCF5D67"/>
    <w:rsid w:val="3CD8352B"/>
    <w:rsid w:val="3CDD113C"/>
    <w:rsid w:val="3CDD5374"/>
    <w:rsid w:val="3CE1483E"/>
    <w:rsid w:val="3CE77152"/>
    <w:rsid w:val="3CE87635"/>
    <w:rsid w:val="3D0A013D"/>
    <w:rsid w:val="3D0D2A81"/>
    <w:rsid w:val="3D1B32A0"/>
    <w:rsid w:val="3D206187"/>
    <w:rsid w:val="3D2427E0"/>
    <w:rsid w:val="3D3305EA"/>
    <w:rsid w:val="3D3E0D3C"/>
    <w:rsid w:val="3D430101"/>
    <w:rsid w:val="3D4445A5"/>
    <w:rsid w:val="3D4537B6"/>
    <w:rsid w:val="3D591ABC"/>
    <w:rsid w:val="3D5F13DF"/>
    <w:rsid w:val="3D6C09D0"/>
    <w:rsid w:val="3D7346EB"/>
    <w:rsid w:val="3D7D3613"/>
    <w:rsid w:val="3D841332"/>
    <w:rsid w:val="3D891FB8"/>
    <w:rsid w:val="3D941B95"/>
    <w:rsid w:val="3D9F50BB"/>
    <w:rsid w:val="3DA52B6A"/>
    <w:rsid w:val="3DAB6D41"/>
    <w:rsid w:val="3DB82EC7"/>
    <w:rsid w:val="3DC16BA8"/>
    <w:rsid w:val="3DCA0DAC"/>
    <w:rsid w:val="3DDA0A65"/>
    <w:rsid w:val="3DDD7160"/>
    <w:rsid w:val="3DDF42CD"/>
    <w:rsid w:val="3DE61259"/>
    <w:rsid w:val="3DE6565C"/>
    <w:rsid w:val="3DE8681D"/>
    <w:rsid w:val="3DE970A0"/>
    <w:rsid w:val="3DF156C8"/>
    <w:rsid w:val="3DFA425E"/>
    <w:rsid w:val="3DFF604B"/>
    <w:rsid w:val="3E043D34"/>
    <w:rsid w:val="3E0C2BE9"/>
    <w:rsid w:val="3E151A9D"/>
    <w:rsid w:val="3E1F0B55"/>
    <w:rsid w:val="3E2D328B"/>
    <w:rsid w:val="3E2E0DB1"/>
    <w:rsid w:val="3E3C34CE"/>
    <w:rsid w:val="3E3C360C"/>
    <w:rsid w:val="3E3F2FCC"/>
    <w:rsid w:val="3E412892"/>
    <w:rsid w:val="3E4147A8"/>
    <w:rsid w:val="3E433C63"/>
    <w:rsid w:val="3E4660FB"/>
    <w:rsid w:val="3E62506E"/>
    <w:rsid w:val="3E6E16C1"/>
    <w:rsid w:val="3E8F30B2"/>
    <w:rsid w:val="3E9F20A1"/>
    <w:rsid w:val="3EA3354D"/>
    <w:rsid w:val="3EBD56B8"/>
    <w:rsid w:val="3EC9760C"/>
    <w:rsid w:val="3ED022A8"/>
    <w:rsid w:val="3ED032FF"/>
    <w:rsid w:val="3EE002FD"/>
    <w:rsid w:val="3EE80F60"/>
    <w:rsid w:val="3EF43DA9"/>
    <w:rsid w:val="3F1439EF"/>
    <w:rsid w:val="3F1A1396"/>
    <w:rsid w:val="3F4304D9"/>
    <w:rsid w:val="3F4668AA"/>
    <w:rsid w:val="3F5E48D2"/>
    <w:rsid w:val="3F66786F"/>
    <w:rsid w:val="3F6A406B"/>
    <w:rsid w:val="3F6B5F95"/>
    <w:rsid w:val="3F6E2AFA"/>
    <w:rsid w:val="3F7668E9"/>
    <w:rsid w:val="3F830C98"/>
    <w:rsid w:val="3F8E5FAB"/>
    <w:rsid w:val="3F9C7C43"/>
    <w:rsid w:val="3F9E4390"/>
    <w:rsid w:val="3F9F6F85"/>
    <w:rsid w:val="3FAA65DC"/>
    <w:rsid w:val="3FB05F21"/>
    <w:rsid w:val="3FB2368A"/>
    <w:rsid w:val="3FB44AD4"/>
    <w:rsid w:val="3FB672B0"/>
    <w:rsid w:val="3FB83028"/>
    <w:rsid w:val="3FB84DD6"/>
    <w:rsid w:val="3FBD7663"/>
    <w:rsid w:val="3FC46F26"/>
    <w:rsid w:val="3FC63852"/>
    <w:rsid w:val="3FC656D4"/>
    <w:rsid w:val="3FC65745"/>
    <w:rsid w:val="3FC94921"/>
    <w:rsid w:val="3FCB0CEA"/>
    <w:rsid w:val="3FD0283B"/>
    <w:rsid w:val="3FD0304D"/>
    <w:rsid w:val="3FD82C88"/>
    <w:rsid w:val="3FED2FEE"/>
    <w:rsid w:val="3FFE1E84"/>
    <w:rsid w:val="400C14BB"/>
    <w:rsid w:val="401C35B7"/>
    <w:rsid w:val="40271F5C"/>
    <w:rsid w:val="402C22A9"/>
    <w:rsid w:val="402C53E6"/>
    <w:rsid w:val="40404565"/>
    <w:rsid w:val="404605CF"/>
    <w:rsid w:val="404E6FB3"/>
    <w:rsid w:val="40532D51"/>
    <w:rsid w:val="40534544"/>
    <w:rsid w:val="405373A7"/>
    <w:rsid w:val="405961D5"/>
    <w:rsid w:val="405A6456"/>
    <w:rsid w:val="405D597D"/>
    <w:rsid w:val="406867FC"/>
    <w:rsid w:val="406D5354"/>
    <w:rsid w:val="40900279"/>
    <w:rsid w:val="4099576A"/>
    <w:rsid w:val="409C46F8"/>
    <w:rsid w:val="40A31410"/>
    <w:rsid w:val="40AB477C"/>
    <w:rsid w:val="40AB7DE6"/>
    <w:rsid w:val="40B27A77"/>
    <w:rsid w:val="40BB61AC"/>
    <w:rsid w:val="40C14092"/>
    <w:rsid w:val="40C4524F"/>
    <w:rsid w:val="40C864B9"/>
    <w:rsid w:val="40D02BA2"/>
    <w:rsid w:val="40D169B8"/>
    <w:rsid w:val="40E123C4"/>
    <w:rsid w:val="40F326A2"/>
    <w:rsid w:val="40F80D1D"/>
    <w:rsid w:val="41066BAC"/>
    <w:rsid w:val="411C75E7"/>
    <w:rsid w:val="412169AB"/>
    <w:rsid w:val="41220062"/>
    <w:rsid w:val="41230975"/>
    <w:rsid w:val="4125031A"/>
    <w:rsid w:val="412D2AD6"/>
    <w:rsid w:val="414670D0"/>
    <w:rsid w:val="416C40CA"/>
    <w:rsid w:val="4171348E"/>
    <w:rsid w:val="41764F49"/>
    <w:rsid w:val="418066ED"/>
    <w:rsid w:val="41816CDC"/>
    <w:rsid w:val="418D1221"/>
    <w:rsid w:val="41953143"/>
    <w:rsid w:val="41C23CEA"/>
    <w:rsid w:val="41D30A5F"/>
    <w:rsid w:val="41DB1250"/>
    <w:rsid w:val="41DC791D"/>
    <w:rsid w:val="41F33FC2"/>
    <w:rsid w:val="41F60DF5"/>
    <w:rsid w:val="41F84D68"/>
    <w:rsid w:val="41FA694C"/>
    <w:rsid w:val="41FB71FC"/>
    <w:rsid w:val="42076D18"/>
    <w:rsid w:val="42097744"/>
    <w:rsid w:val="420E7F0F"/>
    <w:rsid w:val="42204EB5"/>
    <w:rsid w:val="4224642B"/>
    <w:rsid w:val="422C1AAB"/>
    <w:rsid w:val="42307489"/>
    <w:rsid w:val="423E6344"/>
    <w:rsid w:val="42481CF7"/>
    <w:rsid w:val="424C3051"/>
    <w:rsid w:val="42611E51"/>
    <w:rsid w:val="426623FD"/>
    <w:rsid w:val="426D00FA"/>
    <w:rsid w:val="4278084D"/>
    <w:rsid w:val="42797FD7"/>
    <w:rsid w:val="42881AA6"/>
    <w:rsid w:val="429531AD"/>
    <w:rsid w:val="42B07FE6"/>
    <w:rsid w:val="42B15B0D"/>
    <w:rsid w:val="42B51AA1"/>
    <w:rsid w:val="42BE764E"/>
    <w:rsid w:val="42C700D1"/>
    <w:rsid w:val="42CE6929"/>
    <w:rsid w:val="42D555A0"/>
    <w:rsid w:val="42E3702F"/>
    <w:rsid w:val="42E460CD"/>
    <w:rsid w:val="42EF6D61"/>
    <w:rsid w:val="42F308B1"/>
    <w:rsid w:val="42F5314F"/>
    <w:rsid w:val="42F73E2E"/>
    <w:rsid w:val="42FD0335"/>
    <w:rsid w:val="43016A94"/>
    <w:rsid w:val="43070C4B"/>
    <w:rsid w:val="430F51D8"/>
    <w:rsid w:val="431026B2"/>
    <w:rsid w:val="431C4540"/>
    <w:rsid w:val="432050AF"/>
    <w:rsid w:val="43231A39"/>
    <w:rsid w:val="43236A0A"/>
    <w:rsid w:val="432633DC"/>
    <w:rsid w:val="43302ED5"/>
    <w:rsid w:val="433B5F7B"/>
    <w:rsid w:val="433C115C"/>
    <w:rsid w:val="434150E2"/>
    <w:rsid w:val="434D3472"/>
    <w:rsid w:val="43515CE6"/>
    <w:rsid w:val="435E73FC"/>
    <w:rsid w:val="436419F8"/>
    <w:rsid w:val="43663830"/>
    <w:rsid w:val="43665EE1"/>
    <w:rsid w:val="436B215F"/>
    <w:rsid w:val="43707776"/>
    <w:rsid w:val="43725E62"/>
    <w:rsid w:val="43741014"/>
    <w:rsid w:val="43776D56"/>
    <w:rsid w:val="437E6C9A"/>
    <w:rsid w:val="43873D38"/>
    <w:rsid w:val="43902605"/>
    <w:rsid w:val="43952C05"/>
    <w:rsid w:val="43992BE7"/>
    <w:rsid w:val="439B3F9B"/>
    <w:rsid w:val="439E0787"/>
    <w:rsid w:val="439E68BC"/>
    <w:rsid w:val="43A36F96"/>
    <w:rsid w:val="43AF701F"/>
    <w:rsid w:val="43C106F5"/>
    <w:rsid w:val="43C2287D"/>
    <w:rsid w:val="43C42299"/>
    <w:rsid w:val="43CA50D8"/>
    <w:rsid w:val="43D97A84"/>
    <w:rsid w:val="43DE29AA"/>
    <w:rsid w:val="43DF5027"/>
    <w:rsid w:val="43E377B5"/>
    <w:rsid w:val="43E71ECE"/>
    <w:rsid w:val="43E91A02"/>
    <w:rsid w:val="43EB7FFB"/>
    <w:rsid w:val="43F4662D"/>
    <w:rsid w:val="44031F5B"/>
    <w:rsid w:val="4407632C"/>
    <w:rsid w:val="4407714E"/>
    <w:rsid w:val="440F1C8C"/>
    <w:rsid w:val="44213AFF"/>
    <w:rsid w:val="442A2D0A"/>
    <w:rsid w:val="442F19AB"/>
    <w:rsid w:val="44315157"/>
    <w:rsid w:val="44333C72"/>
    <w:rsid w:val="44374DE9"/>
    <w:rsid w:val="443A431D"/>
    <w:rsid w:val="44476729"/>
    <w:rsid w:val="44495E16"/>
    <w:rsid w:val="444E530F"/>
    <w:rsid w:val="445E2538"/>
    <w:rsid w:val="446E32F5"/>
    <w:rsid w:val="44735770"/>
    <w:rsid w:val="447E055F"/>
    <w:rsid w:val="44980B1C"/>
    <w:rsid w:val="449D27EC"/>
    <w:rsid w:val="44A06825"/>
    <w:rsid w:val="44A21BB1"/>
    <w:rsid w:val="44A8215F"/>
    <w:rsid w:val="44BA339E"/>
    <w:rsid w:val="44BF09B5"/>
    <w:rsid w:val="44BF3881"/>
    <w:rsid w:val="44C33761"/>
    <w:rsid w:val="44C4421D"/>
    <w:rsid w:val="44CC753B"/>
    <w:rsid w:val="44CE0BF8"/>
    <w:rsid w:val="44D16CA0"/>
    <w:rsid w:val="44D51F86"/>
    <w:rsid w:val="44DB744F"/>
    <w:rsid w:val="44F15D77"/>
    <w:rsid w:val="44F71432"/>
    <w:rsid w:val="44FF52DD"/>
    <w:rsid w:val="450665E4"/>
    <w:rsid w:val="451243C7"/>
    <w:rsid w:val="45134739"/>
    <w:rsid w:val="451924DA"/>
    <w:rsid w:val="4532320B"/>
    <w:rsid w:val="453A003B"/>
    <w:rsid w:val="45435E3A"/>
    <w:rsid w:val="45555D50"/>
    <w:rsid w:val="455F53E1"/>
    <w:rsid w:val="456450B8"/>
    <w:rsid w:val="457052B2"/>
    <w:rsid w:val="45725278"/>
    <w:rsid w:val="45743950"/>
    <w:rsid w:val="457A2729"/>
    <w:rsid w:val="45803914"/>
    <w:rsid w:val="45833790"/>
    <w:rsid w:val="458539AC"/>
    <w:rsid w:val="458662BF"/>
    <w:rsid w:val="45986DBD"/>
    <w:rsid w:val="45A71C05"/>
    <w:rsid w:val="45A82E9E"/>
    <w:rsid w:val="45B04463"/>
    <w:rsid w:val="45BD3779"/>
    <w:rsid w:val="45C64F3E"/>
    <w:rsid w:val="45E52BA0"/>
    <w:rsid w:val="45EF5E53"/>
    <w:rsid w:val="46040D75"/>
    <w:rsid w:val="46117953"/>
    <w:rsid w:val="4618402B"/>
    <w:rsid w:val="461865CE"/>
    <w:rsid w:val="461B60BF"/>
    <w:rsid w:val="461C7DA1"/>
    <w:rsid w:val="461F5F7F"/>
    <w:rsid w:val="463D7DE3"/>
    <w:rsid w:val="46487256"/>
    <w:rsid w:val="464C0026"/>
    <w:rsid w:val="464F5D68"/>
    <w:rsid w:val="46532F68"/>
    <w:rsid w:val="465429F3"/>
    <w:rsid w:val="465869CB"/>
    <w:rsid w:val="4659529A"/>
    <w:rsid w:val="46635713"/>
    <w:rsid w:val="4667014E"/>
    <w:rsid w:val="46770F87"/>
    <w:rsid w:val="467F1EF6"/>
    <w:rsid w:val="468E34B8"/>
    <w:rsid w:val="4698695F"/>
    <w:rsid w:val="469F424D"/>
    <w:rsid w:val="469F4E13"/>
    <w:rsid w:val="46A81102"/>
    <w:rsid w:val="46A84D6D"/>
    <w:rsid w:val="46A9191C"/>
    <w:rsid w:val="46AB7B7E"/>
    <w:rsid w:val="46BB1E9C"/>
    <w:rsid w:val="46BC13D0"/>
    <w:rsid w:val="46C83ABE"/>
    <w:rsid w:val="46CE31F1"/>
    <w:rsid w:val="46D22C21"/>
    <w:rsid w:val="46DC75FC"/>
    <w:rsid w:val="46E62229"/>
    <w:rsid w:val="46F10BCE"/>
    <w:rsid w:val="46F674B3"/>
    <w:rsid w:val="46F96C0B"/>
    <w:rsid w:val="46FB4BD1"/>
    <w:rsid w:val="46FB5788"/>
    <w:rsid w:val="470F7109"/>
    <w:rsid w:val="47131036"/>
    <w:rsid w:val="471425D5"/>
    <w:rsid w:val="47306378"/>
    <w:rsid w:val="47330D35"/>
    <w:rsid w:val="47367762"/>
    <w:rsid w:val="4743603E"/>
    <w:rsid w:val="4747541B"/>
    <w:rsid w:val="474A22AA"/>
    <w:rsid w:val="474C39E8"/>
    <w:rsid w:val="47525B10"/>
    <w:rsid w:val="475353E4"/>
    <w:rsid w:val="47542034"/>
    <w:rsid w:val="475F5B8C"/>
    <w:rsid w:val="47613705"/>
    <w:rsid w:val="476B4E24"/>
    <w:rsid w:val="47783DFD"/>
    <w:rsid w:val="477B2C93"/>
    <w:rsid w:val="477C194D"/>
    <w:rsid w:val="47927231"/>
    <w:rsid w:val="47952AA8"/>
    <w:rsid w:val="47AD71EA"/>
    <w:rsid w:val="47BB1907"/>
    <w:rsid w:val="47BF7F9B"/>
    <w:rsid w:val="47C00975"/>
    <w:rsid w:val="47C14A44"/>
    <w:rsid w:val="47C4007E"/>
    <w:rsid w:val="47CD33E9"/>
    <w:rsid w:val="47D5010B"/>
    <w:rsid w:val="47DF3B60"/>
    <w:rsid w:val="47EA5D49"/>
    <w:rsid w:val="47F210A1"/>
    <w:rsid w:val="47FC4AB9"/>
    <w:rsid w:val="48097E81"/>
    <w:rsid w:val="480F7F1C"/>
    <w:rsid w:val="481003D3"/>
    <w:rsid w:val="481E2B7E"/>
    <w:rsid w:val="48270D4B"/>
    <w:rsid w:val="483039B0"/>
    <w:rsid w:val="48394B6A"/>
    <w:rsid w:val="484315B6"/>
    <w:rsid w:val="484418FD"/>
    <w:rsid w:val="484F69EF"/>
    <w:rsid w:val="48531B40"/>
    <w:rsid w:val="485812D4"/>
    <w:rsid w:val="485A1418"/>
    <w:rsid w:val="485F797E"/>
    <w:rsid w:val="48653621"/>
    <w:rsid w:val="4867383D"/>
    <w:rsid w:val="48713109"/>
    <w:rsid w:val="487808B1"/>
    <w:rsid w:val="48811017"/>
    <w:rsid w:val="4882590A"/>
    <w:rsid w:val="48847F4B"/>
    <w:rsid w:val="4897712B"/>
    <w:rsid w:val="48B56357"/>
    <w:rsid w:val="48BE4733"/>
    <w:rsid w:val="48C12F4D"/>
    <w:rsid w:val="48C81442"/>
    <w:rsid w:val="48CB5887"/>
    <w:rsid w:val="48D367DD"/>
    <w:rsid w:val="48D93187"/>
    <w:rsid w:val="48DF33D4"/>
    <w:rsid w:val="48E1714C"/>
    <w:rsid w:val="48E21518"/>
    <w:rsid w:val="48EC5AF0"/>
    <w:rsid w:val="48EC650F"/>
    <w:rsid w:val="48FA7DB5"/>
    <w:rsid w:val="490E6D6F"/>
    <w:rsid w:val="49132400"/>
    <w:rsid w:val="49193D9C"/>
    <w:rsid w:val="492E6109"/>
    <w:rsid w:val="49341D31"/>
    <w:rsid w:val="49423962"/>
    <w:rsid w:val="4948541D"/>
    <w:rsid w:val="494A2C73"/>
    <w:rsid w:val="495C4EE9"/>
    <w:rsid w:val="495F5E6E"/>
    <w:rsid w:val="49626DF3"/>
    <w:rsid w:val="49641B2B"/>
    <w:rsid w:val="49695393"/>
    <w:rsid w:val="497B799C"/>
    <w:rsid w:val="49853B2F"/>
    <w:rsid w:val="498E69BD"/>
    <w:rsid w:val="49900B72"/>
    <w:rsid w:val="499A4312"/>
    <w:rsid w:val="499A554C"/>
    <w:rsid w:val="49A565E2"/>
    <w:rsid w:val="49A800A8"/>
    <w:rsid w:val="49B42E56"/>
    <w:rsid w:val="49BC2984"/>
    <w:rsid w:val="49C56A6D"/>
    <w:rsid w:val="49CB2B8B"/>
    <w:rsid w:val="49D40682"/>
    <w:rsid w:val="49D4280C"/>
    <w:rsid w:val="49F9606C"/>
    <w:rsid w:val="4A084BAC"/>
    <w:rsid w:val="4A0A26D2"/>
    <w:rsid w:val="4A1F4C27"/>
    <w:rsid w:val="4A36378E"/>
    <w:rsid w:val="4A381CE6"/>
    <w:rsid w:val="4A3904A4"/>
    <w:rsid w:val="4A565917"/>
    <w:rsid w:val="4A566406"/>
    <w:rsid w:val="4A630EAB"/>
    <w:rsid w:val="4A6A4F1F"/>
    <w:rsid w:val="4A6C6EE9"/>
    <w:rsid w:val="4A7463FF"/>
    <w:rsid w:val="4A777CF1"/>
    <w:rsid w:val="4A78588E"/>
    <w:rsid w:val="4A7B712C"/>
    <w:rsid w:val="4A7E6C1C"/>
    <w:rsid w:val="4A7F4E6E"/>
    <w:rsid w:val="4A7F6F7D"/>
    <w:rsid w:val="4A8F046F"/>
    <w:rsid w:val="4A9F72BE"/>
    <w:rsid w:val="4AA51EA6"/>
    <w:rsid w:val="4AB10DA0"/>
    <w:rsid w:val="4AB810A7"/>
    <w:rsid w:val="4AC00FE3"/>
    <w:rsid w:val="4AC41647"/>
    <w:rsid w:val="4ACE1952"/>
    <w:rsid w:val="4ACF4171"/>
    <w:rsid w:val="4AE11158"/>
    <w:rsid w:val="4AE249B4"/>
    <w:rsid w:val="4AE64EED"/>
    <w:rsid w:val="4AEF5300"/>
    <w:rsid w:val="4AF018C8"/>
    <w:rsid w:val="4AF33166"/>
    <w:rsid w:val="4AF8077D"/>
    <w:rsid w:val="4AFB2ABB"/>
    <w:rsid w:val="4B0010B0"/>
    <w:rsid w:val="4B0E7FA0"/>
    <w:rsid w:val="4B2257F9"/>
    <w:rsid w:val="4B245A16"/>
    <w:rsid w:val="4B3E4BC3"/>
    <w:rsid w:val="4B4A0E91"/>
    <w:rsid w:val="4B590E71"/>
    <w:rsid w:val="4B5A099D"/>
    <w:rsid w:val="4B62209A"/>
    <w:rsid w:val="4B63419D"/>
    <w:rsid w:val="4B645E12"/>
    <w:rsid w:val="4B647BC0"/>
    <w:rsid w:val="4B683330"/>
    <w:rsid w:val="4B762C7F"/>
    <w:rsid w:val="4B775437"/>
    <w:rsid w:val="4B835B73"/>
    <w:rsid w:val="4B897627"/>
    <w:rsid w:val="4B985ABC"/>
    <w:rsid w:val="4BA87C64"/>
    <w:rsid w:val="4BA94871"/>
    <w:rsid w:val="4BA968B3"/>
    <w:rsid w:val="4BAC48C9"/>
    <w:rsid w:val="4BBC79FC"/>
    <w:rsid w:val="4BC66ACD"/>
    <w:rsid w:val="4BCB7C3F"/>
    <w:rsid w:val="4BDE5BC4"/>
    <w:rsid w:val="4BEA168B"/>
    <w:rsid w:val="4BF06CB4"/>
    <w:rsid w:val="4BF278C2"/>
    <w:rsid w:val="4BFC1FBA"/>
    <w:rsid w:val="4C014A33"/>
    <w:rsid w:val="4C017B05"/>
    <w:rsid w:val="4C0D0258"/>
    <w:rsid w:val="4C1205F2"/>
    <w:rsid w:val="4C19436A"/>
    <w:rsid w:val="4C1B3768"/>
    <w:rsid w:val="4C1C493F"/>
    <w:rsid w:val="4C2227CC"/>
    <w:rsid w:val="4C26756B"/>
    <w:rsid w:val="4C286E40"/>
    <w:rsid w:val="4C34368B"/>
    <w:rsid w:val="4C4B0D80"/>
    <w:rsid w:val="4C4C303E"/>
    <w:rsid w:val="4C5109B1"/>
    <w:rsid w:val="4C6D5C2A"/>
    <w:rsid w:val="4C8D3147"/>
    <w:rsid w:val="4C985108"/>
    <w:rsid w:val="4C9C2A40"/>
    <w:rsid w:val="4CAA5AA7"/>
    <w:rsid w:val="4CAF57B3"/>
    <w:rsid w:val="4CB608EF"/>
    <w:rsid w:val="4CBC4E71"/>
    <w:rsid w:val="4CBD0EEF"/>
    <w:rsid w:val="4CC72AFC"/>
    <w:rsid w:val="4CD314A1"/>
    <w:rsid w:val="4CD64AED"/>
    <w:rsid w:val="4CD945DE"/>
    <w:rsid w:val="4CDD5E7C"/>
    <w:rsid w:val="4CE0771A"/>
    <w:rsid w:val="4CE90CC5"/>
    <w:rsid w:val="4CEA67EB"/>
    <w:rsid w:val="4CF308FD"/>
    <w:rsid w:val="4D051F7F"/>
    <w:rsid w:val="4D094EC3"/>
    <w:rsid w:val="4D0F0ADB"/>
    <w:rsid w:val="4D137AF0"/>
    <w:rsid w:val="4D190B77"/>
    <w:rsid w:val="4D302E27"/>
    <w:rsid w:val="4D384E95"/>
    <w:rsid w:val="4D387149"/>
    <w:rsid w:val="4D3D4B6D"/>
    <w:rsid w:val="4D4052E5"/>
    <w:rsid w:val="4D4F2754"/>
    <w:rsid w:val="4D511453"/>
    <w:rsid w:val="4D537EEC"/>
    <w:rsid w:val="4D6D5452"/>
    <w:rsid w:val="4D7757D0"/>
    <w:rsid w:val="4D786533"/>
    <w:rsid w:val="4D834C75"/>
    <w:rsid w:val="4D8B58D8"/>
    <w:rsid w:val="4D8C39CA"/>
    <w:rsid w:val="4D907392"/>
    <w:rsid w:val="4D9549A9"/>
    <w:rsid w:val="4DA46948"/>
    <w:rsid w:val="4DB639B0"/>
    <w:rsid w:val="4DB8448E"/>
    <w:rsid w:val="4DC36B06"/>
    <w:rsid w:val="4DCA00AA"/>
    <w:rsid w:val="4DCD60F1"/>
    <w:rsid w:val="4DD03C33"/>
    <w:rsid w:val="4DD52CA4"/>
    <w:rsid w:val="4DD672C1"/>
    <w:rsid w:val="4DE4323A"/>
    <w:rsid w:val="4DE9794F"/>
    <w:rsid w:val="4DF46871"/>
    <w:rsid w:val="4E0062C6"/>
    <w:rsid w:val="4E0144DC"/>
    <w:rsid w:val="4E0336C0"/>
    <w:rsid w:val="4E047438"/>
    <w:rsid w:val="4E2B0E69"/>
    <w:rsid w:val="4E2C2A55"/>
    <w:rsid w:val="4E326C84"/>
    <w:rsid w:val="4E3301FD"/>
    <w:rsid w:val="4E383A2A"/>
    <w:rsid w:val="4E3917D8"/>
    <w:rsid w:val="4E3D70E2"/>
    <w:rsid w:val="4E464028"/>
    <w:rsid w:val="4E555EE6"/>
    <w:rsid w:val="4E5B34FC"/>
    <w:rsid w:val="4E5B7900"/>
    <w:rsid w:val="4E6139E7"/>
    <w:rsid w:val="4E6B6615"/>
    <w:rsid w:val="4E7A0C3D"/>
    <w:rsid w:val="4E7D0721"/>
    <w:rsid w:val="4E810AAD"/>
    <w:rsid w:val="4EB41E34"/>
    <w:rsid w:val="4EC33834"/>
    <w:rsid w:val="4ED55B9B"/>
    <w:rsid w:val="4ED66E64"/>
    <w:rsid w:val="4ED70257"/>
    <w:rsid w:val="4EE57BD6"/>
    <w:rsid w:val="4EF3036F"/>
    <w:rsid w:val="4EFB6A8D"/>
    <w:rsid w:val="4F166C4D"/>
    <w:rsid w:val="4F18763F"/>
    <w:rsid w:val="4F1B3040"/>
    <w:rsid w:val="4F1D4C56"/>
    <w:rsid w:val="4F234ED1"/>
    <w:rsid w:val="4F302DF0"/>
    <w:rsid w:val="4F367A88"/>
    <w:rsid w:val="4F390909"/>
    <w:rsid w:val="4F3B4DCC"/>
    <w:rsid w:val="4F433DA7"/>
    <w:rsid w:val="4F4421E2"/>
    <w:rsid w:val="4F4825E7"/>
    <w:rsid w:val="4F5B70BD"/>
    <w:rsid w:val="4F610FE6"/>
    <w:rsid w:val="4F6C15BC"/>
    <w:rsid w:val="4F6F0016"/>
    <w:rsid w:val="4F751524"/>
    <w:rsid w:val="4F8337E0"/>
    <w:rsid w:val="4F8501A8"/>
    <w:rsid w:val="4F8627FB"/>
    <w:rsid w:val="4FA04497"/>
    <w:rsid w:val="4FA669F9"/>
    <w:rsid w:val="4FA66D0B"/>
    <w:rsid w:val="4FB37368"/>
    <w:rsid w:val="4FB629B4"/>
    <w:rsid w:val="4FBE2337"/>
    <w:rsid w:val="4FC5144A"/>
    <w:rsid w:val="4FD32054"/>
    <w:rsid w:val="4FD86DCF"/>
    <w:rsid w:val="4FDA48F5"/>
    <w:rsid w:val="4FE57021"/>
    <w:rsid w:val="4FE63299"/>
    <w:rsid w:val="4FE756B1"/>
    <w:rsid w:val="4FEB32EB"/>
    <w:rsid w:val="4FF053B2"/>
    <w:rsid w:val="4FF5276E"/>
    <w:rsid w:val="4FF572BC"/>
    <w:rsid w:val="4FFE059D"/>
    <w:rsid w:val="50012200"/>
    <w:rsid w:val="50027C2E"/>
    <w:rsid w:val="5009049B"/>
    <w:rsid w:val="501047BA"/>
    <w:rsid w:val="5015592D"/>
    <w:rsid w:val="5019541D"/>
    <w:rsid w:val="501B018E"/>
    <w:rsid w:val="50354221"/>
    <w:rsid w:val="504B75A0"/>
    <w:rsid w:val="50561D57"/>
    <w:rsid w:val="50642410"/>
    <w:rsid w:val="5065324D"/>
    <w:rsid w:val="5066185A"/>
    <w:rsid w:val="5066262C"/>
    <w:rsid w:val="50670C63"/>
    <w:rsid w:val="5067715E"/>
    <w:rsid w:val="507765E7"/>
    <w:rsid w:val="50830813"/>
    <w:rsid w:val="50854950"/>
    <w:rsid w:val="509F7F52"/>
    <w:rsid w:val="50C51101"/>
    <w:rsid w:val="50C75131"/>
    <w:rsid w:val="50CF1219"/>
    <w:rsid w:val="50D17AA6"/>
    <w:rsid w:val="50D650BC"/>
    <w:rsid w:val="50E517A3"/>
    <w:rsid w:val="50F47C38"/>
    <w:rsid w:val="510D2A73"/>
    <w:rsid w:val="512419C7"/>
    <w:rsid w:val="5140042E"/>
    <w:rsid w:val="51404548"/>
    <w:rsid w:val="5142327B"/>
    <w:rsid w:val="514B5F2C"/>
    <w:rsid w:val="51501312"/>
    <w:rsid w:val="51574F11"/>
    <w:rsid w:val="515E33F2"/>
    <w:rsid w:val="515F0B5F"/>
    <w:rsid w:val="51673238"/>
    <w:rsid w:val="516C35DC"/>
    <w:rsid w:val="516C5A20"/>
    <w:rsid w:val="516D24F1"/>
    <w:rsid w:val="516D4EC5"/>
    <w:rsid w:val="51786173"/>
    <w:rsid w:val="518014CC"/>
    <w:rsid w:val="51870AAC"/>
    <w:rsid w:val="51902130"/>
    <w:rsid w:val="51990256"/>
    <w:rsid w:val="51A8290C"/>
    <w:rsid w:val="51AF3CDF"/>
    <w:rsid w:val="51B13C95"/>
    <w:rsid w:val="51B56722"/>
    <w:rsid w:val="51BD627C"/>
    <w:rsid w:val="51BE389E"/>
    <w:rsid w:val="51C1028B"/>
    <w:rsid w:val="51D05FAF"/>
    <w:rsid w:val="51D13AD5"/>
    <w:rsid w:val="51D23892"/>
    <w:rsid w:val="51DA0248"/>
    <w:rsid w:val="51E41BFA"/>
    <w:rsid w:val="51E8779D"/>
    <w:rsid w:val="51EC357C"/>
    <w:rsid w:val="51EC3A53"/>
    <w:rsid w:val="51F11680"/>
    <w:rsid w:val="51F13387"/>
    <w:rsid w:val="51F6353C"/>
    <w:rsid w:val="51F65B08"/>
    <w:rsid w:val="520E0078"/>
    <w:rsid w:val="521D5372"/>
    <w:rsid w:val="52267E51"/>
    <w:rsid w:val="52272A53"/>
    <w:rsid w:val="522D0F80"/>
    <w:rsid w:val="52302EF2"/>
    <w:rsid w:val="523A1214"/>
    <w:rsid w:val="526029CF"/>
    <w:rsid w:val="526E48F5"/>
    <w:rsid w:val="526F57C8"/>
    <w:rsid w:val="528168C7"/>
    <w:rsid w:val="52903990"/>
    <w:rsid w:val="5294086D"/>
    <w:rsid w:val="5296031C"/>
    <w:rsid w:val="529671F9"/>
    <w:rsid w:val="52972F71"/>
    <w:rsid w:val="52994D0A"/>
    <w:rsid w:val="529A65BD"/>
    <w:rsid w:val="52B256B5"/>
    <w:rsid w:val="52D518F2"/>
    <w:rsid w:val="52E25E0D"/>
    <w:rsid w:val="531052F0"/>
    <w:rsid w:val="53146370"/>
    <w:rsid w:val="53335E7F"/>
    <w:rsid w:val="53395DD6"/>
    <w:rsid w:val="53397B84"/>
    <w:rsid w:val="533B56AA"/>
    <w:rsid w:val="534D53DE"/>
    <w:rsid w:val="53672943"/>
    <w:rsid w:val="537B2BBB"/>
    <w:rsid w:val="538B3AB8"/>
    <w:rsid w:val="538C1421"/>
    <w:rsid w:val="538C4158"/>
    <w:rsid w:val="539319B7"/>
    <w:rsid w:val="53A21BCD"/>
    <w:rsid w:val="53A51A58"/>
    <w:rsid w:val="53A54518"/>
    <w:rsid w:val="53BC2E44"/>
    <w:rsid w:val="53C068D9"/>
    <w:rsid w:val="53C56E2A"/>
    <w:rsid w:val="53C9715A"/>
    <w:rsid w:val="53CE4770"/>
    <w:rsid w:val="53D1600F"/>
    <w:rsid w:val="53DC2107"/>
    <w:rsid w:val="53DC50DF"/>
    <w:rsid w:val="53E1595C"/>
    <w:rsid w:val="53EB3412"/>
    <w:rsid w:val="53F008AC"/>
    <w:rsid w:val="53F72CCF"/>
    <w:rsid w:val="54052024"/>
    <w:rsid w:val="54053A94"/>
    <w:rsid w:val="540B32CF"/>
    <w:rsid w:val="540E06F6"/>
    <w:rsid w:val="541327B7"/>
    <w:rsid w:val="5415414D"/>
    <w:rsid w:val="54176117"/>
    <w:rsid w:val="541B11D8"/>
    <w:rsid w:val="542D7083"/>
    <w:rsid w:val="542D76E9"/>
    <w:rsid w:val="54322F51"/>
    <w:rsid w:val="54390279"/>
    <w:rsid w:val="543D0891"/>
    <w:rsid w:val="54521AE9"/>
    <w:rsid w:val="54650ECB"/>
    <w:rsid w:val="54686973"/>
    <w:rsid w:val="54737C15"/>
    <w:rsid w:val="54764246"/>
    <w:rsid w:val="5479100C"/>
    <w:rsid w:val="547F157E"/>
    <w:rsid w:val="548337AD"/>
    <w:rsid w:val="54843081"/>
    <w:rsid w:val="548D462B"/>
    <w:rsid w:val="54A20A24"/>
    <w:rsid w:val="54A31759"/>
    <w:rsid w:val="54A86D6F"/>
    <w:rsid w:val="54A90FFE"/>
    <w:rsid w:val="54B9508E"/>
    <w:rsid w:val="54C309F6"/>
    <w:rsid w:val="54CB0CB0"/>
    <w:rsid w:val="54CD187B"/>
    <w:rsid w:val="54D76521"/>
    <w:rsid w:val="54EE6DFE"/>
    <w:rsid w:val="54F5082C"/>
    <w:rsid w:val="54F621D1"/>
    <w:rsid w:val="54FE1085"/>
    <w:rsid w:val="55055F70"/>
    <w:rsid w:val="55247991"/>
    <w:rsid w:val="552F1D1C"/>
    <w:rsid w:val="55332E6F"/>
    <w:rsid w:val="553473E6"/>
    <w:rsid w:val="553C49CA"/>
    <w:rsid w:val="553D09D7"/>
    <w:rsid w:val="554231B4"/>
    <w:rsid w:val="55491A5D"/>
    <w:rsid w:val="554C11A0"/>
    <w:rsid w:val="55535C60"/>
    <w:rsid w:val="55562C6F"/>
    <w:rsid w:val="555F5D4F"/>
    <w:rsid w:val="5560589C"/>
    <w:rsid w:val="5563538C"/>
    <w:rsid w:val="556B7A96"/>
    <w:rsid w:val="556C2493"/>
    <w:rsid w:val="556F7D97"/>
    <w:rsid w:val="55701E8B"/>
    <w:rsid w:val="55753A7D"/>
    <w:rsid w:val="557A3DE7"/>
    <w:rsid w:val="55825812"/>
    <w:rsid w:val="558477DD"/>
    <w:rsid w:val="558A46C7"/>
    <w:rsid w:val="558C61FC"/>
    <w:rsid w:val="558E2409"/>
    <w:rsid w:val="559B0682"/>
    <w:rsid w:val="55A33567"/>
    <w:rsid w:val="55BD63DB"/>
    <w:rsid w:val="55C23EF4"/>
    <w:rsid w:val="55CA0F67"/>
    <w:rsid w:val="55CE2806"/>
    <w:rsid w:val="55E02539"/>
    <w:rsid w:val="55EB160A"/>
    <w:rsid w:val="55FA2FD9"/>
    <w:rsid w:val="55FA7A9F"/>
    <w:rsid w:val="55FE0F31"/>
    <w:rsid w:val="56006927"/>
    <w:rsid w:val="56091A90"/>
    <w:rsid w:val="560A5808"/>
    <w:rsid w:val="561771E7"/>
    <w:rsid w:val="56185CB0"/>
    <w:rsid w:val="56333137"/>
    <w:rsid w:val="563C1642"/>
    <w:rsid w:val="563D7950"/>
    <w:rsid w:val="56415944"/>
    <w:rsid w:val="56542303"/>
    <w:rsid w:val="565E489A"/>
    <w:rsid w:val="56625049"/>
    <w:rsid w:val="566278C5"/>
    <w:rsid w:val="56707D61"/>
    <w:rsid w:val="56757125"/>
    <w:rsid w:val="56772E9D"/>
    <w:rsid w:val="567A6ACC"/>
    <w:rsid w:val="567C6706"/>
    <w:rsid w:val="568032D0"/>
    <w:rsid w:val="568E6439"/>
    <w:rsid w:val="56901DC8"/>
    <w:rsid w:val="56936944"/>
    <w:rsid w:val="56982E14"/>
    <w:rsid w:val="56990327"/>
    <w:rsid w:val="56A80039"/>
    <w:rsid w:val="56A956BD"/>
    <w:rsid w:val="56AC6220"/>
    <w:rsid w:val="56B37C4E"/>
    <w:rsid w:val="56CF2CD9"/>
    <w:rsid w:val="56D044F0"/>
    <w:rsid w:val="56D455F1"/>
    <w:rsid w:val="56E378AD"/>
    <w:rsid w:val="56E46B61"/>
    <w:rsid w:val="56E66C7F"/>
    <w:rsid w:val="56E75BB3"/>
    <w:rsid w:val="56E85B49"/>
    <w:rsid w:val="56F03358"/>
    <w:rsid w:val="56F368C2"/>
    <w:rsid w:val="56FC0929"/>
    <w:rsid w:val="57032983"/>
    <w:rsid w:val="57081D47"/>
    <w:rsid w:val="570E7565"/>
    <w:rsid w:val="571641D5"/>
    <w:rsid w:val="57261A4D"/>
    <w:rsid w:val="572A43B4"/>
    <w:rsid w:val="572C3A40"/>
    <w:rsid w:val="57301217"/>
    <w:rsid w:val="573828A1"/>
    <w:rsid w:val="573B10AE"/>
    <w:rsid w:val="57484E28"/>
    <w:rsid w:val="574D1E50"/>
    <w:rsid w:val="575E405D"/>
    <w:rsid w:val="57601B83"/>
    <w:rsid w:val="57603DC6"/>
    <w:rsid w:val="5763051D"/>
    <w:rsid w:val="57664CC0"/>
    <w:rsid w:val="57740069"/>
    <w:rsid w:val="577E0031"/>
    <w:rsid w:val="57803FD4"/>
    <w:rsid w:val="57835872"/>
    <w:rsid w:val="578E590B"/>
    <w:rsid w:val="578F4217"/>
    <w:rsid w:val="57973E58"/>
    <w:rsid w:val="579A66C8"/>
    <w:rsid w:val="579D3DCA"/>
    <w:rsid w:val="579F72F0"/>
    <w:rsid w:val="57A37CC2"/>
    <w:rsid w:val="57A57C3D"/>
    <w:rsid w:val="57AD071E"/>
    <w:rsid w:val="57B17D1B"/>
    <w:rsid w:val="57B204EC"/>
    <w:rsid w:val="57B813CA"/>
    <w:rsid w:val="57B94360"/>
    <w:rsid w:val="57B97A13"/>
    <w:rsid w:val="57BB325E"/>
    <w:rsid w:val="57C32112"/>
    <w:rsid w:val="57C64A0C"/>
    <w:rsid w:val="57E2517A"/>
    <w:rsid w:val="57EA3B43"/>
    <w:rsid w:val="57F91339"/>
    <w:rsid w:val="57FE3188"/>
    <w:rsid w:val="57FF75EE"/>
    <w:rsid w:val="58030846"/>
    <w:rsid w:val="580B5F93"/>
    <w:rsid w:val="580D7A8E"/>
    <w:rsid w:val="582662AC"/>
    <w:rsid w:val="58311772"/>
    <w:rsid w:val="584F166F"/>
    <w:rsid w:val="585E353C"/>
    <w:rsid w:val="5889335C"/>
    <w:rsid w:val="588D4BFA"/>
    <w:rsid w:val="58980C1C"/>
    <w:rsid w:val="58AA3909"/>
    <w:rsid w:val="58AD748A"/>
    <w:rsid w:val="58B02697"/>
    <w:rsid w:val="58B8779D"/>
    <w:rsid w:val="58CB0C94"/>
    <w:rsid w:val="58CF5213"/>
    <w:rsid w:val="58D04AE7"/>
    <w:rsid w:val="58DF0D4B"/>
    <w:rsid w:val="58E14770"/>
    <w:rsid w:val="58E660B8"/>
    <w:rsid w:val="58E97957"/>
    <w:rsid w:val="58EA68F2"/>
    <w:rsid w:val="58FD5BE8"/>
    <w:rsid w:val="59004106"/>
    <w:rsid w:val="590E4D38"/>
    <w:rsid w:val="5915699E"/>
    <w:rsid w:val="59162550"/>
    <w:rsid w:val="59191044"/>
    <w:rsid w:val="591946E0"/>
    <w:rsid w:val="591E1BBE"/>
    <w:rsid w:val="592769B8"/>
    <w:rsid w:val="594C3D9E"/>
    <w:rsid w:val="594F3DF6"/>
    <w:rsid w:val="595717A1"/>
    <w:rsid w:val="59641B83"/>
    <w:rsid w:val="5967569F"/>
    <w:rsid w:val="59682F71"/>
    <w:rsid w:val="596F287D"/>
    <w:rsid w:val="59701E26"/>
    <w:rsid w:val="59732B78"/>
    <w:rsid w:val="59877B22"/>
    <w:rsid w:val="599042AB"/>
    <w:rsid w:val="59922F80"/>
    <w:rsid w:val="599A662E"/>
    <w:rsid w:val="599B7960"/>
    <w:rsid w:val="59BB1895"/>
    <w:rsid w:val="59C52A66"/>
    <w:rsid w:val="59CA72FE"/>
    <w:rsid w:val="59D6465C"/>
    <w:rsid w:val="59DC1F28"/>
    <w:rsid w:val="59E00D5A"/>
    <w:rsid w:val="59E43129"/>
    <w:rsid w:val="59F111B9"/>
    <w:rsid w:val="59F130A5"/>
    <w:rsid w:val="59F2707E"/>
    <w:rsid w:val="59F4536F"/>
    <w:rsid w:val="59F67BEB"/>
    <w:rsid w:val="5A0013FC"/>
    <w:rsid w:val="5A032274"/>
    <w:rsid w:val="5A1B7FE4"/>
    <w:rsid w:val="5A1F4042"/>
    <w:rsid w:val="5A355C07"/>
    <w:rsid w:val="5A447A54"/>
    <w:rsid w:val="5A47702B"/>
    <w:rsid w:val="5A4E568B"/>
    <w:rsid w:val="5A587827"/>
    <w:rsid w:val="5A623E10"/>
    <w:rsid w:val="5A640B0E"/>
    <w:rsid w:val="5A690D4F"/>
    <w:rsid w:val="5A70032F"/>
    <w:rsid w:val="5A764935"/>
    <w:rsid w:val="5A7C2ADE"/>
    <w:rsid w:val="5A831139"/>
    <w:rsid w:val="5A835D86"/>
    <w:rsid w:val="5A851901"/>
    <w:rsid w:val="5A8E07B6"/>
    <w:rsid w:val="5A93401E"/>
    <w:rsid w:val="5A9644ED"/>
    <w:rsid w:val="5A9B2ED2"/>
    <w:rsid w:val="5AA12504"/>
    <w:rsid w:val="5AAB580B"/>
    <w:rsid w:val="5ABF5D6F"/>
    <w:rsid w:val="5AC05BF0"/>
    <w:rsid w:val="5AD308BE"/>
    <w:rsid w:val="5ADB7D78"/>
    <w:rsid w:val="5ADF3707"/>
    <w:rsid w:val="5ADF6D7F"/>
    <w:rsid w:val="5AF903EB"/>
    <w:rsid w:val="5AFC1BC3"/>
    <w:rsid w:val="5B13515F"/>
    <w:rsid w:val="5B172EA1"/>
    <w:rsid w:val="5B1909C7"/>
    <w:rsid w:val="5B19105F"/>
    <w:rsid w:val="5B223802"/>
    <w:rsid w:val="5B303F63"/>
    <w:rsid w:val="5B3229DD"/>
    <w:rsid w:val="5B386973"/>
    <w:rsid w:val="5B7163BD"/>
    <w:rsid w:val="5B716AF2"/>
    <w:rsid w:val="5B726329"/>
    <w:rsid w:val="5B78539F"/>
    <w:rsid w:val="5B8B6B3E"/>
    <w:rsid w:val="5B9444F1"/>
    <w:rsid w:val="5BAA31D1"/>
    <w:rsid w:val="5BB10BFF"/>
    <w:rsid w:val="5BB41DC6"/>
    <w:rsid w:val="5BB42D16"/>
    <w:rsid w:val="5BB65523"/>
    <w:rsid w:val="5BCC5A39"/>
    <w:rsid w:val="5BD26DC8"/>
    <w:rsid w:val="5BD40D92"/>
    <w:rsid w:val="5BE30FD5"/>
    <w:rsid w:val="5BE43388"/>
    <w:rsid w:val="5BE56AFB"/>
    <w:rsid w:val="5BF154A0"/>
    <w:rsid w:val="5BF20AFB"/>
    <w:rsid w:val="5BF45B9F"/>
    <w:rsid w:val="5BF46D3E"/>
    <w:rsid w:val="5BF64864"/>
    <w:rsid w:val="5BFB631F"/>
    <w:rsid w:val="5BFC47E3"/>
    <w:rsid w:val="5C084598"/>
    <w:rsid w:val="5C0F1ADC"/>
    <w:rsid w:val="5C1513BA"/>
    <w:rsid w:val="5C1967A5"/>
    <w:rsid w:val="5C207B33"/>
    <w:rsid w:val="5C27560A"/>
    <w:rsid w:val="5C2A09B2"/>
    <w:rsid w:val="5C2B06C5"/>
    <w:rsid w:val="5C405873"/>
    <w:rsid w:val="5C4F00CF"/>
    <w:rsid w:val="5C553C81"/>
    <w:rsid w:val="5C57704E"/>
    <w:rsid w:val="5C5E240A"/>
    <w:rsid w:val="5C5F28F7"/>
    <w:rsid w:val="5C6336F0"/>
    <w:rsid w:val="5C6F4617"/>
    <w:rsid w:val="5C733038"/>
    <w:rsid w:val="5C7435C7"/>
    <w:rsid w:val="5C76637A"/>
    <w:rsid w:val="5C7C3B0F"/>
    <w:rsid w:val="5C7D4F86"/>
    <w:rsid w:val="5C835DA4"/>
    <w:rsid w:val="5C852059"/>
    <w:rsid w:val="5C875E04"/>
    <w:rsid w:val="5C954F7D"/>
    <w:rsid w:val="5C97417A"/>
    <w:rsid w:val="5C9F6BCD"/>
    <w:rsid w:val="5CA408A7"/>
    <w:rsid w:val="5CA81314"/>
    <w:rsid w:val="5CAF0167"/>
    <w:rsid w:val="5CB14C2F"/>
    <w:rsid w:val="5CBC03EF"/>
    <w:rsid w:val="5CBF0F4D"/>
    <w:rsid w:val="5CC2508E"/>
    <w:rsid w:val="5CC52489"/>
    <w:rsid w:val="5CCA3EEF"/>
    <w:rsid w:val="5CD10E53"/>
    <w:rsid w:val="5CDA384F"/>
    <w:rsid w:val="5CE045E7"/>
    <w:rsid w:val="5CE860EB"/>
    <w:rsid w:val="5CED6182"/>
    <w:rsid w:val="5CF27722"/>
    <w:rsid w:val="5CFD61B9"/>
    <w:rsid w:val="5D1320B5"/>
    <w:rsid w:val="5D2F7CA9"/>
    <w:rsid w:val="5D3B6F2A"/>
    <w:rsid w:val="5D3C6BEF"/>
    <w:rsid w:val="5D4B33F2"/>
    <w:rsid w:val="5D4B44AF"/>
    <w:rsid w:val="5D5E0913"/>
    <w:rsid w:val="5D5E4DB7"/>
    <w:rsid w:val="5D804D2D"/>
    <w:rsid w:val="5D870C6B"/>
    <w:rsid w:val="5D887D08"/>
    <w:rsid w:val="5D9556F6"/>
    <w:rsid w:val="5D9562FF"/>
    <w:rsid w:val="5D975399"/>
    <w:rsid w:val="5D98312E"/>
    <w:rsid w:val="5DA56542"/>
    <w:rsid w:val="5DAC2B79"/>
    <w:rsid w:val="5DAD6BC2"/>
    <w:rsid w:val="5DB669A1"/>
    <w:rsid w:val="5DCE7D3F"/>
    <w:rsid w:val="5DD136AD"/>
    <w:rsid w:val="5DEF5A0F"/>
    <w:rsid w:val="5DF11787"/>
    <w:rsid w:val="5E0103AE"/>
    <w:rsid w:val="5E0302CC"/>
    <w:rsid w:val="5E040E8E"/>
    <w:rsid w:val="5E14191A"/>
    <w:rsid w:val="5E174F66"/>
    <w:rsid w:val="5E272D41"/>
    <w:rsid w:val="5E3B7F44"/>
    <w:rsid w:val="5E464689"/>
    <w:rsid w:val="5E5166CA"/>
    <w:rsid w:val="5E563CE0"/>
    <w:rsid w:val="5E6B0BF4"/>
    <w:rsid w:val="5E7151D4"/>
    <w:rsid w:val="5E7E0C7E"/>
    <w:rsid w:val="5E800D5D"/>
    <w:rsid w:val="5E83629B"/>
    <w:rsid w:val="5E8545C5"/>
    <w:rsid w:val="5E915295"/>
    <w:rsid w:val="5EA04F5B"/>
    <w:rsid w:val="5EA467FA"/>
    <w:rsid w:val="5EA51DD0"/>
    <w:rsid w:val="5EA70098"/>
    <w:rsid w:val="5EAF096B"/>
    <w:rsid w:val="5EC073AC"/>
    <w:rsid w:val="5ED16375"/>
    <w:rsid w:val="5ED660A5"/>
    <w:rsid w:val="5EE446E7"/>
    <w:rsid w:val="5EE90678"/>
    <w:rsid w:val="5EF430D7"/>
    <w:rsid w:val="5EF43482"/>
    <w:rsid w:val="5EF86DE5"/>
    <w:rsid w:val="5EFF58DD"/>
    <w:rsid w:val="5F0059FA"/>
    <w:rsid w:val="5F1C7DDC"/>
    <w:rsid w:val="5F1F1C08"/>
    <w:rsid w:val="5F266948"/>
    <w:rsid w:val="5F2B47A5"/>
    <w:rsid w:val="5F337B7D"/>
    <w:rsid w:val="5F385194"/>
    <w:rsid w:val="5F3C0E6C"/>
    <w:rsid w:val="5F3D09FC"/>
    <w:rsid w:val="5F3F4450"/>
    <w:rsid w:val="5F507610"/>
    <w:rsid w:val="5F515E29"/>
    <w:rsid w:val="5F5244A8"/>
    <w:rsid w:val="5F555D46"/>
    <w:rsid w:val="5F7206A6"/>
    <w:rsid w:val="5F74315D"/>
    <w:rsid w:val="5F751F44"/>
    <w:rsid w:val="5F7A57AC"/>
    <w:rsid w:val="5F7D53EE"/>
    <w:rsid w:val="5F7D6C03"/>
    <w:rsid w:val="5F833C40"/>
    <w:rsid w:val="5F865007"/>
    <w:rsid w:val="5F9A5E4E"/>
    <w:rsid w:val="5F9D0986"/>
    <w:rsid w:val="5F9D1ED0"/>
    <w:rsid w:val="5FA35602"/>
    <w:rsid w:val="5FA40A7B"/>
    <w:rsid w:val="5FA4310E"/>
    <w:rsid w:val="5FA863FE"/>
    <w:rsid w:val="5FB76A00"/>
    <w:rsid w:val="5FB82642"/>
    <w:rsid w:val="5FB84140"/>
    <w:rsid w:val="5FB962D5"/>
    <w:rsid w:val="5FBF69B6"/>
    <w:rsid w:val="5FD41360"/>
    <w:rsid w:val="5FD650D9"/>
    <w:rsid w:val="5FF476A9"/>
    <w:rsid w:val="60086BBF"/>
    <w:rsid w:val="60132BBC"/>
    <w:rsid w:val="60210FF8"/>
    <w:rsid w:val="60340051"/>
    <w:rsid w:val="6038228F"/>
    <w:rsid w:val="603A596D"/>
    <w:rsid w:val="603B26DF"/>
    <w:rsid w:val="60411174"/>
    <w:rsid w:val="605A61E7"/>
    <w:rsid w:val="605D1F44"/>
    <w:rsid w:val="60603856"/>
    <w:rsid w:val="606C0263"/>
    <w:rsid w:val="606C05CE"/>
    <w:rsid w:val="606E61E9"/>
    <w:rsid w:val="607A2BF6"/>
    <w:rsid w:val="607B1C59"/>
    <w:rsid w:val="608A66C7"/>
    <w:rsid w:val="608C39E9"/>
    <w:rsid w:val="609A4358"/>
    <w:rsid w:val="60A70F0A"/>
    <w:rsid w:val="60A9459B"/>
    <w:rsid w:val="60AC408B"/>
    <w:rsid w:val="60B13610"/>
    <w:rsid w:val="60B3541A"/>
    <w:rsid w:val="60B54E32"/>
    <w:rsid w:val="60B66ADC"/>
    <w:rsid w:val="60BB0182"/>
    <w:rsid w:val="60BD0294"/>
    <w:rsid w:val="60BE2771"/>
    <w:rsid w:val="60C969EB"/>
    <w:rsid w:val="60D44B41"/>
    <w:rsid w:val="60E2116F"/>
    <w:rsid w:val="60EB5DD7"/>
    <w:rsid w:val="61061B60"/>
    <w:rsid w:val="61096DE8"/>
    <w:rsid w:val="610B7637"/>
    <w:rsid w:val="610E08A2"/>
    <w:rsid w:val="6115406B"/>
    <w:rsid w:val="6117523F"/>
    <w:rsid w:val="611A7247"/>
    <w:rsid w:val="611D2893"/>
    <w:rsid w:val="612629A8"/>
    <w:rsid w:val="61270435"/>
    <w:rsid w:val="612A58C1"/>
    <w:rsid w:val="612E24CC"/>
    <w:rsid w:val="616B40B4"/>
    <w:rsid w:val="616F3EC5"/>
    <w:rsid w:val="617572D6"/>
    <w:rsid w:val="6178240C"/>
    <w:rsid w:val="61920B15"/>
    <w:rsid w:val="61932B55"/>
    <w:rsid w:val="61985F01"/>
    <w:rsid w:val="619A17E6"/>
    <w:rsid w:val="619C1A0A"/>
    <w:rsid w:val="61A3153C"/>
    <w:rsid w:val="61AD486F"/>
    <w:rsid w:val="61BC3CA7"/>
    <w:rsid w:val="61C37498"/>
    <w:rsid w:val="61CC3B63"/>
    <w:rsid w:val="61D118DF"/>
    <w:rsid w:val="61D41430"/>
    <w:rsid w:val="61D62B6D"/>
    <w:rsid w:val="61D86B1B"/>
    <w:rsid w:val="61DC44FC"/>
    <w:rsid w:val="61DE0CF0"/>
    <w:rsid w:val="61E32B0C"/>
    <w:rsid w:val="61E44F1F"/>
    <w:rsid w:val="61EE1B3B"/>
    <w:rsid w:val="620A1069"/>
    <w:rsid w:val="620F4796"/>
    <w:rsid w:val="62166177"/>
    <w:rsid w:val="621C5B02"/>
    <w:rsid w:val="62261C1B"/>
    <w:rsid w:val="622B0FE0"/>
    <w:rsid w:val="622B7232"/>
    <w:rsid w:val="623227A4"/>
    <w:rsid w:val="62481B92"/>
    <w:rsid w:val="62486D15"/>
    <w:rsid w:val="624C4D00"/>
    <w:rsid w:val="624E56CE"/>
    <w:rsid w:val="624F23FA"/>
    <w:rsid w:val="625E3B43"/>
    <w:rsid w:val="625E7607"/>
    <w:rsid w:val="6263306E"/>
    <w:rsid w:val="62662018"/>
    <w:rsid w:val="6284363F"/>
    <w:rsid w:val="62856942"/>
    <w:rsid w:val="62913539"/>
    <w:rsid w:val="629B1ADF"/>
    <w:rsid w:val="629F265A"/>
    <w:rsid w:val="62BF2CD9"/>
    <w:rsid w:val="62C613D9"/>
    <w:rsid w:val="62D54401"/>
    <w:rsid w:val="62E5015F"/>
    <w:rsid w:val="62E9273B"/>
    <w:rsid w:val="62FB4E56"/>
    <w:rsid w:val="63112111"/>
    <w:rsid w:val="631D35FB"/>
    <w:rsid w:val="63220635"/>
    <w:rsid w:val="63251390"/>
    <w:rsid w:val="63284D3B"/>
    <w:rsid w:val="632E2B36"/>
    <w:rsid w:val="633B34A5"/>
    <w:rsid w:val="634265E1"/>
    <w:rsid w:val="6350047D"/>
    <w:rsid w:val="635414A1"/>
    <w:rsid w:val="635602B1"/>
    <w:rsid w:val="63660521"/>
    <w:rsid w:val="637A0055"/>
    <w:rsid w:val="637B0D89"/>
    <w:rsid w:val="637C7D45"/>
    <w:rsid w:val="63802D76"/>
    <w:rsid w:val="63910911"/>
    <w:rsid w:val="63911317"/>
    <w:rsid w:val="63AC5238"/>
    <w:rsid w:val="63AD711F"/>
    <w:rsid w:val="63AD7C53"/>
    <w:rsid w:val="63B10704"/>
    <w:rsid w:val="63C705E7"/>
    <w:rsid w:val="63E43B3C"/>
    <w:rsid w:val="63E91153"/>
    <w:rsid w:val="63F672D6"/>
    <w:rsid w:val="63F97611"/>
    <w:rsid w:val="64034EC5"/>
    <w:rsid w:val="641536BE"/>
    <w:rsid w:val="64223886"/>
    <w:rsid w:val="6428693C"/>
    <w:rsid w:val="642B176B"/>
    <w:rsid w:val="642D54E3"/>
    <w:rsid w:val="64374EF8"/>
    <w:rsid w:val="64376FA6"/>
    <w:rsid w:val="64414AEB"/>
    <w:rsid w:val="644A6A0A"/>
    <w:rsid w:val="644F4FF4"/>
    <w:rsid w:val="6455489E"/>
    <w:rsid w:val="64583414"/>
    <w:rsid w:val="645D6AA5"/>
    <w:rsid w:val="646B0FA5"/>
    <w:rsid w:val="646B48B3"/>
    <w:rsid w:val="64722EF6"/>
    <w:rsid w:val="64740A1C"/>
    <w:rsid w:val="64760C38"/>
    <w:rsid w:val="647C3D75"/>
    <w:rsid w:val="64986C27"/>
    <w:rsid w:val="649A3F22"/>
    <w:rsid w:val="649E1F3D"/>
    <w:rsid w:val="649E6BD8"/>
    <w:rsid w:val="64A5151D"/>
    <w:rsid w:val="64A774EB"/>
    <w:rsid w:val="64A82DBC"/>
    <w:rsid w:val="64AC6408"/>
    <w:rsid w:val="64C22AF0"/>
    <w:rsid w:val="64C4255D"/>
    <w:rsid w:val="64CE4546"/>
    <w:rsid w:val="64D2159D"/>
    <w:rsid w:val="64E33DF4"/>
    <w:rsid w:val="64E559BF"/>
    <w:rsid w:val="64EF2799"/>
    <w:rsid w:val="64F47DAF"/>
    <w:rsid w:val="64F658D5"/>
    <w:rsid w:val="64F7097C"/>
    <w:rsid w:val="64F93617"/>
    <w:rsid w:val="64FC081C"/>
    <w:rsid w:val="64FD4FD4"/>
    <w:rsid w:val="65101015"/>
    <w:rsid w:val="651026AD"/>
    <w:rsid w:val="65176D7C"/>
    <w:rsid w:val="651E5B47"/>
    <w:rsid w:val="65257736"/>
    <w:rsid w:val="6539115C"/>
    <w:rsid w:val="65410F2A"/>
    <w:rsid w:val="6541453A"/>
    <w:rsid w:val="654672B3"/>
    <w:rsid w:val="65482586"/>
    <w:rsid w:val="654F73EE"/>
    <w:rsid w:val="655908A2"/>
    <w:rsid w:val="65605C5F"/>
    <w:rsid w:val="6563794C"/>
    <w:rsid w:val="656B5ACE"/>
    <w:rsid w:val="656E3017"/>
    <w:rsid w:val="65847407"/>
    <w:rsid w:val="65863796"/>
    <w:rsid w:val="659E34C7"/>
    <w:rsid w:val="65AE61B0"/>
    <w:rsid w:val="65B975D9"/>
    <w:rsid w:val="65BD1F06"/>
    <w:rsid w:val="65CD2ADA"/>
    <w:rsid w:val="65D5198E"/>
    <w:rsid w:val="65D908CE"/>
    <w:rsid w:val="65DD6A95"/>
    <w:rsid w:val="65E9368C"/>
    <w:rsid w:val="65F03C9B"/>
    <w:rsid w:val="65FA0698"/>
    <w:rsid w:val="65FE0EE5"/>
    <w:rsid w:val="66012783"/>
    <w:rsid w:val="6619635E"/>
    <w:rsid w:val="662B5AD0"/>
    <w:rsid w:val="662D4AF0"/>
    <w:rsid w:val="663C367F"/>
    <w:rsid w:val="664B4791"/>
    <w:rsid w:val="6650370B"/>
    <w:rsid w:val="66560D21"/>
    <w:rsid w:val="665B17E1"/>
    <w:rsid w:val="665F56FC"/>
    <w:rsid w:val="66604799"/>
    <w:rsid w:val="666A0329"/>
    <w:rsid w:val="66783EDC"/>
    <w:rsid w:val="66784155"/>
    <w:rsid w:val="668A09CB"/>
    <w:rsid w:val="66952ECC"/>
    <w:rsid w:val="669B2164"/>
    <w:rsid w:val="66A9783B"/>
    <w:rsid w:val="66B466D2"/>
    <w:rsid w:val="66B617C0"/>
    <w:rsid w:val="66B75538"/>
    <w:rsid w:val="66B772E6"/>
    <w:rsid w:val="66C83E17"/>
    <w:rsid w:val="66D6776C"/>
    <w:rsid w:val="66D8171F"/>
    <w:rsid w:val="66D96F29"/>
    <w:rsid w:val="66E9417E"/>
    <w:rsid w:val="66ED0F5A"/>
    <w:rsid w:val="66F127F8"/>
    <w:rsid w:val="66F75934"/>
    <w:rsid w:val="66F916AD"/>
    <w:rsid w:val="66FB6B0E"/>
    <w:rsid w:val="670342D9"/>
    <w:rsid w:val="670D3579"/>
    <w:rsid w:val="67112E9A"/>
    <w:rsid w:val="67140294"/>
    <w:rsid w:val="671A04B3"/>
    <w:rsid w:val="67210E21"/>
    <w:rsid w:val="67223341"/>
    <w:rsid w:val="67372EA7"/>
    <w:rsid w:val="67381478"/>
    <w:rsid w:val="67386C37"/>
    <w:rsid w:val="674C0924"/>
    <w:rsid w:val="675D15A7"/>
    <w:rsid w:val="67627252"/>
    <w:rsid w:val="676818B7"/>
    <w:rsid w:val="67682306"/>
    <w:rsid w:val="676A497C"/>
    <w:rsid w:val="677A27ED"/>
    <w:rsid w:val="67926E78"/>
    <w:rsid w:val="679547E9"/>
    <w:rsid w:val="679A4C3E"/>
    <w:rsid w:val="679A69EC"/>
    <w:rsid w:val="67A71109"/>
    <w:rsid w:val="67B06F7F"/>
    <w:rsid w:val="67B52BA6"/>
    <w:rsid w:val="67C12CB3"/>
    <w:rsid w:val="67DF4D46"/>
    <w:rsid w:val="67EB36EB"/>
    <w:rsid w:val="67EB660D"/>
    <w:rsid w:val="67EC1211"/>
    <w:rsid w:val="67FB1A94"/>
    <w:rsid w:val="68071BA7"/>
    <w:rsid w:val="681A18DB"/>
    <w:rsid w:val="683B6EC4"/>
    <w:rsid w:val="683F57E5"/>
    <w:rsid w:val="68452DC6"/>
    <w:rsid w:val="684921C0"/>
    <w:rsid w:val="684B5F38"/>
    <w:rsid w:val="68506FFE"/>
    <w:rsid w:val="68580655"/>
    <w:rsid w:val="687065DC"/>
    <w:rsid w:val="687D0532"/>
    <w:rsid w:val="688D0395"/>
    <w:rsid w:val="688E5648"/>
    <w:rsid w:val="688F21C2"/>
    <w:rsid w:val="68945B31"/>
    <w:rsid w:val="68B22C67"/>
    <w:rsid w:val="68B66FDB"/>
    <w:rsid w:val="68B94035"/>
    <w:rsid w:val="68BF3CEC"/>
    <w:rsid w:val="68C0149A"/>
    <w:rsid w:val="68C71B3A"/>
    <w:rsid w:val="68D04302"/>
    <w:rsid w:val="68D0468F"/>
    <w:rsid w:val="68E01983"/>
    <w:rsid w:val="68E66553"/>
    <w:rsid w:val="68E70983"/>
    <w:rsid w:val="68F24605"/>
    <w:rsid w:val="68F33595"/>
    <w:rsid w:val="68FB5BB0"/>
    <w:rsid w:val="68FC0779"/>
    <w:rsid w:val="69006B0C"/>
    <w:rsid w:val="69016156"/>
    <w:rsid w:val="69026F3E"/>
    <w:rsid w:val="69104359"/>
    <w:rsid w:val="69125DB1"/>
    <w:rsid w:val="69126A56"/>
    <w:rsid w:val="692B02A6"/>
    <w:rsid w:val="69360704"/>
    <w:rsid w:val="69360996"/>
    <w:rsid w:val="69366BE8"/>
    <w:rsid w:val="694D7A8E"/>
    <w:rsid w:val="695D5796"/>
    <w:rsid w:val="696A3312"/>
    <w:rsid w:val="696E0130"/>
    <w:rsid w:val="696E145E"/>
    <w:rsid w:val="698213E4"/>
    <w:rsid w:val="69830AD1"/>
    <w:rsid w:val="69923A21"/>
    <w:rsid w:val="699456BD"/>
    <w:rsid w:val="699F653B"/>
    <w:rsid w:val="69B016A1"/>
    <w:rsid w:val="69B144C0"/>
    <w:rsid w:val="69B61AD7"/>
    <w:rsid w:val="69BB533F"/>
    <w:rsid w:val="69BB70ED"/>
    <w:rsid w:val="69BF2385"/>
    <w:rsid w:val="69CB580E"/>
    <w:rsid w:val="69DB5C32"/>
    <w:rsid w:val="69EE2558"/>
    <w:rsid w:val="69F03D34"/>
    <w:rsid w:val="69F267A5"/>
    <w:rsid w:val="69F466D5"/>
    <w:rsid w:val="6A023A7D"/>
    <w:rsid w:val="6A06480C"/>
    <w:rsid w:val="6A077302"/>
    <w:rsid w:val="6A0C7949"/>
    <w:rsid w:val="6A130CD7"/>
    <w:rsid w:val="6A197BB4"/>
    <w:rsid w:val="6A1C4030"/>
    <w:rsid w:val="6A1E01A8"/>
    <w:rsid w:val="6A2133F4"/>
    <w:rsid w:val="6A2D275A"/>
    <w:rsid w:val="6A314603"/>
    <w:rsid w:val="6A3221F1"/>
    <w:rsid w:val="6A3751B8"/>
    <w:rsid w:val="6A3D5AA9"/>
    <w:rsid w:val="6A507835"/>
    <w:rsid w:val="6A5437CA"/>
    <w:rsid w:val="6A552E93"/>
    <w:rsid w:val="6A6257BB"/>
    <w:rsid w:val="6A7A566B"/>
    <w:rsid w:val="6A87282C"/>
    <w:rsid w:val="6A892D47"/>
    <w:rsid w:val="6A8F4802"/>
    <w:rsid w:val="6A935974"/>
    <w:rsid w:val="6AA47B81"/>
    <w:rsid w:val="6AAA163C"/>
    <w:rsid w:val="6AAF0A00"/>
    <w:rsid w:val="6AB75B07"/>
    <w:rsid w:val="6AC13648"/>
    <w:rsid w:val="6AC84883"/>
    <w:rsid w:val="6AD51B81"/>
    <w:rsid w:val="6AE213F9"/>
    <w:rsid w:val="6AEA5EDC"/>
    <w:rsid w:val="6AF01018"/>
    <w:rsid w:val="6AF02DC7"/>
    <w:rsid w:val="6AF3785D"/>
    <w:rsid w:val="6AFE54E3"/>
    <w:rsid w:val="6B014FD4"/>
    <w:rsid w:val="6B0A1DFB"/>
    <w:rsid w:val="6B1E5B86"/>
    <w:rsid w:val="6B250CC2"/>
    <w:rsid w:val="6B371960"/>
    <w:rsid w:val="6B5506DA"/>
    <w:rsid w:val="6B647C74"/>
    <w:rsid w:val="6B7B556E"/>
    <w:rsid w:val="6B7F49FB"/>
    <w:rsid w:val="6B8B79FD"/>
    <w:rsid w:val="6B961BC0"/>
    <w:rsid w:val="6BBB2310"/>
    <w:rsid w:val="6BC32289"/>
    <w:rsid w:val="6BCC55E2"/>
    <w:rsid w:val="6BD050D2"/>
    <w:rsid w:val="6BD821D8"/>
    <w:rsid w:val="6BDB3000"/>
    <w:rsid w:val="6BE0108D"/>
    <w:rsid w:val="6BE24E05"/>
    <w:rsid w:val="6BE34625"/>
    <w:rsid w:val="6BE446D9"/>
    <w:rsid w:val="6C0C1E82"/>
    <w:rsid w:val="6C0C435C"/>
    <w:rsid w:val="6C1156D8"/>
    <w:rsid w:val="6C133380"/>
    <w:rsid w:val="6C172D01"/>
    <w:rsid w:val="6C1C2118"/>
    <w:rsid w:val="6C2C0454"/>
    <w:rsid w:val="6C2F7E89"/>
    <w:rsid w:val="6C30791F"/>
    <w:rsid w:val="6C353FEF"/>
    <w:rsid w:val="6C35510F"/>
    <w:rsid w:val="6C513E49"/>
    <w:rsid w:val="6C532CBE"/>
    <w:rsid w:val="6C5D5B58"/>
    <w:rsid w:val="6C5E5F16"/>
    <w:rsid w:val="6C8B433F"/>
    <w:rsid w:val="6C9119F4"/>
    <w:rsid w:val="6C963990"/>
    <w:rsid w:val="6C991968"/>
    <w:rsid w:val="6C9B4649"/>
    <w:rsid w:val="6CB202B7"/>
    <w:rsid w:val="6CB22A29"/>
    <w:rsid w:val="6CC17684"/>
    <w:rsid w:val="6CDE381E"/>
    <w:rsid w:val="6CE63965"/>
    <w:rsid w:val="6CEA0C3F"/>
    <w:rsid w:val="6CED562C"/>
    <w:rsid w:val="6CFB656C"/>
    <w:rsid w:val="6CFC710B"/>
    <w:rsid w:val="6CFC7E0A"/>
    <w:rsid w:val="6D140FEE"/>
    <w:rsid w:val="6D191B61"/>
    <w:rsid w:val="6D192AA9"/>
    <w:rsid w:val="6D194857"/>
    <w:rsid w:val="6D2531FB"/>
    <w:rsid w:val="6D315E34"/>
    <w:rsid w:val="6D3310A9"/>
    <w:rsid w:val="6D3527BF"/>
    <w:rsid w:val="6D457849"/>
    <w:rsid w:val="6D490077"/>
    <w:rsid w:val="6D4C218E"/>
    <w:rsid w:val="6D521431"/>
    <w:rsid w:val="6D5B3BD3"/>
    <w:rsid w:val="6D657A9C"/>
    <w:rsid w:val="6D67565D"/>
    <w:rsid w:val="6D6F30FB"/>
    <w:rsid w:val="6D711E2E"/>
    <w:rsid w:val="6D7E504C"/>
    <w:rsid w:val="6D7F47C0"/>
    <w:rsid w:val="6D853C9A"/>
    <w:rsid w:val="6D964CB2"/>
    <w:rsid w:val="6D9E55C4"/>
    <w:rsid w:val="6DA40846"/>
    <w:rsid w:val="6DA87A93"/>
    <w:rsid w:val="6DB30807"/>
    <w:rsid w:val="6DB55CAD"/>
    <w:rsid w:val="6DB81974"/>
    <w:rsid w:val="6DB93944"/>
    <w:rsid w:val="6DD4077E"/>
    <w:rsid w:val="6DE53B02"/>
    <w:rsid w:val="6DE91399"/>
    <w:rsid w:val="6DEC3D19"/>
    <w:rsid w:val="6DF20BCA"/>
    <w:rsid w:val="6DF46A9E"/>
    <w:rsid w:val="6E002B1B"/>
    <w:rsid w:val="6E102D2D"/>
    <w:rsid w:val="6E205C8E"/>
    <w:rsid w:val="6E2C16BB"/>
    <w:rsid w:val="6E322CF5"/>
    <w:rsid w:val="6E473250"/>
    <w:rsid w:val="6E4843FE"/>
    <w:rsid w:val="6E496675"/>
    <w:rsid w:val="6E4C331A"/>
    <w:rsid w:val="6E4F5A82"/>
    <w:rsid w:val="6E531FEA"/>
    <w:rsid w:val="6E55366C"/>
    <w:rsid w:val="6E557B10"/>
    <w:rsid w:val="6E6164B5"/>
    <w:rsid w:val="6E647D53"/>
    <w:rsid w:val="6E6715F2"/>
    <w:rsid w:val="6E68124A"/>
    <w:rsid w:val="6E744EC2"/>
    <w:rsid w:val="6E755580"/>
    <w:rsid w:val="6E7736BC"/>
    <w:rsid w:val="6E785258"/>
    <w:rsid w:val="6E796613"/>
    <w:rsid w:val="6E7D2BC3"/>
    <w:rsid w:val="6E8F758B"/>
    <w:rsid w:val="6E922B12"/>
    <w:rsid w:val="6E9323E7"/>
    <w:rsid w:val="6E9817AB"/>
    <w:rsid w:val="6EA36CDD"/>
    <w:rsid w:val="6EAA3313"/>
    <w:rsid w:val="6EB011EB"/>
    <w:rsid w:val="6EB825CC"/>
    <w:rsid w:val="6EBB0EBA"/>
    <w:rsid w:val="6ECB2800"/>
    <w:rsid w:val="6ED36561"/>
    <w:rsid w:val="6EDA0016"/>
    <w:rsid w:val="6EE1208C"/>
    <w:rsid w:val="6EF763A3"/>
    <w:rsid w:val="6EF94940"/>
    <w:rsid w:val="6EFD5AB2"/>
    <w:rsid w:val="6F07403E"/>
    <w:rsid w:val="6F0A1E85"/>
    <w:rsid w:val="6F0C05AE"/>
    <w:rsid w:val="6F1751E2"/>
    <w:rsid w:val="6F236D2B"/>
    <w:rsid w:val="6F2A1DC7"/>
    <w:rsid w:val="6F2A2001"/>
    <w:rsid w:val="6F3E2352"/>
    <w:rsid w:val="6F510CF9"/>
    <w:rsid w:val="6F541D77"/>
    <w:rsid w:val="6F5632B7"/>
    <w:rsid w:val="6F5A2F04"/>
    <w:rsid w:val="6F5B73A8"/>
    <w:rsid w:val="6F6317A4"/>
    <w:rsid w:val="6F63625D"/>
    <w:rsid w:val="6F6B5112"/>
    <w:rsid w:val="6F6C5073"/>
    <w:rsid w:val="6F7A7FF3"/>
    <w:rsid w:val="6F7D6EFF"/>
    <w:rsid w:val="6F8275FE"/>
    <w:rsid w:val="6F84347F"/>
    <w:rsid w:val="6F8C318D"/>
    <w:rsid w:val="6F8E3627"/>
    <w:rsid w:val="6F911144"/>
    <w:rsid w:val="6F9A3E61"/>
    <w:rsid w:val="6F9B0BA2"/>
    <w:rsid w:val="6FA801E8"/>
    <w:rsid w:val="6FC41A06"/>
    <w:rsid w:val="6FCC5978"/>
    <w:rsid w:val="6FD119AE"/>
    <w:rsid w:val="6FD53327"/>
    <w:rsid w:val="6FD87FDC"/>
    <w:rsid w:val="6FEF7AF1"/>
    <w:rsid w:val="6FF356A3"/>
    <w:rsid w:val="6FFE55F4"/>
    <w:rsid w:val="6FFF24F7"/>
    <w:rsid w:val="70001FD7"/>
    <w:rsid w:val="70082960"/>
    <w:rsid w:val="70110F5B"/>
    <w:rsid w:val="701A2428"/>
    <w:rsid w:val="701C374E"/>
    <w:rsid w:val="701D6A70"/>
    <w:rsid w:val="7023779A"/>
    <w:rsid w:val="70303B3F"/>
    <w:rsid w:val="70343755"/>
    <w:rsid w:val="70384FF4"/>
    <w:rsid w:val="70433998"/>
    <w:rsid w:val="704874EB"/>
    <w:rsid w:val="705A794D"/>
    <w:rsid w:val="70722A8E"/>
    <w:rsid w:val="707410FB"/>
    <w:rsid w:val="70795726"/>
    <w:rsid w:val="707F13AA"/>
    <w:rsid w:val="7080699B"/>
    <w:rsid w:val="7083730A"/>
    <w:rsid w:val="70893D25"/>
    <w:rsid w:val="708B6804"/>
    <w:rsid w:val="709A78DB"/>
    <w:rsid w:val="70CA4041"/>
    <w:rsid w:val="70CC631B"/>
    <w:rsid w:val="70E138DD"/>
    <w:rsid w:val="70E47042"/>
    <w:rsid w:val="70ED2282"/>
    <w:rsid w:val="70F27898"/>
    <w:rsid w:val="70F43CF9"/>
    <w:rsid w:val="70F549DB"/>
    <w:rsid w:val="70FE120B"/>
    <w:rsid w:val="710837BE"/>
    <w:rsid w:val="71092E34"/>
    <w:rsid w:val="71141F49"/>
    <w:rsid w:val="711C0A4C"/>
    <w:rsid w:val="711F61B4"/>
    <w:rsid w:val="71220EF5"/>
    <w:rsid w:val="71327C95"/>
    <w:rsid w:val="71593474"/>
    <w:rsid w:val="715A543E"/>
    <w:rsid w:val="715F45BC"/>
    <w:rsid w:val="71772BD3"/>
    <w:rsid w:val="71823031"/>
    <w:rsid w:val="718B3849"/>
    <w:rsid w:val="71911E9A"/>
    <w:rsid w:val="71976CE9"/>
    <w:rsid w:val="719E357C"/>
    <w:rsid w:val="71AA0173"/>
    <w:rsid w:val="71BB5107"/>
    <w:rsid w:val="71BC7CD8"/>
    <w:rsid w:val="71C6221A"/>
    <w:rsid w:val="71CA7676"/>
    <w:rsid w:val="71ED7A78"/>
    <w:rsid w:val="71EE1406"/>
    <w:rsid w:val="71F41921"/>
    <w:rsid w:val="71FE1F10"/>
    <w:rsid w:val="72005FE5"/>
    <w:rsid w:val="72061A98"/>
    <w:rsid w:val="72114A94"/>
    <w:rsid w:val="721E46BD"/>
    <w:rsid w:val="72200435"/>
    <w:rsid w:val="722B2DE0"/>
    <w:rsid w:val="72397A2C"/>
    <w:rsid w:val="723A27A5"/>
    <w:rsid w:val="723E589A"/>
    <w:rsid w:val="724F4877"/>
    <w:rsid w:val="72514A93"/>
    <w:rsid w:val="72565C05"/>
    <w:rsid w:val="725716A5"/>
    <w:rsid w:val="72734A09"/>
    <w:rsid w:val="7275647C"/>
    <w:rsid w:val="727B1B10"/>
    <w:rsid w:val="729329B5"/>
    <w:rsid w:val="72946F8C"/>
    <w:rsid w:val="729A1756"/>
    <w:rsid w:val="729D4E7D"/>
    <w:rsid w:val="72AA5244"/>
    <w:rsid w:val="72AC3A77"/>
    <w:rsid w:val="72C963D7"/>
    <w:rsid w:val="72CE714F"/>
    <w:rsid w:val="72CE7E91"/>
    <w:rsid w:val="72E503E5"/>
    <w:rsid w:val="72E9309C"/>
    <w:rsid w:val="72EC194D"/>
    <w:rsid w:val="72F24482"/>
    <w:rsid w:val="72F316A6"/>
    <w:rsid w:val="73025627"/>
    <w:rsid w:val="730F1287"/>
    <w:rsid w:val="730F195D"/>
    <w:rsid w:val="73102258"/>
    <w:rsid w:val="731B1CAA"/>
    <w:rsid w:val="732032ED"/>
    <w:rsid w:val="7321692F"/>
    <w:rsid w:val="734B7734"/>
    <w:rsid w:val="734D0939"/>
    <w:rsid w:val="73584555"/>
    <w:rsid w:val="736103AF"/>
    <w:rsid w:val="73644586"/>
    <w:rsid w:val="736A6B84"/>
    <w:rsid w:val="7379604F"/>
    <w:rsid w:val="737E18B7"/>
    <w:rsid w:val="73806C01"/>
    <w:rsid w:val="73813156"/>
    <w:rsid w:val="73902F65"/>
    <w:rsid w:val="739E5AB6"/>
    <w:rsid w:val="73A00786"/>
    <w:rsid w:val="73A02941"/>
    <w:rsid w:val="73A46B37"/>
    <w:rsid w:val="73A66718"/>
    <w:rsid w:val="73AA0F95"/>
    <w:rsid w:val="73B61F92"/>
    <w:rsid w:val="73B72566"/>
    <w:rsid w:val="73BA4C48"/>
    <w:rsid w:val="73BE02A3"/>
    <w:rsid w:val="73C33969"/>
    <w:rsid w:val="73DA238F"/>
    <w:rsid w:val="73E1574D"/>
    <w:rsid w:val="73EF6311"/>
    <w:rsid w:val="73F416D3"/>
    <w:rsid w:val="73F658CE"/>
    <w:rsid w:val="73F93B8C"/>
    <w:rsid w:val="74003100"/>
    <w:rsid w:val="740873D5"/>
    <w:rsid w:val="740B42C1"/>
    <w:rsid w:val="742873A2"/>
    <w:rsid w:val="742D0BE7"/>
    <w:rsid w:val="74303CED"/>
    <w:rsid w:val="743E37CE"/>
    <w:rsid w:val="743E6263"/>
    <w:rsid w:val="74420232"/>
    <w:rsid w:val="74466952"/>
    <w:rsid w:val="744765D2"/>
    <w:rsid w:val="74490C1A"/>
    <w:rsid w:val="744C72C0"/>
    <w:rsid w:val="744E128A"/>
    <w:rsid w:val="74566F42"/>
    <w:rsid w:val="7457184C"/>
    <w:rsid w:val="745F51EC"/>
    <w:rsid w:val="74634A68"/>
    <w:rsid w:val="74714F78"/>
    <w:rsid w:val="74753EEF"/>
    <w:rsid w:val="74784559"/>
    <w:rsid w:val="747B5DF7"/>
    <w:rsid w:val="747E446C"/>
    <w:rsid w:val="74914005"/>
    <w:rsid w:val="74934EEE"/>
    <w:rsid w:val="749B0247"/>
    <w:rsid w:val="749B51DF"/>
    <w:rsid w:val="74A40EAA"/>
    <w:rsid w:val="74B03CF2"/>
    <w:rsid w:val="74B82645"/>
    <w:rsid w:val="74B94727"/>
    <w:rsid w:val="74BA1537"/>
    <w:rsid w:val="74BA691F"/>
    <w:rsid w:val="74CC4156"/>
    <w:rsid w:val="74E6194D"/>
    <w:rsid w:val="74F91A1F"/>
    <w:rsid w:val="74FE028A"/>
    <w:rsid w:val="74FE3782"/>
    <w:rsid w:val="75061B64"/>
    <w:rsid w:val="75066559"/>
    <w:rsid w:val="75151B84"/>
    <w:rsid w:val="75151DA7"/>
    <w:rsid w:val="751F1167"/>
    <w:rsid w:val="752062B5"/>
    <w:rsid w:val="752175BA"/>
    <w:rsid w:val="7524053F"/>
    <w:rsid w:val="75265D63"/>
    <w:rsid w:val="75295853"/>
    <w:rsid w:val="752C594B"/>
    <w:rsid w:val="754045EC"/>
    <w:rsid w:val="75406498"/>
    <w:rsid w:val="75454A9D"/>
    <w:rsid w:val="754B2E47"/>
    <w:rsid w:val="755747C3"/>
    <w:rsid w:val="755F1275"/>
    <w:rsid w:val="75660855"/>
    <w:rsid w:val="75766894"/>
    <w:rsid w:val="75815055"/>
    <w:rsid w:val="758B2F20"/>
    <w:rsid w:val="758F7BB5"/>
    <w:rsid w:val="75915158"/>
    <w:rsid w:val="75922552"/>
    <w:rsid w:val="75931C1B"/>
    <w:rsid w:val="759904FE"/>
    <w:rsid w:val="75A44ED9"/>
    <w:rsid w:val="75AC4499"/>
    <w:rsid w:val="75BB59A9"/>
    <w:rsid w:val="75BC0475"/>
    <w:rsid w:val="75C6358C"/>
    <w:rsid w:val="75EC5AD1"/>
    <w:rsid w:val="760D2A7F"/>
    <w:rsid w:val="76191423"/>
    <w:rsid w:val="76191F3F"/>
    <w:rsid w:val="761C0F14"/>
    <w:rsid w:val="76211846"/>
    <w:rsid w:val="762A1882"/>
    <w:rsid w:val="76307EED"/>
    <w:rsid w:val="764D461B"/>
    <w:rsid w:val="764D4987"/>
    <w:rsid w:val="76621D63"/>
    <w:rsid w:val="766427FF"/>
    <w:rsid w:val="7666438C"/>
    <w:rsid w:val="76746FA2"/>
    <w:rsid w:val="767E1BCE"/>
    <w:rsid w:val="768F2084"/>
    <w:rsid w:val="769D02A6"/>
    <w:rsid w:val="76A21419"/>
    <w:rsid w:val="76A57260"/>
    <w:rsid w:val="76A706CF"/>
    <w:rsid w:val="76A85286"/>
    <w:rsid w:val="76B07CC5"/>
    <w:rsid w:val="76B24594"/>
    <w:rsid w:val="76BC3479"/>
    <w:rsid w:val="76C021E7"/>
    <w:rsid w:val="76C1790D"/>
    <w:rsid w:val="76C515AB"/>
    <w:rsid w:val="76CA6BC2"/>
    <w:rsid w:val="76CE1E13"/>
    <w:rsid w:val="76CF5F86"/>
    <w:rsid w:val="76D83AD9"/>
    <w:rsid w:val="76E00193"/>
    <w:rsid w:val="76ED69CE"/>
    <w:rsid w:val="76F47FC7"/>
    <w:rsid w:val="76FF2D0F"/>
    <w:rsid w:val="770013DE"/>
    <w:rsid w:val="770B16B4"/>
    <w:rsid w:val="771B1288"/>
    <w:rsid w:val="77232203"/>
    <w:rsid w:val="772A65AE"/>
    <w:rsid w:val="77300FA6"/>
    <w:rsid w:val="77352372"/>
    <w:rsid w:val="773B361B"/>
    <w:rsid w:val="774924CC"/>
    <w:rsid w:val="77675C0E"/>
    <w:rsid w:val="776823B8"/>
    <w:rsid w:val="77692AF7"/>
    <w:rsid w:val="77703B45"/>
    <w:rsid w:val="77723041"/>
    <w:rsid w:val="778637D8"/>
    <w:rsid w:val="7789082B"/>
    <w:rsid w:val="77921091"/>
    <w:rsid w:val="77980A6E"/>
    <w:rsid w:val="779A5A49"/>
    <w:rsid w:val="779C230C"/>
    <w:rsid w:val="77A967D7"/>
    <w:rsid w:val="77B875B5"/>
    <w:rsid w:val="77C7230B"/>
    <w:rsid w:val="77CD6969"/>
    <w:rsid w:val="77D548DA"/>
    <w:rsid w:val="77DA2E34"/>
    <w:rsid w:val="77F37B85"/>
    <w:rsid w:val="77F42E31"/>
    <w:rsid w:val="77F55EC0"/>
    <w:rsid w:val="77F80F29"/>
    <w:rsid w:val="78012B52"/>
    <w:rsid w:val="780B56E4"/>
    <w:rsid w:val="781D00C9"/>
    <w:rsid w:val="781D406D"/>
    <w:rsid w:val="782642CC"/>
    <w:rsid w:val="783D0681"/>
    <w:rsid w:val="78411F23"/>
    <w:rsid w:val="78484242"/>
    <w:rsid w:val="784B5110"/>
    <w:rsid w:val="78571CD3"/>
    <w:rsid w:val="7857203E"/>
    <w:rsid w:val="78582B05"/>
    <w:rsid w:val="785B52D1"/>
    <w:rsid w:val="7861768C"/>
    <w:rsid w:val="78630991"/>
    <w:rsid w:val="78656BA2"/>
    <w:rsid w:val="78663F8F"/>
    <w:rsid w:val="78866B18"/>
    <w:rsid w:val="78872FBC"/>
    <w:rsid w:val="788A5541"/>
    <w:rsid w:val="788A58BE"/>
    <w:rsid w:val="78915BE9"/>
    <w:rsid w:val="78941160"/>
    <w:rsid w:val="78941235"/>
    <w:rsid w:val="789E5BA6"/>
    <w:rsid w:val="78A27DF6"/>
    <w:rsid w:val="78AF70A8"/>
    <w:rsid w:val="78B14583"/>
    <w:rsid w:val="78B6564F"/>
    <w:rsid w:val="78B813C8"/>
    <w:rsid w:val="78BF0096"/>
    <w:rsid w:val="78BF076D"/>
    <w:rsid w:val="78CB7931"/>
    <w:rsid w:val="78DB3308"/>
    <w:rsid w:val="78E1748A"/>
    <w:rsid w:val="78E26444"/>
    <w:rsid w:val="78E37B88"/>
    <w:rsid w:val="78E811D1"/>
    <w:rsid w:val="78EF25FF"/>
    <w:rsid w:val="78F13B18"/>
    <w:rsid w:val="78F30652"/>
    <w:rsid w:val="78F47F26"/>
    <w:rsid w:val="78FC5416"/>
    <w:rsid w:val="79065AB5"/>
    <w:rsid w:val="790E0FE8"/>
    <w:rsid w:val="7913466E"/>
    <w:rsid w:val="791365FE"/>
    <w:rsid w:val="791D3D69"/>
    <w:rsid w:val="79280C97"/>
    <w:rsid w:val="792C4B89"/>
    <w:rsid w:val="79314655"/>
    <w:rsid w:val="793A7060"/>
    <w:rsid w:val="794D7DCF"/>
    <w:rsid w:val="794E780F"/>
    <w:rsid w:val="794F5DED"/>
    <w:rsid w:val="795D3E92"/>
    <w:rsid w:val="796E5F2A"/>
    <w:rsid w:val="796E77C6"/>
    <w:rsid w:val="79767C4F"/>
    <w:rsid w:val="797846B3"/>
    <w:rsid w:val="797D616D"/>
    <w:rsid w:val="797F5A41"/>
    <w:rsid w:val="79807AE3"/>
    <w:rsid w:val="798474FC"/>
    <w:rsid w:val="79907C4E"/>
    <w:rsid w:val="799E7093"/>
    <w:rsid w:val="79B61499"/>
    <w:rsid w:val="79B7167F"/>
    <w:rsid w:val="79C478F8"/>
    <w:rsid w:val="79C60E7B"/>
    <w:rsid w:val="79D044EF"/>
    <w:rsid w:val="79D75E50"/>
    <w:rsid w:val="79D82EA4"/>
    <w:rsid w:val="79DA7964"/>
    <w:rsid w:val="79DC7338"/>
    <w:rsid w:val="79E55D34"/>
    <w:rsid w:val="79E67503"/>
    <w:rsid w:val="79F0693F"/>
    <w:rsid w:val="79F93A46"/>
    <w:rsid w:val="79FD2E0A"/>
    <w:rsid w:val="79FE1CBC"/>
    <w:rsid w:val="7A097A01"/>
    <w:rsid w:val="7A0B19CB"/>
    <w:rsid w:val="7A14705E"/>
    <w:rsid w:val="7A2463F3"/>
    <w:rsid w:val="7A2465E9"/>
    <w:rsid w:val="7A2860D9"/>
    <w:rsid w:val="7A2938BC"/>
    <w:rsid w:val="7A2C0685"/>
    <w:rsid w:val="7A37631C"/>
    <w:rsid w:val="7A524E99"/>
    <w:rsid w:val="7A5B3D8A"/>
    <w:rsid w:val="7A622F64"/>
    <w:rsid w:val="7A795099"/>
    <w:rsid w:val="7A7C4677"/>
    <w:rsid w:val="7A7E7F2D"/>
    <w:rsid w:val="7A874933"/>
    <w:rsid w:val="7A8C2B0C"/>
    <w:rsid w:val="7A8D211A"/>
    <w:rsid w:val="7A8F43AA"/>
    <w:rsid w:val="7A9C1127"/>
    <w:rsid w:val="7AA21FFC"/>
    <w:rsid w:val="7AAA1667"/>
    <w:rsid w:val="7AAD7D84"/>
    <w:rsid w:val="7AB160CE"/>
    <w:rsid w:val="7ABB6E34"/>
    <w:rsid w:val="7ABD4FF6"/>
    <w:rsid w:val="7AC66C0C"/>
    <w:rsid w:val="7AC953E2"/>
    <w:rsid w:val="7AC9574D"/>
    <w:rsid w:val="7ACA7190"/>
    <w:rsid w:val="7ACE79F9"/>
    <w:rsid w:val="7AE64EB9"/>
    <w:rsid w:val="7AF04842"/>
    <w:rsid w:val="7B0306AD"/>
    <w:rsid w:val="7B0501C8"/>
    <w:rsid w:val="7B05641A"/>
    <w:rsid w:val="7B08042F"/>
    <w:rsid w:val="7B0C77A9"/>
    <w:rsid w:val="7B130B37"/>
    <w:rsid w:val="7B1D7C08"/>
    <w:rsid w:val="7B2157FE"/>
    <w:rsid w:val="7B2C7E4B"/>
    <w:rsid w:val="7B2E5EF7"/>
    <w:rsid w:val="7B341947"/>
    <w:rsid w:val="7B39121D"/>
    <w:rsid w:val="7B3C267D"/>
    <w:rsid w:val="7B3E36DA"/>
    <w:rsid w:val="7B3F192C"/>
    <w:rsid w:val="7B584484"/>
    <w:rsid w:val="7B5C6933"/>
    <w:rsid w:val="7B641393"/>
    <w:rsid w:val="7B6658C3"/>
    <w:rsid w:val="7B694BFB"/>
    <w:rsid w:val="7B6B7D59"/>
    <w:rsid w:val="7B7664D6"/>
    <w:rsid w:val="7B8053BB"/>
    <w:rsid w:val="7B845A59"/>
    <w:rsid w:val="7B862F60"/>
    <w:rsid w:val="7B8D79B4"/>
    <w:rsid w:val="7B931C78"/>
    <w:rsid w:val="7B946335"/>
    <w:rsid w:val="7B964626"/>
    <w:rsid w:val="7B9D6653"/>
    <w:rsid w:val="7BA45C33"/>
    <w:rsid w:val="7BAB0D70"/>
    <w:rsid w:val="7BB91FD0"/>
    <w:rsid w:val="7BC13A52"/>
    <w:rsid w:val="7BC17F6C"/>
    <w:rsid w:val="7BC54F49"/>
    <w:rsid w:val="7BC736D0"/>
    <w:rsid w:val="7BE13DCA"/>
    <w:rsid w:val="7BE75B20"/>
    <w:rsid w:val="7BE937E1"/>
    <w:rsid w:val="7BF32349"/>
    <w:rsid w:val="7BF91C66"/>
    <w:rsid w:val="7BFD2ECD"/>
    <w:rsid w:val="7C055284"/>
    <w:rsid w:val="7C0B18AA"/>
    <w:rsid w:val="7C240B22"/>
    <w:rsid w:val="7C2470D1"/>
    <w:rsid w:val="7C2559E9"/>
    <w:rsid w:val="7C314E4E"/>
    <w:rsid w:val="7C3A0345"/>
    <w:rsid w:val="7C3F595C"/>
    <w:rsid w:val="7C3F770A"/>
    <w:rsid w:val="7C4C554C"/>
    <w:rsid w:val="7C56738F"/>
    <w:rsid w:val="7C594F25"/>
    <w:rsid w:val="7C6D7F45"/>
    <w:rsid w:val="7C743857"/>
    <w:rsid w:val="7C7B53E6"/>
    <w:rsid w:val="7C896BD7"/>
    <w:rsid w:val="7C8B0BA1"/>
    <w:rsid w:val="7C8D3F62"/>
    <w:rsid w:val="7C977546"/>
    <w:rsid w:val="7C9B5BF7"/>
    <w:rsid w:val="7C9C621F"/>
    <w:rsid w:val="7C9E29E6"/>
    <w:rsid w:val="7CA879B6"/>
    <w:rsid w:val="7CAA0F1D"/>
    <w:rsid w:val="7CB37395"/>
    <w:rsid w:val="7CCD1ADE"/>
    <w:rsid w:val="7CCD2F68"/>
    <w:rsid w:val="7CD1213F"/>
    <w:rsid w:val="7CD446AE"/>
    <w:rsid w:val="7CDC13FD"/>
    <w:rsid w:val="7CDF64F7"/>
    <w:rsid w:val="7CEB470C"/>
    <w:rsid w:val="7D050953"/>
    <w:rsid w:val="7D0C1CE2"/>
    <w:rsid w:val="7D1851B0"/>
    <w:rsid w:val="7D225A5C"/>
    <w:rsid w:val="7D330D40"/>
    <w:rsid w:val="7D343777"/>
    <w:rsid w:val="7D3C46D8"/>
    <w:rsid w:val="7D3C4CF8"/>
    <w:rsid w:val="7D4A2A43"/>
    <w:rsid w:val="7D4B6DD9"/>
    <w:rsid w:val="7D53082A"/>
    <w:rsid w:val="7D633D66"/>
    <w:rsid w:val="7D651C73"/>
    <w:rsid w:val="7D6635D2"/>
    <w:rsid w:val="7D6C452F"/>
    <w:rsid w:val="7D847ACA"/>
    <w:rsid w:val="7D887ABE"/>
    <w:rsid w:val="7D935F5F"/>
    <w:rsid w:val="7DA834E4"/>
    <w:rsid w:val="7DA83736"/>
    <w:rsid w:val="7DA95783"/>
    <w:rsid w:val="7DB93AD4"/>
    <w:rsid w:val="7DBE5814"/>
    <w:rsid w:val="7DBF0CE8"/>
    <w:rsid w:val="7DBF48B1"/>
    <w:rsid w:val="7DE20C95"/>
    <w:rsid w:val="7DF11799"/>
    <w:rsid w:val="7DF91D6C"/>
    <w:rsid w:val="7DFF0162"/>
    <w:rsid w:val="7DFF3705"/>
    <w:rsid w:val="7DFF53A3"/>
    <w:rsid w:val="7E0611B8"/>
    <w:rsid w:val="7E1C7C1D"/>
    <w:rsid w:val="7E34648B"/>
    <w:rsid w:val="7E37429F"/>
    <w:rsid w:val="7E430455"/>
    <w:rsid w:val="7E4F632A"/>
    <w:rsid w:val="7E527BC8"/>
    <w:rsid w:val="7E583B1A"/>
    <w:rsid w:val="7E6D67B0"/>
    <w:rsid w:val="7E7523DA"/>
    <w:rsid w:val="7E896766"/>
    <w:rsid w:val="7E8E58DF"/>
    <w:rsid w:val="7E912487"/>
    <w:rsid w:val="7E974CE1"/>
    <w:rsid w:val="7E9A6830"/>
    <w:rsid w:val="7E9C775A"/>
    <w:rsid w:val="7EBD57FD"/>
    <w:rsid w:val="7EC02D84"/>
    <w:rsid w:val="7EC16AFC"/>
    <w:rsid w:val="7ECE7C95"/>
    <w:rsid w:val="7EDD6F0A"/>
    <w:rsid w:val="7EE36A72"/>
    <w:rsid w:val="7EE43F03"/>
    <w:rsid w:val="7EE66563"/>
    <w:rsid w:val="7EEE3770"/>
    <w:rsid w:val="7EF40365"/>
    <w:rsid w:val="7F00735D"/>
    <w:rsid w:val="7F10538E"/>
    <w:rsid w:val="7F111831"/>
    <w:rsid w:val="7F1475B9"/>
    <w:rsid w:val="7F157767"/>
    <w:rsid w:val="7F1906E6"/>
    <w:rsid w:val="7F1B1186"/>
    <w:rsid w:val="7F1B1B92"/>
    <w:rsid w:val="7F243A58"/>
    <w:rsid w:val="7F2C0419"/>
    <w:rsid w:val="7F2F5027"/>
    <w:rsid w:val="7F317A69"/>
    <w:rsid w:val="7F3217A8"/>
    <w:rsid w:val="7F4079CE"/>
    <w:rsid w:val="7F454FD9"/>
    <w:rsid w:val="7F473382"/>
    <w:rsid w:val="7F4A15B7"/>
    <w:rsid w:val="7F4B6365"/>
    <w:rsid w:val="7F5B57DF"/>
    <w:rsid w:val="7F62208D"/>
    <w:rsid w:val="7F6A7194"/>
    <w:rsid w:val="7F7122D0"/>
    <w:rsid w:val="7F7B6CAB"/>
    <w:rsid w:val="7F806B50"/>
    <w:rsid w:val="7F8434BF"/>
    <w:rsid w:val="7F940714"/>
    <w:rsid w:val="7F9A2311"/>
    <w:rsid w:val="7F9C18AD"/>
    <w:rsid w:val="7FA160E0"/>
    <w:rsid w:val="7FE37A28"/>
    <w:rsid w:val="7FE728A3"/>
    <w:rsid w:val="7FF43B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Times New Roman"/>
      <w:kern w:val="2"/>
      <w:sz w:val="21"/>
      <w:szCs w:val="24"/>
      <w:lang w:val="en-US" w:eastAsia="zh-CN" w:bidi="ar-SA"/>
    </w:rPr>
  </w:style>
  <w:style w:type="paragraph" w:styleId="2">
    <w:name w:val="heading 1"/>
    <w:basedOn w:val="1"/>
    <w:next w:val="1"/>
    <w:qFormat/>
    <w:uiPriority w:val="0"/>
    <w:pPr>
      <w:keepNext/>
      <w:keepLines/>
      <w:spacing w:line="360" w:lineRule="auto"/>
      <w:outlineLvl w:val="0"/>
    </w:pPr>
    <w:rPr>
      <w:b/>
      <w:bCs/>
      <w:kern w:val="44"/>
      <w:sz w:val="32"/>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line="360" w:lineRule="auto"/>
      <w:outlineLvl w:val="2"/>
    </w:pPr>
    <w:rPr>
      <w:rFonts w:ascii="宋体" w:hAnsi="宋体" w:eastAsia="宋体"/>
      <w:b/>
      <w:bCs/>
      <w:sz w:val="24"/>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annotation text"/>
    <w:basedOn w:val="1"/>
    <w:link w:val="53"/>
    <w:qFormat/>
    <w:uiPriority w:val="0"/>
    <w:pPr>
      <w:jc w:val="left"/>
    </w:pPr>
  </w:style>
  <w:style w:type="paragraph" w:styleId="8">
    <w:name w:val="Body Text"/>
    <w:basedOn w:val="1"/>
    <w:next w:val="9"/>
    <w:qFormat/>
    <w:uiPriority w:val="0"/>
    <w:pPr>
      <w:spacing w:after="120"/>
    </w:pPr>
  </w:style>
  <w:style w:type="paragraph" w:customStyle="1" w:styleId="9">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0">
    <w:name w:val="Body Text Indent"/>
    <w:basedOn w:val="1"/>
    <w:next w:val="1"/>
    <w:qFormat/>
    <w:uiPriority w:val="0"/>
    <w:pPr>
      <w:spacing w:line="360" w:lineRule="auto"/>
      <w:ind w:firstLine="480"/>
    </w:pPr>
    <w:rPr>
      <w:sz w:val="24"/>
      <w:szCs w:val="20"/>
    </w:rPr>
  </w:style>
  <w:style w:type="paragraph" w:styleId="11">
    <w:name w:val="Plain Text"/>
    <w:basedOn w:val="1"/>
    <w:qFormat/>
    <w:uiPriority w:val="0"/>
    <w:rPr>
      <w:rFonts w:ascii="宋体" w:hAnsi="Courier New"/>
      <w:szCs w:val="21"/>
    </w:rPr>
  </w:style>
  <w:style w:type="paragraph" w:styleId="12">
    <w:name w:val="Body Text Indent 2"/>
    <w:basedOn w:val="1"/>
    <w:qFormat/>
    <w:uiPriority w:val="0"/>
    <w:pPr>
      <w:spacing w:line="480" w:lineRule="auto"/>
      <w:ind w:left="420" w:leftChars="200"/>
    </w:pPr>
  </w:style>
  <w:style w:type="paragraph" w:styleId="13">
    <w:name w:val="Balloon Text"/>
    <w:basedOn w:val="1"/>
    <w:link w:val="55"/>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next w:val="16"/>
    <w:qFormat/>
    <w:uiPriority w:val="0"/>
    <w:pPr>
      <w:pBdr>
        <w:bottom w:val="single" w:color="auto" w:sz="6" w:space="1"/>
      </w:pBdr>
      <w:tabs>
        <w:tab w:val="center" w:pos="4153"/>
        <w:tab w:val="right" w:pos="8306"/>
      </w:tabs>
      <w:snapToGrid w:val="0"/>
      <w:jc w:val="center"/>
    </w:pPr>
    <w:rPr>
      <w:sz w:val="18"/>
      <w:szCs w:val="18"/>
    </w:rPr>
  </w:style>
  <w:style w:type="paragraph" w:customStyle="1" w:styleId="16">
    <w:name w:val="样式5"/>
    <w:basedOn w:val="6"/>
    <w:next w:val="1"/>
    <w:qFormat/>
    <w:uiPriority w:val="0"/>
    <w:pPr>
      <w:spacing w:before="0" w:beforeLines="0"/>
      <w:jc w:val="left"/>
    </w:pPr>
    <w:rPr>
      <w:rFonts w:ascii="宋体" w:hAnsi="宋体"/>
      <w:bCs/>
      <w:snapToGrid w:val="0"/>
      <w:kern w:val="0"/>
    </w:rPr>
  </w:style>
  <w:style w:type="paragraph" w:styleId="17">
    <w:name w:val="table of figures"/>
    <w:basedOn w:val="1"/>
    <w:next w:val="1"/>
    <w:qFormat/>
    <w:uiPriority w:val="0"/>
    <w:pPr>
      <w:ind w:left="200" w:leftChars="200" w:hanging="200" w:hangingChars="200"/>
    </w:pPr>
  </w:style>
  <w:style w:type="paragraph" w:styleId="18">
    <w:name w:val="toc 2"/>
    <w:basedOn w:val="1"/>
    <w:next w:val="1"/>
    <w:unhideWhenUsed/>
    <w:qFormat/>
    <w:uiPriority w:val="39"/>
    <w:pPr>
      <w:ind w:left="420" w:leftChars="200"/>
    </w:pPr>
  </w:style>
  <w:style w:type="paragraph" w:styleId="19">
    <w:name w:val="Normal (Web)"/>
    <w:basedOn w:val="1"/>
    <w:qFormat/>
    <w:uiPriority w:val="99"/>
    <w:pPr>
      <w:widowControl/>
      <w:spacing w:beforeAutospacing="1" w:afterAutospacing="1"/>
      <w:jc w:val="left"/>
    </w:pPr>
    <w:rPr>
      <w:rFonts w:ascii="宋体" w:hAnsi="宋体" w:cs="宋体"/>
      <w:kern w:val="0"/>
      <w:sz w:val="24"/>
    </w:rPr>
  </w:style>
  <w:style w:type="paragraph" w:styleId="20">
    <w:name w:val="Title"/>
    <w:basedOn w:val="1"/>
    <w:next w:val="1"/>
    <w:qFormat/>
    <w:uiPriority w:val="0"/>
    <w:pPr>
      <w:spacing w:line="360" w:lineRule="auto"/>
      <w:jc w:val="left"/>
      <w:outlineLvl w:val="2"/>
    </w:pPr>
    <w:rPr>
      <w:rFonts w:ascii="Cambria" w:hAnsi="Cambria" w:eastAsia="Times New Roman"/>
      <w:b/>
      <w:bCs/>
      <w:sz w:val="28"/>
      <w:szCs w:val="32"/>
    </w:rPr>
  </w:style>
  <w:style w:type="paragraph" w:styleId="21">
    <w:name w:val="annotation subject"/>
    <w:basedOn w:val="7"/>
    <w:next w:val="7"/>
    <w:link w:val="54"/>
    <w:qFormat/>
    <w:uiPriority w:val="0"/>
    <w:rPr>
      <w:b/>
      <w:bCs/>
    </w:rPr>
  </w:style>
  <w:style w:type="paragraph" w:styleId="22">
    <w:name w:val="Body Text First Indent"/>
    <w:basedOn w:val="8"/>
    <w:qFormat/>
    <w:uiPriority w:val="0"/>
    <w:pPr>
      <w:spacing w:after="0"/>
      <w:ind w:firstLine="420" w:firstLineChars="100"/>
    </w:pPr>
    <w:rPr>
      <w:rFonts w:eastAsia="宋体"/>
    </w:rPr>
  </w:style>
  <w:style w:type="paragraph" w:styleId="23">
    <w:name w:val="Body Text First Indent 2"/>
    <w:basedOn w:val="10"/>
    <w:next w:val="1"/>
    <w:qFormat/>
    <w:uiPriority w:val="0"/>
    <w:pPr>
      <w:spacing w:after="120"/>
      <w:ind w:left="420" w:leftChars="200" w:firstLine="420"/>
    </w:pPr>
    <w:rPr>
      <w:sz w:val="21"/>
      <w:szCs w:val="24"/>
    </w:rPr>
  </w:style>
  <w:style w:type="table" w:styleId="25">
    <w:name w:val="Table Grid"/>
    <w:basedOn w:val="2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rFonts w:eastAsia="Times New Roman"/>
      <w:b/>
      <w:bCs/>
      <w:sz w:val="30"/>
    </w:rPr>
  </w:style>
  <w:style w:type="character" w:styleId="28">
    <w:name w:val="page number"/>
    <w:basedOn w:val="26"/>
    <w:qFormat/>
    <w:uiPriority w:val="0"/>
  </w:style>
  <w:style w:type="character" w:styleId="29">
    <w:name w:val="Hyperlink"/>
    <w:basedOn w:val="26"/>
    <w:semiHidden/>
    <w:unhideWhenUsed/>
    <w:qFormat/>
    <w:uiPriority w:val="0"/>
    <w:rPr>
      <w:color w:val="0000FF"/>
      <w:u w:val="single"/>
    </w:rPr>
  </w:style>
  <w:style w:type="character" w:styleId="30">
    <w:name w:val="annotation reference"/>
    <w:qFormat/>
    <w:uiPriority w:val="0"/>
    <w:rPr>
      <w:sz w:val="21"/>
      <w:szCs w:val="21"/>
    </w:rPr>
  </w:style>
  <w:style w:type="paragraph" w:customStyle="1" w:styleId="31">
    <w:name w:val="Default"/>
    <w:basedOn w:val="32"/>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纯文本1"/>
    <w:basedOn w:val="1"/>
    <w:autoRedefine/>
    <w:qFormat/>
    <w:uiPriority w:val="0"/>
    <w:pPr>
      <w:adjustRightInd w:val="0"/>
    </w:pPr>
    <w:rPr>
      <w:rFonts w:ascii="宋体" w:hAnsi="Courier New"/>
      <w:szCs w:val="20"/>
    </w:rPr>
  </w:style>
  <w:style w:type="paragraph" w:customStyle="1" w:styleId="33">
    <w:name w:val="样式1"/>
    <w:basedOn w:val="1"/>
    <w:next w:val="1"/>
    <w:qFormat/>
    <w:uiPriority w:val="0"/>
    <w:pPr>
      <w:snapToGrid w:val="0"/>
      <w:jc w:val="center"/>
    </w:pPr>
    <w:rPr>
      <w:rFonts w:ascii="宋体"/>
      <w:szCs w:val="20"/>
    </w:rPr>
  </w:style>
  <w:style w:type="paragraph" w:customStyle="1" w:styleId="34">
    <w:name w:val="WPSOffice手动目录 1"/>
    <w:qFormat/>
    <w:uiPriority w:val="0"/>
    <w:rPr>
      <w:rFonts w:ascii="Calibri" w:hAnsi="Calibri" w:eastAsia="Calibri" w:cs="Times New Roman"/>
      <w:lang w:val="en-US" w:eastAsia="zh-CN" w:bidi="ar-SA"/>
    </w:rPr>
  </w:style>
  <w:style w:type="paragraph" w:customStyle="1" w:styleId="35">
    <w:name w:val="Body text|1"/>
    <w:basedOn w:val="1"/>
    <w:qFormat/>
    <w:uiPriority w:val="0"/>
    <w:pPr>
      <w:spacing w:line="446" w:lineRule="auto"/>
      <w:ind w:firstLine="400"/>
    </w:pPr>
    <w:rPr>
      <w:rFonts w:ascii="宋体" w:hAnsi="宋体" w:eastAsia="宋体" w:cs="宋体"/>
      <w:sz w:val="32"/>
      <w:szCs w:val="32"/>
      <w:lang w:val="zh-TW" w:eastAsia="zh-TW" w:bidi="zh-TW"/>
    </w:rPr>
  </w:style>
  <w:style w:type="paragraph" w:customStyle="1" w:styleId="36">
    <w:name w:val="正文文本1"/>
    <w:basedOn w:val="1"/>
    <w:unhideWhenUsed/>
    <w:qFormat/>
    <w:uiPriority w:val="99"/>
    <w:pPr>
      <w:shd w:val="clear" w:color="auto" w:fill="FFFFFF"/>
      <w:spacing w:line="468" w:lineRule="exact"/>
      <w:ind w:hanging="500"/>
      <w:jc w:val="distribute"/>
    </w:pPr>
    <w:rPr>
      <w:rFonts w:ascii="宋体" w:hAnsi="宋体"/>
      <w:kern w:val="0"/>
      <w:sz w:val="23"/>
      <w:szCs w:val="20"/>
    </w:rPr>
  </w:style>
  <w:style w:type="paragraph" w:customStyle="1" w:styleId="37">
    <w:name w:val="表格（5号）"/>
    <w:basedOn w:val="1"/>
    <w:qFormat/>
    <w:uiPriority w:val="0"/>
    <w:pPr>
      <w:spacing w:line="360" w:lineRule="exact"/>
      <w:ind w:left="-113" w:right="-113"/>
      <w:jc w:val="center"/>
    </w:pPr>
    <w:rPr>
      <w:rFonts w:ascii="宋体" w:hAnsi="宋体" w:eastAsia="宋体" w:cs="Courier New"/>
      <w:color w:val="000000"/>
      <w:sz w:val="18"/>
      <w:szCs w:val="20"/>
    </w:rPr>
  </w:style>
  <w:style w:type="paragraph" w:customStyle="1" w:styleId="38">
    <w:name w:val="中文报告书样式"/>
    <w:basedOn w:val="1"/>
    <w:qFormat/>
    <w:uiPriority w:val="0"/>
    <w:pPr>
      <w:tabs>
        <w:tab w:val="left" w:pos="360"/>
      </w:tabs>
      <w:adjustRightInd w:val="0"/>
      <w:snapToGrid w:val="0"/>
      <w:jc w:val="center"/>
      <w:textAlignment w:val="baseline"/>
    </w:pPr>
  </w:style>
  <w:style w:type="character" w:customStyle="1" w:styleId="39">
    <w:name w:val="font51"/>
    <w:qFormat/>
    <w:uiPriority w:val="0"/>
    <w:rPr>
      <w:rFonts w:hint="default" w:ascii="Times New Roman" w:hAnsi="Times New Roman" w:cs="Times New Roman"/>
      <w:color w:val="000000"/>
      <w:sz w:val="22"/>
      <w:szCs w:val="22"/>
      <w:u w:val="none"/>
    </w:rPr>
  </w:style>
  <w:style w:type="paragraph" w:customStyle="1" w:styleId="40">
    <w:name w:val="2级"/>
    <w:basedOn w:val="1"/>
    <w:qFormat/>
    <w:uiPriority w:val="0"/>
    <w:rPr>
      <w:rFonts w:eastAsia="黑体"/>
      <w:b/>
      <w:sz w:val="28"/>
      <w:szCs w:val="20"/>
    </w:rPr>
  </w:style>
  <w:style w:type="paragraph" w:customStyle="1" w:styleId="41">
    <w:name w:val="Table Paragraph"/>
    <w:basedOn w:val="1"/>
    <w:qFormat/>
    <w:uiPriority w:val="1"/>
    <w:rPr>
      <w:rFonts w:ascii="宋体" w:hAnsi="宋体" w:eastAsia="宋体" w:cs="宋体"/>
      <w:lang w:val="zh-CN" w:bidi="zh-CN"/>
    </w:rPr>
  </w:style>
  <w:style w:type="character" w:customStyle="1" w:styleId="42">
    <w:name w:val="正文文本 (2) + 10 pt"/>
    <w:qFormat/>
    <w:uiPriority w:val="0"/>
    <w:rPr>
      <w:rFonts w:ascii="宋体" w:hAnsi="宋体" w:eastAsia="宋体" w:cs="宋体"/>
      <w:color w:val="000000"/>
      <w:spacing w:val="0"/>
      <w:w w:val="100"/>
      <w:position w:val="0"/>
      <w:sz w:val="20"/>
      <w:szCs w:val="20"/>
      <w:u w:val="none"/>
      <w:lang w:val="zh-TW" w:eastAsia="zh-TW" w:bidi="zh-TW"/>
    </w:rPr>
  </w:style>
  <w:style w:type="paragraph" w:customStyle="1" w:styleId="43">
    <w:name w:val="1【表头】"/>
    <w:basedOn w:val="1"/>
    <w:qFormat/>
    <w:uiPriority w:val="0"/>
    <w:pPr>
      <w:keepNext/>
      <w:tabs>
        <w:tab w:val="left" w:pos="720"/>
        <w:tab w:val="left" w:pos="1080"/>
        <w:tab w:val="left" w:pos="4167"/>
      </w:tabs>
      <w:wordWrap w:val="0"/>
      <w:jc w:val="center"/>
    </w:pPr>
    <w:rPr>
      <w:rFonts w:ascii="Times New Roman" w:hAnsi="Times New Roman" w:eastAsia="宋体"/>
      <w:b/>
      <w:kern w:val="0"/>
      <w:szCs w:val="20"/>
    </w:rPr>
  </w:style>
  <w:style w:type="paragraph" w:customStyle="1" w:styleId="44">
    <w:name w:val="1报告表格"/>
    <w:basedOn w:val="1"/>
    <w:qFormat/>
    <w:uiPriority w:val="0"/>
    <w:pPr>
      <w:autoSpaceDE w:val="0"/>
      <w:autoSpaceDN w:val="0"/>
      <w:adjustRightInd w:val="0"/>
      <w:jc w:val="center"/>
      <w:textAlignment w:val="bottom"/>
    </w:pPr>
    <w:rPr>
      <w:rFonts w:ascii="Times New Roman" w:hAnsi="Times New Roman" w:eastAsia="宋体"/>
      <w:kern w:val="0"/>
      <w:szCs w:val="20"/>
    </w:rPr>
  </w:style>
  <w:style w:type="character" w:customStyle="1" w:styleId="45">
    <w:name w:val="正文文本 (2) + 10.5 pt"/>
    <w:qFormat/>
    <w:uiPriority w:val="0"/>
    <w:rPr>
      <w:rFonts w:ascii="宋体" w:hAnsi="宋体" w:cs="宋体"/>
      <w:sz w:val="21"/>
      <w:szCs w:val="21"/>
      <w:u w:val="none"/>
      <w:lang w:bidi="ar-SA"/>
    </w:rPr>
  </w:style>
  <w:style w:type="character" w:customStyle="1" w:styleId="46">
    <w:name w:val="正文文本 (2) + Georgia23"/>
    <w:qFormat/>
    <w:uiPriority w:val="0"/>
    <w:rPr>
      <w:rFonts w:ascii="Georgia" w:hAnsi="Georgia" w:cs="Georgia"/>
      <w:sz w:val="19"/>
      <w:szCs w:val="19"/>
      <w:u w:val="none"/>
      <w:lang w:val="en-US" w:eastAsia="en-US" w:bidi="ar-SA"/>
    </w:rPr>
  </w:style>
  <w:style w:type="paragraph" w:customStyle="1" w:styleId="47">
    <w:name w:val="1表头"/>
    <w:qFormat/>
    <w:uiPriority w:val="0"/>
    <w:pPr>
      <w:adjustRightInd w:val="0"/>
      <w:snapToGrid w:val="0"/>
      <w:spacing w:beforeLines="25" w:afterLines="25"/>
      <w:jc w:val="center"/>
    </w:pPr>
    <w:rPr>
      <w:rFonts w:ascii="Times New Roman" w:hAnsi="Times New Roman" w:eastAsia="宋体" w:cs="Times New Roman"/>
      <w:b/>
      <w:color w:val="0000CC"/>
      <w:sz w:val="24"/>
      <w:szCs w:val="24"/>
      <w:lang w:val="en-US" w:eastAsia="zh-CN" w:bidi="ar-SA"/>
    </w:rPr>
  </w:style>
  <w:style w:type="paragraph" w:customStyle="1" w:styleId="48">
    <w:name w:val="1表中文字"/>
    <w:basedOn w:val="1"/>
    <w:qFormat/>
    <w:uiPriority w:val="0"/>
    <w:pPr>
      <w:spacing w:beforeLines="1" w:afterLines="1"/>
      <w:ind w:left="21" w:leftChars="9" w:right="21" w:rightChars="9"/>
      <w:jc w:val="center"/>
    </w:pPr>
    <w:rPr>
      <w:rFonts w:ascii="Times New Roman" w:hAnsi="Times New Roman" w:eastAsia="宋体"/>
      <w:color w:val="0000CC"/>
      <w:szCs w:val="21"/>
    </w:rPr>
  </w:style>
  <w:style w:type="paragraph" w:customStyle="1" w:styleId="49">
    <w:name w:val="000000"/>
    <w:basedOn w:val="50"/>
    <w:qFormat/>
    <w:uiPriority w:val="0"/>
    <w:pPr>
      <w:spacing w:line="240" w:lineRule="auto"/>
      <w:ind w:firstLine="0" w:firstLineChars="0"/>
      <w:jc w:val="center"/>
    </w:pPr>
    <w:rPr>
      <w:rFonts w:ascii="Times New Roman" w:hAnsi="Times New Roman"/>
      <w:b/>
      <w:sz w:val="21"/>
    </w:rPr>
  </w:style>
  <w:style w:type="paragraph" w:customStyle="1" w:styleId="50">
    <w:name w:val="1正文"/>
    <w:qFormat/>
    <w:uiPriority w:val="0"/>
    <w:pPr>
      <w:spacing w:line="360" w:lineRule="auto"/>
      <w:ind w:firstLine="200" w:firstLineChars="200"/>
      <w:jc w:val="both"/>
    </w:pPr>
    <w:rPr>
      <w:rFonts w:ascii="Calibri" w:hAnsi="Calibri" w:eastAsia="宋体" w:cs="Times New Roman"/>
      <w:sz w:val="24"/>
      <w:lang w:val="en-GB" w:eastAsia="zh-CN" w:bidi="ar-SA"/>
    </w:rPr>
  </w:style>
  <w:style w:type="paragraph" w:customStyle="1" w:styleId="51">
    <w:name w:val="无间隔表格内"/>
    <w:basedOn w:val="52"/>
    <w:qFormat/>
    <w:uiPriority w:val="0"/>
    <w:rPr>
      <w:b w:val="0"/>
    </w:rPr>
  </w:style>
  <w:style w:type="paragraph" w:customStyle="1" w:styleId="52">
    <w:name w:val="表   头"/>
    <w:basedOn w:val="1"/>
    <w:qFormat/>
    <w:uiPriority w:val="0"/>
    <w:pPr>
      <w:snapToGrid w:val="0"/>
      <w:jc w:val="center"/>
    </w:pPr>
    <w:rPr>
      <w:b/>
    </w:rPr>
  </w:style>
  <w:style w:type="character" w:customStyle="1" w:styleId="53">
    <w:name w:val="批注文字 Char"/>
    <w:basedOn w:val="26"/>
    <w:link w:val="7"/>
    <w:qFormat/>
    <w:uiPriority w:val="0"/>
    <w:rPr>
      <w:rFonts w:ascii="Calibri" w:hAnsi="Calibri" w:eastAsia="Calibri"/>
      <w:kern w:val="2"/>
      <w:sz w:val="21"/>
      <w:szCs w:val="24"/>
    </w:rPr>
  </w:style>
  <w:style w:type="character" w:customStyle="1" w:styleId="54">
    <w:name w:val="批注主题 Char"/>
    <w:basedOn w:val="53"/>
    <w:link w:val="21"/>
    <w:qFormat/>
    <w:uiPriority w:val="0"/>
    <w:rPr>
      <w:rFonts w:ascii="Calibri" w:hAnsi="Calibri" w:eastAsia="Calibri"/>
      <w:kern w:val="2"/>
      <w:sz w:val="21"/>
      <w:szCs w:val="24"/>
    </w:rPr>
  </w:style>
  <w:style w:type="character" w:customStyle="1" w:styleId="55">
    <w:name w:val="批注框文本 Char"/>
    <w:basedOn w:val="26"/>
    <w:link w:val="13"/>
    <w:qFormat/>
    <w:uiPriority w:val="0"/>
    <w:rPr>
      <w:rFonts w:ascii="Calibri" w:hAnsi="Calibri" w:eastAsia="Calibri"/>
      <w:kern w:val="2"/>
      <w:sz w:val="18"/>
      <w:szCs w:val="18"/>
    </w:rPr>
  </w:style>
  <w:style w:type="paragraph" w:customStyle="1" w:styleId="56">
    <w:name w:val="管线标题2"/>
    <w:basedOn w:val="1"/>
    <w:qFormat/>
    <w:uiPriority w:val="0"/>
    <w:pPr>
      <w:spacing w:beforeLines="50" w:line="360" w:lineRule="auto"/>
      <w:ind w:firstLine="472" w:firstLineChars="196"/>
    </w:pPr>
    <w:rPr>
      <w:rFonts w:cs="Times New Roman"/>
      <w:b/>
      <w:sz w:val="24"/>
      <w:szCs w:val="24"/>
    </w:rPr>
  </w:style>
  <w:style w:type="paragraph" w:customStyle="1" w:styleId="57">
    <w:name w:val="管线正文"/>
    <w:basedOn w:val="1"/>
    <w:qFormat/>
    <w:uiPriority w:val="0"/>
    <w:pPr>
      <w:spacing w:line="360" w:lineRule="auto"/>
      <w:ind w:firstLine="482"/>
      <w:jc w:val="both"/>
      <w:textAlignment w:val="baseline"/>
    </w:pPr>
    <w:rPr>
      <w:rFonts w:cs="Times New Roman"/>
      <w:sz w:val="24"/>
      <w:szCs w:val="24"/>
    </w:rPr>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表格2"/>
    <w:basedOn w:val="1"/>
    <w:qFormat/>
    <w:uiPriority w:val="0"/>
    <w:pPr>
      <w:jc w:val="center"/>
    </w:pPr>
  </w:style>
  <w:style w:type="paragraph" w:customStyle="1" w:styleId="60">
    <w:name w:val="Table Text"/>
    <w:basedOn w:val="1"/>
    <w:autoRedefine/>
    <w:semiHidden/>
    <w:qFormat/>
    <w:uiPriority w:val="0"/>
    <w:rPr>
      <w:rFonts w:ascii="宋体" w:hAnsi="宋体" w:eastAsia="宋体" w:cs="宋体"/>
      <w:sz w:val="20"/>
      <w:szCs w:val="20"/>
    </w:rPr>
  </w:style>
  <w:style w:type="paragraph" w:customStyle="1" w:styleId="61">
    <w:name w:val="中等深浅网格 21"/>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cs="Times New Roman"/>
      <w:kern w:val="2"/>
      <w:sz w:val="21"/>
      <w:szCs w:val="21"/>
      <w:lang w:val="en-US" w:eastAsia="zh-CN" w:bidi="ar"/>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论文正文"/>
    <w:basedOn w:val="1"/>
    <w:autoRedefine/>
    <w:qFormat/>
    <w:uiPriority w:val="0"/>
    <w:pPr>
      <w:ind w:firstLine="200"/>
    </w:pPr>
    <w:rPr>
      <w:kern w:val="0"/>
      <w:szCs w:val="21"/>
    </w:rPr>
  </w:style>
  <w:style w:type="paragraph" w:customStyle="1" w:styleId="64">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5">
    <w:name w:val="【正文】"/>
    <w:basedOn w:val="1"/>
    <w:qFormat/>
    <w:uiPriority w:val="0"/>
    <w:pPr>
      <w:spacing w:line="440" w:lineRule="exact"/>
      <w:ind w:firstLine="544"/>
    </w:pPr>
    <w:rPr>
      <w:rFonts w:cs="宋体"/>
    </w:rPr>
  </w:style>
  <w:style w:type="paragraph" w:customStyle="1" w:styleId="66">
    <w:name w:val="【表中文字】"/>
    <w:basedOn w:val="1"/>
    <w:next w:val="67"/>
    <w:qFormat/>
    <w:uiPriority w:val="0"/>
    <w:pPr>
      <w:jc w:val="center"/>
    </w:pPr>
    <w:rPr>
      <w:szCs w:val="20"/>
    </w:rPr>
  </w:style>
  <w:style w:type="paragraph" w:customStyle="1" w:styleId="67">
    <w:name w:val="正文缩进1"/>
    <w:basedOn w:val="1"/>
    <w:next w:val="1"/>
    <w:qFormat/>
    <w:uiPriority w:val="0"/>
    <w:pPr>
      <w:spacing w:line="240" w:lineRule="auto"/>
      <w:ind w:firstLine="420"/>
    </w:pPr>
    <w:rPr>
      <w:rFonts w:ascii="宋体"/>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wmf"/><Relationship Id="rId32" Type="http://schemas.openxmlformats.org/officeDocument/2006/relationships/oleObject" Target="embeddings/oleObject9.bin"/><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5012</Words>
  <Characters>5267</Characters>
  <Lines>188</Lines>
  <Paragraphs>53</Paragraphs>
  <TotalTime>19</TotalTime>
  <ScaleCrop>false</ScaleCrop>
  <LinksUpToDate>false</LinksUpToDate>
  <CharactersWithSpaces>5333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2020-04-28T11:41:00Z</dcterms:created>
  <dc:creator>86158</dc:creator>
  <cp:lastModifiedBy>宝妈</cp:lastModifiedBy>
  <cp:lastPrinted>2023-05-11T03:22:00Z</cp:lastPrinted>
  <dcterms:modified xsi:type="dcterms:W3CDTF">2026-06-09T06:57:10Z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3407AB26E4AD45BD96CA6FAF1653E2E8_13</vt:lpwstr>
  </property>
  <property fmtid="{D5CDD505-2E9C-101B-9397-08002B2CF9AE}" pid="4" name="KSOTemplateDocerSaveRecord">
    <vt:lpwstr>eyJoZGlkIjoiZTI3YTQ0N2EyOTQ0NWQ4OTRjOGYzYmQ1NTJjMWY1OGUiLCJ1c2VySWQiOiI0MzUxOTk5NDUifQ==</vt:lpwstr>
  </property>
</Properties>
</file>