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007980">
      <w:pPr>
        <w:rPr>
          <w:rFonts w:hint="default" w:ascii="Times New Roman" w:hAnsi="Times New Roman" w:eastAsia="仿宋_GB2312" w:cs="Times New Roman"/>
          <w:color w:val="auto"/>
          <w:sz w:val="36"/>
          <w:szCs w:val="36"/>
        </w:rPr>
      </w:pPr>
    </w:p>
    <w:p w14:paraId="71053D37">
      <w:pPr>
        <w:rPr>
          <w:rFonts w:hint="default" w:ascii="Times New Roman" w:hAnsi="Times New Roman" w:eastAsia="仿宋_GB2312" w:cs="Times New Roman"/>
          <w:color w:val="auto"/>
          <w:sz w:val="36"/>
          <w:szCs w:val="36"/>
        </w:rPr>
      </w:pPr>
    </w:p>
    <w:p w14:paraId="45BADB0C">
      <w:pPr>
        <w:rPr>
          <w:rFonts w:hint="default" w:ascii="Times New Roman" w:hAnsi="Times New Roman" w:eastAsia="仿宋_GB2312" w:cs="Times New Roman"/>
          <w:color w:val="auto"/>
          <w:sz w:val="36"/>
          <w:szCs w:val="36"/>
        </w:rPr>
      </w:pPr>
    </w:p>
    <w:p w14:paraId="5946B1A7">
      <w:pPr>
        <w:rPr>
          <w:rFonts w:hint="default" w:ascii="Times New Roman" w:hAnsi="Times New Roman" w:eastAsia="仿宋_GB2312" w:cs="Times New Roman"/>
          <w:color w:val="auto"/>
          <w:sz w:val="36"/>
          <w:szCs w:val="36"/>
        </w:rPr>
      </w:pPr>
    </w:p>
    <w:p w14:paraId="0B9B659E">
      <w:pPr>
        <w:adjustRightInd w:val="0"/>
        <w:snapToGrid w:val="0"/>
        <w:jc w:val="center"/>
        <w:outlineLvl w:val="0"/>
        <w:rPr>
          <w:rFonts w:hint="default" w:ascii="Times New Roman" w:hAnsi="Times New Roman" w:eastAsia="方正小标宋_GBK" w:cs="Times New Roman"/>
          <w:bCs/>
          <w:color w:val="auto"/>
          <w:sz w:val="72"/>
          <w:szCs w:val="72"/>
        </w:rPr>
      </w:pPr>
      <w:r>
        <w:rPr>
          <w:rFonts w:hint="default" w:ascii="Times New Roman" w:hAnsi="Times New Roman" w:eastAsia="方正小标宋_GBK" w:cs="Times New Roman"/>
          <w:bCs/>
          <w:color w:val="auto"/>
          <w:sz w:val="72"/>
          <w:szCs w:val="72"/>
        </w:rPr>
        <w:t>建设项目环境影响报告表</w:t>
      </w:r>
    </w:p>
    <w:p w14:paraId="259C5D96">
      <w:pPr>
        <w:adjustRightInd w:val="0"/>
        <w:snapToGrid w:val="0"/>
        <w:spacing w:before="192" w:beforeLines="80"/>
        <w:jc w:val="center"/>
        <w:rPr>
          <w:rFonts w:hint="default" w:ascii="Times New Roman" w:hAnsi="Times New Roman" w:eastAsia="楷体_GB2312" w:cs="Times New Roman"/>
          <w:bCs/>
          <w:color w:val="auto"/>
          <w:sz w:val="48"/>
          <w:szCs w:val="48"/>
        </w:rPr>
      </w:pPr>
      <w:r>
        <w:rPr>
          <w:rFonts w:hint="default" w:ascii="Times New Roman" w:hAnsi="Times New Roman" w:eastAsia="楷体_GB2312" w:cs="Times New Roman"/>
          <w:bCs/>
          <w:color w:val="auto"/>
          <w:sz w:val="48"/>
          <w:szCs w:val="48"/>
        </w:rPr>
        <w:t>（污染影响类）</w:t>
      </w:r>
    </w:p>
    <w:p w14:paraId="7992CF3A">
      <w:pPr>
        <w:adjustRightInd w:val="0"/>
        <w:snapToGrid w:val="0"/>
        <w:spacing w:line="288" w:lineRule="auto"/>
        <w:jc w:val="center"/>
        <w:outlineLvl w:val="0"/>
        <w:rPr>
          <w:rFonts w:hint="default" w:ascii="Times New Roman" w:hAnsi="Times New Roman" w:eastAsia="华文仿宋" w:cs="Times New Roman"/>
          <w:color w:val="auto"/>
          <w:kern w:val="44"/>
          <w:sz w:val="44"/>
          <w:szCs w:val="44"/>
        </w:rPr>
      </w:pPr>
    </w:p>
    <w:p w14:paraId="4F4A9AC6">
      <w:pPr>
        <w:jc w:val="center"/>
        <w:rPr>
          <w:rFonts w:hint="default" w:ascii="Times New Roman" w:hAnsi="Times New Roman" w:eastAsia="仿宋" w:cs="Times New Roman"/>
          <w:color w:val="auto"/>
          <w:sz w:val="52"/>
          <w:szCs w:val="52"/>
        </w:rPr>
      </w:pPr>
    </w:p>
    <w:p w14:paraId="28857A79">
      <w:pPr>
        <w:ind w:firstLine="1040"/>
        <w:rPr>
          <w:rFonts w:hint="default" w:ascii="Times New Roman" w:hAnsi="Times New Roman" w:eastAsia="仿宋" w:cs="Times New Roman"/>
          <w:color w:val="auto"/>
          <w:sz w:val="44"/>
          <w:szCs w:val="44"/>
        </w:rPr>
      </w:pPr>
    </w:p>
    <w:p w14:paraId="7742BF4F">
      <w:pPr>
        <w:ind w:firstLine="1040"/>
        <w:rPr>
          <w:rFonts w:hint="default" w:ascii="Times New Roman" w:hAnsi="Times New Roman" w:eastAsia="仿宋" w:cs="Times New Roman"/>
          <w:color w:val="auto"/>
          <w:sz w:val="44"/>
          <w:szCs w:val="44"/>
        </w:rPr>
      </w:pPr>
    </w:p>
    <w:p w14:paraId="16F73A1A">
      <w:pPr>
        <w:ind w:firstLine="1040"/>
        <w:rPr>
          <w:rFonts w:hint="default" w:ascii="Times New Roman" w:hAnsi="Times New Roman" w:eastAsia="仿宋" w:cs="Times New Roman"/>
          <w:color w:val="auto"/>
          <w:sz w:val="44"/>
          <w:szCs w:val="44"/>
        </w:rPr>
      </w:pPr>
    </w:p>
    <w:p w14:paraId="25EE3CB0">
      <w:pPr>
        <w:ind w:firstLine="1040"/>
        <w:rPr>
          <w:rFonts w:hint="default" w:ascii="Times New Roman" w:hAnsi="Times New Roman" w:eastAsia="仿宋" w:cs="Times New Roman"/>
          <w:color w:val="auto"/>
          <w:sz w:val="44"/>
          <w:szCs w:val="44"/>
        </w:rPr>
      </w:pPr>
    </w:p>
    <w:p w14:paraId="53120F75">
      <w:pPr>
        <w:ind w:firstLine="1040"/>
        <w:rPr>
          <w:rFonts w:hint="default" w:ascii="Times New Roman" w:hAnsi="Times New Roman" w:eastAsia="仿宋" w:cs="Times New Roman"/>
          <w:color w:val="auto"/>
          <w:sz w:val="44"/>
          <w:szCs w:val="44"/>
        </w:rPr>
      </w:pPr>
    </w:p>
    <w:p w14:paraId="71028531">
      <w:pPr>
        <w:rPr>
          <w:rFonts w:hint="default" w:ascii="Times New Roman" w:hAnsi="Times New Roman" w:eastAsia="仿宋" w:cs="Times New Roman"/>
          <w:color w:val="auto"/>
          <w:sz w:val="44"/>
          <w:szCs w:val="44"/>
        </w:rPr>
      </w:pPr>
    </w:p>
    <w:p w14:paraId="22EA18C3">
      <w:pPr>
        <w:pStyle w:val="24"/>
        <w:rPr>
          <w:rFonts w:hint="default" w:ascii="Times New Roman" w:hAnsi="Times New Roman" w:cs="Times New Roman"/>
          <w:color w:val="auto"/>
        </w:rPr>
      </w:pPr>
    </w:p>
    <w:p w14:paraId="5980DAAC">
      <w:pPr>
        <w:adjustRightInd w:val="0"/>
        <w:snapToGrid w:val="0"/>
        <w:spacing w:line="360" w:lineRule="auto"/>
        <w:ind w:firstLine="640" w:firstLineChars="200"/>
        <w:rPr>
          <w:rFonts w:hint="default" w:ascii="Times New Roman" w:hAnsi="Times New Roman" w:eastAsia="仿宋_GB2312" w:cs="Times New Roman"/>
          <w:color w:val="auto"/>
          <w:sz w:val="32"/>
          <w:szCs w:val="32"/>
          <w:u w:val="single"/>
          <w:lang w:val="en-US"/>
        </w:rPr>
      </w:pPr>
      <w:r>
        <w:rPr>
          <w:rFonts w:hint="default" w:ascii="Times New Roman" w:hAnsi="Times New Roman" w:eastAsia="仿宋_GB2312" w:cs="Times New Roman"/>
          <w:color w:val="auto"/>
          <w:sz w:val="32"/>
          <w:szCs w:val="32"/>
        </w:rPr>
        <w:t>项目名称：</w:t>
      </w:r>
      <w:r>
        <w:rPr>
          <w:rFonts w:hint="default" w:ascii="Times New Roman" w:hAnsi="Times New Roman" w:eastAsia="仿宋_GB2312" w:cs="Times New Roman"/>
          <w:color w:val="auto"/>
          <w:sz w:val="32"/>
          <w:szCs w:val="32"/>
          <w:u w:val="single"/>
          <w:lang w:val="en-US" w:eastAsia="zh-CN"/>
        </w:rPr>
        <w:t xml:space="preserve"> </w:t>
      </w:r>
      <w:r>
        <w:rPr>
          <w:rFonts w:hint="eastAsia" w:eastAsia="仿宋_GB2312" w:cs="Times New Roman"/>
          <w:color w:val="auto"/>
          <w:sz w:val="32"/>
          <w:szCs w:val="32"/>
          <w:u w:val="single"/>
          <w:lang w:val="en-US" w:eastAsia="zh-CN"/>
        </w:rPr>
        <w:t xml:space="preserve">    再生资源废旧泡沫回收利用项目   </w:t>
      </w:r>
      <w:r>
        <w:rPr>
          <w:rFonts w:hint="default" w:ascii="Times New Roman" w:hAnsi="Times New Roman" w:eastAsia="仿宋_GB2312" w:cs="Times New Roman"/>
          <w:color w:val="auto"/>
          <w:sz w:val="32"/>
          <w:szCs w:val="32"/>
          <w:u w:val="single"/>
          <w:lang w:val="en-US" w:eastAsia="zh-CN"/>
        </w:rPr>
        <w:t xml:space="preserve"> </w:t>
      </w:r>
    </w:p>
    <w:p w14:paraId="68DFCFB6">
      <w:pPr>
        <w:adjustRightInd w:val="0"/>
        <w:snapToGrid w:val="0"/>
        <w:spacing w:line="360" w:lineRule="auto"/>
        <w:ind w:firstLine="640" w:firstLineChars="200"/>
        <w:rPr>
          <w:rFonts w:hint="default" w:ascii="Times New Roman" w:hAnsi="Times New Roman" w:eastAsia="仿宋_GB2312" w:cs="Times New Roman"/>
          <w:color w:val="auto"/>
          <w:sz w:val="32"/>
          <w:szCs w:val="32"/>
          <w:u w:val="single"/>
          <w:lang w:val="en-US" w:eastAsia="zh-CN"/>
        </w:rPr>
      </w:pPr>
      <w:r>
        <w:rPr>
          <w:rFonts w:hint="default" w:ascii="Times New Roman" w:hAnsi="Times New Roman" w:eastAsia="仿宋_GB2312" w:cs="Times New Roman"/>
          <w:color w:val="auto"/>
          <w:sz w:val="32"/>
          <w:szCs w:val="32"/>
        </w:rPr>
        <w:t>建设单位：</w:t>
      </w:r>
      <w:r>
        <w:rPr>
          <w:rFonts w:hint="default" w:ascii="Times New Roman" w:hAnsi="Times New Roman" w:eastAsia="仿宋_GB2312" w:cs="Times New Roman"/>
          <w:color w:val="auto"/>
          <w:sz w:val="32"/>
          <w:szCs w:val="32"/>
          <w:u w:val="single"/>
        </w:rPr>
        <w:t xml:space="preserve"> </w:t>
      </w:r>
      <w:r>
        <w:rPr>
          <w:rFonts w:hint="eastAsia" w:eastAsia="仿宋_GB2312" w:cs="Times New Roman"/>
          <w:color w:val="auto"/>
          <w:sz w:val="32"/>
          <w:szCs w:val="32"/>
          <w:u w:val="single"/>
          <w:lang w:val="en-US" w:eastAsia="zh-CN"/>
        </w:rPr>
        <w:t xml:space="preserve">  宝鸡市陈仓区绿之能再生资源加工厂</w:t>
      </w:r>
      <w:r>
        <w:rPr>
          <w:rFonts w:hint="default" w:ascii="Times New Roman" w:hAnsi="Times New Roman" w:eastAsia="仿宋_GB2312" w:cs="Times New Roman"/>
          <w:color w:val="auto"/>
          <w:sz w:val="32"/>
          <w:szCs w:val="32"/>
          <w:u w:val="single"/>
        </w:rPr>
        <w:t xml:space="preserve">  </w:t>
      </w:r>
    </w:p>
    <w:p w14:paraId="056C7CA7">
      <w:pPr>
        <w:adjustRightInd w:val="0"/>
        <w:snapToGrid w:val="0"/>
        <w:spacing w:line="360" w:lineRule="auto"/>
        <w:ind w:firstLine="640" w:firstLineChars="200"/>
        <w:rPr>
          <w:rFonts w:hint="default" w:ascii="Times New Roman" w:hAnsi="Times New Roman" w:eastAsia="仿宋_GB2312" w:cs="Times New Roman"/>
          <w:color w:val="auto"/>
          <w:sz w:val="32"/>
          <w:szCs w:val="32"/>
          <w:u w:val="single"/>
        </w:rPr>
      </w:pPr>
      <w:r>
        <w:rPr>
          <w:rFonts w:hint="default" w:ascii="Times New Roman" w:hAnsi="Times New Roman" w:eastAsia="仿宋_GB2312" w:cs="Times New Roman"/>
          <w:color w:val="auto"/>
          <w:sz w:val="32"/>
          <w:szCs w:val="32"/>
        </w:rPr>
        <w:t>编制日期：</w:t>
      </w:r>
      <w:r>
        <w:rPr>
          <w:rFonts w:hint="default" w:ascii="Times New Roman" w:hAnsi="Times New Roman" w:eastAsia="仿宋_GB2312" w:cs="Times New Roman"/>
          <w:color w:val="auto"/>
          <w:sz w:val="32"/>
          <w:szCs w:val="32"/>
          <w:u w:val="single"/>
        </w:rPr>
        <w:t xml:space="preserve">     </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 xml:space="preserve">  </w:t>
      </w:r>
      <w:r>
        <w:rPr>
          <w:rFonts w:hint="default" w:ascii="Times New Roman" w:hAnsi="Times New Roman" w:eastAsia="仿宋_GB2312" w:cs="Times New Roman"/>
          <w:color w:val="auto"/>
          <w:sz w:val="32"/>
          <w:szCs w:val="32"/>
          <w:u w:val="single"/>
          <w:lang w:val="en-US" w:eastAsia="zh-CN"/>
        </w:rPr>
        <w:t xml:space="preserve"> </w:t>
      </w:r>
      <w:r>
        <w:rPr>
          <w:rFonts w:hint="eastAsia"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 xml:space="preserve"> 202</w:t>
      </w:r>
      <w:r>
        <w:rPr>
          <w:rFonts w:hint="default" w:ascii="Times New Roman" w:hAnsi="Times New Roman" w:eastAsia="仿宋_GB2312" w:cs="Times New Roman"/>
          <w:color w:val="auto"/>
          <w:sz w:val="32"/>
          <w:szCs w:val="32"/>
          <w:u w:val="single"/>
          <w:lang w:val="en-US" w:eastAsia="zh-CN"/>
        </w:rPr>
        <w:t>6</w:t>
      </w:r>
      <w:r>
        <w:rPr>
          <w:rFonts w:hint="default" w:ascii="Times New Roman" w:hAnsi="Times New Roman" w:eastAsia="仿宋_GB2312" w:cs="Times New Roman"/>
          <w:color w:val="auto"/>
          <w:sz w:val="32"/>
          <w:szCs w:val="32"/>
          <w:u w:val="single"/>
        </w:rPr>
        <w:t>年</w:t>
      </w:r>
      <w:r>
        <w:rPr>
          <w:rFonts w:hint="eastAsia" w:eastAsia="仿宋_GB2312" w:cs="Times New Roman"/>
          <w:color w:val="auto"/>
          <w:sz w:val="32"/>
          <w:szCs w:val="32"/>
          <w:u w:val="single"/>
          <w:lang w:val="en-US" w:eastAsia="zh-CN"/>
        </w:rPr>
        <w:t>6</w:t>
      </w:r>
      <w:r>
        <w:rPr>
          <w:rFonts w:hint="default" w:ascii="Times New Roman" w:hAnsi="Times New Roman" w:eastAsia="仿宋_GB2312" w:cs="Times New Roman"/>
          <w:color w:val="auto"/>
          <w:sz w:val="32"/>
          <w:szCs w:val="32"/>
          <w:u w:val="single"/>
        </w:rPr>
        <w:t xml:space="preserve">月  </w:t>
      </w:r>
      <w:r>
        <w:rPr>
          <w:rFonts w:hint="eastAsia"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 xml:space="preserve">    </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 xml:space="preserve"> </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 xml:space="preserve"> </w:t>
      </w:r>
    </w:p>
    <w:p w14:paraId="6ADF926E">
      <w:pPr>
        <w:adjustRightInd w:val="0"/>
        <w:snapToGrid w:val="0"/>
        <w:spacing w:line="288" w:lineRule="auto"/>
        <w:ind w:firstLine="1040"/>
        <w:rPr>
          <w:rFonts w:hint="default" w:ascii="Times New Roman" w:hAnsi="Times New Roman" w:eastAsia="仿宋_GB2312" w:cs="Times New Roman"/>
          <w:color w:val="auto"/>
          <w:sz w:val="36"/>
          <w:szCs w:val="36"/>
          <w:u w:val="single"/>
        </w:rPr>
      </w:pPr>
      <w:bookmarkStart w:id="0" w:name="_Hlk57884087"/>
    </w:p>
    <w:bookmarkEnd w:id="0"/>
    <w:p w14:paraId="60FF6325">
      <w:pPr>
        <w:adjustRightInd w:val="0"/>
        <w:snapToGrid w:val="0"/>
        <w:spacing w:line="288" w:lineRule="auto"/>
        <w:jc w:val="both"/>
        <w:rPr>
          <w:rFonts w:hint="default" w:ascii="Times New Roman" w:hAnsi="Times New Roman" w:eastAsia="楷体_GB2312" w:cs="Times New Roman"/>
          <w:color w:val="auto"/>
          <w:sz w:val="36"/>
          <w:szCs w:val="36"/>
        </w:rPr>
      </w:pPr>
    </w:p>
    <w:p w14:paraId="05D1EA8F">
      <w:pPr>
        <w:adjustRightInd w:val="0"/>
        <w:snapToGrid w:val="0"/>
        <w:spacing w:line="288" w:lineRule="auto"/>
        <w:jc w:val="both"/>
        <w:rPr>
          <w:rFonts w:hint="default" w:ascii="Times New Roman" w:hAnsi="Times New Roman" w:eastAsia="楷体_GB2312" w:cs="Times New Roman"/>
          <w:color w:val="auto"/>
          <w:sz w:val="36"/>
          <w:szCs w:val="36"/>
        </w:rPr>
      </w:pPr>
    </w:p>
    <w:p w14:paraId="6C919C9D">
      <w:pPr>
        <w:adjustRightInd w:val="0"/>
        <w:snapToGrid w:val="0"/>
        <w:spacing w:line="288" w:lineRule="auto"/>
        <w:jc w:val="center"/>
        <w:rPr>
          <w:rFonts w:hint="default" w:ascii="Times New Roman" w:hAnsi="Times New Roman" w:eastAsia="楷体_GB2312" w:cs="Times New Roman"/>
          <w:color w:val="auto"/>
          <w:sz w:val="36"/>
          <w:szCs w:val="36"/>
        </w:rPr>
      </w:pPr>
      <w:r>
        <w:rPr>
          <w:rFonts w:hint="default" w:ascii="Times New Roman" w:hAnsi="Times New Roman" w:eastAsia="楷体_GB2312" w:cs="Times New Roman"/>
          <w:color w:val="auto"/>
          <w:sz w:val="36"/>
          <w:szCs w:val="36"/>
        </w:rPr>
        <w:t>中华人民共和国生态环境部制</w:t>
      </w:r>
    </w:p>
    <w:p w14:paraId="7B7B8E8A">
      <w:pPr>
        <w:adjustRightInd w:val="0"/>
        <w:snapToGrid w:val="0"/>
        <w:spacing w:line="288" w:lineRule="auto"/>
        <w:ind w:firstLine="1040"/>
        <w:jc w:val="center"/>
        <w:rPr>
          <w:rFonts w:hint="default" w:ascii="Times New Roman" w:hAnsi="Times New Roman" w:eastAsia="仿宋_GB2312" w:cs="Times New Roman"/>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p>
    <w:p w14:paraId="4482D7D0">
      <w:pPr>
        <w:pStyle w:val="27"/>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一、建设项目基本情况</w:t>
      </w:r>
    </w:p>
    <w:tbl>
      <w:tblPr>
        <w:tblStyle w:val="33"/>
        <w:tblW w:w="930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85"/>
        <w:gridCol w:w="1043"/>
        <w:gridCol w:w="2191"/>
        <w:gridCol w:w="1893"/>
        <w:gridCol w:w="3394"/>
      </w:tblGrid>
      <w:tr w14:paraId="43B668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28" w:type="dxa"/>
            <w:gridSpan w:val="2"/>
            <w:noWrap w:val="0"/>
            <w:tcMar>
              <w:top w:w="16" w:type="dxa"/>
              <w:left w:w="16" w:type="dxa"/>
              <w:right w:w="16" w:type="dxa"/>
            </w:tcMar>
            <w:vAlign w:val="center"/>
          </w:tcPr>
          <w:p w14:paraId="313FC46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建设项目名称</w:t>
            </w:r>
          </w:p>
        </w:tc>
        <w:tc>
          <w:tcPr>
            <w:tcW w:w="7478" w:type="dxa"/>
            <w:gridSpan w:val="3"/>
            <w:noWrap w:val="0"/>
            <w:vAlign w:val="center"/>
          </w:tcPr>
          <w:p w14:paraId="1757E10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再生资源废旧泡沫回收利用项目</w:t>
            </w:r>
          </w:p>
        </w:tc>
      </w:tr>
      <w:tr w14:paraId="2D4585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28" w:type="dxa"/>
            <w:gridSpan w:val="2"/>
            <w:noWrap w:val="0"/>
            <w:tcMar>
              <w:top w:w="16" w:type="dxa"/>
              <w:left w:w="16" w:type="dxa"/>
              <w:right w:w="16" w:type="dxa"/>
            </w:tcMar>
            <w:vAlign w:val="center"/>
          </w:tcPr>
          <w:p w14:paraId="3A77C8E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项目代码</w:t>
            </w:r>
          </w:p>
        </w:tc>
        <w:tc>
          <w:tcPr>
            <w:tcW w:w="7478" w:type="dxa"/>
            <w:gridSpan w:val="3"/>
            <w:noWrap w:val="0"/>
            <w:vAlign w:val="center"/>
          </w:tcPr>
          <w:p w14:paraId="75E0A22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2601-610304-04-01-201776</w:t>
            </w:r>
          </w:p>
        </w:tc>
      </w:tr>
      <w:tr w14:paraId="1D89CB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4" w:hRule="atLeast"/>
          <w:jc w:val="center"/>
        </w:trPr>
        <w:tc>
          <w:tcPr>
            <w:tcW w:w="1828" w:type="dxa"/>
            <w:gridSpan w:val="2"/>
            <w:noWrap w:val="0"/>
            <w:tcMar>
              <w:top w:w="16" w:type="dxa"/>
              <w:left w:w="16" w:type="dxa"/>
              <w:right w:w="16" w:type="dxa"/>
            </w:tcMar>
            <w:vAlign w:val="center"/>
          </w:tcPr>
          <w:p w14:paraId="02C6DC2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建设单位联系人</w:t>
            </w:r>
          </w:p>
        </w:tc>
        <w:tc>
          <w:tcPr>
            <w:tcW w:w="2191" w:type="dxa"/>
            <w:noWrap w:val="0"/>
            <w:vAlign w:val="center"/>
          </w:tcPr>
          <w:p w14:paraId="02F6A7B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lang w:eastAsia="zh-CN"/>
              </w:rPr>
            </w:pPr>
          </w:p>
        </w:tc>
        <w:tc>
          <w:tcPr>
            <w:tcW w:w="1893" w:type="dxa"/>
            <w:noWrap w:val="0"/>
            <w:vAlign w:val="center"/>
          </w:tcPr>
          <w:p w14:paraId="1BB569D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联系方式</w:t>
            </w:r>
          </w:p>
        </w:tc>
        <w:tc>
          <w:tcPr>
            <w:tcW w:w="3394" w:type="dxa"/>
            <w:noWrap w:val="0"/>
            <w:vAlign w:val="center"/>
          </w:tcPr>
          <w:p w14:paraId="1F0BD1B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lang w:val="en-US" w:eastAsia="zh-CN"/>
              </w:rPr>
            </w:pPr>
          </w:p>
        </w:tc>
      </w:tr>
      <w:tr w14:paraId="3221D1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28" w:type="dxa"/>
            <w:gridSpan w:val="2"/>
            <w:noWrap w:val="0"/>
            <w:tcMar>
              <w:top w:w="16" w:type="dxa"/>
              <w:left w:w="16" w:type="dxa"/>
              <w:right w:w="16" w:type="dxa"/>
            </w:tcMar>
            <w:vAlign w:val="center"/>
          </w:tcPr>
          <w:p w14:paraId="346DA53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建设地点</w:t>
            </w:r>
          </w:p>
        </w:tc>
        <w:tc>
          <w:tcPr>
            <w:tcW w:w="7478" w:type="dxa"/>
            <w:gridSpan w:val="3"/>
            <w:noWrap w:val="0"/>
            <w:vAlign w:val="center"/>
          </w:tcPr>
          <w:p w14:paraId="4D15AFF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u w:val="single"/>
              </w:rPr>
              <w:t>陕西</w:t>
            </w:r>
            <w:r>
              <w:rPr>
                <w:rFonts w:hint="default" w:ascii="Times New Roman" w:hAnsi="Times New Roman" w:cs="Times New Roman"/>
                <w:color w:val="auto"/>
                <w:sz w:val="24"/>
                <w:szCs w:val="24"/>
              </w:rPr>
              <w:t>省（自治区）</w:t>
            </w:r>
            <w:r>
              <w:rPr>
                <w:rFonts w:hint="default" w:ascii="Times New Roman" w:hAnsi="Times New Roman" w:cs="Times New Roman"/>
                <w:color w:val="auto"/>
                <w:sz w:val="24"/>
                <w:szCs w:val="24"/>
                <w:u w:val="single"/>
              </w:rPr>
              <w:t>宝鸡</w:t>
            </w:r>
            <w:r>
              <w:rPr>
                <w:rFonts w:hint="default" w:ascii="Times New Roman" w:hAnsi="Times New Roman" w:cs="Times New Roman"/>
                <w:color w:val="auto"/>
                <w:sz w:val="24"/>
                <w:szCs w:val="24"/>
              </w:rPr>
              <w:t>市</w:t>
            </w:r>
            <w:r>
              <w:rPr>
                <w:rFonts w:hint="default" w:ascii="Times New Roman" w:hAnsi="Times New Roman" w:cs="Times New Roman"/>
                <w:color w:val="auto"/>
                <w:sz w:val="24"/>
                <w:szCs w:val="24"/>
                <w:u w:val="single"/>
                <w:lang w:eastAsia="zh-CN"/>
              </w:rPr>
              <w:t>陈仓</w:t>
            </w:r>
            <w:r>
              <w:rPr>
                <w:rFonts w:hint="default" w:ascii="Times New Roman" w:hAnsi="Times New Roman" w:cs="Times New Roman"/>
                <w:color w:val="auto"/>
                <w:sz w:val="24"/>
                <w:szCs w:val="24"/>
              </w:rPr>
              <w:t>区</w:t>
            </w:r>
            <w:r>
              <w:rPr>
                <w:rFonts w:hint="default" w:ascii="Times New Roman" w:hAnsi="Times New Roman" w:cs="Times New Roman"/>
                <w:color w:val="auto"/>
                <w:sz w:val="24"/>
                <w:szCs w:val="24"/>
                <w:u w:val="single"/>
                <w:lang w:val="en-US" w:eastAsia="zh-CN"/>
              </w:rPr>
              <w:t>千河镇盛创二手车物流园东南角2号</w:t>
            </w:r>
            <w:r>
              <w:rPr>
                <w:rFonts w:hint="default" w:ascii="Times New Roman" w:hAnsi="Times New Roman" w:cs="Times New Roman"/>
                <w:color w:val="auto"/>
                <w:sz w:val="24"/>
                <w:szCs w:val="24"/>
                <w:u w:val="single"/>
              </w:rPr>
              <w:t xml:space="preserve"> </w:t>
            </w:r>
          </w:p>
        </w:tc>
      </w:tr>
      <w:tr w14:paraId="38E9F7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28" w:type="dxa"/>
            <w:gridSpan w:val="2"/>
            <w:noWrap w:val="0"/>
            <w:tcMar>
              <w:top w:w="16" w:type="dxa"/>
              <w:left w:w="16" w:type="dxa"/>
              <w:right w:w="16" w:type="dxa"/>
            </w:tcMar>
            <w:vAlign w:val="center"/>
          </w:tcPr>
          <w:p w14:paraId="446E927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地理坐标</w:t>
            </w:r>
          </w:p>
        </w:tc>
        <w:tc>
          <w:tcPr>
            <w:tcW w:w="7478" w:type="dxa"/>
            <w:gridSpan w:val="3"/>
            <w:noWrap w:val="0"/>
            <w:vAlign w:val="center"/>
          </w:tcPr>
          <w:p w14:paraId="487CFD72">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u w:val="single"/>
              </w:rPr>
              <w:t>107</w:t>
            </w:r>
            <w:r>
              <w:rPr>
                <w:rFonts w:hint="default" w:ascii="Times New Roman" w:hAnsi="Times New Roman" w:cs="Times New Roman"/>
                <w:color w:val="auto"/>
                <w:sz w:val="24"/>
                <w:szCs w:val="24"/>
              </w:rPr>
              <w:t>度</w:t>
            </w:r>
            <w:r>
              <w:rPr>
                <w:rFonts w:hint="default" w:ascii="Times New Roman" w:hAnsi="Times New Roman" w:cs="Times New Roman"/>
                <w:color w:val="auto"/>
                <w:sz w:val="24"/>
                <w:szCs w:val="24"/>
                <w:u w:val="single"/>
                <w:lang w:val="en-US" w:eastAsia="zh-CN"/>
              </w:rPr>
              <w:t>18</w:t>
            </w:r>
            <w:r>
              <w:rPr>
                <w:rFonts w:hint="default" w:ascii="Times New Roman" w:hAnsi="Times New Roman" w:cs="Times New Roman"/>
                <w:color w:val="auto"/>
                <w:sz w:val="24"/>
                <w:szCs w:val="24"/>
              </w:rPr>
              <w:t>分</w:t>
            </w:r>
            <w:r>
              <w:rPr>
                <w:rFonts w:hint="eastAsia" w:cs="Times New Roman"/>
                <w:color w:val="auto"/>
                <w:sz w:val="24"/>
                <w:szCs w:val="24"/>
                <w:u w:val="single"/>
                <w:lang w:val="en-US" w:eastAsia="zh-CN"/>
              </w:rPr>
              <w:t>35.961</w:t>
            </w:r>
            <w:r>
              <w:rPr>
                <w:rFonts w:hint="default" w:ascii="Times New Roman" w:hAnsi="Times New Roman" w:cs="Times New Roman"/>
                <w:color w:val="auto"/>
                <w:sz w:val="24"/>
                <w:szCs w:val="24"/>
              </w:rPr>
              <w:t>秒，</w:t>
            </w:r>
            <w:r>
              <w:rPr>
                <w:rFonts w:hint="default" w:ascii="Times New Roman" w:hAnsi="Times New Roman" w:cs="Times New Roman"/>
                <w:color w:val="auto"/>
                <w:sz w:val="24"/>
                <w:szCs w:val="24"/>
                <w:u w:val="single"/>
              </w:rPr>
              <w:t>34</w:t>
            </w:r>
            <w:r>
              <w:rPr>
                <w:rFonts w:hint="default" w:ascii="Times New Roman" w:hAnsi="Times New Roman" w:cs="Times New Roman"/>
                <w:color w:val="auto"/>
                <w:sz w:val="24"/>
                <w:szCs w:val="24"/>
              </w:rPr>
              <w:t>度</w:t>
            </w:r>
            <w:r>
              <w:rPr>
                <w:rFonts w:hint="eastAsia" w:cs="Times New Roman"/>
                <w:color w:val="auto"/>
                <w:sz w:val="24"/>
                <w:szCs w:val="24"/>
                <w:u w:val="single"/>
                <w:lang w:val="en-US" w:eastAsia="zh-CN"/>
              </w:rPr>
              <w:t>21</w:t>
            </w:r>
            <w:r>
              <w:rPr>
                <w:rFonts w:hint="default" w:ascii="Times New Roman" w:hAnsi="Times New Roman" w:cs="Times New Roman"/>
                <w:color w:val="auto"/>
                <w:sz w:val="24"/>
                <w:szCs w:val="24"/>
              </w:rPr>
              <w:t>分</w:t>
            </w:r>
            <w:r>
              <w:rPr>
                <w:rFonts w:hint="eastAsia" w:cs="Times New Roman"/>
                <w:color w:val="auto"/>
                <w:sz w:val="24"/>
                <w:szCs w:val="24"/>
                <w:u w:val="single"/>
                <w:lang w:val="en-US" w:eastAsia="zh-CN"/>
              </w:rPr>
              <w:t>32.219</w:t>
            </w:r>
            <w:r>
              <w:rPr>
                <w:rFonts w:hint="default" w:ascii="Times New Roman" w:hAnsi="Times New Roman" w:cs="Times New Roman"/>
                <w:color w:val="auto"/>
                <w:sz w:val="24"/>
                <w:szCs w:val="24"/>
              </w:rPr>
              <w:t>秒）</w:t>
            </w:r>
          </w:p>
        </w:tc>
      </w:tr>
      <w:tr w14:paraId="0AC25A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828" w:type="dxa"/>
            <w:gridSpan w:val="2"/>
            <w:noWrap w:val="0"/>
            <w:tcMar>
              <w:top w:w="16" w:type="dxa"/>
              <w:left w:w="16" w:type="dxa"/>
              <w:right w:w="16" w:type="dxa"/>
            </w:tcMar>
            <w:vAlign w:val="center"/>
          </w:tcPr>
          <w:p w14:paraId="024CF86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国民经济</w:t>
            </w:r>
          </w:p>
          <w:p w14:paraId="5395193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行业类别</w:t>
            </w:r>
          </w:p>
        </w:tc>
        <w:tc>
          <w:tcPr>
            <w:tcW w:w="2191" w:type="dxa"/>
            <w:noWrap w:val="0"/>
            <w:vAlign w:val="center"/>
          </w:tcPr>
          <w:p w14:paraId="327462C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C4220 非金属废料</w:t>
            </w:r>
          </w:p>
          <w:p w14:paraId="4C2FA70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和碎屑加工处理</w:t>
            </w:r>
          </w:p>
        </w:tc>
        <w:tc>
          <w:tcPr>
            <w:tcW w:w="1893" w:type="dxa"/>
            <w:noWrap w:val="0"/>
            <w:vAlign w:val="center"/>
          </w:tcPr>
          <w:p w14:paraId="50F2630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w:t>
            </w:r>
          </w:p>
          <w:p w14:paraId="57F4F71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行业类别</w:t>
            </w:r>
          </w:p>
        </w:tc>
        <w:tc>
          <w:tcPr>
            <w:tcW w:w="3394" w:type="dxa"/>
            <w:noWrap w:val="0"/>
            <w:vAlign w:val="center"/>
          </w:tcPr>
          <w:p w14:paraId="4B6ECBC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4"/>
                <w:szCs w:val="24"/>
                <w:lang w:val="en-US" w:eastAsia="zh-CN"/>
              </w:rPr>
            </w:pPr>
            <w:r>
              <w:rPr>
                <w:rFonts w:hint="eastAsia"/>
                <w:color w:val="auto"/>
                <w:sz w:val="24"/>
                <w:szCs w:val="24"/>
              </w:rPr>
              <w:t>三十九、废弃资源综合利用业 42 85非金属废料和碎屑加工处理 422</w:t>
            </w:r>
          </w:p>
        </w:tc>
      </w:tr>
      <w:tr w14:paraId="16F9B2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828" w:type="dxa"/>
            <w:gridSpan w:val="2"/>
            <w:noWrap w:val="0"/>
            <w:tcMar>
              <w:top w:w="16" w:type="dxa"/>
              <w:left w:w="16" w:type="dxa"/>
              <w:right w:w="16" w:type="dxa"/>
            </w:tcMar>
            <w:vAlign w:val="center"/>
          </w:tcPr>
          <w:p w14:paraId="483004E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建设性质</w:t>
            </w:r>
          </w:p>
        </w:tc>
        <w:tc>
          <w:tcPr>
            <w:tcW w:w="2191" w:type="dxa"/>
            <w:noWrap w:val="0"/>
            <w:vAlign w:val="center"/>
          </w:tcPr>
          <w:p w14:paraId="5C038003">
            <w:pPr>
              <w:keepNext w:val="0"/>
              <w:keepLines w:val="0"/>
              <w:pageBreakBefore w:val="0"/>
              <w:widowControl w:val="0"/>
              <w:suppressLineNumbers w:val="0"/>
              <w:kinsoku/>
              <w:wordWrap/>
              <w:overflowPunct/>
              <w:topLinePunct w:val="0"/>
              <w:bidi w:val="0"/>
              <w:spacing w:before="0" w:beforeAutospacing="0" w:after="0" w:afterAutospacing="0"/>
              <w:ind w:left="0" w:right="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52"/>
            </w:r>
            <w:r>
              <w:rPr>
                <w:rFonts w:hint="default" w:ascii="Times New Roman" w:hAnsi="Times New Roman" w:cs="Times New Roman"/>
                <w:color w:val="auto"/>
                <w:sz w:val="24"/>
                <w:szCs w:val="24"/>
              </w:rPr>
              <w:t>新建（迁建）</w:t>
            </w:r>
          </w:p>
          <w:p w14:paraId="6BE76E7C">
            <w:pPr>
              <w:keepNext w:val="0"/>
              <w:keepLines w:val="0"/>
              <w:pageBreakBefore w:val="0"/>
              <w:widowControl w:val="0"/>
              <w:suppressLineNumbers w:val="0"/>
              <w:kinsoku/>
              <w:wordWrap/>
              <w:overflowPunct/>
              <w:topLinePunct w:val="0"/>
              <w:bidi w:val="0"/>
              <w:spacing w:before="0" w:beforeAutospacing="0" w:after="0" w:afterAutospacing="0"/>
              <w:ind w:left="0" w:right="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改建</w:t>
            </w:r>
          </w:p>
          <w:p w14:paraId="77B58A26">
            <w:pPr>
              <w:keepNext w:val="0"/>
              <w:keepLines w:val="0"/>
              <w:pageBreakBefore w:val="0"/>
              <w:widowControl w:val="0"/>
              <w:suppressLineNumbers w:val="0"/>
              <w:kinsoku/>
              <w:wordWrap/>
              <w:overflowPunct/>
              <w:topLinePunct w:val="0"/>
              <w:bidi w:val="0"/>
              <w:spacing w:before="0" w:beforeAutospacing="0" w:after="0" w:afterAutospacing="0"/>
              <w:ind w:left="0" w:right="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扩建</w:t>
            </w:r>
          </w:p>
          <w:p w14:paraId="4CE067FF">
            <w:pPr>
              <w:keepNext w:val="0"/>
              <w:keepLines w:val="0"/>
              <w:pageBreakBefore w:val="0"/>
              <w:widowControl w:val="0"/>
              <w:suppressLineNumbers w:val="0"/>
              <w:kinsoku/>
              <w:wordWrap/>
              <w:overflowPunct/>
              <w:topLinePunct w:val="0"/>
              <w:bidi w:val="0"/>
              <w:spacing w:before="0" w:beforeAutospacing="0" w:after="0" w:afterAutospacing="0"/>
              <w:ind w:left="0" w:right="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技术改造</w:t>
            </w:r>
          </w:p>
        </w:tc>
        <w:tc>
          <w:tcPr>
            <w:tcW w:w="1893" w:type="dxa"/>
            <w:noWrap w:val="0"/>
            <w:vAlign w:val="center"/>
          </w:tcPr>
          <w:p w14:paraId="55B236F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w:t>
            </w:r>
          </w:p>
          <w:p w14:paraId="12277A0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申报情形</w:t>
            </w:r>
          </w:p>
        </w:tc>
        <w:tc>
          <w:tcPr>
            <w:tcW w:w="3394" w:type="dxa"/>
            <w:noWrap w:val="0"/>
            <w:vAlign w:val="center"/>
          </w:tcPr>
          <w:p w14:paraId="78EFFE98">
            <w:pPr>
              <w:keepNext w:val="0"/>
              <w:keepLines w:val="0"/>
              <w:pageBreakBefore w:val="0"/>
              <w:widowControl w:val="0"/>
              <w:suppressLineNumbers w:val="0"/>
              <w:kinsoku/>
              <w:wordWrap/>
              <w:overflowPunct/>
              <w:topLinePunct w:val="0"/>
              <w:bidi w:val="0"/>
              <w:spacing w:before="0" w:beforeAutospacing="0" w:after="0" w:afterAutospacing="0"/>
              <w:ind w:left="0" w:right="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52"/>
            </w:r>
            <w:r>
              <w:rPr>
                <w:rFonts w:hint="default" w:ascii="Times New Roman" w:hAnsi="Times New Roman" w:cs="Times New Roman"/>
                <w:color w:val="auto"/>
                <w:sz w:val="24"/>
                <w:szCs w:val="24"/>
              </w:rPr>
              <w:t xml:space="preserve">首次申报项目             </w:t>
            </w:r>
          </w:p>
          <w:p w14:paraId="19C0DEE6">
            <w:pPr>
              <w:keepNext w:val="0"/>
              <w:keepLines w:val="0"/>
              <w:pageBreakBefore w:val="0"/>
              <w:widowControl w:val="0"/>
              <w:suppressLineNumbers w:val="0"/>
              <w:kinsoku/>
              <w:wordWrap/>
              <w:overflowPunct/>
              <w:topLinePunct w:val="0"/>
              <w:bidi w:val="0"/>
              <w:spacing w:before="0" w:beforeAutospacing="0" w:after="0" w:afterAutospacing="0"/>
              <w:ind w:left="0" w:right="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不予批准后再次申报项目</w:t>
            </w:r>
          </w:p>
          <w:p w14:paraId="152C41DC">
            <w:pPr>
              <w:keepNext w:val="0"/>
              <w:keepLines w:val="0"/>
              <w:pageBreakBefore w:val="0"/>
              <w:widowControl w:val="0"/>
              <w:suppressLineNumbers w:val="0"/>
              <w:kinsoku/>
              <w:wordWrap/>
              <w:overflowPunct/>
              <w:topLinePunct w:val="0"/>
              <w:bidi w:val="0"/>
              <w:spacing w:before="0" w:beforeAutospacing="0" w:after="0" w:afterAutospacing="0"/>
              <w:ind w:left="0" w:right="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 xml:space="preserve">超五年重新审核项目     </w:t>
            </w:r>
          </w:p>
          <w:p w14:paraId="2ABC07EC">
            <w:pPr>
              <w:keepNext w:val="0"/>
              <w:keepLines w:val="0"/>
              <w:pageBreakBefore w:val="0"/>
              <w:widowControl w:val="0"/>
              <w:suppressLineNumbers w:val="0"/>
              <w:kinsoku/>
              <w:wordWrap/>
              <w:overflowPunct/>
              <w:topLinePunct w:val="0"/>
              <w:bidi w:val="0"/>
              <w:spacing w:before="0" w:beforeAutospacing="0" w:after="0" w:afterAutospacing="0"/>
              <w:ind w:left="0" w:right="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重大变动重新报批项目</w:t>
            </w:r>
          </w:p>
        </w:tc>
      </w:tr>
      <w:tr w14:paraId="55100B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828" w:type="dxa"/>
            <w:gridSpan w:val="2"/>
            <w:noWrap w:val="0"/>
            <w:tcMar>
              <w:top w:w="16" w:type="dxa"/>
              <w:left w:w="16" w:type="dxa"/>
              <w:right w:w="16" w:type="dxa"/>
            </w:tcMar>
            <w:vAlign w:val="center"/>
          </w:tcPr>
          <w:p w14:paraId="5FB17D2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项目备案部门</w:t>
            </w:r>
          </w:p>
        </w:tc>
        <w:tc>
          <w:tcPr>
            <w:tcW w:w="2191" w:type="dxa"/>
            <w:noWrap w:val="0"/>
            <w:vAlign w:val="center"/>
          </w:tcPr>
          <w:p w14:paraId="5724752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宝鸡市陈仓区发展和改革局</w:t>
            </w:r>
          </w:p>
        </w:tc>
        <w:tc>
          <w:tcPr>
            <w:tcW w:w="1893" w:type="dxa"/>
            <w:noWrap w:val="0"/>
            <w:vAlign w:val="center"/>
          </w:tcPr>
          <w:p w14:paraId="5D637D2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项目审批（核准/备案）文号（选填）</w:t>
            </w:r>
          </w:p>
        </w:tc>
        <w:tc>
          <w:tcPr>
            <w:tcW w:w="3394" w:type="dxa"/>
            <w:noWrap w:val="0"/>
            <w:vAlign w:val="center"/>
          </w:tcPr>
          <w:p w14:paraId="208160E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r>
      <w:tr w14:paraId="2F84B4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28" w:type="dxa"/>
            <w:gridSpan w:val="2"/>
            <w:noWrap w:val="0"/>
            <w:tcMar>
              <w:top w:w="16" w:type="dxa"/>
              <w:left w:w="16" w:type="dxa"/>
              <w:right w:w="16" w:type="dxa"/>
            </w:tcMar>
            <w:vAlign w:val="center"/>
          </w:tcPr>
          <w:p w14:paraId="4976C22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总投资</w:t>
            </w:r>
          </w:p>
          <w:p w14:paraId="5F0BBCB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（万元）</w:t>
            </w:r>
          </w:p>
        </w:tc>
        <w:tc>
          <w:tcPr>
            <w:tcW w:w="2191" w:type="dxa"/>
            <w:noWrap w:val="0"/>
            <w:vAlign w:val="center"/>
          </w:tcPr>
          <w:p w14:paraId="34CD1FE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60</w:t>
            </w:r>
          </w:p>
        </w:tc>
        <w:tc>
          <w:tcPr>
            <w:tcW w:w="1893" w:type="dxa"/>
            <w:noWrap w:val="0"/>
            <w:tcMar>
              <w:top w:w="16" w:type="dxa"/>
              <w:left w:w="16" w:type="dxa"/>
              <w:right w:w="16" w:type="dxa"/>
            </w:tcMar>
            <w:vAlign w:val="center"/>
          </w:tcPr>
          <w:p w14:paraId="2596778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环保投资（万元）</w:t>
            </w:r>
          </w:p>
        </w:tc>
        <w:tc>
          <w:tcPr>
            <w:tcW w:w="3394" w:type="dxa"/>
            <w:noWrap w:val="0"/>
            <w:vAlign w:val="center"/>
          </w:tcPr>
          <w:p w14:paraId="00BE1F8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10</w:t>
            </w:r>
          </w:p>
        </w:tc>
      </w:tr>
      <w:tr w14:paraId="1C44E7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28" w:type="dxa"/>
            <w:gridSpan w:val="2"/>
            <w:noWrap w:val="0"/>
            <w:tcMar>
              <w:top w:w="16" w:type="dxa"/>
              <w:left w:w="16" w:type="dxa"/>
              <w:right w:w="16" w:type="dxa"/>
            </w:tcMar>
            <w:vAlign w:val="center"/>
          </w:tcPr>
          <w:p w14:paraId="6229E31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环保投资占比（%）</w:t>
            </w:r>
          </w:p>
        </w:tc>
        <w:tc>
          <w:tcPr>
            <w:tcW w:w="2191" w:type="dxa"/>
            <w:noWrap w:val="0"/>
            <w:vAlign w:val="center"/>
          </w:tcPr>
          <w:p w14:paraId="39DD7BE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16.7</w:t>
            </w:r>
          </w:p>
        </w:tc>
        <w:tc>
          <w:tcPr>
            <w:tcW w:w="1893" w:type="dxa"/>
            <w:noWrap w:val="0"/>
            <w:tcMar>
              <w:top w:w="16" w:type="dxa"/>
              <w:left w:w="16" w:type="dxa"/>
              <w:right w:w="16" w:type="dxa"/>
            </w:tcMar>
            <w:vAlign w:val="center"/>
          </w:tcPr>
          <w:p w14:paraId="3ED5B59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施工工期</w:t>
            </w:r>
          </w:p>
        </w:tc>
        <w:tc>
          <w:tcPr>
            <w:tcW w:w="3394" w:type="dxa"/>
            <w:noWrap w:val="0"/>
            <w:vAlign w:val="center"/>
          </w:tcPr>
          <w:p w14:paraId="629AD46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个月</w:t>
            </w:r>
          </w:p>
        </w:tc>
      </w:tr>
      <w:tr w14:paraId="254BA4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28" w:type="dxa"/>
            <w:gridSpan w:val="2"/>
            <w:noWrap w:val="0"/>
            <w:tcMar>
              <w:top w:w="16" w:type="dxa"/>
              <w:left w:w="16" w:type="dxa"/>
              <w:right w:w="16" w:type="dxa"/>
            </w:tcMar>
            <w:vAlign w:val="center"/>
          </w:tcPr>
          <w:p w14:paraId="3274FDF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是否开工建设</w:t>
            </w:r>
          </w:p>
        </w:tc>
        <w:tc>
          <w:tcPr>
            <w:tcW w:w="2191" w:type="dxa"/>
            <w:noWrap w:val="0"/>
            <w:vAlign w:val="center"/>
          </w:tcPr>
          <w:p w14:paraId="037869A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52"/>
            </w:r>
            <w:r>
              <w:rPr>
                <w:rFonts w:hint="default" w:ascii="Times New Roman" w:hAnsi="Times New Roman" w:cs="Times New Roman"/>
                <w:color w:val="auto"/>
                <w:sz w:val="24"/>
                <w:szCs w:val="24"/>
              </w:rPr>
              <w:t>否</w:t>
            </w:r>
          </w:p>
          <w:p w14:paraId="1CFD882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是：</w:t>
            </w:r>
            <w:r>
              <w:rPr>
                <w:rFonts w:hint="default" w:ascii="Times New Roman" w:hAnsi="Times New Roman" w:cs="Times New Roman"/>
                <w:color w:val="auto"/>
                <w:sz w:val="24"/>
                <w:szCs w:val="24"/>
                <w:u w:val="single"/>
                <w:lang w:val="en-US" w:eastAsia="zh-CN"/>
              </w:rPr>
              <w:t xml:space="preserve">        </w:t>
            </w:r>
            <w:r>
              <w:rPr>
                <w:rFonts w:hint="default" w:ascii="Times New Roman" w:hAnsi="Times New Roman" w:cs="Times New Roman"/>
                <w:color w:val="auto"/>
                <w:sz w:val="24"/>
                <w:szCs w:val="24"/>
                <w:u w:val="single"/>
              </w:rPr>
              <w:t xml:space="preserve">             </w:t>
            </w:r>
          </w:p>
        </w:tc>
        <w:tc>
          <w:tcPr>
            <w:tcW w:w="1893" w:type="dxa"/>
            <w:noWrap w:val="0"/>
            <w:tcMar>
              <w:top w:w="16" w:type="dxa"/>
              <w:left w:w="16" w:type="dxa"/>
              <w:right w:w="16" w:type="dxa"/>
            </w:tcMar>
            <w:vAlign w:val="center"/>
          </w:tcPr>
          <w:p w14:paraId="0AEADCB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pacing w:val="-6"/>
                <w:sz w:val="24"/>
                <w:szCs w:val="24"/>
              </w:rPr>
            </w:pPr>
            <w:r>
              <w:rPr>
                <w:rFonts w:hint="default" w:ascii="Times New Roman" w:hAnsi="Times New Roman" w:cs="Times New Roman"/>
                <w:color w:val="auto"/>
                <w:spacing w:val="-6"/>
                <w:sz w:val="24"/>
                <w:szCs w:val="24"/>
              </w:rPr>
              <w:t>用地（用海）</w:t>
            </w:r>
          </w:p>
          <w:p w14:paraId="165DB1A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面积（m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w:t>
            </w:r>
          </w:p>
        </w:tc>
        <w:tc>
          <w:tcPr>
            <w:tcW w:w="3394" w:type="dxa"/>
            <w:noWrap w:val="0"/>
            <w:vAlign w:val="center"/>
          </w:tcPr>
          <w:p w14:paraId="384CA3A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555</w:t>
            </w:r>
          </w:p>
        </w:tc>
      </w:tr>
      <w:tr w14:paraId="35C8DF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828" w:type="dxa"/>
            <w:gridSpan w:val="2"/>
            <w:noWrap w:val="0"/>
            <w:vAlign w:val="center"/>
          </w:tcPr>
          <w:p w14:paraId="7BEF460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专项评价设置情况</w:t>
            </w:r>
          </w:p>
        </w:tc>
        <w:tc>
          <w:tcPr>
            <w:tcW w:w="7478" w:type="dxa"/>
            <w:gridSpan w:val="3"/>
            <w:noWrap w:val="0"/>
            <w:vAlign w:val="center"/>
          </w:tcPr>
          <w:p w14:paraId="4A42421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无</w:t>
            </w:r>
          </w:p>
        </w:tc>
      </w:tr>
      <w:tr w14:paraId="18505C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828" w:type="dxa"/>
            <w:gridSpan w:val="2"/>
            <w:noWrap w:val="0"/>
            <w:vAlign w:val="center"/>
          </w:tcPr>
          <w:p w14:paraId="390BD14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规划情况</w:t>
            </w:r>
          </w:p>
        </w:tc>
        <w:tc>
          <w:tcPr>
            <w:tcW w:w="7478" w:type="dxa"/>
            <w:gridSpan w:val="3"/>
            <w:noWrap w:val="0"/>
            <w:vAlign w:val="center"/>
          </w:tcPr>
          <w:p w14:paraId="3F181E1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rPr>
              <w:t>无</w:t>
            </w:r>
          </w:p>
        </w:tc>
      </w:tr>
      <w:tr w14:paraId="2FE83A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1828" w:type="dxa"/>
            <w:gridSpan w:val="2"/>
            <w:noWrap w:val="0"/>
            <w:vAlign w:val="center"/>
          </w:tcPr>
          <w:p w14:paraId="141170B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规划环境影响</w:t>
            </w:r>
          </w:p>
          <w:p w14:paraId="4E05483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评价情况</w:t>
            </w:r>
          </w:p>
        </w:tc>
        <w:tc>
          <w:tcPr>
            <w:tcW w:w="7478" w:type="dxa"/>
            <w:gridSpan w:val="3"/>
            <w:noWrap w:val="0"/>
            <w:vAlign w:val="center"/>
          </w:tcPr>
          <w:p w14:paraId="3B2B005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无</w:t>
            </w:r>
          </w:p>
        </w:tc>
      </w:tr>
      <w:tr w14:paraId="7CAA88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1828" w:type="dxa"/>
            <w:gridSpan w:val="2"/>
            <w:noWrap w:val="0"/>
            <w:vAlign w:val="center"/>
          </w:tcPr>
          <w:p w14:paraId="62A2506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规划及规划环境影响评价符合性分析</w:t>
            </w:r>
          </w:p>
        </w:tc>
        <w:tc>
          <w:tcPr>
            <w:tcW w:w="7478" w:type="dxa"/>
            <w:gridSpan w:val="3"/>
            <w:noWrap w:val="0"/>
            <w:vAlign w:val="center"/>
          </w:tcPr>
          <w:p w14:paraId="7BC743E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4"/>
                <w:szCs w:val="24"/>
                <w:lang w:eastAsia="zh-CN"/>
              </w:rPr>
            </w:pPr>
            <w:r>
              <w:rPr>
                <w:rFonts w:hint="default" w:ascii="Times New Roman" w:hAnsi="Times New Roman" w:cs="Times New Roman"/>
                <w:color w:val="auto"/>
                <w:kern w:val="0"/>
                <w:sz w:val="24"/>
                <w:szCs w:val="24"/>
              </w:rPr>
              <w:t>无</w:t>
            </w:r>
          </w:p>
        </w:tc>
      </w:tr>
      <w:tr w14:paraId="623798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5" w:type="dxa"/>
            <w:noWrap w:val="0"/>
            <w:vAlign w:val="center"/>
          </w:tcPr>
          <w:p w14:paraId="358E55A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 w:val="24"/>
                <w:szCs w:val="24"/>
              </w:rPr>
              <w:t>其他符合性分析</w:t>
            </w:r>
          </w:p>
        </w:tc>
        <w:tc>
          <w:tcPr>
            <w:tcW w:w="8521" w:type="dxa"/>
            <w:gridSpan w:val="4"/>
            <w:noWrap w:val="0"/>
            <w:vAlign w:val="center"/>
          </w:tcPr>
          <w:p w14:paraId="60E85A3A">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Cs/>
                <w:color w:val="auto"/>
                <w:sz w:val="24"/>
                <w:szCs w:val="24"/>
              </w:rPr>
            </w:pPr>
            <w:r>
              <w:rPr>
                <w:rFonts w:hint="default" w:ascii="Times New Roman" w:hAnsi="Times New Roman" w:cs="Times New Roman"/>
                <w:b/>
                <w:bCs w:val="0"/>
                <w:color w:val="auto"/>
                <w:sz w:val="24"/>
                <w:szCs w:val="24"/>
              </w:rPr>
              <w:t>1.项目与</w:t>
            </w:r>
            <w:r>
              <w:rPr>
                <w:rFonts w:hint="default" w:ascii="Times New Roman" w:hAnsi="Times New Roman" w:cs="Times New Roman"/>
                <w:b/>
                <w:bCs w:val="0"/>
                <w:color w:val="auto"/>
                <w:sz w:val="24"/>
                <w:szCs w:val="24"/>
                <w:lang w:eastAsia="zh-CN"/>
              </w:rPr>
              <w:t>“</w:t>
            </w:r>
            <w:r>
              <w:rPr>
                <w:rFonts w:hint="default" w:ascii="Times New Roman" w:hAnsi="Times New Roman" w:cs="Times New Roman"/>
                <w:b/>
                <w:bCs w:val="0"/>
                <w:color w:val="auto"/>
                <w:sz w:val="24"/>
                <w:szCs w:val="24"/>
              </w:rPr>
              <w:t>三线一单</w:t>
            </w:r>
            <w:r>
              <w:rPr>
                <w:rFonts w:hint="default" w:ascii="Times New Roman" w:hAnsi="Times New Roman" w:cs="Times New Roman"/>
                <w:b/>
                <w:bCs w:val="0"/>
                <w:color w:val="auto"/>
                <w:sz w:val="24"/>
                <w:szCs w:val="24"/>
                <w:lang w:eastAsia="zh-CN"/>
              </w:rPr>
              <w:t>”</w:t>
            </w:r>
            <w:r>
              <w:rPr>
                <w:rFonts w:hint="default" w:ascii="Times New Roman" w:hAnsi="Times New Roman" w:cs="Times New Roman"/>
                <w:b/>
                <w:bCs w:val="0"/>
                <w:color w:val="auto"/>
                <w:sz w:val="24"/>
                <w:szCs w:val="24"/>
              </w:rPr>
              <w:t>相符性分析</w:t>
            </w:r>
          </w:p>
          <w:p w14:paraId="1BBB32AD">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根据《2023年陕西省生态环境分区管控成果动态更新实施方案》（陕区环办〔2023〕2号）、《2023年宝鸡市生态环境分区管控调整方案》（宝区环办〔2024〕1号）及《陕西省“三线一单”生态环境分区管控应用技术指南：环境影响评价（试行）》（陕环办发〔2022〕76 号）的通知，以及本项目在陕西省“三线一单”数据应用管理平台对比分析报告，本项目位于宝鸡市生态环境管控单元中的重点管控单元。对照分析结果，论证建设的符合性。本项目采用陕西省“三线一单”数据应用系统平台查询后，具体数据及符合性分析如下：</w:t>
            </w:r>
          </w:p>
          <w:p w14:paraId="7E73A1CC">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aps w:val="0"/>
                <w:smallCaps w:val="0"/>
                <w:color w:val="auto"/>
                <w:spacing w:val="0"/>
                <w:w w:val="100"/>
                <w:sz w:val="24"/>
                <w:szCs w:val="24"/>
                <w:lang w:val="en-US" w:eastAsia="zh-CN"/>
              </w:rPr>
            </w:pPr>
            <w:r>
              <w:rPr>
                <w:rFonts w:hint="default" w:ascii="Times New Roman" w:hAnsi="Times New Roman" w:cs="Times New Roman"/>
                <w:caps w:val="0"/>
                <w:smallCaps w:val="0"/>
                <w:color w:val="auto"/>
                <w:spacing w:val="0"/>
                <w:w w:val="100"/>
                <w:sz w:val="24"/>
                <w:szCs w:val="24"/>
                <w:lang w:val="en-US" w:eastAsia="zh-CN"/>
              </w:rPr>
              <w:t>（1）一图：建设项目与环境管控单元对照分析示意图</w:t>
            </w:r>
          </w:p>
          <w:p w14:paraId="01C174DE">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aps w:val="0"/>
                <w:smallCaps w:val="0"/>
                <w:color w:val="auto"/>
                <w:spacing w:val="0"/>
                <w:w w:val="100"/>
                <w:sz w:val="21"/>
                <w:szCs w:val="21"/>
                <w:lang w:val="en-US" w:eastAsia="zh-CN"/>
              </w:rPr>
            </w:pPr>
            <w:r>
              <w:rPr>
                <w:rFonts w:hint="default" w:ascii="Times New Roman" w:hAnsi="Times New Roman" w:cs="Times New Roman"/>
                <w:caps w:val="0"/>
                <w:smallCaps w:val="0"/>
                <w:color w:val="auto"/>
                <w:spacing w:val="0"/>
                <w:w w:val="100"/>
                <w:sz w:val="24"/>
                <w:szCs w:val="24"/>
                <w:lang w:val="en-US" w:eastAsia="zh-CN"/>
              </w:rPr>
              <w:t>本项目通过陕西省“三线一单”数据应用分析平台（V1.0）冲突分析，形成对照分析示意图，由图可知项目建设范围全部位于生态环境管控的重点管控单元，管控单元对照分析示意图见下图：</w:t>
            </w:r>
          </w:p>
          <w:p w14:paraId="0EAF5F51">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rPr>
              <mc:AlternateContent>
                <mc:Choice Requires="wps">
                  <w:drawing>
                    <wp:anchor distT="0" distB="0" distL="114300" distR="114300" simplePos="0" relativeHeight="251663360" behindDoc="0" locked="0" layoutInCell="1" allowOverlap="1">
                      <wp:simplePos x="0" y="0"/>
                      <wp:positionH relativeFrom="column">
                        <wp:posOffset>2205355</wp:posOffset>
                      </wp:positionH>
                      <wp:positionV relativeFrom="paragraph">
                        <wp:posOffset>1132840</wp:posOffset>
                      </wp:positionV>
                      <wp:extent cx="799465" cy="304165"/>
                      <wp:effectExtent l="5080" t="4445" r="452755" b="15240"/>
                      <wp:wrapNone/>
                      <wp:docPr id="120" name="圆角矩形标注 120"/>
                      <wp:cNvGraphicFramePr/>
                      <a:graphic xmlns:a="http://schemas.openxmlformats.org/drawingml/2006/main">
                        <a:graphicData uri="http://schemas.microsoft.com/office/word/2010/wordprocessingShape">
                          <wps:wsp>
                            <wps:cNvSpPr/>
                            <wps:spPr>
                              <a:xfrm>
                                <a:off x="4975225" y="1579880"/>
                                <a:ext cx="799465" cy="304165"/>
                              </a:xfrm>
                              <a:prstGeom prst="wedgeRoundRectCallout">
                                <a:avLst>
                                  <a:gd name="adj1" fmla="val 105440"/>
                                  <a:gd name="adj2" fmla="val -43945"/>
                                  <a:gd name="adj3" fmla="val 16667"/>
                                </a:avLst>
                              </a:prstGeom>
                              <a:solidFill>
                                <a:schemeClr val="bg1"/>
                              </a:solid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D3969CD">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73.65pt;margin-top:89.2pt;height:23.95pt;width:62.95pt;z-index:251663360;v-text-anchor:middle;mso-width-relative:page;mso-height-relative:page;" fillcolor="#FFFFFF [3212]" filled="t" stroked="t" coordsize="21600,21600" o:gfxdata="UEsDBAoAAAAAAIdO4kAAAAAAAAAAAAAAAAAEAAAAZHJzL1BLAwQUAAAACACHTuJAAIiOadkAAAAL&#10;AQAADwAAAGRycy9kb3ducmV2LnhtbE2PTUvDQBCG74L/YRnBm900CW1Js+lBKKigYJVib5vsmA1m&#10;Z2N229R/73iqx5n34f0oN2fXixOOofOkYD5LQCA13nTUKnh/296tQISoyejeEyr4wQCb6vqq1IXx&#10;E73iaRdbwSYUCq3AxjgUUobGotNh5gck1j796HTkc2ylGfXE5q6XaZIspNMdcYLVA95bbL52R8ch&#10;bf1Nj+Zg7cfLU77f2ulh/9wqdXszT9YgIp7jBYa/+lwdKu5U+yOZIHoFWb7MGGVhucpBMMGPFESt&#10;IE0XGciqlP83VL9QSwMEFAAAAAgAh07iQM2NWNPJAgAAigUAAA4AAABkcnMvZTJvRG9jLnhtbK1U&#10;zW4TMRC+I/EOlu/t5meTNFE3VZQoCKmiVQvi7Hi9P8h/2N5sygPAnTMSiAtw5szjtPAYjL3bdlt6&#10;6IEcNuOd2W+++WY8h0c7wdGWGVsqmeD+fg8jJqlKS5kn+NXL9d4BRtYRmRKuJEvwBbP4aP70yWGt&#10;Z2ygCsVTZhCASDurdYIL5/QsiiwtmCB2X2kmwZkpI4iDo8mj1JAa0AWPBr3eOKqVSbVRlFkLb1eN&#10;E7eI5jGAKstKylaKVoJJ16AaxomDkmxRaovngW2WMepOsswyh3iCoVIXnpAE7I1/RvNDMssN0UVJ&#10;WwrkMRTu1SRIKSHpDdSKOIIqU/4DJUpqlFWZ26dKRE0hQRGoot+7p815QTQLtYDUVt+Ibv8fLH2x&#10;PTWoTGESBqCJJAJafvnp/Z9vH39//nH56+vVlw9XP78j7wWtam1n8Mm5PjXtyYLpC99lRvh/KAnt&#10;EhxPJ6PBYITRBSCPJtODg1ZrtnOIQsBkOo3H4KcQMOzFfbABMboF0sa6Z0wJ5I0E1yzN2ZmqZHoG&#10;TV0SzlXlguRke2xd0D5t+ZP0TR+jTHBo5ZZw1O+N4vi6152gQTdoLx5O40ACutgJGnaD+uPxeNIS&#10;bfMC5WuqnoRVvEzXJefhYPLNkhsEJBK8Dr/24zthXKI6wePhCDpACdypDGYZTKGhL1bmGBGew2Wl&#10;zoSK73xsuzl64fdQDs9xRWzRcAkIbRiXoLtvbNNKb7ndZtf2d6PSC5gQo5qrYzVdlwB1TKw7JQYE&#10;Bs6wTdwJPDKuoA7VWhgVyrx76L2PhxEGL0Y13D0o8m1FDMOIP5cw3NO+bxdy4RCPJn4yTdez6Xpk&#10;JZYK9IWWA7tg+njHr83MKPEals7CZwUXkRRyN3K2h6VrdgKsLcoWixAGF1QTdyzPNfXgvp9SLSqn&#10;stL5UfVCNeq0B7iiYYLbdeJ3QPccom5X6Pw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AIiOadkA&#10;AAALAQAADwAAAAAAAAABACAAAAAiAAAAZHJzL2Rvd25yZXYueG1sUEsBAhQAFAAAAAgAh07iQM2N&#10;WNPJAgAAigUAAA4AAAAAAAAAAQAgAAAAKAEAAGRycy9lMm9Eb2MueG1sUEsFBgAAAAAGAAYAWQEA&#10;AGMGAAAAAA==&#10;" adj="33575,1308,14400">
                      <v:fill on="t" focussize="0,0"/>
                      <v:stroke weight="0.5pt" color="#000000 [3213]" joinstyle="round"/>
                      <v:imagedata o:title=""/>
                      <o:lock v:ext="edit" aspectratio="f"/>
                      <v:textbox>
                        <w:txbxContent>
                          <w:p w14:paraId="4D3969CD">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项目位置</w:t>
                            </w:r>
                          </w:p>
                        </w:txbxContent>
                      </v:textbox>
                    </v:shape>
                  </w:pict>
                </mc:Fallback>
              </mc:AlternateContent>
            </w:r>
            <w:r>
              <w:rPr>
                <w:rFonts w:hint="default" w:ascii="Times New Roman" w:hAnsi="Times New Roman" w:cs="Times New Roman"/>
                <w:color w:val="auto"/>
                <w:sz w:val="21"/>
              </w:rPr>
              <mc:AlternateContent>
                <mc:Choice Requires="wpg">
                  <w:drawing>
                    <wp:anchor distT="0" distB="0" distL="114300" distR="114300" simplePos="0" relativeHeight="251664384" behindDoc="0" locked="0" layoutInCell="1" allowOverlap="1">
                      <wp:simplePos x="0" y="0"/>
                      <wp:positionH relativeFrom="column">
                        <wp:posOffset>4319270</wp:posOffset>
                      </wp:positionH>
                      <wp:positionV relativeFrom="paragraph">
                        <wp:posOffset>40640</wp:posOffset>
                      </wp:positionV>
                      <wp:extent cx="933450" cy="3359785"/>
                      <wp:effectExtent l="0" t="0" r="0" b="12065"/>
                      <wp:wrapNone/>
                      <wp:docPr id="2" name="组合 2"/>
                      <wp:cNvGraphicFramePr/>
                      <a:graphic xmlns:a="http://schemas.openxmlformats.org/drawingml/2006/main">
                        <a:graphicData uri="http://schemas.microsoft.com/office/word/2010/wordprocessingGroup">
                          <wpg:wgp>
                            <wpg:cNvGrpSpPr/>
                            <wpg:grpSpPr>
                              <a:xfrm>
                                <a:off x="0" y="0"/>
                                <a:ext cx="933450" cy="3359785"/>
                                <a:chOff x="8878" y="38829"/>
                                <a:chExt cx="1470" cy="5291"/>
                              </a:xfrm>
                            </wpg:grpSpPr>
                            <pic:pic xmlns:pic="http://schemas.openxmlformats.org/drawingml/2006/picture">
                              <pic:nvPicPr>
                                <pic:cNvPr id="27" name="图片 3" descr="517c7c2a-57f2-4b7c-95d4-2952c27297e4"/>
                                <pic:cNvPicPr>
                                  <a:picLocks noChangeAspect="1"/>
                                </pic:cNvPicPr>
                              </pic:nvPicPr>
                              <pic:blipFill>
                                <a:blip r:embed="rId9"/>
                                <a:stretch>
                                  <a:fillRect/>
                                </a:stretch>
                              </pic:blipFill>
                              <pic:spPr>
                                <a:xfrm>
                                  <a:off x="9702" y="38829"/>
                                  <a:ext cx="641" cy="651"/>
                                </a:xfrm>
                                <a:prstGeom prst="rect">
                                  <a:avLst/>
                                </a:prstGeom>
                                <a:noFill/>
                                <a:ln>
                                  <a:noFill/>
                                </a:ln>
                              </pic:spPr>
                            </pic:pic>
                            <pic:pic xmlns:pic="http://schemas.openxmlformats.org/drawingml/2006/picture">
                              <pic:nvPicPr>
                                <pic:cNvPr id="1" name="图片 3"/>
                                <pic:cNvPicPr>
                                  <a:picLocks noChangeAspect="1"/>
                                </pic:cNvPicPr>
                              </pic:nvPicPr>
                              <pic:blipFill>
                                <a:blip r:embed="rId10"/>
                                <a:stretch>
                                  <a:fillRect/>
                                </a:stretch>
                              </pic:blipFill>
                              <pic:spPr>
                                <a:xfrm>
                                  <a:off x="8878" y="43205"/>
                                  <a:ext cx="1470" cy="915"/>
                                </a:xfrm>
                                <a:prstGeom prst="rect">
                                  <a:avLst/>
                                </a:prstGeom>
                                <a:noFill/>
                                <a:ln>
                                  <a:noFill/>
                                </a:ln>
                              </pic:spPr>
                            </pic:pic>
                          </wpg:wgp>
                        </a:graphicData>
                      </a:graphic>
                    </wp:anchor>
                  </w:drawing>
                </mc:Choice>
                <mc:Fallback>
                  <w:pict>
                    <v:group id="_x0000_s1026" o:spid="_x0000_s1026" o:spt="203" style="position:absolute;left:0pt;margin-left:340.1pt;margin-top:3.2pt;height:264.55pt;width:73.5pt;z-index:251664384;mso-width-relative:page;mso-height-relative:page;" coordorigin="8878,38829" coordsize="1470,5291" o:gfxdata="UEsDBAoAAAAAAIdO4kAAAAAAAAAAAAAAAAAEAAAAZHJzL1BLAwQUAAAACACHTuJArsSoYNkAAAAJ&#10;AQAADwAAAGRycy9kb3ducmV2LnhtbE2PQUvDQBCF74L/YRnBm91NampIsylS1FMRbAXpbZtMk9Ds&#10;bMhuk/bfO57sbR7v8eZ7+epiOzHi4FtHGqKZAoFUuqqlWsP37v0pBeGDocp0jlDDFT2sivu73GSV&#10;m+gLx22oBZeQz4yGJoQ+k9KXDVrjZ65HYu/oBmsCy6GW1WAmLredjJVaSGta4g+N6XHdYHnanq2G&#10;j8lMr/Pobdycjuvrfpd8/mwi1PrxIVJLEAEv4T8Mf/iMDgUzHdyZKi86DYtUxRzl4xkE+2n8wvqg&#10;IZknCcgil7cLil9QSwMEFAAAAAgAh07iQLmjZrioAgAAjAcAAA4AAABkcnMvZTJvRG9jLnhtbNVV&#10;3W7TMBS+R+IdLN93adJkaaK2E2JsQpqg4ucBXMdJLBLbst2f3SMBd9zzKEi8zbTX4NhJs3VDYkID&#10;iYumxz728Xe+8/l4drJrG7Rh2nAp5jg8GmPEBJUFF9Ucv393NppiZCwRBWmkYHN8yQw+WTx9Mtuq&#10;nEWylk3BNIIgwuRbNce1tSoPAkNr1hJzJBUT4CylbomFoa6CQpMtRG+bIBqPj4Ot1IXSkjJjYPa0&#10;c+I+on5IQFmWnLJTSdctE7aLqllDLKRkaq4MXni0ZcmofV2WhlnUzDFkav0XDgF75b7BYkbyShNV&#10;c9pDIA+BcCenlnABhw6hToklaK35vVAtp1oaWdojKtugS8QzAlmE4zvcnGu5Vj6XKt9WaiAdCnWH&#10;9T8OS19tlhrxYo4jjARpoeDX3z9eff2MIsfNVlU5LDnX6q1a6n6i6kYu3V2pW/cPiaCdZ/VyYJXt&#10;LKIwmU0mcQJ8U3BNJkmWTpOOdlpDbdy26TQF0Tn3dBple+eLfn8Yp/3uJMpC5w32BwcO3wBHcZrD&#10;r6cJrHs0/V6csMuuNQPSXTSxWXK61N3gFlXpnqurbz+uv3xCE4wKZijoKglTmtKIjJK0jEbxKqWj&#10;LCniUZQlEY3SKEtZ7FJw0V3ALjxxuC8k/WCQkM9rIir2zCgQL1xQn/Dh8sAND7CtGq7OeNO4Wjj7&#10;cW8T0jlrVwxEol8WHhDJjdXM0todWMLBbwBsV5nB4VHeAHOYDYjoF7LJ0jGo77D+e/Ucx2EnnePk&#10;sPbAmTb2nMkWOQOwAQSoG8nJ5sL0YPZL3LSQjiEASfJGHEyAntyMB9xB9CYg7goFxt8XFaTZ3b9B&#10;U/+1THz7eFyZDG0inkTjvofsZXLTJLLQu4Ye8Y904lsRNGnfnfoHxb0Ct8dg335EFz8BUEsDBAoA&#10;AAAAAIdO4kAAAAAAAAAAAAAAAAAKAAAAZHJzL21lZGlhL1BLAwQUAAAACACHTuJAbd6DTbQYAACv&#10;GAAAFAAAAGRycy9tZWRpYS9pbWFnZTEucG5nAa8YUOeJUE5HDQoaCgAAAA1JSERSAAAAVAAAAFUI&#10;AgAAAFhVVDMAAAAJcEhZcwAADsQAAA7EAZUrDhsAABhhSURBVHic7Xz3d9vXke+d+/2iN4IgCTYA&#10;rOq2SBVLlmiry7G8URyv7TgusuP18Xtn/4r8H5s9eS+bOF7HlmIrUWxJkVUs2xJVTIkWG0ACJAoJ&#10;guj1W+7sD18ALBIpkJKweWWODqlD3Pa5M3dm7sxcACKSJ0zlKRAREQEAAJZro1C5Qfk/SoP7O66B&#10;8vl8f3+/xWKBKoAnhDDGIpGIz+cTRZHnuFaHo7GxsYxEFEWP25NKJhkyoNRqtbpcLrVa/Vig3k+I&#10;GI1Gb9++zT+J0R84XzKZHBkZ6b923e/3Hzx86MSJEyaTSflUluXpUGhwcHDM7e5e193T09PS0qJS&#10;qZ4QeACwWq29vb1VAk8pdTqdJpMpPDNz/fq1K5cu7d69q6enl1IKABqNZuczOy01Fp7n9x3Y73Q6&#10;dTrdE0JeXo/NZqNPboKFBAAqlcpisdTXN3R1dweD/ktfX4jHY2UtoDcYaqw1FmuN1Wo1GAwKcuXT&#10;J7eqKoEvY9DqtAcO7G9qtF/77juPe0yWJLIIXVGr3a/wngRVA/xCbU8Jtrmc+/btDwWDVy9fyWYz&#10;SNgCsE+W1UuoSpyf5yESnUa7p+85V3v7xYsX3e6xBWhxwU/yQIv4eKka4MswQNkCoG3t7Xv7+pKp&#10;1Pnz5zOZTInhUPpXJaoe5wkhBIAAIIBeb3h2T1+rw3H9+vfDw/dkmVUfebXBY0mmKaWdXV3P79sX&#10;jUXPnz8XjUYQlQ9ZNddTXc4jEiyeAp1O99zzzzU1NvVf7x8aGpJlCREJlvenGlQ98Dhvt0BRBA6H&#10;8+DBw7ORyLffXk0mk0Tx3u/z858cVVfscV6fAxCtVtPX19fZ0fnNN9+MjIzIrKoyX23wiq2D0tmn&#10;lGttdezbty+VTJ4/fy6TSQNA9YS+qnZeQTx/qoEQ0OkNzzyzq6Ojs//6dffYWDU9nP8GzsNiY0Yp&#10;bWvv2Lu3L5vNnj17NhaN/d9r50kZ2rxW1+v1+/fvdzpddwbu+ianqrmWKvn2RXkGwPtONQA4nK4D&#10;Bw7xHC8WBCAA1WJ+9TjPGJMkSZQkUZJkmZXDUsptd+/evevWryeEEIJVE/xqBDMAgDE2Ozs7Ojo6&#10;PDw8MzNtNJrb29stFovyKaW0uaX5yAtHR0dGqrCeMlUvjJVIJAKBgM1mo5QGAgG73W42mwFACWZo&#10;tdq9e/e2tLToDYbqLIkQUqUAJiIWCoV8Pl+81VOq0+l4ni/e9gAQUZZlSZJUKhXHcVVYUlXBLwnL&#10;lOctR6zm1/SEr/HzE1XZr/iHoqrb+X8k+v/g/1+lKpm6ojOLgGSB5kMkSHCBdgMAgvPe/WPMzz2Q&#10;nojCu39MZEyUpEIhn8vmEvF4NBZLJZP5XF6SRKBErdEYjSar1Wq1Wg1Go1arU6vVlM5LJRAg8Pj3&#10;4klpe2VYxpgoitFoNOj3ezwez+hYMDAVmQ0nkkmxIMqyLDMJCOF4XqVSGwzGGqu1qampvbOza906&#10;h8tlt9t1Ot3CXfg/Bnw2kw34p27fvn3rxg2PZywSns1nsrIsITIZGSVAKS1e8ZEwJEAAACjHabVa&#10;s7Wmtc3V09O7bdu2zq6uGqv1SXg+jx88Iubz+XGP59tvrn539eqEx5NOJ2UmAQEOqIrjtBqtRqsV&#10;JCGZSjFEQGIwGHVGYyFfEPJ5URBkhoiMUKLVapubm3u379x/4MDGLZvNFjOl3D8E5xWffEl3SRID&#10;Af/ly5fP/e2rseFhQRCAAMdRg1HfYLe7XG1Ol6u1tdVksly5cuns2S9z+RzIpHfb9ldef51SGgoG&#10;JycnfeMTwWAgHo9KgkCAUso1N7f07Xv+wJEjGzdt0uv1ZY/4ETficWr7XC53+9bN05+fuvb994lo&#10;DJDwKrWtvu6pp57euq13w8YNzc0tRqNJo9XE4/GLVy6KokgQGWIqlWrv6Oha1y0KQjabjczOjo+P&#10;370zcONG/5RvShLEgN//xalTg4ODx44fP3z4iNVqVWz0I+JfO/iFbGeMpZLJi3+/8Mkf/zgxPiaK&#10;Ak+pra6+d/uOQy8c3bBxo9Vaq9ZoKKUABBGjc1G/b5KJEiWAQGamQ4GAv3t9t06v0+l1trq6zu51&#10;u/fsOeg5cuXyle++/TY4OZXP5e/dHZwJh0Oh0PGfHXc4nBzHPSL/uV//+tdrxl9GPh2aPvXpJx//&#10;/j+mfD4ZZZ3JtHPX7hPvvffaG6+v37DebDHzKlXpuAJj7M7AwLkzf8uk04QSABAEwd7c3Lttm0ql&#10;BqJoPU6n0zc1Nff09m7evIUQiM7N5bOZTCo1PDIcDocbG5tstloOKHmEfOYjib0SpZiZnv7Txx//&#10;9Ys/x6NzQDl7c8vhF144duyljo5OjqPlpqUfRBQE34Q3FosTUCK6yAiODA9nM1m93lBKaRAlvKnX&#10;67f2bG1pad6wYcOZ03++NzgoZDOXL3ydy+Q++PDDTVs283TtENbIecVfQ4Zzkbk/f/bZqT/9KR6N&#10;UoC2zs633z1x/Gcvt7Q4OI6HBVSGFI/HT39xemToHkcIVUJ7BJDgM7t3N9gbgQDQ+coEpadOr3e1&#10;udo6OmKJeNAfkEUpPDMdnYs6XE6bzQZASkng1dEjcB4xHo+fPPnpyT/9ZzIepTzduHnL+x9+uPOZ&#10;Z7Q6HaWKWV7ouxY9n+hc1O0eBcKgqLWAAMbjsZHhoU2bt/C8aklHJc9lMBp7t++w1NQYDcYrX1/M&#10;ZtLfXr2i0qh+9cEHHZ2KiNHVyv/aLzb5XP7ixa9Pf35qbi5MObr5qad/9eH/2P3sHp1eD7DssLIs&#10;+7zemVCAKyZuUAnli6I4OjqazWYWRrUXEgBwHNfZ1XXi/ff3Hz6sMejzYv7Spa9PnTwZi0XXZrDX&#10;CB4ZGx0d/fyzz6YDAULB2d7+izff3rFzp0qtXk78lPWJgjA6MlLI54pcAqLsAJNk34Q3EomskKUF&#10;AEq5jo7ON995Z+fuZznK5TLZs19+deXS5UJBWEMB01rAI8FweOb056eG7w0iQ5ut/tU33uh7/rnl&#10;68fmmRmPx0fHRggCobSk7wghBGUWnp4OTvmZvDRduaQ+heP5zq6uE+++u2nTUxxwibnIn09+eu/H&#10;QVmSVgtk1eARUcgXrn3//ZXLlwpiQaVV7z906MjRowaDgQItVV8s29fvn5qa8iFBQgAVf77UPBFP&#10;TIyPC4KwAvOUXeA4buPGTa+89lpTcwsiusfGzp09G41GkazO5q+F88Fg8ML585HZWQp085anX/qn&#10;4xaLtZxoUUoMFotfsd5ElmSv1xuLRpExgkiAICCv4nU6HQDJZrMTnvFMOrPy7ErCT63R7N6z5/kD&#10;+7V6nZAvfH/16t27d2VJfrJiXygUrl+7dndgAGW02RpePHasq7sbFt86l5s/k8m4R8dy6SwgIahE&#10;MUBr0Le4XGqdTmayz+ebm4usDAARFQ7X1tYePvpCZ/c6QiAUCF26cCEei60Ky+rAI2IkHL566VIy&#10;FuMpv7V3245ndmm1moeKWtHIxeYmxt2yKCiZakV98GpV57ouo8mEiMFgMBgIYGVVCjzPr9+4Yf/B&#10;gzq9XpKEmzf6h4eGGK6iwqFS8GVFOnTv3sjwEMqy2WLeu7fPbm9UzPXCmskH7gVjLBQMzIRCykBK&#10;jYLSweVy1dfV8cAlY/FJr0+UxBVWsnB4nU63t+85h9MJQGemp2/d7M9lHnJq1gJemTKXzd7ov56I&#10;x4BCe2fH1t4ejUZDgJa8VyjfNBbvAAIQWZbGPZ5YLKb4NWUzRxCttbVtbR2Uo6IojI2MKMd+BeFf&#10;6Dc6nI6dz+ziVWoms4Fbt2dmpis/9qvgvKLqhoeGRFHSaHVbe7c1N7cgWVo+9yDGAyLJZrMe91gu&#10;nyWwKFONSDhetXHzFp5XIWFj7rHo3JwyXQUwUKPR7Ny1q9ZWC0CmfJOjQyOSuJLgrAW84pxNTk7O&#10;zIQJAYu1dstTT6s1aqg4mx6JRLxeryRJhBBa9OtA2RhKaPe69WarlRAaDofLzSrAD0Cpw+Vs72wH&#10;wEw67R4dLeTzFXo7qwCfz+fHPWPJVByANTc3udraKr9MImIgEAgGgxQJLaok5eATQEII1DfaWx1O&#10;QiCbzYyMjAiCUNnAAECt1tp169er1GpRkia83kQiWSGiVYHP+f1+QchTnjrbnBarpfK+giB43J54&#10;NAYIBBe57whAgBiNxg0bN1GelyU2OjKaSiaXe42zhIAQrVbrams3GEyIGAgF52LRCiMcqwCfzeQi&#10;kYgsyyqVurnFodXqirUmFfRNp1LusTFREEr2XSm2JAwIA0SCWq2mu7vLaDIRRgJTU8FgAJGRylQX&#10;x1G7vdFkMhNCkolEPBarUGWsQuGl06lELI6Iaq22oaFBpVLung8Hj8gikYhvYhwQSwEMUq7DVorT&#10;OI5vaW1paKgHiolY1OedYExWbsEPxQBAbdZai9lMCMnlsrFYlDH2OM88ImYymUwmg0i0Wq25pkYJ&#10;yCmRqZXrZSVJ9k14Z6enKZTKL8vrRkKVSnQKDXa7w+kADrK59OjoiDJXJaTc9s0WC1AQRDGeSMiy&#10;XEl6YxXgC/mCKIoUQK1R67TaJdOv0FcQhPFxTyqdYvO7tKg9EEIJmC1mV3ubWq0WJWFifDwei1f4&#10;5AAAVGq1RqdFQEmWMpk0InvMZ57JMjIEAjzllMip8veHClgymZiY8BREARUxud86IiGEaLW6to4O&#10;vdHIGJkOTk+HQhVKLyISIJSnSBAZSpJUoZ+zGt9+PrNKyq9hllMtC6PaM9PTPu8EyjLHlr4nKHu4&#10;BAjPc22utrq6BoI0Ho2Nu92yLMHDztSC1QEhFGg5mIULJngwVezeEsJxPKVAEGVJliSp5KYgAD5Q&#10;xBT8siz5fN5wOEwf9JICARhQJEAIAmBjo93pcHKEZDMZ95gnl8vj/G6vRIyhIEpICAWqUamg7Dmv&#10;2LdizgNotBqNWgOA+UI+m8vNP4p5cHMoF2GNjYxm0xkCUCy4XqC/AQmUig4RwFxj7ejs4NS8LIs+&#10;73g0EqlsaSAIQi6bI4xwlOoNBlrZy7RVXGyMBqPRZAQAoZBPxuOMMVKMW8ADj5gycSqVco+OSqKE&#10;QIoKb0GoB0rRa6U0VcXz3evXG0xGAmQ6FAoGAhWe+XQ6lU4mCUO1SmUxmynHIT7cCq8CvMlirrFa&#10;CZB8vhAKhcRCQbGxKyvkKd+kf8pf3qT7C6/LRxOAEELbOzqb7U2UcPF43O3xVOLnyrI8F4nEYzGC&#10;zKA31NbWLknpL0erAK/X6+saGijHi5IU8PtzudwK7bFEHrc7EY8DQUAABrBMYLr0C202m6u9gwDk&#10;8wX3mDuTTj90bbIsz0xPp1JJIKTGaq2xWiu8c6xC22u12lZHq0anJwz9vkklZrSyWGazmTH3WL6Q&#10;L2Vr7m+MiEySRESmjKTWaLo3rFdp1IjypM87F5ljbOXIHOZyOa/Xm89mOJ62OFpqbbYKEa0CvFqt&#10;7uzqslhqUCYBv989OorLx4yUvQ+Hw76JCSZJsIC5i4OckEmnb928OR2aZowhITzPd3Wvq7HVAkA4&#10;GPJOTCju2rLQEWdnw8ND9yRRUqs0XZ1dSknvYwavPANvbm5WLip3BwbyufwK0zDGAlP+2XB4qe5d&#10;2ANQEIQrly6dPPnZ3NwcYwwAGhsbW1pbCdBUKjU+7hEKKx17xph7bNTrHUcglpqaru5utVqNBEkF&#10;r3VWF8C0N9g3btzEq1WCKA7evTs1ObmcE4aIhUJ+Ynw8GY8BWeoIKMF6RginVlMVl06nvjxz5uxX&#10;XyaTCSRYY7V2tneqOJUgCBMeTyq10v08l8v3X7ueiMURSVtHe0dnJ8fxABQqgLY68GqNdueuXXUN&#10;9YSSCe/E9WvXioXUD2qcSafHx925bLak+4qirhBDrK2z/eSll9Zv3Mzz/Fxk9uOP/vD3c+ey6bRO&#10;p+vq6jYYDEyWfRMT4XB4uTOPyIaHh27duMlEplFrtu/YWd/QAPBAf+rRwCsmbf2GjU/39FKeT2VS&#10;31y5rDB/wWrmX4vPzkZ83klZkkpJKSybNARistYc//krH/7Pf33r7bfb2tsJkqA/8PFHH3337VXG&#10;pLaONqutFgkJR2anJifvP/aKa51MJr++cCE4My0TbHE4erZv0+p0UHFobdWh6xpLzZ69fTVWK2Ns&#10;aOje1W+uZrNZXIxfKZ4PBYMzoRDBBZacEALACGiNxoNHj/z05Z83Njbt6Xvu1Td+2WBvAgK+Ce8f&#10;f//R3Tt3bfX1Ta0tSEkmkx0rRkHm16AMKErS4J3B699fKwgFtVa7bceOto72J5iuQkSVWtXT27N9&#10;x3YVr0qlUufOfvXj3UFZlhdFHYAIguCdmIhHo8WO5Tg1oEqj7nt+3y/fesfhcFKOM5nNP3nx2D+/&#10;9lqt1UZkNnR38Pe/+10oGGxrb1PxvCyJY6MjqVRqoUwp2xAKBr488xe/z0sJcbW37Tu432Q0VRj8&#10;WR348pMIQojdbv/Ji8daHA5C0OMePfXZp+HpmZLfCkr9bCaTHhkZyheypBiyAwLAKBCO69m27Z0T&#10;73Z0dCp1hQBgMpmOv/zyC8deNJnNkizfvN7/+cmTWrXGaNATJk/5vH7/oidnSDCbzXx94e/ffnOl&#10;kM8Z9cZ9z+/ftHkzx3Grqs9YNecJITyv6unZduDQYZVaLYvite++++vp04l4vOy8IWIsGvWOj0Mx&#10;f1NaEIUNmzb/8q131q3fUCxggKL7U1tb+/NXX+07cECt1Qn5wnffXL3d389TShATsfiSx5ayLPdf&#10;u3765KnEXJQS2Nqz9fCRI4p5X9WztEprchbOTSlVazQ2my04FQhOTQmFQjAY1On1TpdTo1ErjW/2&#10;X//qzJeyoOQPkBAClLZ3db/73r/s3dun1mgW3AhAGdNoMjW3NM/OzgampoRCPjoXyefziCgjq2+w&#10;79i5Q6VWK+UNdwYGfvub34wMDREgTY7WX33wQU9vD8epAGhpqxVGPGQjKgV/X2kRmC0Ws9ni9U5E&#10;o5FUKumfmtLr9a0Op0ajYYz95Ysvfrh1kxBCShGlxubmE++/v//gIX3pm2AURpUXSCmttdkamxr9&#10;k5Ph2RlBEhGREmCIWr1u+84dNTVWQRAHfvjhf/3m3wdu3ZJk2WKz/fKtNw8eOqzT6efLl+Yt72MC&#10;/4CelKurr9PoNB63O5VMpJJJ76TPaDS1trYKhcKnn3wS8E/R0otpq8326uu/OPbT4yazuXyxW5Tb&#10;hCL/bXV1Vqt1wjsenYsotUgEgfK0p7fH3tD0ww8//O63v71944YoinqT8cWXjr38yj8rz9WA3I/8&#10;yYAvHn6VqrmpSafVusfGMulMKpnyuD2SKKVTya//fi4VTygLMprNx44ff/X1X9jq6ihQWMCjhaMV&#10;F8Rxtvp6o9E04ZlIxOPFfWKs0d4YCoV+/79/N3DrliSKWp3u8AtH33z77dbWVkppSXmUYoSVOTmP&#10;VHhMil96lfjyr3/9zz98NDU5RSiYzGZrjWU64BcFkVLQ6nVHj7301rvvOlodlHIEFvH8/gFLwYn0&#10;386c+e2//Vt4JkiB8JSzNzULghiemQVCjGbToaNHT7z3rsPpBArFZ7rLJseXpbWLffHcUqpWa5xO&#10;p9limQnPxOOxXC6XTMSZLAMQSumzfX3vvPcrV1s7pRRoKTm5hO1l1aeoayAajaapubmQz427RwUh&#10;z5BkkulcJguE1NbXH/vZT994802nywWUkqLiWEsR6qOWnxJCKIDZYnnhxRdr6+o++eMf7tz+oZAv&#10;AFCCjFepam21oiTlcjmdTscDt0QYi9xWLrelSmbGmCgI2Uy2xlJjNBiSqSQloHzTSHtXx09f+fmh&#10;I0ca7HYliETWUnpZWv/jemyAiKIoesc9fzv9l0sXLwYDU7IkEyA6g97Z3vHU01s3b9nS2dlZa7Pp&#10;dQaNRsNxizZCAZzL5ZKJxOTU5PDQ0J2BgdGhoWQ8JjMZgFrMNb3bth9/5eXtO3dqdVoAAEKXrfuq&#10;jB7nSwtERMZi0eidOwNfnTlz68bNWCwqyzJS4FW82WRubGx0tDqam1oaGhpMFotWq+V4DhEFQUil&#10;U5HI7HQoFPD7g4FgNBYr5AsEZQ6ozqDvWrfu0KEje5/ra3U4OJ4r5cgeie2PDXwxJYxEcbtlSQoF&#10;A7dv3rx8+cqPPw7GYjFRLDDGgBCeUjWvUqm1PK/ieZ7jOCRMYpIoiqIgCIIgizIiAAWO4w1GXXtH&#10;x7N7+/b09blcbYqDUMpvQgVezFrBlzXvEkWyOPVdvLDh4tdfyk1blqR4Iv7j4I83b9wYHroXCgbj&#10;iXihkJMlGRko4XoAQIKIMgClQJWsm8Fkbmio7+rs2rZj+9M9W+2NzRqNBu4LyD5Iwymzw/0PlZdA&#10;UP7+X55TH4SaSPFkAAAAAElFTkSuQmCCUEsDBBQAAAAIAIdO4kBJA/FNTwkAAEoJAAAUAAAAZHJz&#10;L21lZGlhL2ltYWdlMi5wbmcBSgm19olQTkcNChoKAAAADUlIRFIAAABiAAAAPQgCAAAA2R8rewAA&#10;AAlwSFlzAAAOxAAADsQBlSsOGwAACPxJREFUeJztm39IU+8exz+zJeaPtqQLK7u2+qclJVYmQ5ZM&#10;L4WQOov9MZJvHERCTWqWhXL9w2uUhoZDRIZN2T/V/lg1atBYEacyCJnm1SWLr+VxqS0L75xDbXZ3&#10;7h+fPN/TXHbIffftwnkhh88+53me8zzv83me7XzOo0AcHw8h0HSQpgFomv7DJxAATX89AoAAgA6t&#10;9rUYwDdl0PNt+8A6/UdDXwszZ1fWo0EQeipcuR8hYFt02BOMQ/C1O9+IwRMOmqZj/uo+/H/Ay8QJ&#10;XiZO8DJxgpeJE7xMnOBl4oQwaleamZm5d+/e984SBBHWv379+tu3bxcVFbGdAkHUf+7R0eLly5cA&#10;MDY2NjY2BgAtLS1oP3v2bJVuCIXCAwcObF+mra0NBYpat2maDgaD0Z50Uql0YmICAFwuF0mSJElu&#10;27bte4W1Wm1CQoLD4RgfHycIgqIor9d77dq1KPZ3majdE4ymd+/eJSQkpKSksGMqbDdmZ2eTkpJE&#10;IhFN0wAgEom2b99eWFjY2toazW7Tf0k01dfX22w2uVy+Y8eO8+fP19TUfK+kyWQSi8UA0NfXBwBG&#10;o3F8fPzz58/R6yuLaMtkNBrtdrvH48nKynr06NEqi7pcLi8oKACAmzdvAoDH44leL1cQvW86pLi4&#10;GAAwiLKzs0+dOjU/Px+2ZHp6emxs7NLS0ps3b1QqlU6nA4BNmzZFs7cM0Y4mi8VisVikUmlPTw9B&#10;EBaLpaura5XyMTExly5dslgsGo0GAGQyWbR6+g3RjiYAaG9vt1qtMpkM59TqrFu3LiMjw2KxmEwm&#10;evm30ior2p9EtGXKyMgAgEAg8PDhQ71en5aWFggEVq/S0tJy8eLF9+/fA4Ber9+9e3c0OhpC1L5W&#10;3759q1KpVvo/fPgQ1k/TtMFgUKlUIWdVKtWtW7f+lC5+h2AwyCd5fwzNJ3k5wsvECV4mTvAycYKX&#10;iRO8TJzgZeIELxMnIv+wQpIkGiaTyeVysT0IQRBM5lsmk0kkEgCQSCQmk0koFJrNZswiCIVChULh&#10;9XqNRqNWqwUApVJpNBqlUinTFOOZmJgoKyuz2Wzo7+3t/fLlC/uicrk8Li7upwcVXqbc3FzuTbS1&#10;teGTGpvR0dH8/Hy9Xs+lhebmZpPJ1NHRUVZWJpFI/H6/zWbDlACDUqnEo1QqRaGNRiPjmZiYkEgk&#10;HR0dVVVV3HvOnfAy/X1xseu337jUf/r7716vl/mo1WoNBkNmZqbf719cXNTpdE6ns7i42GAw+P1+&#10;h8MBrARbXFwchpLL5cJAaG5uBgC0CwoKvF5vQUGBx+PRarUEQUiXQYEoimpoaMCSVqsVACwWC7as&#10;UCh+RozvE+FJp9PpDAZDiBM9o6Ojvb29CoWitrYW/RqNhqIoAKitrRWLxezwqaqqQgWtViuKwqBU&#10;KkNmcQhms7mjo2Olf/VaqxP5tSklJUWn071+/Xpqaio3N7e6upo5tWfPHpw7IchkMoqiDh48WFJS&#10;AgBzc3P9/f1qtRoAhoeHW1patFotRVEZGRler1en0+n1+vLycolEgmvWwsICGlhdrVar1WqdTkcQ&#10;hFgslkqleDPWQuRlunr1KkVRU1NT09PTFEWdPXuWOdXU1BQSGmxmZmaY8RQWFqLhdrsvXLgAABqN&#10;xuVymUwmjUZTXl4OADabDZfzV69eofH8+fPKysqEhISIDyryMuF6sbCwEAgEHjx4AMv57127dtnt&#10;9snJybS0tJGRETyyK9pstv7+frQnJyc/fvwIAEePHkVlZTKZTCYbHBzE1oC1EonFYsZGhoeHl5aW&#10;8MUMssaYirBM9fX1eGNnZ2fn5+e3bNkCANXV1W1tbadPn758+fLAwIDH45mammKOeXl5WDc5OZn5&#10;sp+bm0OjpKTk8OHDsKy1y+UaHBzUaDQh34Ns7t+/v7CwgDEIAF1dXcXFxdPT02sZV/i03L59+7g3&#10;cf369czMzLV04heHpmk+e/lj+OwlV3iZOMHLxAleJk7wMnGCl4kTvEyc4GXiRHiZhAmChJR1XP42&#10;/C0mJEERCATm5+fZx5DGP336tPKKuCETAGZmZtj+YDDo8/nQXvlQxva43e4fjHUNhH+m2/aP2Mx/&#10;rfg/u3B8dHwJ8YyMjFAUhY+aOTk5V65cwd2SANDe3n7mzJmampqVeQKZTKZWq+Pj42NjYzHPFx8f&#10;39nZ6fP5mCQvSZJisZh59GV77Ha72+0uKytDf2VlZcjtaW1t3bx5M5cRhSXyGQKCIOx2u8PhmJ6e&#10;9vl8VVVVU1NTW7duBYDHjx8XFRX5/X6MAqFQiNt4CYJwOp2NjY3l5eVms7m0tNRsNuOY3W43xpdY&#10;LMYnfsxkNjQ0NDQ0oNzHjx9PTU0FAKfTiZvqOjs7IzuoCK9NmKV1Op0Oh8PpdObk5JAkibldt9ut&#10;UChIkvR4PLjV+cWLF0xFkiRzcnIGBgZ27tyJx/T0dADo7e0dHR3FAkqlUqfTURTFBJRSqVQqlUKh&#10;EI3IjoVNhKOptrbWZDLl5eUlJydTFPX06VPmJUowGMSEpNVqZYbk9/sTExONRiNFUfv379+4cSOW&#10;PHfuHE69EydOYO7cYrFg7Eil0sHBQayOua07d+6ggaHU09PT2Njo8/kSExNjYmImJiYwZn+hfNMq&#10;YOZsZmYmNja2p6dndHQ0KyvryJEjaWlpWGDv3r2YwGHvaq6rq2NeMeAKVVxc7HK55HJ5fn4+trm0&#10;tITGsWPHAKC0tLS0tPRXT/IiBEEMDg7iTZ6bm0tKSsJBOp3OoaGh7OxskiRPnjzJfpuWn59fUVER&#10;0g6TF8amcEliyqOxuLjIOMfHx0UiEQAEg0EB69+xfT4fhurPEV6m/7z6779bF7jUX5gOwj9Dnd3d&#10;3UzyEAAOHTqE06S7u1sgEJSWluLtdbvdJEkys7Kvr2/Dhg1o371798mTJ6tfmnnxJRaL2S/BAKCu&#10;ri4/Px/1QtLT09cUUxHfqSgSiaxWK9pDQ0MikUihUKDN+GmarqioEIlEN27cwI8YBWyY1jo7O9Fg&#10;aGpqYl8xNTWV/bGzs9Pr9YZ0iWnwJ+D3XnKC5rOXHOFl4gQvEyd4mTjxPxjQ3FTZYk2i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C5s8AC/AAAApQEAABkAAABkcnMvX3JlbHMvZTJvRG9jLnhtbC5yZWxzvZDBisIwEIbvC/sO&#10;Ye7btD0sspj2IoJXcR9gSKZpsJmEJIq+vYFlQUHw5nFm+L//Y9bjxS/iTCm7wAq6pgVBrINxbBX8&#10;HrZfKxC5IBtcApOCK2UYh8+P9Z4WLDWUZxezqBTOCuZS4o+UWc/kMTchEtfLFJLHUsdkZUR9REuy&#10;b9tvme4ZMDwwxc4oSDvTgzhcY21+zQ7T5DRtgj554vKkQjpfuysQk6WiwJNx+Lfsm8gW5HOH7j0O&#10;3b+DfHjucAN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DHKAAAW0NvbnRlbnRfVHlwZXNdLnhtbFBLAQIUAAoAAAAAAIdO4kAA&#10;AAAAAAAAAAAAAAAGAAAAAAAAAAAAEAAAAIsmAABfcmVscy9QSwECFAAUAAAACACHTuJAihRmPNEA&#10;AACUAQAACwAAAAAAAAABACAAAACvJgAAX3JlbHMvLnJlbHNQSwECFAAKAAAAAACHTuJAAAAAAAAA&#10;AAAAAAAABAAAAAAAAAAAABAAAAAAAAAAZHJzL1BLAQIUAAoAAAAAAIdO4kAAAAAAAAAAAAAAAAAK&#10;AAAAAAAAAAAAEAAAAKknAABkcnMvX3JlbHMvUEsBAhQAFAAAAAgAh07iQC5s8AC/AAAApQEAABkA&#10;AAAAAAAAAQAgAAAA0ScAAGRycy9fcmVscy9lMm9Eb2MueG1sLnJlbHNQSwECFAAUAAAACACHTuJA&#10;rsSoYNkAAAAJAQAADwAAAAAAAAABACAAAAAiAAAAZHJzL2Rvd25yZXYueG1sUEsBAhQAFAAAAAgA&#10;h07iQLmjZrioAgAAjAcAAA4AAAAAAAAAAQAgAAAAKAEAAGRycy9lMm9Eb2MueG1sUEsBAhQACgAA&#10;AAAAh07iQAAAAAAAAAAAAAAAAAoAAAAAAAAAAAAQAAAA/AMAAGRycy9tZWRpYS9QSwECFAAUAAAA&#10;CACHTuJAbd6DTbQYAACvGAAAFAAAAAAAAAABACAAAAAkBAAAZHJzL21lZGlhL2ltYWdlMS5wbmdQ&#10;SwECFAAUAAAACACHTuJASQPxTU8JAABKCQAAFAAAAAAAAAABACAAAAAKHQAAZHJzL21lZGlhL2lt&#10;YWdlMi5wbmdQSwUGAAAAAAsACwCUAgAA/CkAAAAA&#10;">
                      <o:lock v:ext="edit" aspectratio="f"/>
                      <v:shape id="图片 3" o:spid="_x0000_s1026" o:spt="75" alt="517c7c2a-57f2-4b7c-95d4-2952c27297e4" type="#_x0000_t75" style="position:absolute;left:9702;top:38829;height:651;width:641;" filled="f" o:preferrelative="t" stroked="f" coordsize="21600,21600" o:gfxdata="UEsDBAoAAAAAAIdO4kAAAAAAAAAAAAAAAAAEAAAAZHJzL1BLAwQUAAAACACHTuJAsFGPRboAAADb&#10;AAAADwAAAGRycy9kb3ducmV2LnhtbEWPzYrCMBSF98K8Q7gDbmRM7aLOVKMLGX9WgjoPcGmuTZnm&#10;piSx6tsbQXB5OD8fZ7682Vb05EPjWMFknIEgrpxuuFbwd1p/fYMIEVlj65gU3CnAcvExmGOp3ZUP&#10;1B9jLdIIhxIVmBi7UspQGbIYxq4jTt7ZeYsxSV9L7fGaxm0r8ywrpMWGE8FgRytD1f/xYhO3cPWP&#10;pf121DeFzVcbb06/Xqnh5ySbgYh0i+/wq73TCvIpPL+kHyA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UY9FugAAANsA&#10;AAAPAAAAAAAAAAEAIAAAACIAAABkcnMvZG93bnJldi54bWxQSwECFAAUAAAACACHTuJAMy8FnjsA&#10;AAA5AAAAEAAAAAAAAAABACAAAAAJAQAAZHJzL3NoYXBleG1sLnhtbFBLBQYAAAAABgAGAFsBAACz&#10;AwAAAAA=&#10;">
                        <v:fill on="f" focussize="0,0"/>
                        <v:stroke on="f"/>
                        <v:imagedata r:id="rId9" o:title=""/>
                        <o:lock v:ext="edit" aspectratio="t"/>
                      </v:shape>
                      <v:shape id="图片 3" o:spid="_x0000_s1026" o:spt="75" type="#_x0000_t75" style="position:absolute;left:8878;top:43205;height:915;width:1470;" filled="f" o:preferrelative="t" stroked="f" coordsize="21600,21600" o:gfxdata="UEsDBAoAAAAAAIdO4kAAAAAAAAAAAAAAAAAEAAAAZHJzL1BLAwQUAAAACACHTuJA/EK1KrgAAADa&#10;AAAADwAAAGRycy9kb3ducmV2LnhtbEVPS4vCMBC+C/sfwgjeNFFBl67Rg4vgTXxU9jgks22xmZQm&#10;Wnd/vREET8PH95zF6u5qcaM2VJ41jEcKBLHxtuJCw+m4GX6CCBHZYu2ZNPxRgNXyo7fAzPqO93Q7&#10;xEKkEA4ZaihjbDIpgynJYRj5hjhxv751GBNsC2lb7FK4q+VEqZl0WHFqKLGhdUnmcrg6Dcoxm/2P&#10;WYduvgvTa/6fn87fWg/6Y/UFItI9vsUv99am+fB85Xnl8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K1KrgAAADaAAAA&#10;DwAAAAAAAAABACAAAAAiAAAAZHJzL2Rvd25yZXYueG1sUEsBAhQAFAAAAAgAh07iQDMvBZ47AAAA&#10;OQAAABAAAAAAAAAAAQAgAAAABwEAAGRycy9zaGFwZXhtbC54bWxQSwUGAAAAAAYABgBbAQAAsQMA&#10;AAAA&#10;">
                        <v:fill on="f" focussize="0,0"/>
                        <v:stroke on="f"/>
                        <v:imagedata r:id="rId10" o:title=""/>
                        <o:lock v:ext="edit" aspectratio="t"/>
                      </v:shape>
                    </v:group>
                  </w:pict>
                </mc:Fallback>
              </mc:AlternateContent>
            </w:r>
            <w:r>
              <w:rPr>
                <w:rFonts w:hint="default"/>
                <w:color w:val="auto"/>
              </w:rPr>
              <w:drawing>
                <wp:inline distT="0" distB="0" distL="114300" distR="114300">
                  <wp:extent cx="5271135" cy="3406140"/>
                  <wp:effectExtent l="19050" t="19050" r="24765" b="2286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1"/>
                          <a:stretch>
                            <a:fillRect/>
                          </a:stretch>
                        </pic:blipFill>
                        <pic:spPr>
                          <a:xfrm>
                            <a:off x="0" y="0"/>
                            <a:ext cx="5271135" cy="3406140"/>
                          </a:xfrm>
                          <a:prstGeom prst="rect">
                            <a:avLst/>
                          </a:prstGeom>
                          <a:noFill/>
                          <a:ln w="19050">
                            <a:solidFill>
                              <a:schemeClr val="tx1"/>
                            </a:solidFill>
                          </a:ln>
                        </pic:spPr>
                      </pic:pic>
                    </a:graphicData>
                  </a:graphic>
                </wp:inline>
              </w:drawing>
            </w:r>
          </w:p>
          <w:p w14:paraId="476D44B1">
            <w:pPr>
              <w:pStyle w:val="180"/>
              <w:keepNext w:val="0"/>
              <w:keepLines w:val="0"/>
              <w:suppressLineNumbers w:val="0"/>
              <w:bidi w:val="0"/>
              <w:spacing w:before="0" w:beforeAutospacing="0" w:after="0" w:afterAutospacing="0" w:line="360" w:lineRule="auto"/>
              <w:ind w:left="0" w:right="0"/>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图1-1  本项目与环境管控单元对照分析示意图</w:t>
            </w:r>
          </w:p>
          <w:p w14:paraId="4B397BE5">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aps w:val="0"/>
                <w:smallCaps w:val="0"/>
                <w:color w:val="auto"/>
                <w:spacing w:val="0"/>
                <w:w w:val="100"/>
                <w:sz w:val="24"/>
                <w:szCs w:val="24"/>
                <w:lang w:val="en-US" w:eastAsia="zh-CN"/>
              </w:rPr>
            </w:pPr>
            <w:r>
              <w:rPr>
                <w:rFonts w:hint="default" w:ascii="Times New Roman" w:hAnsi="Times New Roman" w:cs="Times New Roman"/>
                <w:color w:val="auto"/>
                <w:sz w:val="24"/>
                <w:szCs w:val="24"/>
                <w:lang w:val="en-US" w:eastAsia="zh-CN"/>
              </w:rPr>
              <w:t>（2）一表：项目环境管控单元涉及情况一览表</w:t>
            </w:r>
          </w:p>
          <w:p w14:paraId="35E7A75D">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aps w:val="0"/>
                <w:smallCaps w:val="0"/>
                <w:color w:val="auto"/>
                <w:spacing w:val="0"/>
                <w:w w:val="100"/>
                <w:sz w:val="24"/>
                <w:szCs w:val="24"/>
                <w:lang w:val="en-US" w:eastAsia="zh-CN"/>
              </w:rPr>
            </w:pPr>
            <w:r>
              <w:rPr>
                <w:rFonts w:hint="default" w:ascii="Times New Roman" w:hAnsi="Times New Roman" w:eastAsia="宋体" w:cs="Times New Roman"/>
                <w:caps w:val="0"/>
                <w:smallCaps w:val="0"/>
                <w:color w:val="auto"/>
                <w:spacing w:val="0"/>
                <w:w w:val="100"/>
                <w:sz w:val="24"/>
                <w:szCs w:val="24"/>
                <w:lang w:val="en-US" w:eastAsia="zh-CN"/>
              </w:rPr>
              <w:t>经查阅陕西省</w:t>
            </w:r>
            <w:r>
              <w:rPr>
                <w:rFonts w:hint="default" w:ascii="Times New Roman" w:hAnsi="Times New Roman" w:cs="Times New Roman"/>
                <w:caps w:val="0"/>
                <w:smallCaps w:val="0"/>
                <w:color w:val="auto"/>
                <w:spacing w:val="0"/>
                <w:w w:val="100"/>
                <w:sz w:val="24"/>
                <w:szCs w:val="24"/>
                <w:lang w:val="en-US" w:eastAsia="zh-CN"/>
              </w:rPr>
              <w:t>“</w:t>
            </w:r>
            <w:r>
              <w:rPr>
                <w:rFonts w:hint="default" w:ascii="Times New Roman" w:hAnsi="Times New Roman" w:eastAsia="宋体" w:cs="Times New Roman"/>
                <w:caps w:val="0"/>
                <w:smallCaps w:val="0"/>
                <w:color w:val="auto"/>
                <w:spacing w:val="0"/>
                <w:w w:val="100"/>
                <w:sz w:val="24"/>
                <w:szCs w:val="24"/>
                <w:lang w:val="en-US" w:eastAsia="zh-CN"/>
              </w:rPr>
              <w:t>三线一单</w:t>
            </w:r>
            <w:r>
              <w:rPr>
                <w:rFonts w:hint="default" w:ascii="Times New Roman" w:hAnsi="Times New Roman" w:cs="Times New Roman"/>
                <w:caps w:val="0"/>
                <w:smallCaps w:val="0"/>
                <w:color w:val="auto"/>
                <w:spacing w:val="0"/>
                <w:w w:val="100"/>
                <w:sz w:val="24"/>
                <w:szCs w:val="24"/>
                <w:lang w:val="en-US" w:eastAsia="zh-CN"/>
              </w:rPr>
              <w:t>”</w:t>
            </w:r>
            <w:r>
              <w:rPr>
                <w:rFonts w:hint="default" w:ascii="Times New Roman" w:hAnsi="Times New Roman" w:eastAsia="宋体" w:cs="Times New Roman"/>
                <w:caps w:val="0"/>
                <w:smallCaps w:val="0"/>
                <w:color w:val="auto"/>
                <w:spacing w:val="0"/>
                <w:w w:val="100"/>
                <w:sz w:val="24"/>
                <w:szCs w:val="24"/>
                <w:lang w:val="en-US" w:eastAsia="zh-CN"/>
              </w:rPr>
              <w:t>数据应用系统（V1.0），</w:t>
            </w:r>
            <w:r>
              <w:rPr>
                <w:rFonts w:hint="default" w:ascii="Times New Roman" w:hAnsi="Times New Roman" w:cs="Times New Roman"/>
                <w:caps w:val="0"/>
                <w:smallCaps w:val="0"/>
                <w:color w:val="auto"/>
                <w:spacing w:val="0"/>
                <w:w w:val="100"/>
                <w:sz w:val="24"/>
                <w:szCs w:val="24"/>
                <w:lang w:eastAsia="zh-CN"/>
              </w:rPr>
              <w:t>本项目不涉及优先保护单元</w:t>
            </w:r>
            <w:r>
              <w:rPr>
                <w:rFonts w:hint="default" w:ascii="Times New Roman" w:hAnsi="Times New Roman" w:cs="Times New Roman"/>
                <w:caps w:val="0"/>
                <w:smallCaps w:val="0"/>
                <w:color w:val="auto"/>
                <w:spacing w:val="0"/>
                <w:w w:val="100"/>
                <w:sz w:val="24"/>
                <w:szCs w:val="24"/>
                <w:lang w:val="en-US" w:eastAsia="zh-CN"/>
              </w:rPr>
              <w:t>，不涉及一般管控单元</w:t>
            </w:r>
            <w:r>
              <w:rPr>
                <w:rFonts w:hint="default" w:ascii="Times New Roman" w:hAnsi="Times New Roman" w:cs="Times New Roman"/>
                <w:caps w:val="0"/>
                <w:smallCaps w:val="0"/>
                <w:color w:val="auto"/>
                <w:spacing w:val="0"/>
                <w:w w:val="100"/>
                <w:sz w:val="24"/>
                <w:szCs w:val="24"/>
                <w:lang w:eastAsia="zh-CN"/>
              </w:rPr>
              <w:t>，</w:t>
            </w:r>
            <w:r>
              <w:rPr>
                <w:rFonts w:hint="default" w:ascii="Times New Roman" w:hAnsi="Times New Roman" w:eastAsia="宋体" w:cs="Times New Roman"/>
                <w:caps w:val="0"/>
                <w:smallCaps w:val="0"/>
                <w:color w:val="auto"/>
                <w:spacing w:val="0"/>
                <w:w w:val="100"/>
                <w:sz w:val="24"/>
                <w:szCs w:val="24"/>
                <w:lang w:val="en-US" w:eastAsia="zh-CN"/>
              </w:rPr>
              <w:t>项目范围涉及的生态环境</w:t>
            </w:r>
            <w:r>
              <w:rPr>
                <w:rFonts w:hint="default" w:ascii="Times New Roman" w:hAnsi="Times New Roman" w:eastAsia="宋体" w:cs="Times New Roman"/>
                <w:b w:val="0"/>
                <w:bCs w:val="0"/>
                <w:color w:val="auto"/>
                <w:sz w:val="24"/>
                <w:szCs w:val="24"/>
                <w:lang w:val="en-US" w:eastAsia="zh-CN"/>
              </w:rPr>
              <w:t>管控</w:t>
            </w:r>
            <w:r>
              <w:rPr>
                <w:rFonts w:hint="default" w:ascii="Times New Roman" w:hAnsi="Times New Roman" w:eastAsia="宋体" w:cs="Times New Roman"/>
                <w:caps w:val="0"/>
                <w:smallCaps w:val="0"/>
                <w:color w:val="auto"/>
                <w:spacing w:val="0"/>
                <w:w w:val="100"/>
                <w:sz w:val="24"/>
                <w:szCs w:val="24"/>
                <w:lang w:val="en-US" w:eastAsia="zh-CN"/>
              </w:rPr>
              <w:t>单元准入清单及符合性说明详见下表</w:t>
            </w:r>
            <w:r>
              <w:rPr>
                <w:rFonts w:hint="default" w:ascii="Times New Roman" w:hAnsi="Times New Roman" w:cs="Times New Roman"/>
                <w:caps w:val="0"/>
                <w:smallCaps w:val="0"/>
                <w:color w:val="auto"/>
                <w:spacing w:val="0"/>
                <w:w w:val="100"/>
                <w:sz w:val="24"/>
                <w:szCs w:val="24"/>
                <w:lang w:val="en-US" w:eastAsia="zh-CN"/>
              </w:rPr>
              <w:t>：</w:t>
            </w:r>
          </w:p>
          <w:p w14:paraId="71A0C135">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表</w:t>
            </w:r>
            <w:r>
              <w:rPr>
                <w:rFonts w:hint="default" w:ascii="Times New Roman" w:hAnsi="Times New Roman" w:cs="Times New Roman"/>
                <w:b/>
                <w:bCs w:val="0"/>
                <w:color w:val="auto"/>
                <w:sz w:val="21"/>
                <w:szCs w:val="21"/>
                <w:lang w:val="en-US" w:eastAsia="zh-CN"/>
              </w:rPr>
              <w:t>1-2</w:t>
            </w:r>
            <w:r>
              <w:rPr>
                <w:rFonts w:hint="default" w:ascii="Times New Roman" w:hAnsi="Times New Roman" w:cs="Times New Roman"/>
                <w:b/>
                <w:bCs w:val="0"/>
                <w:color w:val="auto"/>
                <w:sz w:val="21"/>
                <w:szCs w:val="21"/>
              </w:rPr>
              <w:t xml:space="preserve">  </w:t>
            </w:r>
            <w:r>
              <w:rPr>
                <w:rFonts w:hint="default" w:ascii="Times New Roman" w:hAnsi="Times New Roman" w:cs="Times New Roman"/>
                <w:b/>
                <w:bCs w:val="0"/>
                <w:color w:val="auto"/>
                <w:sz w:val="21"/>
                <w:szCs w:val="21"/>
                <w:lang w:val="en-US" w:eastAsia="zh-CN"/>
              </w:rPr>
              <w:t>项目与环境管控单元涉及情况</w:t>
            </w:r>
          </w:p>
          <w:tbl>
            <w:tblPr>
              <w:tblStyle w:val="33"/>
              <w:tblW w:w="4998" w:type="pct"/>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9"/>
              <w:gridCol w:w="784"/>
              <w:gridCol w:w="733"/>
              <w:gridCol w:w="3434"/>
              <w:gridCol w:w="2433"/>
            </w:tblGrid>
            <w:tr w14:paraId="1B213C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7" w:type="pct"/>
                  <w:tcBorders>
                    <w:tl2br w:val="nil"/>
                    <w:tr2bl w:val="nil"/>
                  </w:tcBorders>
                  <w:noWrap w:val="0"/>
                  <w:vAlign w:val="center"/>
                </w:tcPr>
                <w:p w14:paraId="693E4800">
                  <w:pPr>
                    <w:keepNext w:val="0"/>
                    <w:keepLines w:val="0"/>
                    <w:suppressLineNumbers w:val="0"/>
                    <w:tabs>
                      <w:tab w:val="left" w:pos="1393"/>
                    </w:tabs>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shd w:val="clear" w:color="auto" w:fill="auto"/>
                      <w:lang w:val="en-US" w:eastAsia="zh-CN"/>
                    </w:rPr>
                  </w:pPr>
                  <w:r>
                    <w:rPr>
                      <w:rFonts w:hint="default" w:ascii="Times New Roman" w:hAnsi="Times New Roman" w:cs="Times New Roman"/>
                      <w:b/>
                      <w:bCs/>
                      <w:color w:val="auto"/>
                      <w:sz w:val="21"/>
                      <w:szCs w:val="21"/>
                      <w:shd w:val="clear" w:color="auto" w:fill="auto"/>
                      <w:lang w:val="en-US" w:eastAsia="zh-CN"/>
                    </w:rPr>
                    <w:t>环境管控单元名称</w:t>
                  </w:r>
                </w:p>
              </w:tc>
              <w:tc>
                <w:tcPr>
                  <w:tcW w:w="473" w:type="pct"/>
                  <w:tcBorders>
                    <w:tl2br w:val="nil"/>
                    <w:tr2bl w:val="nil"/>
                  </w:tcBorders>
                  <w:noWrap w:val="0"/>
                  <w:vAlign w:val="center"/>
                </w:tcPr>
                <w:p w14:paraId="32420A75">
                  <w:pPr>
                    <w:keepNext w:val="0"/>
                    <w:keepLines w:val="0"/>
                    <w:suppressLineNumbers w:val="0"/>
                    <w:tabs>
                      <w:tab w:val="left" w:pos="1393"/>
                    </w:tabs>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shd w:val="clear" w:color="auto" w:fill="auto"/>
                      <w:lang w:val="en-US" w:eastAsia="zh-CN"/>
                    </w:rPr>
                  </w:pPr>
                  <w:r>
                    <w:rPr>
                      <w:rFonts w:hint="default" w:ascii="Times New Roman" w:hAnsi="Times New Roman" w:cs="Times New Roman"/>
                      <w:b/>
                      <w:bCs/>
                      <w:color w:val="auto"/>
                      <w:sz w:val="21"/>
                      <w:szCs w:val="21"/>
                      <w:shd w:val="clear" w:color="auto" w:fill="auto"/>
                      <w:lang w:val="en-US" w:eastAsia="zh-CN"/>
                    </w:rPr>
                    <w:t>单元要素属性</w:t>
                  </w:r>
                </w:p>
              </w:tc>
              <w:tc>
                <w:tcPr>
                  <w:tcW w:w="443" w:type="pct"/>
                  <w:tcBorders>
                    <w:tl2br w:val="nil"/>
                    <w:tr2bl w:val="nil"/>
                  </w:tcBorders>
                  <w:noWrap w:val="0"/>
                  <w:vAlign w:val="center"/>
                </w:tcPr>
                <w:p w14:paraId="10B5F925">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shd w:val="clear" w:color="auto" w:fill="auto"/>
                      <w:lang w:val="en-US" w:eastAsia="zh-CN"/>
                    </w:rPr>
                  </w:pPr>
                  <w:r>
                    <w:rPr>
                      <w:rFonts w:hint="default" w:ascii="Times New Roman" w:hAnsi="Times New Roman" w:cs="Times New Roman"/>
                      <w:b/>
                      <w:bCs/>
                      <w:color w:val="auto"/>
                      <w:sz w:val="21"/>
                      <w:szCs w:val="21"/>
                      <w:shd w:val="clear" w:color="auto" w:fill="auto"/>
                      <w:lang w:val="en-US" w:eastAsia="zh-CN"/>
                    </w:rPr>
                    <w:t>管控要求分类</w:t>
                  </w:r>
                </w:p>
              </w:tc>
              <w:tc>
                <w:tcPr>
                  <w:tcW w:w="2075" w:type="pct"/>
                  <w:tcBorders>
                    <w:tl2br w:val="nil"/>
                    <w:tr2bl w:val="nil"/>
                  </w:tcBorders>
                  <w:noWrap w:val="0"/>
                  <w:vAlign w:val="center"/>
                </w:tcPr>
                <w:p w14:paraId="7551F930">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shd w:val="clear" w:color="auto" w:fill="auto"/>
                      <w:lang w:val="en-US" w:eastAsia="zh-CN"/>
                    </w:rPr>
                  </w:pPr>
                  <w:r>
                    <w:rPr>
                      <w:rFonts w:hint="default" w:ascii="Times New Roman" w:hAnsi="Times New Roman" w:cs="Times New Roman"/>
                      <w:b/>
                      <w:bCs/>
                      <w:color w:val="auto"/>
                      <w:sz w:val="21"/>
                      <w:szCs w:val="21"/>
                      <w:shd w:val="clear" w:color="auto" w:fill="auto"/>
                      <w:lang w:val="en-US" w:eastAsia="zh-CN"/>
                    </w:rPr>
                    <w:t>管控要求</w:t>
                  </w:r>
                </w:p>
              </w:tc>
              <w:tc>
                <w:tcPr>
                  <w:tcW w:w="1470" w:type="pct"/>
                  <w:tcBorders>
                    <w:tl2br w:val="nil"/>
                    <w:tr2bl w:val="nil"/>
                  </w:tcBorders>
                  <w:noWrap w:val="0"/>
                  <w:vAlign w:val="center"/>
                </w:tcPr>
                <w:p w14:paraId="3B937F23">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shd w:val="clear" w:color="auto" w:fill="auto"/>
                      <w:lang w:val="en-US" w:eastAsia="zh-CN"/>
                    </w:rPr>
                  </w:pPr>
                  <w:r>
                    <w:rPr>
                      <w:rFonts w:hint="default" w:ascii="Times New Roman" w:hAnsi="Times New Roman" w:cs="Times New Roman"/>
                      <w:b/>
                      <w:bCs/>
                      <w:color w:val="auto"/>
                      <w:sz w:val="21"/>
                      <w:szCs w:val="21"/>
                      <w:shd w:val="clear" w:color="auto" w:fill="auto"/>
                      <w:lang w:val="en-US" w:eastAsia="zh-CN"/>
                    </w:rPr>
                    <w:t>与本项目符合性</w:t>
                  </w:r>
                </w:p>
              </w:tc>
            </w:tr>
            <w:tr w14:paraId="6605F3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7" w:type="pct"/>
                  <w:vMerge w:val="restart"/>
                  <w:tcBorders>
                    <w:tl2br w:val="nil"/>
                    <w:tr2bl w:val="nil"/>
                  </w:tcBorders>
                  <w:noWrap w:val="0"/>
                  <w:vAlign w:val="center"/>
                </w:tcPr>
                <w:p w14:paraId="7887DA29">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1"/>
                      <w:szCs w:val="21"/>
                      <w:shd w:val="clear" w:color="auto" w:fill="auto"/>
                      <w:lang w:val="en-US" w:eastAsia="zh-CN"/>
                    </w:rPr>
                  </w:pPr>
                  <w:r>
                    <w:rPr>
                      <w:rFonts w:hint="default" w:ascii="Times New Roman" w:hAnsi="Times New Roman" w:cs="Times New Roman"/>
                      <w:color w:val="auto"/>
                      <w:sz w:val="21"/>
                      <w:szCs w:val="21"/>
                      <w:shd w:val="clear" w:color="auto" w:fill="auto"/>
                      <w:lang w:val="en-US" w:eastAsia="zh-CN"/>
                    </w:rPr>
                    <w:t>陕西省宝鸡市陈仓区重点管控单元9</w:t>
                  </w:r>
                </w:p>
              </w:tc>
              <w:tc>
                <w:tcPr>
                  <w:tcW w:w="473" w:type="pct"/>
                  <w:vMerge w:val="restart"/>
                  <w:tcBorders>
                    <w:tl2br w:val="nil"/>
                    <w:tr2bl w:val="nil"/>
                  </w:tcBorders>
                  <w:noWrap w:val="0"/>
                  <w:vAlign w:val="center"/>
                </w:tcPr>
                <w:p w14:paraId="53D59525">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cs="Times New Roman"/>
                      <w:color w:val="auto"/>
                      <w:sz w:val="21"/>
                      <w:szCs w:val="21"/>
                      <w:shd w:val="clear" w:color="auto" w:fill="auto"/>
                      <w:lang w:val="en-US"/>
                    </w:rPr>
                  </w:pPr>
                  <w:r>
                    <w:rPr>
                      <w:rFonts w:hint="default" w:ascii="Times New Roman" w:hAnsi="Times New Roman" w:cs="Times New Roman"/>
                      <w:bCs/>
                      <w:color w:val="auto"/>
                      <w:sz w:val="21"/>
                      <w:szCs w:val="21"/>
                      <w:shd w:val="clear" w:color="auto" w:fill="auto"/>
                      <w:lang w:val="en-US" w:eastAsia="zh-CN"/>
                    </w:rPr>
                    <w:t>大气环境受体敏感重点管控区、水环境城镇生活污染重点管控区、生态用水补给区管控区、土地资源重点管控区、高污染燃料禁燃区、陈仓科技工业园</w:t>
                  </w:r>
                </w:p>
              </w:tc>
              <w:tc>
                <w:tcPr>
                  <w:tcW w:w="443" w:type="pct"/>
                  <w:tcBorders>
                    <w:tl2br w:val="nil"/>
                    <w:tr2bl w:val="nil"/>
                  </w:tcBorders>
                  <w:noWrap w:val="0"/>
                  <w:vAlign w:val="center"/>
                </w:tcPr>
                <w:p w14:paraId="57DB8527">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bCs/>
                      <w:color w:val="auto"/>
                      <w:kern w:val="2"/>
                      <w:sz w:val="21"/>
                      <w:szCs w:val="21"/>
                      <w:shd w:val="clear" w:color="auto" w:fill="auto"/>
                      <w:lang w:val="en-US" w:eastAsia="zh-CN" w:bidi="ar-SA"/>
                    </w:rPr>
                  </w:pPr>
                  <w:r>
                    <w:rPr>
                      <w:rFonts w:hint="default" w:ascii="Times New Roman" w:hAnsi="Times New Roman" w:cs="Times New Roman"/>
                      <w:bCs/>
                      <w:color w:val="auto"/>
                      <w:sz w:val="21"/>
                      <w:szCs w:val="21"/>
                      <w:shd w:val="clear" w:color="auto" w:fill="auto"/>
                      <w:lang w:val="en-US" w:eastAsia="zh-CN"/>
                    </w:rPr>
                    <w:t>空间布局约束</w:t>
                  </w:r>
                </w:p>
              </w:tc>
              <w:tc>
                <w:tcPr>
                  <w:tcW w:w="2075" w:type="pct"/>
                  <w:tcBorders>
                    <w:tl2br w:val="nil"/>
                    <w:tr2bl w:val="nil"/>
                  </w:tcBorders>
                  <w:noWrap w:val="0"/>
                  <w:vAlign w:val="center"/>
                </w:tcPr>
                <w:p w14:paraId="66BF73E9">
                  <w:pPr>
                    <w:keepNext w:val="0"/>
                    <w:keepLines w:val="0"/>
                    <w:widowControl/>
                    <w:suppressLineNumbers w:val="0"/>
                    <w:spacing w:before="0" w:beforeAutospacing="0" w:after="0" w:afterAutospacing="0"/>
                    <w:ind w:left="0" w:right="0"/>
                    <w:jc w:val="both"/>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bCs/>
                      <w:color w:val="auto"/>
                      <w:kern w:val="0"/>
                      <w:sz w:val="21"/>
                      <w:szCs w:val="21"/>
                      <w:lang w:val="en-US" w:eastAsia="zh-CN" w:bidi="ar"/>
                    </w:rPr>
                    <w:t>大气环境受体敏感重点管控区：</w:t>
                  </w:r>
                  <w:r>
                    <w:rPr>
                      <w:rFonts w:hint="default" w:ascii="Times New Roman" w:hAnsi="Times New Roman" w:eastAsia="宋体" w:cs="Times New Roman"/>
                      <w:color w:val="auto"/>
                      <w:kern w:val="0"/>
                      <w:sz w:val="21"/>
                      <w:szCs w:val="21"/>
                      <w:lang w:val="en-US" w:eastAsia="zh-CN" w:bidi="ar"/>
                    </w:rPr>
                    <w:t>1.严格控制新增《陕西省</w:t>
                  </w:r>
                  <w:r>
                    <w:rPr>
                      <w:rFonts w:hint="default"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两高</w:t>
                  </w:r>
                  <w:r>
                    <w:rPr>
                      <w:rFonts w:hint="default"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项目管理暂行目录》行业项目（民生等项目除外，后续对</w:t>
                  </w:r>
                  <w:r>
                    <w:rPr>
                      <w:rFonts w:hint="default"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两高</w:t>
                  </w:r>
                  <w:r>
                    <w:rPr>
                      <w:rFonts w:hint="default"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范围国家如有新规定的，从其规定）。严禁新增钢铁、焦化、水泥熟料、平板玻璃、电解铝、氧化铝、煤化工产能。3.推动重污染企业搬迁入园或依法关闭，实施工业企业退城搬迁改造。4.新建商住楼必须设置专用烟道，配套安装高效油烟净化设施。城市建成区全面禁止露天烧烤。严查不正常使用油烟净化设施、超标排放油烟问题。</w:t>
                  </w:r>
                </w:p>
                <w:p w14:paraId="2277CBB8">
                  <w:pPr>
                    <w:keepNext w:val="0"/>
                    <w:keepLines w:val="0"/>
                    <w:widowControl/>
                    <w:suppressLineNumbers w:val="0"/>
                    <w:spacing w:before="0" w:beforeAutospacing="0" w:after="0" w:afterAutospacing="0"/>
                    <w:ind w:left="0" w:right="0"/>
                    <w:jc w:val="both"/>
                    <w:rPr>
                      <w:rFonts w:hint="default" w:ascii="Times New Roman" w:hAnsi="Times New Roman" w:cs="Times New Roman"/>
                      <w:color w:val="auto"/>
                      <w:sz w:val="21"/>
                      <w:szCs w:val="21"/>
                      <w:lang w:val="en-US" w:eastAsia="zh-CN"/>
                    </w:rPr>
                  </w:pPr>
                  <w:r>
                    <w:rPr>
                      <w:rFonts w:hint="default" w:ascii="Times New Roman" w:hAnsi="Times New Roman" w:cs="Times New Roman"/>
                      <w:b/>
                      <w:bCs/>
                      <w:color w:val="auto"/>
                      <w:kern w:val="0"/>
                      <w:sz w:val="21"/>
                      <w:szCs w:val="21"/>
                      <w:lang w:val="en-US" w:eastAsia="zh-CN" w:bidi="ar"/>
                    </w:rPr>
                    <w:t>水环境工业污染重点管控区：</w:t>
                  </w:r>
                  <w:r>
                    <w:rPr>
                      <w:rFonts w:hint="default" w:ascii="Times New Roman" w:hAnsi="Times New Roman" w:cs="Times New Roman"/>
                      <w:b w:val="0"/>
                      <w:bCs w:val="0"/>
                      <w:color w:val="auto"/>
                      <w:kern w:val="0"/>
                      <w:sz w:val="21"/>
                      <w:szCs w:val="21"/>
                      <w:lang w:val="en-US" w:eastAsia="zh-CN" w:bidi="ar"/>
                    </w:rPr>
                    <w:t>1.持续推进城中村、老旧城区、</w:t>
                  </w:r>
                  <w:r>
                    <w:rPr>
                      <w:rFonts w:hint="eastAsia" w:cs="Times New Roman"/>
                      <w:b w:val="0"/>
                      <w:bCs w:val="0"/>
                      <w:color w:val="auto"/>
                      <w:kern w:val="0"/>
                      <w:sz w:val="21"/>
                      <w:szCs w:val="21"/>
                      <w:lang w:val="en-US" w:eastAsia="zh-CN" w:bidi="ar"/>
                    </w:rPr>
                    <w:t>城乡接合部</w:t>
                  </w:r>
                  <w:r>
                    <w:rPr>
                      <w:rFonts w:hint="default" w:ascii="Times New Roman" w:hAnsi="Times New Roman" w:cs="Times New Roman"/>
                      <w:b w:val="0"/>
                      <w:bCs w:val="0"/>
                      <w:color w:val="auto"/>
                      <w:kern w:val="0"/>
                      <w:sz w:val="21"/>
                      <w:szCs w:val="21"/>
                      <w:lang w:val="en-US" w:eastAsia="zh-CN" w:bidi="ar"/>
                    </w:rPr>
                    <w:t>污水截流、收集和城市雨污管道新建、改建。到2025年底，基本实现城市和县城建成区内生活污水全收集。</w:t>
                  </w:r>
                </w:p>
              </w:tc>
              <w:tc>
                <w:tcPr>
                  <w:tcW w:w="1470" w:type="pct"/>
                  <w:tcBorders>
                    <w:tl2br w:val="nil"/>
                    <w:tr2bl w:val="nil"/>
                  </w:tcBorders>
                  <w:noWrap w:val="0"/>
                  <w:vAlign w:val="center"/>
                </w:tcPr>
                <w:p w14:paraId="539D4615">
                  <w:pPr>
                    <w:keepNext w:val="0"/>
                    <w:keepLines w:val="0"/>
                    <w:numPr>
                      <w:ilvl w:val="0"/>
                      <w:numId w:val="0"/>
                    </w:numPr>
                    <w:suppressLineNumbers w:val="0"/>
                    <w:autoSpaceDE w:val="0"/>
                    <w:autoSpaceDN w:val="0"/>
                    <w:adjustRightInd w:val="0"/>
                    <w:snapToGrid w:val="0"/>
                    <w:spacing w:before="0" w:beforeAutospacing="0" w:after="0" w:afterAutospacing="0"/>
                    <w:ind w:left="0" w:right="0"/>
                    <w:jc w:val="both"/>
                    <w:rPr>
                      <w:rFonts w:hint="default" w:ascii="Times New Roman" w:hAnsi="Times New Roman" w:cs="Times New Roman"/>
                      <w:bCs/>
                      <w:color w:val="auto"/>
                      <w:sz w:val="21"/>
                      <w:szCs w:val="21"/>
                      <w:shd w:val="clear" w:color="auto" w:fill="auto"/>
                      <w:lang w:val="en-US" w:eastAsia="zh-CN"/>
                    </w:rPr>
                  </w:pPr>
                  <w:r>
                    <w:rPr>
                      <w:rFonts w:hint="default" w:ascii="Times New Roman" w:hAnsi="Times New Roman" w:eastAsia="宋体" w:cs="Times New Roman"/>
                      <w:b/>
                      <w:bCs/>
                      <w:color w:val="auto"/>
                      <w:kern w:val="0"/>
                      <w:sz w:val="21"/>
                      <w:szCs w:val="21"/>
                      <w:lang w:val="en-US" w:eastAsia="zh-CN" w:bidi="ar"/>
                    </w:rPr>
                    <w:t>大气环境受体敏感重点管控区：</w:t>
                  </w:r>
                </w:p>
                <w:p w14:paraId="539A24B6">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本项目为废弃资源综合利用业，不属于两高行业，不属于钢铁、焦化、水泥熟料、平板玻璃、电解铝、氧化铝、煤化工行业。</w:t>
                  </w:r>
                  <w:r>
                    <w:rPr>
                      <w:rFonts w:hint="eastAsia" w:ascii="Times New Roman" w:hAnsi="Times New Roman" w:eastAsia="宋体" w:cs="Times New Roman"/>
                      <w:color w:val="auto"/>
                      <w:kern w:val="0"/>
                      <w:sz w:val="21"/>
                      <w:szCs w:val="21"/>
                      <w:lang w:val="en-US" w:eastAsia="zh-CN" w:bidi="ar"/>
                    </w:rPr>
                    <w:t>本项目</w:t>
                  </w:r>
                  <w:r>
                    <w:rPr>
                      <w:rFonts w:hint="default" w:ascii="Times New Roman" w:hAnsi="Times New Roman" w:eastAsia="宋体" w:cs="Times New Roman"/>
                      <w:color w:val="auto"/>
                      <w:kern w:val="0"/>
                      <w:sz w:val="21"/>
                      <w:szCs w:val="21"/>
                      <w:lang w:val="en-US" w:eastAsia="zh-CN" w:bidi="ar"/>
                    </w:rPr>
                    <w:t>不涉及商住楼及油烟。</w:t>
                  </w:r>
                </w:p>
                <w:p w14:paraId="6FF07587">
                  <w:pPr>
                    <w:keepNext w:val="0"/>
                    <w:keepLines w:val="0"/>
                    <w:numPr>
                      <w:ilvl w:val="0"/>
                      <w:numId w:val="0"/>
                    </w:numPr>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b/>
                      <w:bCs/>
                      <w:color w:val="auto"/>
                      <w:sz w:val="21"/>
                      <w:szCs w:val="21"/>
                      <w:shd w:val="clear" w:color="auto" w:fill="auto"/>
                      <w:lang w:val="en-US" w:eastAsia="zh-CN"/>
                    </w:rPr>
                  </w:pPr>
                  <w:r>
                    <w:rPr>
                      <w:rFonts w:hint="default" w:ascii="Times New Roman" w:hAnsi="Times New Roman" w:cs="Times New Roman"/>
                      <w:b/>
                      <w:bCs/>
                      <w:color w:val="auto"/>
                      <w:kern w:val="0"/>
                      <w:sz w:val="21"/>
                      <w:szCs w:val="21"/>
                      <w:lang w:val="en-US" w:eastAsia="zh-CN" w:bidi="ar"/>
                    </w:rPr>
                    <w:t>水环境工业污染重点管控区：</w:t>
                  </w:r>
                  <w:r>
                    <w:rPr>
                      <w:rFonts w:hint="default" w:ascii="Times New Roman" w:hAnsi="Times New Roman" w:cs="Times New Roman"/>
                      <w:b w:val="0"/>
                      <w:bCs w:val="0"/>
                      <w:color w:val="auto"/>
                      <w:kern w:val="0"/>
                      <w:sz w:val="21"/>
                      <w:szCs w:val="21"/>
                      <w:lang w:val="en-US" w:eastAsia="zh-CN" w:bidi="ar"/>
                    </w:rPr>
                    <w:t>本项目生活污水经化粪池处理后拉运处理；项目无生产废水产生。</w:t>
                  </w:r>
                </w:p>
              </w:tc>
            </w:tr>
            <w:tr w14:paraId="5D1D35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7" w:type="pct"/>
                  <w:vMerge w:val="continue"/>
                  <w:tcBorders>
                    <w:tl2br w:val="nil"/>
                    <w:tr2bl w:val="nil"/>
                  </w:tcBorders>
                  <w:noWrap w:val="0"/>
                  <w:vAlign w:val="center"/>
                </w:tcPr>
                <w:p w14:paraId="3B21AA93">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cs="Times New Roman"/>
                      <w:color w:val="auto"/>
                      <w:sz w:val="21"/>
                      <w:szCs w:val="21"/>
                      <w:shd w:val="clear" w:color="auto" w:fill="auto"/>
                    </w:rPr>
                  </w:pPr>
                </w:p>
              </w:tc>
              <w:tc>
                <w:tcPr>
                  <w:tcW w:w="473" w:type="pct"/>
                  <w:vMerge w:val="continue"/>
                  <w:tcBorders>
                    <w:tl2br w:val="nil"/>
                    <w:tr2bl w:val="nil"/>
                  </w:tcBorders>
                  <w:noWrap w:val="0"/>
                  <w:vAlign w:val="center"/>
                </w:tcPr>
                <w:p w14:paraId="47674EC0">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cs="Times New Roman"/>
                      <w:color w:val="auto"/>
                      <w:sz w:val="21"/>
                      <w:szCs w:val="21"/>
                      <w:shd w:val="clear" w:color="auto" w:fill="auto"/>
                    </w:rPr>
                  </w:pPr>
                </w:p>
              </w:tc>
              <w:tc>
                <w:tcPr>
                  <w:tcW w:w="443" w:type="pct"/>
                  <w:tcBorders>
                    <w:tl2br w:val="nil"/>
                    <w:tr2bl w:val="nil"/>
                  </w:tcBorders>
                  <w:noWrap w:val="0"/>
                  <w:vAlign w:val="center"/>
                </w:tcPr>
                <w:p w14:paraId="6BF6146E">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bCs/>
                      <w:color w:val="auto"/>
                      <w:kern w:val="2"/>
                      <w:sz w:val="21"/>
                      <w:szCs w:val="21"/>
                      <w:shd w:val="clear" w:color="auto" w:fill="auto"/>
                      <w:lang w:val="en-US" w:eastAsia="zh-CN" w:bidi="ar-SA"/>
                    </w:rPr>
                  </w:pPr>
                  <w:r>
                    <w:rPr>
                      <w:rFonts w:hint="default" w:ascii="Times New Roman" w:hAnsi="Times New Roman" w:cs="Times New Roman"/>
                      <w:bCs/>
                      <w:color w:val="auto"/>
                      <w:sz w:val="21"/>
                      <w:szCs w:val="21"/>
                      <w:shd w:val="clear" w:color="auto" w:fill="auto"/>
                    </w:rPr>
                    <w:t>污染物排放管控</w:t>
                  </w:r>
                </w:p>
              </w:tc>
              <w:tc>
                <w:tcPr>
                  <w:tcW w:w="2075" w:type="pct"/>
                  <w:tcBorders>
                    <w:tl2br w:val="nil"/>
                    <w:tr2bl w:val="nil"/>
                  </w:tcBorders>
                  <w:noWrap w:val="0"/>
                  <w:vAlign w:val="center"/>
                </w:tcPr>
                <w:p w14:paraId="558145FF">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大气环境受体敏感重点管控区：</w:t>
                  </w:r>
                </w:p>
                <w:p w14:paraId="3395D026">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1.城市建成区产生油烟的餐饮服务单位全部安装油烟净化装置并保持正常运行和定期维护。2.持续因地制宜实施“煤改气</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油改气”、电能、地热、生物质等清洁能源取暖措施。巩固城市建成区、县（区）平原区域散煤动态清理成效。3.鼓励将老旧车辆和非道路移动机械替换为清洁能源车辆。推进新能源或清洁能源汽车</w:t>
                  </w:r>
                </w:p>
                <w:p w14:paraId="11563D82">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使用。4.不再新建燃煤集中供热站。构建跨区域热电联产电厂、工业余热集中供热体系。2025 年 10 月底前，建成大唐宝鸡二电厂向市区供热管网项目，热电联产集中供热全面替代市区燃煤供热。淘汰管网覆盖范围内的供热燃煤锅炉，原有燃煤、燃气供热锅炉用于调峰备用。5.市辖区及开发区新、改、扩建涉气重点行业企业应达到环保绩效A级、绩效引领性水平。</w:t>
                  </w:r>
                </w:p>
                <w:p w14:paraId="4A12CD13">
                  <w:pPr>
                    <w:keepNext w:val="0"/>
                    <w:keepLines w:val="0"/>
                    <w:widowControl/>
                    <w:suppressLineNumbers w:val="0"/>
                    <w:spacing w:before="0" w:beforeAutospacing="0" w:after="0" w:afterAutospacing="0"/>
                    <w:ind w:left="0" w:right="0"/>
                    <w:jc w:val="both"/>
                    <w:rPr>
                      <w:rFonts w:hint="default" w:ascii="Times New Roman" w:hAnsi="Times New Roman" w:cs="Times New Roman"/>
                      <w:color w:val="auto"/>
                      <w:sz w:val="21"/>
                      <w:szCs w:val="21"/>
                      <w:lang w:val="en-US" w:eastAsia="zh-CN"/>
                    </w:rPr>
                  </w:pPr>
                  <w:r>
                    <w:rPr>
                      <w:rFonts w:hint="default" w:ascii="Times New Roman" w:hAnsi="Times New Roman" w:cs="Times New Roman"/>
                      <w:b/>
                      <w:bCs/>
                      <w:color w:val="auto"/>
                      <w:kern w:val="0"/>
                      <w:sz w:val="21"/>
                      <w:szCs w:val="21"/>
                      <w:lang w:val="en-US" w:eastAsia="zh-CN" w:bidi="ar"/>
                    </w:rPr>
                    <w:t>水环境工业污染重点管控区：</w:t>
                  </w:r>
                  <w:r>
                    <w:rPr>
                      <w:rFonts w:hint="default" w:ascii="Times New Roman" w:hAnsi="Times New Roman" w:cs="Times New Roman"/>
                      <w:b w:val="0"/>
                      <w:bCs w:val="0"/>
                      <w:color w:val="auto"/>
                      <w:kern w:val="0"/>
                      <w:sz w:val="21"/>
                      <w:szCs w:val="21"/>
                      <w:lang w:val="en-US" w:eastAsia="zh-CN" w:bidi="ar"/>
                    </w:rPr>
                    <w:t>1.</w:t>
                  </w:r>
                  <w:r>
                    <w:rPr>
                      <w:rFonts w:hint="default" w:ascii="Times New Roman" w:hAnsi="Times New Roman" w:eastAsia="宋体" w:cs="Times New Roman"/>
                      <w:color w:val="auto"/>
                      <w:kern w:val="0"/>
                      <w:sz w:val="21"/>
                      <w:szCs w:val="21"/>
                      <w:lang w:val="en-US" w:eastAsia="zh-CN" w:bidi="ar"/>
                    </w:rPr>
                    <w:t>加强城镇污水收集处理设施建设与提标改造。全省黄河流域城镇生活污水处理达到《陕西省黄河流域污水综合排放标准》（DB61/224-2018）加强城镇生活污水处理，提高对生活污水的处理能力，排放限值要求。2.城镇新区管网建设及老旧城区管网升级改造中实行雨污分流，鼓励推进初期雨水收集、处理和资源化利用，建设人工湿地水质净化工程，对处理达标后的尾水进一步净化。3.污水处理厂出水用于绿化、农灌等用途的，合理确定管控要求，确保达到相应污水再生利用标准。</w:t>
                  </w:r>
                </w:p>
              </w:tc>
              <w:tc>
                <w:tcPr>
                  <w:tcW w:w="1470" w:type="pct"/>
                  <w:tcBorders>
                    <w:tl2br w:val="nil"/>
                    <w:tr2bl w:val="nil"/>
                  </w:tcBorders>
                  <w:noWrap w:val="0"/>
                  <w:vAlign w:val="center"/>
                </w:tcPr>
                <w:p w14:paraId="6CC97BCF">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大气环境受体敏感重点管控区：</w:t>
                  </w:r>
                </w:p>
                <w:p w14:paraId="6FA8A1F8">
                  <w:pPr>
                    <w:keepNext w:val="0"/>
                    <w:keepLines w:val="0"/>
                    <w:suppressLineNumbers w:val="0"/>
                    <w:autoSpaceDE w:val="0"/>
                    <w:autoSpaceDN w:val="0"/>
                    <w:adjustRightInd w:val="0"/>
                    <w:snapToGrid w:val="0"/>
                    <w:spacing w:before="0" w:beforeAutospacing="0" w:after="0" w:afterAutospacing="0"/>
                    <w:ind w:left="0" w:right="0"/>
                    <w:jc w:val="both"/>
                    <w:rPr>
                      <w:rFonts w:hint="eastAsia" w:cs="Times New Roman"/>
                      <w:snapToGrid w:val="0"/>
                      <w:color w:val="auto"/>
                      <w:sz w:val="21"/>
                      <w:szCs w:val="21"/>
                      <w:lang w:val="en-US" w:eastAsia="zh-CN"/>
                    </w:rPr>
                  </w:pPr>
                  <w:r>
                    <w:rPr>
                      <w:rFonts w:hint="default" w:ascii="Times New Roman" w:hAnsi="Times New Roman" w:cs="Times New Roman"/>
                      <w:snapToGrid w:val="0"/>
                      <w:color w:val="auto"/>
                      <w:sz w:val="21"/>
                      <w:szCs w:val="21"/>
                      <w:lang w:val="en-US" w:eastAsia="zh-CN"/>
                    </w:rPr>
                    <w:t>项目使用能源为电能，为清洁能源</w:t>
                  </w:r>
                  <w:r>
                    <w:rPr>
                      <w:rFonts w:hint="eastAsia" w:cs="Times New Roman"/>
                      <w:snapToGrid w:val="0"/>
                      <w:color w:val="auto"/>
                      <w:sz w:val="21"/>
                      <w:szCs w:val="21"/>
                      <w:lang w:val="en-US" w:eastAsia="zh-CN"/>
                    </w:rPr>
                    <w:t>；经</w:t>
                  </w:r>
                  <w:r>
                    <w:rPr>
                      <w:rFonts w:hint="default" w:ascii="Times New Roman" w:hAnsi="Times New Roman" w:cs="Times New Roman"/>
                      <w:snapToGrid w:val="0"/>
                      <w:color w:val="auto"/>
                      <w:sz w:val="21"/>
                      <w:szCs w:val="21"/>
                      <w:lang w:val="en-US" w:eastAsia="zh-CN"/>
                    </w:rPr>
                    <w:t>查阅《重污染天气重点行业应急减排措施制定技术指南（2020年修订版）》，本项目虽不属于指南中三十九个涉气重点行业企业</w:t>
                  </w:r>
                  <w:r>
                    <w:rPr>
                      <w:rFonts w:hint="eastAsia" w:cs="Times New Roman"/>
                      <w:snapToGrid w:val="0"/>
                      <w:color w:val="auto"/>
                      <w:sz w:val="21"/>
                      <w:szCs w:val="21"/>
                      <w:lang w:val="en-US" w:eastAsia="zh-CN"/>
                    </w:rPr>
                    <w:t>；</w:t>
                  </w:r>
                </w:p>
                <w:p w14:paraId="3A232A6A">
                  <w:pPr>
                    <w:keepNext w:val="0"/>
                    <w:keepLines w:val="0"/>
                    <w:widowControl/>
                    <w:suppressLineNumbers w:val="0"/>
                    <w:spacing w:before="0" w:beforeAutospacing="0" w:after="0" w:afterAutospacing="0"/>
                    <w:ind w:left="0" w:right="0"/>
                    <w:jc w:val="left"/>
                    <w:rPr>
                      <w:rFonts w:hint="default" w:ascii="Times New Roman" w:hAnsi="Times New Roman" w:cs="Times New Roman"/>
                      <w:b w:val="0"/>
                      <w:bCs w:val="0"/>
                      <w:color w:val="auto"/>
                      <w:kern w:val="0"/>
                      <w:sz w:val="21"/>
                      <w:szCs w:val="21"/>
                      <w:lang w:val="en-US" w:eastAsia="zh-CN" w:bidi="ar"/>
                    </w:rPr>
                  </w:pPr>
                  <w:r>
                    <w:rPr>
                      <w:rFonts w:hint="default" w:ascii="Times New Roman" w:hAnsi="Times New Roman" w:cs="Times New Roman"/>
                      <w:b/>
                      <w:bCs/>
                      <w:color w:val="auto"/>
                      <w:kern w:val="0"/>
                      <w:sz w:val="21"/>
                      <w:szCs w:val="21"/>
                      <w:lang w:val="en-US" w:eastAsia="zh-CN" w:bidi="ar"/>
                    </w:rPr>
                    <w:t>水环境工业污染重点管控区：</w:t>
                  </w:r>
                  <w:r>
                    <w:rPr>
                      <w:rFonts w:hint="default" w:ascii="Times New Roman" w:hAnsi="Times New Roman" w:cs="Times New Roman"/>
                      <w:b w:val="0"/>
                      <w:bCs w:val="0"/>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项目运营期生产废水不外排；</w:t>
                  </w:r>
                  <w:r>
                    <w:rPr>
                      <w:rFonts w:hint="default" w:ascii="Times New Roman" w:hAnsi="Times New Roman" w:cs="Times New Roman"/>
                      <w:b w:val="0"/>
                      <w:bCs w:val="0"/>
                      <w:color w:val="auto"/>
                      <w:kern w:val="0"/>
                      <w:sz w:val="21"/>
                      <w:szCs w:val="21"/>
                      <w:lang w:val="en-US" w:eastAsia="zh-CN" w:bidi="ar"/>
                    </w:rPr>
                    <w:t>本项目生活污水经化粪池处理后拉运处理；项目无生产废水产生，不涉及其他。</w:t>
                  </w:r>
                </w:p>
                <w:p w14:paraId="76BE8DAD">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bCs/>
                      <w:color w:val="auto"/>
                      <w:sz w:val="21"/>
                      <w:szCs w:val="21"/>
                      <w:shd w:val="clear" w:color="auto" w:fill="auto"/>
                      <w:lang w:val="en-US" w:eastAsia="zh-CN"/>
                    </w:rPr>
                  </w:pPr>
                </w:p>
              </w:tc>
            </w:tr>
            <w:tr w14:paraId="3273A3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7" w:type="pct"/>
                  <w:vMerge w:val="continue"/>
                  <w:tcBorders>
                    <w:tl2br w:val="nil"/>
                    <w:tr2bl w:val="nil"/>
                  </w:tcBorders>
                  <w:noWrap w:val="0"/>
                  <w:vAlign w:val="center"/>
                </w:tcPr>
                <w:p w14:paraId="7EC5E7FE">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cs="Times New Roman"/>
                      <w:color w:val="auto"/>
                      <w:sz w:val="21"/>
                      <w:szCs w:val="21"/>
                      <w:shd w:val="clear" w:color="auto" w:fill="auto"/>
                    </w:rPr>
                  </w:pPr>
                </w:p>
              </w:tc>
              <w:tc>
                <w:tcPr>
                  <w:tcW w:w="473" w:type="pct"/>
                  <w:vMerge w:val="continue"/>
                  <w:tcBorders>
                    <w:tl2br w:val="nil"/>
                    <w:tr2bl w:val="nil"/>
                  </w:tcBorders>
                  <w:noWrap w:val="0"/>
                  <w:vAlign w:val="center"/>
                </w:tcPr>
                <w:p w14:paraId="11C1D607">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cs="Times New Roman"/>
                      <w:color w:val="auto"/>
                      <w:sz w:val="21"/>
                      <w:szCs w:val="21"/>
                      <w:shd w:val="clear" w:color="auto" w:fill="auto"/>
                    </w:rPr>
                  </w:pPr>
                </w:p>
              </w:tc>
              <w:tc>
                <w:tcPr>
                  <w:tcW w:w="443" w:type="pct"/>
                  <w:tcBorders>
                    <w:tl2br w:val="nil"/>
                    <w:tr2bl w:val="nil"/>
                  </w:tcBorders>
                  <w:noWrap w:val="0"/>
                  <w:vAlign w:val="center"/>
                </w:tcPr>
                <w:p w14:paraId="70B16FBE">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bCs/>
                      <w:color w:val="auto"/>
                      <w:sz w:val="21"/>
                      <w:szCs w:val="21"/>
                      <w:shd w:val="clear" w:color="auto" w:fill="auto"/>
                      <w:lang w:val="en-US" w:eastAsia="zh-CN"/>
                    </w:rPr>
                  </w:pPr>
                  <w:r>
                    <w:rPr>
                      <w:rFonts w:hint="default" w:ascii="Times New Roman" w:hAnsi="Times New Roman" w:cs="Times New Roman"/>
                      <w:bCs/>
                      <w:color w:val="auto"/>
                      <w:sz w:val="21"/>
                      <w:szCs w:val="21"/>
                      <w:shd w:val="clear" w:color="auto" w:fill="auto"/>
                      <w:lang w:val="en-US" w:eastAsia="zh-CN"/>
                    </w:rPr>
                    <w:t>环境风险防控环境风险防控</w:t>
                  </w:r>
                </w:p>
              </w:tc>
              <w:tc>
                <w:tcPr>
                  <w:tcW w:w="2075" w:type="pct"/>
                  <w:tcBorders>
                    <w:tl2br w:val="nil"/>
                    <w:tr2bl w:val="nil"/>
                  </w:tcBorders>
                  <w:noWrap w:val="0"/>
                  <w:vAlign w:val="center"/>
                </w:tcPr>
                <w:p w14:paraId="29623F65">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b/>
                      <w:bCs/>
                      <w:color w:val="auto"/>
                      <w:kern w:val="0"/>
                      <w:sz w:val="21"/>
                      <w:szCs w:val="21"/>
                      <w:lang w:val="en-US" w:eastAsia="zh-CN" w:bidi="ar"/>
                    </w:rPr>
                    <w:t>/</w:t>
                  </w:r>
                </w:p>
              </w:tc>
              <w:tc>
                <w:tcPr>
                  <w:tcW w:w="1470" w:type="pct"/>
                  <w:tcBorders>
                    <w:tl2br w:val="nil"/>
                    <w:tr2bl w:val="nil"/>
                  </w:tcBorders>
                  <w:noWrap w:val="0"/>
                  <w:vAlign w:val="center"/>
                </w:tcPr>
                <w:p w14:paraId="19023430">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14:paraId="2D2C33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537" w:type="pct"/>
                  <w:vMerge w:val="continue"/>
                  <w:tcBorders>
                    <w:tl2br w:val="nil"/>
                    <w:tr2bl w:val="nil"/>
                  </w:tcBorders>
                  <w:noWrap w:val="0"/>
                  <w:vAlign w:val="center"/>
                </w:tcPr>
                <w:p w14:paraId="7D4C6FA2">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cs="Times New Roman"/>
                      <w:color w:val="auto"/>
                      <w:sz w:val="21"/>
                      <w:szCs w:val="21"/>
                      <w:shd w:val="clear" w:color="auto" w:fill="auto"/>
                    </w:rPr>
                  </w:pPr>
                </w:p>
              </w:tc>
              <w:tc>
                <w:tcPr>
                  <w:tcW w:w="473" w:type="pct"/>
                  <w:vMerge w:val="continue"/>
                  <w:tcBorders>
                    <w:tl2br w:val="nil"/>
                    <w:tr2bl w:val="nil"/>
                  </w:tcBorders>
                  <w:noWrap w:val="0"/>
                  <w:vAlign w:val="center"/>
                </w:tcPr>
                <w:p w14:paraId="0FCED00A">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cs="Times New Roman"/>
                      <w:color w:val="auto"/>
                      <w:sz w:val="21"/>
                      <w:szCs w:val="21"/>
                      <w:shd w:val="clear" w:color="auto" w:fill="auto"/>
                    </w:rPr>
                  </w:pPr>
                </w:p>
              </w:tc>
              <w:tc>
                <w:tcPr>
                  <w:tcW w:w="443" w:type="pct"/>
                  <w:tcBorders>
                    <w:tl2br w:val="nil"/>
                    <w:tr2bl w:val="nil"/>
                  </w:tcBorders>
                  <w:noWrap w:val="0"/>
                  <w:vAlign w:val="center"/>
                </w:tcPr>
                <w:p w14:paraId="38F9A870">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bCs/>
                      <w:color w:val="auto"/>
                      <w:sz w:val="21"/>
                      <w:szCs w:val="21"/>
                      <w:shd w:val="clear" w:color="auto" w:fill="auto"/>
                      <w:lang w:val="en-US" w:eastAsia="zh-CN"/>
                    </w:rPr>
                  </w:pPr>
                  <w:r>
                    <w:rPr>
                      <w:rFonts w:hint="default" w:ascii="Times New Roman" w:hAnsi="Times New Roman" w:cs="Times New Roman"/>
                      <w:bCs/>
                      <w:color w:val="auto"/>
                      <w:sz w:val="21"/>
                      <w:szCs w:val="21"/>
                      <w:shd w:val="clear" w:color="auto" w:fill="auto"/>
                      <w:lang w:val="en-US" w:eastAsia="zh-CN"/>
                    </w:rPr>
                    <w:t>资源开发效率要求</w:t>
                  </w:r>
                </w:p>
              </w:tc>
              <w:tc>
                <w:tcPr>
                  <w:tcW w:w="2075" w:type="pct"/>
                  <w:tcBorders>
                    <w:tl2br w:val="nil"/>
                    <w:tr2bl w:val="nil"/>
                  </w:tcBorders>
                  <w:noWrap w:val="0"/>
                  <w:vAlign w:val="center"/>
                </w:tcPr>
                <w:p w14:paraId="40DDFE66">
                  <w:pPr>
                    <w:keepNext w:val="0"/>
                    <w:keepLines w:val="0"/>
                    <w:widowControl/>
                    <w:suppressLineNumbers w:val="0"/>
                    <w:spacing w:before="0" w:beforeAutospacing="0" w:after="0" w:afterAutospacing="0"/>
                    <w:ind w:left="0" w:right="0"/>
                    <w:jc w:val="both"/>
                    <w:rPr>
                      <w:rFonts w:hint="default" w:ascii="Times New Roman" w:hAnsi="Times New Roman" w:cs="Times New Roman"/>
                      <w:b w:val="0"/>
                      <w:bCs w:val="0"/>
                      <w:color w:val="auto"/>
                      <w:kern w:val="0"/>
                      <w:sz w:val="21"/>
                      <w:szCs w:val="21"/>
                      <w:lang w:val="en-US" w:eastAsia="zh-CN" w:bidi="ar"/>
                    </w:rPr>
                  </w:pPr>
                  <w:r>
                    <w:rPr>
                      <w:rFonts w:hint="default" w:ascii="Times New Roman" w:hAnsi="Times New Roman" w:cs="Times New Roman"/>
                      <w:b/>
                      <w:bCs/>
                      <w:color w:val="auto"/>
                      <w:kern w:val="0"/>
                      <w:sz w:val="21"/>
                      <w:szCs w:val="21"/>
                      <w:lang w:val="en-US" w:eastAsia="zh-CN" w:bidi="ar"/>
                    </w:rPr>
                    <w:t>生态用水补给区管控分区：</w:t>
                  </w:r>
                  <w:r>
                    <w:rPr>
                      <w:rFonts w:hint="default" w:ascii="Times New Roman" w:hAnsi="Times New Roman" w:cs="Times New Roman"/>
                      <w:b w:val="0"/>
                      <w:bCs w:val="0"/>
                      <w:color w:val="auto"/>
                      <w:kern w:val="0"/>
                      <w:sz w:val="21"/>
                      <w:szCs w:val="21"/>
                      <w:lang w:val="en-US" w:eastAsia="zh-CN" w:bidi="ar"/>
                    </w:rPr>
                    <w:t>1.加强生态流量日常监管，提高枯水期和关键期生态流量，探索生态流量联合监管机制，维持河道生态系统稳定。</w:t>
                  </w:r>
                </w:p>
                <w:p w14:paraId="26570086">
                  <w:pPr>
                    <w:keepNext w:val="0"/>
                    <w:keepLines w:val="0"/>
                    <w:widowControl/>
                    <w:numPr>
                      <w:ilvl w:val="0"/>
                      <w:numId w:val="2"/>
                    </w:numPr>
                    <w:suppressLineNumbers w:val="0"/>
                    <w:spacing w:before="0" w:beforeAutospacing="0" w:after="0" w:afterAutospacing="0"/>
                    <w:ind w:left="0" w:leftChars="0" w:right="0" w:firstLine="0" w:firstLineChars="0"/>
                    <w:jc w:val="both"/>
                    <w:rPr>
                      <w:rFonts w:hint="default" w:ascii="Times New Roman" w:hAnsi="Times New Roman" w:cs="Times New Roman"/>
                      <w:b w:val="0"/>
                      <w:bCs w:val="0"/>
                      <w:color w:val="auto"/>
                      <w:kern w:val="0"/>
                      <w:sz w:val="21"/>
                      <w:szCs w:val="21"/>
                      <w:lang w:val="en-US" w:eastAsia="zh-CN" w:bidi="ar"/>
                    </w:rPr>
                  </w:pPr>
                  <w:r>
                    <w:rPr>
                      <w:rFonts w:hint="default" w:ascii="Times New Roman" w:hAnsi="Times New Roman" w:cs="Times New Roman"/>
                      <w:b w:val="0"/>
                      <w:bCs w:val="0"/>
                      <w:color w:val="auto"/>
                      <w:kern w:val="0"/>
                      <w:sz w:val="21"/>
                      <w:szCs w:val="21"/>
                      <w:lang w:val="en-US" w:eastAsia="zh-CN" w:bidi="ar"/>
                    </w:rPr>
                    <w:t>水资源配置应首先考虑生态用水，保护修复水生态环境。已成工程通过水源置换、退减被挤占的河道内生态环境用水，规划工程应在保障河道生态环境用水的前提下，进行合理开发。3.在保护生态环境和水资源可持续利用的前提下，确保河道内生态用水的要求并兼顾河道内生产用水需求，合理确定河道外用水消耗量不超过河流水系的水资源可利用量。严格执行用水总量指标，在用水总量控制的前提下，逐步退还被挤占的河道内生态环境用水。4.将河湖生态流量保障目标落实纳入水资源调度方案和年度调度计划，以重要水利水电工程和水资源配置工程为重点，实施水资源统一调度，落实水利水电工程生态流量下泄措施。</w:t>
                  </w:r>
                </w:p>
                <w:p w14:paraId="317AAC13">
                  <w:pPr>
                    <w:keepNext w:val="0"/>
                    <w:keepLines w:val="0"/>
                    <w:widowControl/>
                    <w:numPr>
                      <w:ilvl w:val="0"/>
                      <w:numId w:val="2"/>
                    </w:numPr>
                    <w:suppressLineNumbers w:val="0"/>
                    <w:spacing w:before="0" w:beforeAutospacing="0" w:after="0" w:afterAutospacing="0"/>
                    <w:ind w:left="0" w:leftChars="0" w:right="0" w:firstLine="0" w:firstLineChars="0"/>
                    <w:jc w:val="both"/>
                    <w:rPr>
                      <w:rFonts w:hint="default" w:ascii="Times New Roman" w:hAnsi="Times New Roman" w:cs="Times New Roman"/>
                      <w:b/>
                      <w:bCs/>
                      <w:color w:val="auto"/>
                      <w:kern w:val="0"/>
                      <w:sz w:val="21"/>
                      <w:szCs w:val="21"/>
                      <w:lang w:val="en-US" w:eastAsia="zh-CN" w:bidi="ar"/>
                    </w:rPr>
                  </w:pPr>
                  <w:r>
                    <w:rPr>
                      <w:rFonts w:hint="default" w:ascii="Times New Roman" w:hAnsi="Times New Roman" w:cs="Times New Roman"/>
                      <w:b/>
                      <w:bCs/>
                      <w:color w:val="auto"/>
                      <w:kern w:val="0"/>
                      <w:sz w:val="21"/>
                      <w:szCs w:val="21"/>
                      <w:lang w:val="en-US" w:eastAsia="zh-CN" w:bidi="ar"/>
                    </w:rPr>
                    <w:t>高污染燃料禁燃区：</w:t>
                  </w:r>
                  <w:r>
                    <w:rPr>
                      <w:rFonts w:hint="default" w:ascii="Times New Roman" w:hAnsi="Times New Roman" w:cs="Times New Roman"/>
                      <w:b w:val="0"/>
                      <w:bCs w:val="0"/>
                      <w:color w:val="auto"/>
                      <w:kern w:val="0"/>
                      <w:sz w:val="21"/>
                      <w:szCs w:val="21"/>
                      <w:lang w:val="en-US" w:eastAsia="zh-CN" w:bidi="ar"/>
                    </w:rPr>
                    <w:t>1.禁止销售、燃用高污染燃料（35蒸吨及以上锅炉、火力发电企业机组除外）。</w:t>
                  </w:r>
                  <w:r>
                    <w:rPr>
                      <w:rFonts w:hint="eastAsia" w:cs="Times New Roman"/>
                      <w:b w:val="0"/>
                      <w:bCs w:val="0"/>
                      <w:color w:val="auto"/>
                      <w:kern w:val="0"/>
                      <w:sz w:val="21"/>
                      <w:szCs w:val="21"/>
                      <w:lang w:val="en-US" w:eastAsia="zh-CN" w:bidi="ar"/>
                    </w:rPr>
                    <w:t>2</w:t>
                  </w:r>
                  <w:r>
                    <w:rPr>
                      <w:rFonts w:hint="default" w:ascii="Times New Roman" w:hAnsi="Times New Roman" w:cs="Times New Roman"/>
                      <w:b w:val="0"/>
                      <w:bCs w:val="0"/>
                      <w:color w:val="auto"/>
                      <w:kern w:val="0"/>
                      <w:sz w:val="21"/>
                      <w:szCs w:val="21"/>
                      <w:lang w:val="en-US" w:eastAsia="zh-CN" w:bidi="ar"/>
                    </w:rPr>
                    <w:t>.禁止新建、扩建燃用高污染燃料的锅炉、窑炉、炉灶等设施，不得将其他燃料燃用设施改造为高污染燃料燃用设施。</w:t>
                  </w:r>
                </w:p>
              </w:tc>
              <w:tc>
                <w:tcPr>
                  <w:tcW w:w="1470" w:type="pct"/>
                  <w:tcBorders>
                    <w:tl2br w:val="nil"/>
                    <w:tr2bl w:val="nil"/>
                  </w:tcBorders>
                  <w:noWrap w:val="0"/>
                  <w:vAlign w:val="center"/>
                </w:tcPr>
                <w:p w14:paraId="3026C435">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cs="Times New Roman"/>
                      <w:b w:val="0"/>
                      <w:bCs w:val="0"/>
                      <w:color w:val="auto"/>
                      <w:kern w:val="0"/>
                      <w:sz w:val="21"/>
                      <w:szCs w:val="21"/>
                      <w:lang w:val="en-US" w:eastAsia="zh-CN" w:bidi="ar"/>
                    </w:rPr>
                  </w:pPr>
                  <w:r>
                    <w:rPr>
                      <w:rFonts w:hint="default" w:ascii="Times New Roman" w:hAnsi="Times New Roman" w:cs="Times New Roman"/>
                      <w:b/>
                      <w:bCs/>
                      <w:color w:val="auto"/>
                      <w:kern w:val="0"/>
                      <w:sz w:val="21"/>
                      <w:szCs w:val="21"/>
                      <w:lang w:val="en-US" w:eastAsia="zh-CN" w:bidi="ar"/>
                    </w:rPr>
                    <w:t>高污染燃料禁燃区：</w:t>
                  </w:r>
                  <w:r>
                    <w:rPr>
                      <w:rFonts w:hint="default" w:ascii="Times New Roman" w:hAnsi="Times New Roman" w:cs="Times New Roman"/>
                      <w:b w:val="0"/>
                      <w:bCs w:val="0"/>
                      <w:color w:val="auto"/>
                      <w:kern w:val="0"/>
                      <w:sz w:val="21"/>
                      <w:szCs w:val="21"/>
                      <w:lang w:val="en-US" w:eastAsia="zh-CN" w:bidi="ar"/>
                    </w:rPr>
                    <w:t>1.项目使用能源为电，不涉</w:t>
                  </w:r>
                </w:p>
                <w:p w14:paraId="22C64A0F">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cs="Times New Roman"/>
                      <w:b w:val="0"/>
                      <w:bCs w:val="0"/>
                      <w:color w:val="auto"/>
                      <w:kern w:val="0"/>
                      <w:sz w:val="21"/>
                      <w:szCs w:val="21"/>
                      <w:lang w:val="en-US" w:eastAsia="zh-CN" w:bidi="ar"/>
                    </w:rPr>
                  </w:pPr>
                  <w:r>
                    <w:rPr>
                      <w:rFonts w:hint="default" w:ascii="Times New Roman" w:hAnsi="Times New Roman" w:cs="Times New Roman"/>
                      <w:b w:val="0"/>
                      <w:bCs w:val="0"/>
                      <w:color w:val="auto"/>
                      <w:kern w:val="0"/>
                      <w:sz w:val="21"/>
                      <w:szCs w:val="21"/>
                      <w:lang w:val="en-US" w:eastAsia="zh-CN" w:bidi="ar"/>
                    </w:rPr>
                    <w:t>及高污染燃料的生产、使</w:t>
                  </w:r>
                </w:p>
                <w:p w14:paraId="35A45DD0">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snapToGrid w:val="0"/>
                      <w:color w:val="auto"/>
                      <w:sz w:val="21"/>
                      <w:szCs w:val="21"/>
                      <w:lang w:val="en-US" w:eastAsia="zh-CN"/>
                    </w:rPr>
                  </w:pPr>
                  <w:r>
                    <w:rPr>
                      <w:rFonts w:hint="default" w:ascii="Times New Roman" w:hAnsi="Times New Roman" w:cs="Times New Roman"/>
                      <w:b w:val="0"/>
                      <w:bCs w:val="0"/>
                      <w:color w:val="auto"/>
                      <w:kern w:val="0"/>
                      <w:sz w:val="21"/>
                      <w:szCs w:val="21"/>
                      <w:lang w:val="en-US" w:eastAsia="zh-CN" w:bidi="ar"/>
                    </w:rPr>
                    <w:t>用。</w:t>
                  </w:r>
                </w:p>
              </w:tc>
            </w:tr>
          </w:tbl>
          <w:p w14:paraId="39ECA7A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cs="Times New Roman"/>
                <w:b w:val="0"/>
                <w:bCs/>
                <w:color w:val="auto"/>
                <w:sz w:val="24"/>
                <w:szCs w:val="24"/>
                <w:highlight w:val="none"/>
                <w:lang w:eastAsia="zh-CN"/>
              </w:rPr>
              <w:t>（3）“</w:t>
            </w:r>
            <w:r>
              <w:rPr>
                <w:rFonts w:hint="default" w:ascii="Times New Roman" w:hAnsi="Times New Roman" w:cs="Times New Roman"/>
                <w:b w:val="0"/>
                <w:bCs/>
                <w:color w:val="auto"/>
                <w:sz w:val="24"/>
                <w:szCs w:val="24"/>
                <w:highlight w:val="none"/>
                <w:lang w:val="en-US" w:eastAsia="zh-CN"/>
              </w:rPr>
              <w:t>一说明</w:t>
            </w:r>
            <w:r>
              <w:rPr>
                <w:rFonts w:hint="default" w:ascii="Times New Roman" w:hAnsi="Times New Roman" w:cs="Times New Roman"/>
                <w:b w:val="0"/>
                <w:bCs/>
                <w:color w:val="auto"/>
                <w:sz w:val="24"/>
                <w:szCs w:val="24"/>
                <w:highlight w:val="none"/>
                <w:lang w:eastAsia="zh-CN"/>
              </w:rPr>
              <w:t>”</w:t>
            </w:r>
          </w:p>
          <w:p w14:paraId="7BCA9878">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val="0"/>
                <w:bCs/>
                <w:color w:val="auto"/>
                <w:sz w:val="24"/>
                <w:szCs w:val="24"/>
                <w:highlight w:val="none"/>
                <w:lang w:val="en-US" w:eastAsia="zh-CN"/>
              </w:rPr>
              <w:t>根据上文分析，项目位于环境管控重点管控单元，项目所在地不涉及生态红线，重点管控单元以优化空间布局、提升资源利用效率、加强污染物减排治理和环境风险防控为重点，解决突出生态环境问题。本项目运营期采取环评报告提出的相应环保治理措施后，各污染物可以做到达标排放，符合方案要求。综上，建设项目符合陕西省“三线一单”管控要求。</w:t>
            </w:r>
          </w:p>
          <w:p w14:paraId="3DCA3510">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2.本项目与行业规范符合性分析</w:t>
            </w:r>
          </w:p>
          <w:p w14:paraId="3709FFD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szCs w:val="24"/>
              </w:rPr>
            </w:pPr>
            <w:r>
              <w:rPr>
                <w:rFonts w:hint="eastAsia" w:cs="Times New Roman"/>
                <w:b w:val="0"/>
                <w:bCs/>
                <w:color w:val="auto"/>
                <w:sz w:val="24"/>
                <w:szCs w:val="24"/>
                <w:lang w:eastAsia="zh-CN"/>
              </w:rPr>
              <w:t>（</w:t>
            </w:r>
            <w:r>
              <w:rPr>
                <w:rFonts w:hint="eastAsia" w:cs="Times New Roman"/>
                <w:b w:val="0"/>
                <w:bCs/>
                <w:color w:val="auto"/>
                <w:sz w:val="24"/>
                <w:szCs w:val="24"/>
                <w:lang w:val="en-US" w:eastAsia="zh-CN"/>
              </w:rPr>
              <w:t>1</w:t>
            </w:r>
            <w:r>
              <w:rPr>
                <w:rFonts w:hint="eastAsia" w:cs="Times New Roman"/>
                <w:b w:val="0"/>
                <w:bCs/>
                <w:color w:val="auto"/>
                <w:sz w:val="24"/>
                <w:szCs w:val="24"/>
                <w:lang w:eastAsia="zh-CN"/>
              </w:rPr>
              <w:t>）</w:t>
            </w:r>
            <w:r>
              <w:rPr>
                <w:rFonts w:hint="default" w:ascii="Times New Roman" w:hAnsi="Times New Roman" w:eastAsia="宋体" w:cs="Times New Roman"/>
                <w:b w:val="0"/>
                <w:bCs/>
                <w:color w:val="auto"/>
                <w:sz w:val="24"/>
                <w:szCs w:val="24"/>
              </w:rPr>
              <w:t>项目与《废塑料综合利用行业规范条件》的符合性分析</w:t>
            </w:r>
          </w:p>
          <w:p w14:paraId="2D7D5879">
            <w:pPr>
              <w:keepNext w:val="0"/>
              <w:keepLines w:val="0"/>
              <w:suppressLineNumbers w:val="0"/>
              <w:spacing w:before="0" w:beforeAutospacing="0" w:after="0" w:afterAutospacing="0" w:line="240" w:lineRule="auto"/>
              <w:ind w:left="0" w:right="0" w:firstLine="422" w:firstLineChars="200"/>
              <w:jc w:val="center"/>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color w:val="auto"/>
                <w:sz w:val="21"/>
                <w:szCs w:val="21"/>
                <w:lang w:val="en-US" w:eastAsia="zh-CN"/>
              </w:rPr>
              <w:t>表1-3</w:t>
            </w:r>
            <w:r>
              <w:rPr>
                <w:rFonts w:hint="eastAsia"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项目与《废塑料综合利用行业规范条件》符合性分析一览表</w:t>
            </w:r>
          </w:p>
          <w:tbl>
            <w:tblPr>
              <w:tblStyle w:val="3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7"/>
              <w:gridCol w:w="3412"/>
              <w:gridCol w:w="3029"/>
              <w:gridCol w:w="945"/>
            </w:tblGrid>
            <w:tr w14:paraId="2AE25E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36" w:type="pct"/>
                  <w:tcBorders>
                    <w:tl2br w:val="nil"/>
                    <w:tr2bl w:val="nil"/>
                  </w:tcBorders>
                  <w:noWrap w:val="0"/>
                  <w:vAlign w:val="center"/>
                </w:tcPr>
                <w:p w14:paraId="28425C41">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lang w:val="en-US" w:eastAsia="zh-CN"/>
                    </w:rPr>
                  </w:pPr>
                  <w:r>
                    <w:rPr>
                      <w:rFonts w:hint="eastAsia" w:cs="Times New Roman"/>
                      <w:b/>
                      <w:bCs/>
                      <w:color w:val="auto"/>
                      <w:lang w:val="en-US" w:eastAsia="zh-CN"/>
                    </w:rPr>
                    <w:t>项目</w:t>
                  </w:r>
                </w:p>
              </w:tc>
              <w:tc>
                <w:tcPr>
                  <w:tcW w:w="2062" w:type="pct"/>
                  <w:tcBorders>
                    <w:tl2br w:val="nil"/>
                    <w:tr2bl w:val="nil"/>
                  </w:tcBorders>
                  <w:noWrap w:val="0"/>
                  <w:vAlign w:val="center"/>
                </w:tcPr>
                <w:p w14:paraId="2601DF9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lang w:val="en-US" w:eastAsia="zh-CN"/>
                    </w:rPr>
                  </w:pPr>
                  <w:r>
                    <w:rPr>
                      <w:rFonts w:hint="eastAsia" w:cs="Times New Roman"/>
                      <w:b/>
                      <w:bCs/>
                      <w:color w:val="auto"/>
                      <w:lang w:val="en-US" w:eastAsia="zh-CN"/>
                    </w:rPr>
                    <w:t>规范要求</w:t>
                  </w:r>
                </w:p>
              </w:tc>
              <w:tc>
                <w:tcPr>
                  <w:tcW w:w="1830" w:type="pct"/>
                  <w:tcBorders>
                    <w:tl2br w:val="nil"/>
                    <w:tr2bl w:val="nil"/>
                  </w:tcBorders>
                  <w:noWrap w:val="0"/>
                  <w:vAlign w:val="center"/>
                </w:tcPr>
                <w:p w14:paraId="16C0545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本项目情况</w:t>
                  </w:r>
                </w:p>
              </w:tc>
              <w:tc>
                <w:tcPr>
                  <w:tcW w:w="571" w:type="pct"/>
                  <w:tcBorders>
                    <w:tl2br w:val="nil"/>
                    <w:tr2bl w:val="nil"/>
                  </w:tcBorders>
                  <w:noWrap w:val="0"/>
                  <w:vAlign w:val="center"/>
                </w:tcPr>
                <w:p w14:paraId="4B0D3CC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符合性</w:t>
                  </w:r>
                </w:p>
              </w:tc>
            </w:tr>
            <w:tr w14:paraId="7018BE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6" w:type="pct"/>
                  <w:vMerge w:val="restart"/>
                  <w:tcBorders>
                    <w:tl2br w:val="nil"/>
                    <w:tr2bl w:val="nil"/>
                  </w:tcBorders>
                  <w:noWrap w:val="0"/>
                  <w:vAlign w:val="center"/>
                </w:tcPr>
                <w:p w14:paraId="4F11F91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企业的设立和布局</w:t>
                  </w:r>
                </w:p>
              </w:tc>
              <w:tc>
                <w:tcPr>
                  <w:tcW w:w="2062" w:type="pct"/>
                  <w:tcBorders>
                    <w:tl2br w:val="nil"/>
                    <w:tr2bl w:val="nil"/>
                  </w:tcBorders>
                  <w:noWrap w:val="0"/>
                  <w:vAlign w:val="center"/>
                </w:tcPr>
                <w:p w14:paraId="41F50F8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废塑料综合利用企业是指采用物理机械法对热塑性废塑料进行再生加工的企业，企业类型主要包括PET再生瓶片类企业、废塑料破碎清洗分选类企业以及塑料再生造粒类企业。</w:t>
                  </w:r>
                </w:p>
              </w:tc>
              <w:tc>
                <w:tcPr>
                  <w:tcW w:w="1830" w:type="pct"/>
                  <w:tcBorders>
                    <w:tl2br w:val="nil"/>
                    <w:tr2bl w:val="nil"/>
                  </w:tcBorders>
                  <w:noWrap w:val="0"/>
                  <w:vAlign w:val="center"/>
                </w:tcPr>
                <w:p w14:paraId="02FB39F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建设单位采用物理机械法对废塑料泡沫进行再生造粒。因此该企业属于塑料再生造粒类企业。</w:t>
                  </w:r>
                </w:p>
              </w:tc>
              <w:tc>
                <w:tcPr>
                  <w:tcW w:w="571" w:type="pct"/>
                  <w:tcBorders>
                    <w:tl2br w:val="nil"/>
                    <w:tr2bl w:val="nil"/>
                  </w:tcBorders>
                  <w:noWrap w:val="0"/>
                  <w:vAlign w:val="center"/>
                </w:tcPr>
                <w:p w14:paraId="37951B81">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符合</w:t>
                  </w:r>
                </w:p>
              </w:tc>
            </w:tr>
            <w:tr w14:paraId="77F9C8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61" w:hRule="atLeast"/>
                <w:jc w:val="center"/>
              </w:trPr>
              <w:tc>
                <w:tcPr>
                  <w:tcW w:w="536" w:type="pct"/>
                  <w:vMerge w:val="continue"/>
                  <w:tcBorders>
                    <w:tl2br w:val="nil"/>
                    <w:tr2bl w:val="nil"/>
                  </w:tcBorders>
                  <w:noWrap w:val="0"/>
                  <w:vAlign w:val="center"/>
                </w:tcPr>
                <w:p w14:paraId="49981391">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lang w:val="en-US" w:eastAsia="zh-CN"/>
                    </w:rPr>
                  </w:pPr>
                </w:p>
              </w:tc>
              <w:tc>
                <w:tcPr>
                  <w:tcW w:w="2062" w:type="pct"/>
                  <w:tcBorders>
                    <w:tl2br w:val="nil"/>
                    <w:tr2bl w:val="nil"/>
                  </w:tcBorders>
                  <w:noWrap w:val="0"/>
                  <w:vAlign w:val="center"/>
                </w:tcPr>
                <w:p w14:paraId="501D430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废塑料综合利用企业所涉及的热塑性废塑料原料，不包括受到危险化学品、农药等污染的废弃塑料包装物、废弃一次性医疗用塑料制品等塑料类危险废物，以及氟塑料等特种工程塑料。</w:t>
                  </w:r>
                </w:p>
              </w:tc>
              <w:tc>
                <w:tcPr>
                  <w:tcW w:w="1830" w:type="pct"/>
                  <w:tcBorders>
                    <w:tl2br w:val="nil"/>
                    <w:tr2bl w:val="nil"/>
                  </w:tcBorders>
                  <w:noWrap w:val="0"/>
                  <w:vAlign w:val="center"/>
                </w:tcPr>
                <w:p w14:paraId="7567E32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本项目再生利用的原料为废塑料泡沫，不涉及加工利用危险化学品、农药等污染的废弃塑料包装物，</w:t>
                  </w:r>
                  <w:r>
                    <w:rPr>
                      <w:rFonts w:hint="eastAsia" w:cs="Times New Roman"/>
                      <w:color w:val="auto"/>
                      <w:lang w:val="en-US" w:eastAsia="zh-CN"/>
                    </w:rPr>
                    <w:t>以及废弃</w:t>
                  </w:r>
                  <w:r>
                    <w:rPr>
                      <w:rFonts w:hint="default" w:ascii="Times New Roman" w:hAnsi="Times New Roman" w:eastAsia="宋体" w:cs="Times New Roman"/>
                      <w:color w:val="auto"/>
                      <w:lang w:val="en-US" w:eastAsia="zh-CN"/>
                    </w:rPr>
                    <w:t>的一次性被感染的医疗用塑料制品（如尿袋、血袋）。</w:t>
                  </w:r>
                </w:p>
              </w:tc>
              <w:tc>
                <w:tcPr>
                  <w:tcW w:w="571" w:type="pct"/>
                  <w:tcBorders>
                    <w:tl2br w:val="nil"/>
                    <w:tr2bl w:val="nil"/>
                  </w:tcBorders>
                  <w:noWrap w:val="0"/>
                  <w:vAlign w:val="center"/>
                </w:tcPr>
                <w:p w14:paraId="495560A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符合</w:t>
                  </w:r>
                </w:p>
              </w:tc>
            </w:tr>
            <w:tr w14:paraId="204D1F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4" w:hRule="atLeast"/>
                <w:jc w:val="center"/>
              </w:trPr>
              <w:tc>
                <w:tcPr>
                  <w:tcW w:w="536" w:type="pct"/>
                  <w:vMerge w:val="continue"/>
                  <w:tcBorders>
                    <w:tl2br w:val="nil"/>
                    <w:tr2bl w:val="nil"/>
                  </w:tcBorders>
                  <w:noWrap w:val="0"/>
                  <w:vAlign w:val="center"/>
                </w:tcPr>
                <w:p w14:paraId="49A412A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lang w:val="en-US" w:eastAsia="zh-CN"/>
                    </w:rPr>
                  </w:pPr>
                </w:p>
              </w:tc>
              <w:tc>
                <w:tcPr>
                  <w:tcW w:w="2062" w:type="pct"/>
                  <w:tcBorders>
                    <w:tl2br w:val="nil"/>
                    <w:tr2bl w:val="nil"/>
                  </w:tcBorders>
                  <w:noWrap w:val="0"/>
                  <w:vAlign w:val="center"/>
                </w:tcPr>
                <w:p w14:paraId="1644C9A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新建及改造、扩建废塑料加工企业应符合国家产业政策及所在地区土地利用总体规划、城乡建设规划、环境保护、污染防治规划。企业建设应有规范化设计要求，采用节能环保技术及生产装备。</w:t>
                  </w:r>
                </w:p>
              </w:tc>
              <w:tc>
                <w:tcPr>
                  <w:tcW w:w="1830" w:type="pct"/>
                  <w:tcBorders>
                    <w:tl2br w:val="nil"/>
                    <w:tr2bl w:val="nil"/>
                  </w:tcBorders>
                  <w:noWrap w:val="0"/>
                  <w:vAlign w:val="center"/>
                </w:tcPr>
                <w:p w14:paraId="62E55AF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w:t>
                  </w:r>
                  <w:r>
                    <w:rPr>
                      <w:rFonts w:hint="eastAsia" w:cs="Times New Roman"/>
                      <w:color w:val="auto"/>
                      <w:lang w:val="en-US" w:eastAsia="zh-CN"/>
                    </w:rPr>
                    <w:t>厂房用地性质为工业用地</w:t>
                  </w:r>
                  <w:r>
                    <w:rPr>
                      <w:rFonts w:hint="default" w:ascii="Times New Roman" w:hAnsi="Times New Roman" w:eastAsia="宋体" w:cs="Times New Roman"/>
                      <w:color w:val="auto"/>
                      <w:lang w:val="en-US" w:eastAsia="zh-CN"/>
                    </w:rPr>
                    <w:t>，符合国家和地方产业政策、当地土地利用总体规划，环境保护和污染防治规划。</w:t>
                  </w:r>
                </w:p>
              </w:tc>
              <w:tc>
                <w:tcPr>
                  <w:tcW w:w="571" w:type="pct"/>
                  <w:vMerge w:val="restart"/>
                  <w:tcBorders>
                    <w:tl2br w:val="nil"/>
                    <w:tr2bl w:val="nil"/>
                  </w:tcBorders>
                  <w:noWrap w:val="0"/>
                  <w:vAlign w:val="center"/>
                </w:tcPr>
                <w:p w14:paraId="55BCCB2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符合</w:t>
                  </w:r>
                </w:p>
              </w:tc>
            </w:tr>
            <w:tr w14:paraId="1D4064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4" w:hRule="atLeast"/>
                <w:jc w:val="center"/>
              </w:trPr>
              <w:tc>
                <w:tcPr>
                  <w:tcW w:w="536" w:type="pct"/>
                  <w:vMerge w:val="continue"/>
                  <w:tcBorders>
                    <w:tl2br w:val="nil"/>
                    <w:tr2bl w:val="nil"/>
                  </w:tcBorders>
                  <w:noWrap w:val="0"/>
                  <w:vAlign w:val="center"/>
                </w:tcPr>
                <w:p w14:paraId="74BBF78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lang w:val="en-US" w:eastAsia="zh-CN"/>
                    </w:rPr>
                  </w:pPr>
                </w:p>
              </w:tc>
              <w:tc>
                <w:tcPr>
                  <w:tcW w:w="2062" w:type="pct"/>
                  <w:tcBorders>
                    <w:tl2br w:val="nil"/>
                    <w:tr2bl w:val="nil"/>
                  </w:tcBorders>
                  <w:noWrap w:val="0"/>
                  <w:vAlign w:val="center"/>
                </w:tcPr>
                <w:p w14:paraId="42FB79A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在国家法律法规、规章和规划确定或县级及以上人民政府规定的自然保护区、风景名胜区、饮用水源保护区、基本农田保护区和其他需要特别保护的区域内，不得新建废塑料综合利用企业；已在上述区域投产运营的废塑料综合利用企业，要根据该区域规划要求，依法通过搬迁、转产等方式逐步退出。</w:t>
                  </w:r>
                </w:p>
              </w:tc>
              <w:tc>
                <w:tcPr>
                  <w:tcW w:w="1830" w:type="pct"/>
                  <w:tcBorders>
                    <w:tl2br w:val="nil"/>
                    <w:tr2bl w:val="nil"/>
                  </w:tcBorders>
                  <w:noWrap w:val="0"/>
                  <w:vAlign w:val="center"/>
                </w:tcPr>
                <w:p w14:paraId="71411B6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不在自然保护区、风景名胜区、饮用水源保护区、基本农田保护区和其他需要特别保护的区域内。</w:t>
                  </w:r>
                </w:p>
              </w:tc>
              <w:tc>
                <w:tcPr>
                  <w:tcW w:w="571" w:type="pct"/>
                  <w:vMerge w:val="continue"/>
                  <w:tcBorders>
                    <w:tl2br w:val="nil"/>
                    <w:tr2bl w:val="nil"/>
                  </w:tcBorders>
                  <w:noWrap w:val="0"/>
                  <w:vAlign w:val="center"/>
                </w:tcPr>
                <w:p w14:paraId="5C7837A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p>
              </w:tc>
            </w:tr>
            <w:tr w14:paraId="2EC95A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36" w:type="pct"/>
                  <w:tcBorders>
                    <w:tl2br w:val="nil"/>
                    <w:tr2bl w:val="nil"/>
                  </w:tcBorders>
                  <w:noWrap w:val="0"/>
                  <w:vAlign w:val="center"/>
                </w:tcPr>
                <w:p w14:paraId="381424B1">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生产经营规模</w:t>
                  </w:r>
                </w:p>
              </w:tc>
              <w:tc>
                <w:tcPr>
                  <w:tcW w:w="2062" w:type="pct"/>
                  <w:tcBorders>
                    <w:tl2br w:val="nil"/>
                    <w:tr2bl w:val="nil"/>
                  </w:tcBorders>
                  <w:noWrap w:val="0"/>
                  <w:vAlign w:val="center"/>
                </w:tcPr>
                <w:p w14:paraId="5B592161">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塑料再生造粒类企业：新建企业年废塑料处理能力不低于5000吨；已建企业年废塑料处理能力不低于3000吨。</w:t>
                  </w:r>
                </w:p>
              </w:tc>
              <w:tc>
                <w:tcPr>
                  <w:tcW w:w="1830" w:type="pct"/>
                  <w:tcBorders>
                    <w:tl2br w:val="nil"/>
                    <w:tr2bl w:val="nil"/>
                  </w:tcBorders>
                  <w:noWrap w:val="0"/>
                  <w:vAlign w:val="center"/>
                </w:tcPr>
                <w:p w14:paraId="071994E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本项目为废旧塑料泡沫再生造粒类企业，项目年处理废旧塑料泡沫 5000 吨。</w:t>
                  </w:r>
                </w:p>
              </w:tc>
              <w:tc>
                <w:tcPr>
                  <w:tcW w:w="571" w:type="pct"/>
                  <w:tcBorders>
                    <w:tl2br w:val="nil"/>
                    <w:tr2bl w:val="nil"/>
                  </w:tcBorders>
                  <w:noWrap w:val="0"/>
                  <w:vAlign w:val="center"/>
                </w:tcPr>
                <w:p w14:paraId="1B15F5CF">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符合</w:t>
                  </w:r>
                </w:p>
              </w:tc>
            </w:tr>
            <w:tr w14:paraId="2DFCF7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36" w:type="pct"/>
                  <w:tcBorders>
                    <w:tl2br w:val="nil"/>
                    <w:tr2bl w:val="nil"/>
                  </w:tcBorders>
                  <w:noWrap w:val="0"/>
                  <w:vAlign w:val="center"/>
                </w:tcPr>
                <w:p w14:paraId="7342C70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资源综合利用及能耗</w:t>
                  </w:r>
                </w:p>
              </w:tc>
              <w:tc>
                <w:tcPr>
                  <w:tcW w:w="2062" w:type="pct"/>
                  <w:tcBorders>
                    <w:tl2br w:val="nil"/>
                    <w:tr2bl w:val="nil"/>
                  </w:tcBorders>
                  <w:noWrap w:val="0"/>
                  <w:vAlign w:val="center"/>
                </w:tcPr>
                <w:p w14:paraId="2C963419">
                  <w:pPr>
                    <w:pStyle w:val="184"/>
                    <w:keepNext w:val="0"/>
                    <w:keepLines w:val="0"/>
                    <w:suppressLineNumbers w:val="0"/>
                    <w:spacing w:before="65" w:beforeAutospacing="0" w:after="0" w:afterAutospacing="0" w:line="228" w:lineRule="auto"/>
                    <w:ind w:left="61" w:right="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企业应对收集的废塑料进行充分利用，提高资源回收利用效率，不得倾倒、焚烧与填埋。</w:t>
                  </w:r>
                </w:p>
              </w:tc>
              <w:tc>
                <w:tcPr>
                  <w:tcW w:w="1830" w:type="pct"/>
                  <w:tcBorders>
                    <w:tl2br w:val="nil"/>
                    <w:tr2bl w:val="nil"/>
                  </w:tcBorders>
                  <w:noWrap w:val="0"/>
                  <w:vAlign w:val="center"/>
                </w:tcPr>
                <w:p w14:paraId="645997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项目对生产过程中的塑料按一般固废收集后再次利用，不涉及倾倒、焚烧与填埋。</w:t>
                  </w:r>
                </w:p>
              </w:tc>
              <w:tc>
                <w:tcPr>
                  <w:tcW w:w="571" w:type="pct"/>
                  <w:tcBorders>
                    <w:tl2br w:val="nil"/>
                    <w:tr2bl w:val="nil"/>
                  </w:tcBorders>
                  <w:noWrap w:val="0"/>
                  <w:vAlign w:val="center"/>
                </w:tcPr>
                <w:p w14:paraId="3B7DB0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符合</w:t>
                  </w:r>
                </w:p>
              </w:tc>
            </w:tr>
            <w:tr w14:paraId="23A48F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6" w:type="pct"/>
                  <w:tcBorders>
                    <w:tl2br w:val="nil"/>
                    <w:tr2bl w:val="nil"/>
                  </w:tcBorders>
                  <w:noWrap w:val="0"/>
                  <w:vAlign w:val="center"/>
                </w:tcPr>
                <w:p w14:paraId="571A5B8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工艺与装备</w:t>
                  </w:r>
                </w:p>
              </w:tc>
              <w:tc>
                <w:tcPr>
                  <w:tcW w:w="2062" w:type="pct"/>
                  <w:tcBorders>
                    <w:tl2br w:val="nil"/>
                    <w:tr2bl w:val="nil"/>
                  </w:tcBorders>
                  <w:noWrap w:val="0"/>
                  <w:vAlign w:val="center"/>
                </w:tcPr>
                <w:p w14:paraId="40E84B9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新建及改造、扩建废塑料综合利用企业应采用先进技术、工艺和装备，提高废塑料再生加工过程的自动化水平。</w:t>
                  </w:r>
                </w:p>
              </w:tc>
              <w:tc>
                <w:tcPr>
                  <w:tcW w:w="1830" w:type="pct"/>
                  <w:tcBorders>
                    <w:tl2br w:val="nil"/>
                    <w:tr2bl w:val="nil"/>
                  </w:tcBorders>
                  <w:noWrap w:val="0"/>
                  <w:vAlign w:val="center"/>
                </w:tcPr>
                <w:p w14:paraId="0DFA9F7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本项目废塑料泡沫生产加工均为自动化生产线。</w:t>
                  </w:r>
                </w:p>
              </w:tc>
              <w:tc>
                <w:tcPr>
                  <w:tcW w:w="571" w:type="pct"/>
                  <w:tcBorders>
                    <w:tl2br w:val="nil"/>
                    <w:tr2bl w:val="nil"/>
                  </w:tcBorders>
                  <w:noWrap w:val="0"/>
                  <w:vAlign w:val="center"/>
                </w:tcPr>
                <w:p w14:paraId="798B1DF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符合</w:t>
                  </w:r>
                </w:p>
              </w:tc>
            </w:tr>
            <w:tr w14:paraId="031ED4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36" w:type="pct"/>
                  <w:vMerge w:val="restart"/>
                  <w:tcBorders>
                    <w:tl2br w:val="nil"/>
                    <w:tr2bl w:val="nil"/>
                  </w:tcBorders>
                  <w:noWrap w:val="0"/>
                  <w:vAlign w:val="center"/>
                </w:tcPr>
                <w:p w14:paraId="7C051CF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环境保护</w:t>
                  </w:r>
                </w:p>
              </w:tc>
              <w:tc>
                <w:tcPr>
                  <w:tcW w:w="2062" w:type="pct"/>
                  <w:tcBorders>
                    <w:tl2br w:val="nil"/>
                    <w:tr2bl w:val="nil"/>
                  </w:tcBorders>
                  <w:noWrap w:val="0"/>
                  <w:vAlign w:val="center"/>
                </w:tcPr>
                <w:p w14:paraId="3BCBB73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企业必须配备废塑料分类存放场所。原料、产品、本企业不能利用废塑料及不可利用废物贮存在具有防雨、防风、防渗等功能的厂房或加盖雨棚的专门贮存场地内，无露天堆放现象。企业厂区管网建设应达到“雨污分流”要求。</w:t>
                  </w:r>
                </w:p>
              </w:tc>
              <w:tc>
                <w:tcPr>
                  <w:tcW w:w="1830" w:type="pct"/>
                  <w:tcBorders>
                    <w:tl2br w:val="nil"/>
                    <w:tr2bl w:val="nil"/>
                  </w:tcBorders>
                  <w:noWrap w:val="0"/>
                  <w:vAlign w:val="center"/>
                </w:tcPr>
                <w:p w14:paraId="1964AA2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项目车间内划分为原料区、生产区、成品区，废物贮存厂房具有防雨、防风、防渗等功能，无露天堆放现象。</w:t>
                  </w:r>
                </w:p>
                <w:p w14:paraId="371FC87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企业所在厂区管网已按照“ 雨污分流”要求建设完善。</w:t>
                  </w:r>
                </w:p>
              </w:tc>
              <w:tc>
                <w:tcPr>
                  <w:tcW w:w="571" w:type="pct"/>
                  <w:tcBorders>
                    <w:tl2br w:val="nil"/>
                    <w:tr2bl w:val="nil"/>
                  </w:tcBorders>
                  <w:noWrap w:val="0"/>
                  <w:vAlign w:val="center"/>
                </w:tcPr>
                <w:p w14:paraId="79DB742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符合</w:t>
                  </w:r>
                </w:p>
              </w:tc>
            </w:tr>
            <w:tr w14:paraId="7F15BC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536" w:type="pct"/>
                  <w:vMerge w:val="continue"/>
                  <w:tcBorders>
                    <w:tl2br w:val="nil"/>
                    <w:tr2bl w:val="nil"/>
                  </w:tcBorders>
                  <w:noWrap w:val="0"/>
                  <w:vAlign w:val="center"/>
                </w:tcPr>
                <w:p w14:paraId="19F297F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lang w:val="en-US" w:eastAsia="zh-CN"/>
                    </w:rPr>
                  </w:pPr>
                </w:p>
              </w:tc>
              <w:tc>
                <w:tcPr>
                  <w:tcW w:w="2062" w:type="pct"/>
                  <w:tcBorders>
                    <w:tl2br w:val="nil"/>
                    <w:tr2bl w:val="nil"/>
                  </w:tcBorders>
                  <w:noWrap w:val="0"/>
                  <w:vAlign w:val="center"/>
                </w:tcPr>
                <w:p w14:paraId="5BF6EF0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企业对收集的废塑料中的金属、橡胶、纤维、渣土、油脂、添加物等夹杂物，应采取相应的处理措施。如企业不具备处理条件，应委托其他具有处理能力的企业处理，不得擅自丢弃、倾倒、焚烧与填埋。</w:t>
                  </w:r>
                </w:p>
              </w:tc>
              <w:tc>
                <w:tcPr>
                  <w:tcW w:w="1830" w:type="pct"/>
                  <w:tcBorders>
                    <w:tl2br w:val="nil"/>
                    <w:tr2bl w:val="nil"/>
                  </w:tcBorders>
                  <w:noWrap w:val="0"/>
                  <w:vAlign w:val="center"/>
                </w:tcPr>
                <w:p w14:paraId="0FE4570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本项目仅回收位于宝鸡市及周边区域内废品回收站的废旧聚苯乙烯塑料泡沫，原料中不含金属、橡胶、纤维、渣土、油脂、添加物等夹杂物。</w:t>
                  </w:r>
                </w:p>
              </w:tc>
              <w:tc>
                <w:tcPr>
                  <w:tcW w:w="571" w:type="pct"/>
                  <w:tcBorders>
                    <w:tl2br w:val="nil"/>
                    <w:tr2bl w:val="nil"/>
                  </w:tcBorders>
                  <w:noWrap w:val="0"/>
                  <w:vAlign w:val="center"/>
                </w:tcPr>
                <w:p w14:paraId="0BC6C59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符合</w:t>
                  </w:r>
                </w:p>
              </w:tc>
            </w:tr>
            <w:tr w14:paraId="6DE361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536" w:type="pct"/>
                  <w:vMerge w:val="continue"/>
                  <w:tcBorders>
                    <w:tl2br w:val="nil"/>
                    <w:tr2bl w:val="nil"/>
                  </w:tcBorders>
                  <w:noWrap w:val="0"/>
                  <w:vAlign w:val="center"/>
                </w:tcPr>
                <w:p w14:paraId="0EF295A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lang w:val="en-US" w:eastAsia="zh-CN"/>
                    </w:rPr>
                  </w:pPr>
                </w:p>
              </w:tc>
              <w:tc>
                <w:tcPr>
                  <w:tcW w:w="2062" w:type="pct"/>
                  <w:tcBorders>
                    <w:tl2br w:val="nil"/>
                    <w:tr2bl w:val="nil"/>
                  </w:tcBorders>
                  <w:noWrap w:val="0"/>
                  <w:vAlign w:val="center"/>
                </w:tcPr>
                <w:p w14:paraId="7235CFC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企业应具有与加工利用能力相适应的废水处理设施，中水回用率必须符合环评文件的有关要求。废水处理后需要外排的废水，必须经处理后达标排放。企业应采用高效节能环保的污泥处理工艺，或交由具有处理资格的废物处理机构，实现污泥无害化处理</w:t>
                  </w:r>
                  <w:r>
                    <w:rPr>
                      <w:rFonts w:hint="eastAsia" w:ascii="Times New Roman" w:hAnsi="Times New Roman" w:eastAsia="宋体" w:cs="Times New Roman"/>
                      <w:color w:val="auto"/>
                      <w:kern w:val="2"/>
                      <w:sz w:val="21"/>
                      <w:szCs w:val="24"/>
                      <w:lang w:val="en-US" w:eastAsia="zh-CN" w:bidi="ar-SA"/>
                    </w:rPr>
                    <w:t>。</w:t>
                  </w:r>
                </w:p>
              </w:tc>
              <w:tc>
                <w:tcPr>
                  <w:tcW w:w="1830" w:type="pct"/>
                  <w:tcBorders>
                    <w:tl2br w:val="nil"/>
                    <w:tr2bl w:val="nil"/>
                  </w:tcBorders>
                  <w:noWrap w:val="0"/>
                  <w:vAlign w:val="center"/>
                </w:tcPr>
                <w:p w14:paraId="2B7E5A55">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项目运营期生产工序冷却用水循环使用不外排，定期补充损耗；生活污水经厂区化粪池预处理后</w:t>
                  </w:r>
                  <w:r>
                    <w:rPr>
                      <w:rFonts w:hint="eastAsia" w:cs="Times New Roman"/>
                      <w:color w:val="auto"/>
                      <w:kern w:val="2"/>
                      <w:sz w:val="21"/>
                      <w:szCs w:val="24"/>
                      <w:lang w:val="en-US" w:eastAsia="zh-CN" w:bidi="ar-SA"/>
                    </w:rPr>
                    <w:t>定期清运</w:t>
                  </w:r>
                  <w:r>
                    <w:rPr>
                      <w:rFonts w:hint="default" w:ascii="Times New Roman" w:hAnsi="Times New Roman" w:eastAsia="宋体" w:cs="Times New Roman"/>
                      <w:color w:val="auto"/>
                      <w:kern w:val="2"/>
                      <w:sz w:val="21"/>
                      <w:szCs w:val="24"/>
                      <w:lang w:val="en-US" w:eastAsia="zh-CN" w:bidi="ar-SA"/>
                    </w:rPr>
                    <w:t>。</w:t>
                  </w:r>
                </w:p>
              </w:tc>
              <w:tc>
                <w:tcPr>
                  <w:tcW w:w="571" w:type="pct"/>
                  <w:tcBorders>
                    <w:tl2br w:val="nil"/>
                    <w:tr2bl w:val="nil"/>
                  </w:tcBorders>
                  <w:noWrap w:val="0"/>
                  <w:vAlign w:val="center"/>
                </w:tcPr>
                <w:p w14:paraId="36A920F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符合</w:t>
                  </w:r>
                </w:p>
              </w:tc>
            </w:tr>
            <w:tr w14:paraId="135272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536" w:type="pct"/>
                  <w:vMerge w:val="continue"/>
                  <w:tcBorders>
                    <w:tl2br w:val="nil"/>
                    <w:tr2bl w:val="nil"/>
                  </w:tcBorders>
                  <w:noWrap w:val="0"/>
                  <w:vAlign w:val="center"/>
                </w:tcPr>
                <w:p w14:paraId="59B8C01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lang w:val="en-US" w:eastAsia="zh-CN"/>
                    </w:rPr>
                  </w:pPr>
                </w:p>
              </w:tc>
              <w:tc>
                <w:tcPr>
                  <w:tcW w:w="2062" w:type="pct"/>
                  <w:tcBorders>
                    <w:tl2br w:val="nil"/>
                    <w:tr2bl w:val="nil"/>
                  </w:tcBorders>
                  <w:noWrap w:val="0"/>
                  <w:vAlign w:val="center"/>
                </w:tcPr>
                <w:p w14:paraId="7FFE0011">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再生加工过程中产生废气的加工车间应设置废气收集处理设施，通过净化处理，达标后排放。</w:t>
                  </w:r>
                </w:p>
              </w:tc>
              <w:tc>
                <w:tcPr>
                  <w:tcW w:w="1830" w:type="pct"/>
                  <w:tcBorders>
                    <w:tl2br w:val="nil"/>
                    <w:tr2bl w:val="nil"/>
                  </w:tcBorders>
                  <w:noWrap w:val="0"/>
                  <w:vAlign w:val="center"/>
                </w:tcPr>
                <w:p w14:paraId="12D2485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项目粉碎粉尘经集气罩收集后引至布袋除尘器处理后经15m 高排气筒（DA001）排放，热熔挤出产生的非甲烷总烃经集气罩收集后引至二级活性炭吸附装置处理后经15m 高排气筒（DA002）排放，经计算，项目废气排放可满足《合成树脂工业污染物排放标准》（GB31572-2015）（含 2024年修改单）相关标准。</w:t>
                  </w:r>
                </w:p>
              </w:tc>
              <w:tc>
                <w:tcPr>
                  <w:tcW w:w="571" w:type="pct"/>
                  <w:tcBorders>
                    <w:tl2br w:val="nil"/>
                    <w:tr2bl w:val="nil"/>
                  </w:tcBorders>
                  <w:noWrap w:val="0"/>
                  <w:vAlign w:val="center"/>
                </w:tcPr>
                <w:p w14:paraId="0A0848A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符合</w:t>
                  </w:r>
                </w:p>
              </w:tc>
            </w:tr>
            <w:tr w14:paraId="73A7A9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536" w:type="pct"/>
                  <w:vMerge w:val="continue"/>
                  <w:tcBorders>
                    <w:tl2br w:val="nil"/>
                    <w:tr2bl w:val="nil"/>
                  </w:tcBorders>
                  <w:noWrap w:val="0"/>
                  <w:vAlign w:val="center"/>
                </w:tcPr>
                <w:p w14:paraId="0F4E90A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lang w:val="en-US" w:eastAsia="zh-CN"/>
                    </w:rPr>
                  </w:pPr>
                </w:p>
              </w:tc>
              <w:tc>
                <w:tcPr>
                  <w:tcW w:w="2062" w:type="pct"/>
                  <w:tcBorders>
                    <w:tl2br w:val="nil"/>
                    <w:tr2bl w:val="nil"/>
                  </w:tcBorders>
                  <w:noWrap w:val="0"/>
                  <w:vAlign w:val="center"/>
                </w:tcPr>
                <w:p w14:paraId="2F0924F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对于加工过程中</w:t>
                  </w:r>
                  <w:r>
                    <w:rPr>
                      <w:rFonts w:hint="eastAsia" w:cs="Times New Roman"/>
                      <w:color w:val="auto"/>
                      <w:kern w:val="2"/>
                      <w:sz w:val="21"/>
                      <w:szCs w:val="24"/>
                      <w:lang w:val="en-US" w:eastAsia="zh-CN" w:bidi="ar-SA"/>
                    </w:rPr>
                    <w:t>噪声</w:t>
                  </w:r>
                  <w:r>
                    <w:rPr>
                      <w:rFonts w:hint="default" w:ascii="Times New Roman" w:hAnsi="Times New Roman" w:eastAsia="宋体" w:cs="Times New Roman"/>
                      <w:color w:val="auto"/>
                      <w:kern w:val="2"/>
                      <w:sz w:val="21"/>
                      <w:szCs w:val="24"/>
                      <w:lang w:val="en-US" w:eastAsia="zh-CN" w:bidi="ar-SA"/>
                    </w:rPr>
                    <w:t>污染大的设备，必须采取降噪和隔音措施，企业噪声应达到《工业企业厂界环境噪声排放标准》。</w:t>
                  </w:r>
                </w:p>
              </w:tc>
              <w:tc>
                <w:tcPr>
                  <w:tcW w:w="1830" w:type="pct"/>
                  <w:tcBorders>
                    <w:tl2br w:val="nil"/>
                    <w:tr2bl w:val="nil"/>
                  </w:tcBorders>
                  <w:noWrap w:val="0"/>
                  <w:vAlign w:val="center"/>
                </w:tcPr>
                <w:p w14:paraId="66B8C57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本项目生产设备均置于生产厂房内，项目合理布局，加强设备维护，通过建筑物隔挡，距离衰减等降噪</w:t>
                  </w:r>
                  <w:r>
                    <w:rPr>
                      <w:rFonts w:hint="eastAsia" w:cs="Times New Roman"/>
                      <w:color w:val="auto"/>
                      <w:kern w:val="2"/>
                      <w:sz w:val="21"/>
                      <w:szCs w:val="24"/>
                      <w:lang w:val="en-US" w:eastAsia="zh-CN" w:bidi="ar-SA"/>
                    </w:rPr>
                    <w:t>措施，</w:t>
                  </w:r>
                  <w:r>
                    <w:rPr>
                      <w:rFonts w:hint="default" w:ascii="Times New Roman" w:hAnsi="Times New Roman" w:eastAsia="宋体" w:cs="Times New Roman"/>
                      <w:color w:val="auto"/>
                      <w:kern w:val="2"/>
                      <w:sz w:val="21"/>
                      <w:szCs w:val="24"/>
                      <w:lang w:val="en-US" w:eastAsia="zh-CN" w:bidi="ar-SA"/>
                    </w:rPr>
                    <w:t>经预测项目厂界噪声可达到《工业企业厂界环境噪声排放标准》</w:t>
                  </w:r>
                  <w:r>
                    <w:rPr>
                      <w:rFonts w:hint="eastAsia" w:cs="Times New Roman"/>
                      <w:color w:val="auto"/>
                      <w:kern w:val="2"/>
                      <w:sz w:val="21"/>
                      <w:szCs w:val="24"/>
                      <w:lang w:val="en-US" w:eastAsia="zh-CN" w:bidi="ar-SA"/>
                    </w:rPr>
                    <w:t>（</w:t>
                  </w:r>
                  <w:r>
                    <w:rPr>
                      <w:rFonts w:hint="default" w:ascii="Times New Roman" w:hAnsi="Times New Roman" w:eastAsia="宋体" w:cs="Times New Roman"/>
                      <w:color w:val="auto"/>
                      <w:kern w:val="2"/>
                      <w:sz w:val="21"/>
                      <w:szCs w:val="24"/>
                      <w:lang w:val="en-US" w:eastAsia="zh-CN" w:bidi="ar-SA"/>
                    </w:rPr>
                    <w:t>GB12348-2008</w:t>
                  </w:r>
                  <w:r>
                    <w:rPr>
                      <w:rFonts w:hint="eastAsia" w:cs="Times New Roman"/>
                      <w:color w:val="auto"/>
                      <w:kern w:val="2"/>
                      <w:sz w:val="21"/>
                      <w:szCs w:val="24"/>
                      <w:lang w:val="en-US" w:eastAsia="zh-CN" w:bidi="ar-SA"/>
                    </w:rPr>
                    <w:t>）3</w:t>
                  </w:r>
                  <w:r>
                    <w:rPr>
                      <w:rFonts w:hint="default" w:ascii="Times New Roman" w:hAnsi="Times New Roman" w:eastAsia="宋体" w:cs="Times New Roman"/>
                      <w:color w:val="auto"/>
                      <w:kern w:val="2"/>
                      <w:sz w:val="21"/>
                      <w:szCs w:val="24"/>
                      <w:lang w:val="en-US" w:eastAsia="zh-CN" w:bidi="ar-SA"/>
                    </w:rPr>
                    <w:t>类限值</w:t>
                  </w:r>
                </w:p>
                <w:p w14:paraId="4821A0D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要求。</w:t>
                  </w:r>
                </w:p>
              </w:tc>
              <w:tc>
                <w:tcPr>
                  <w:tcW w:w="571" w:type="pct"/>
                  <w:tcBorders>
                    <w:tl2br w:val="nil"/>
                    <w:tr2bl w:val="nil"/>
                  </w:tcBorders>
                  <w:noWrap w:val="0"/>
                  <w:vAlign w:val="center"/>
                </w:tcPr>
                <w:p w14:paraId="5210A98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符合</w:t>
                  </w:r>
                </w:p>
              </w:tc>
            </w:tr>
            <w:tr w14:paraId="68522E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36" w:type="pct"/>
                  <w:tcBorders>
                    <w:tl2br w:val="nil"/>
                    <w:tr2bl w:val="nil"/>
                  </w:tcBorders>
                  <w:noWrap w:val="0"/>
                  <w:vAlign w:val="center"/>
                </w:tcPr>
                <w:p w14:paraId="6ED95B01">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产品质量</w:t>
                  </w:r>
                </w:p>
              </w:tc>
              <w:tc>
                <w:tcPr>
                  <w:tcW w:w="2062" w:type="pct"/>
                  <w:tcBorders>
                    <w:tl2br w:val="nil"/>
                    <w:tr2bl w:val="nil"/>
                  </w:tcBorders>
                  <w:noWrap w:val="0"/>
                  <w:vAlign w:val="center"/>
                </w:tcPr>
                <w:p w14:paraId="5F4D7C1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鼓励企业建立相应的材料、产品可追溯制度。</w:t>
                  </w:r>
                </w:p>
              </w:tc>
              <w:tc>
                <w:tcPr>
                  <w:tcW w:w="1830" w:type="pct"/>
                  <w:tcBorders>
                    <w:tl2br w:val="nil"/>
                    <w:tr2bl w:val="nil"/>
                  </w:tcBorders>
                  <w:noWrap w:val="0"/>
                  <w:vAlign w:val="center"/>
                </w:tcPr>
                <w:p w14:paraId="03EFE7A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环评要求建设单位对项目原</w:t>
                  </w:r>
                </w:p>
                <w:p w14:paraId="413390D1">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辅材料及产品建立可追溯的</w:t>
                  </w:r>
                </w:p>
                <w:p w14:paraId="3E486B6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台账。</w:t>
                  </w:r>
                </w:p>
              </w:tc>
              <w:tc>
                <w:tcPr>
                  <w:tcW w:w="571" w:type="pct"/>
                  <w:tcBorders>
                    <w:tl2br w:val="nil"/>
                    <w:tr2bl w:val="nil"/>
                  </w:tcBorders>
                  <w:noWrap w:val="0"/>
                  <w:vAlign w:val="center"/>
                </w:tcPr>
                <w:p w14:paraId="104A8C2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符合</w:t>
                  </w:r>
                </w:p>
              </w:tc>
            </w:tr>
          </w:tbl>
          <w:p w14:paraId="585906B2">
            <w:pPr>
              <w:keepNext w:val="0"/>
              <w:keepLines w:val="0"/>
              <w:numPr>
                <w:ilvl w:val="0"/>
                <w:numId w:val="3"/>
              </w:numPr>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rPr>
              <w:t>项目与《废塑料再生利用技术规范》相符性分析</w:t>
            </w:r>
          </w:p>
          <w:p w14:paraId="371F5CAA">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val="0"/>
                <w:bCs/>
                <w:color w:val="auto"/>
                <w:sz w:val="24"/>
                <w:szCs w:val="24"/>
                <w:highlight w:val="none"/>
                <w:lang w:val="en-US" w:eastAsia="zh-CN"/>
              </w:rPr>
              <w:t>项目与《废塑料再生利用技术规范》（GB/T37821-2019）中相关要求的符合性分析具体见下表。</w:t>
            </w:r>
          </w:p>
          <w:p w14:paraId="5B96ED20">
            <w:pPr>
              <w:keepNext w:val="0"/>
              <w:keepLines w:val="0"/>
              <w:numPr>
                <w:ilvl w:val="0"/>
                <w:numId w:val="0"/>
              </w:numPr>
              <w:suppressLineNumbers w:val="0"/>
              <w:spacing w:before="0" w:beforeAutospacing="0" w:after="0" w:afterAutospacing="0" w:line="240" w:lineRule="auto"/>
              <w:ind w:left="420" w:leftChars="200" w:right="0" w:rightChars="0"/>
              <w:jc w:val="center"/>
              <w:rPr>
                <w:rFonts w:hint="eastAsia"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w:t>
            </w:r>
            <w:r>
              <w:rPr>
                <w:rFonts w:hint="eastAsia" w:cs="Times New Roman"/>
                <w:b/>
                <w:bCs/>
                <w:color w:val="auto"/>
                <w:sz w:val="21"/>
                <w:szCs w:val="21"/>
                <w:lang w:val="en-US" w:eastAsia="zh-CN"/>
              </w:rPr>
              <w:t xml:space="preserve">4    </w:t>
            </w:r>
            <w:r>
              <w:rPr>
                <w:rFonts w:hint="default" w:ascii="Times New Roman" w:hAnsi="Times New Roman" w:eastAsia="宋体" w:cs="Times New Roman"/>
                <w:b/>
                <w:bCs/>
                <w:color w:val="auto"/>
                <w:sz w:val="21"/>
                <w:szCs w:val="21"/>
                <w:lang w:val="en-US" w:eastAsia="zh-CN"/>
              </w:rPr>
              <w:t>项目与《废塑料再生利用技术规范》符合性分析一览表</w:t>
            </w:r>
            <w:r>
              <w:rPr>
                <w:rFonts w:hint="eastAsia" w:cs="Times New Roman"/>
                <w:b/>
                <w:bCs/>
                <w:color w:val="auto"/>
                <w:sz w:val="21"/>
                <w:szCs w:val="21"/>
                <w:lang w:val="en-US" w:eastAsia="zh-CN"/>
              </w:rPr>
              <w:t xml:space="preserve"> </w:t>
            </w:r>
          </w:p>
          <w:tbl>
            <w:tblPr>
              <w:tblStyle w:val="3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7"/>
              <w:gridCol w:w="2707"/>
              <w:gridCol w:w="3734"/>
              <w:gridCol w:w="945"/>
            </w:tblGrid>
            <w:tr w14:paraId="39D8F9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36" w:type="pct"/>
                  <w:tcBorders>
                    <w:tl2br w:val="nil"/>
                    <w:tr2bl w:val="nil"/>
                  </w:tcBorders>
                  <w:noWrap w:val="0"/>
                  <w:vAlign w:val="center"/>
                </w:tcPr>
                <w:p w14:paraId="3389725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lang w:val="en-US" w:eastAsia="zh-CN"/>
                    </w:rPr>
                  </w:pPr>
                  <w:r>
                    <w:rPr>
                      <w:rFonts w:hint="eastAsia" w:cs="Times New Roman"/>
                      <w:b/>
                      <w:bCs/>
                      <w:color w:val="auto"/>
                      <w:lang w:val="en-US" w:eastAsia="zh-CN"/>
                    </w:rPr>
                    <w:t>项目</w:t>
                  </w:r>
                </w:p>
              </w:tc>
              <w:tc>
                <w:tcPr>
                  <w:tcW w:w="1636" w:type="pct"/>
                  <w:tcBorders>
                    <w:tl2br w:val="nil"/>
                    <w:tr2bl w:val="nil"/>
                  </w:tcBorders>
                  <w:noWrap w:val="0"/>
                  <w:vAlign w:val="center"/>
                </w:tcPr>
                <w:p w14:paraId="3F3B8E0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lang w:val="en-US" w:eastAsia="zh-CN"/>
                    </w:rPr>
                  </w:pPr>
                  <w:r>
                    <w:rPr>
                      <w:rFonts w:hint="eastAsia" w:cs="Times New Roman"/>
                      <w:b/>
                      <w:bCs/>
                      <w:color w:val="auto"/>
                      <w:lang w:val="en-US" w:eastAsia="zh-CN"/>
                    </w:rPr>
                    <w:t>规范要求</w:t>
                  </w:r>
                </w:p>
              </w:tc>
              <w:tc>
                <w:tcPr>
                  <w:tcW w:w="2256" w:type="pct"/>
                  <w:tcBorders>
                    <w:tl2br w:val="nil"/>
                    <w:tr2bl w:val="nil"/>
                  </w:tcBorders>
                  <w:noWrap w:val="0"/>
                  <w:vAlign w:val="center"/>
                </w:tcPr>
                <w:p w14:paraId="133599A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本项目情况</w:t>
                  </w:r>
                </w:p>
              </w:tc>
              <w:tc>
                <w:tcPr>
                  <w:tcW w:w="571" w:type="pct"/>
                  <w:tcBorders>
                    <w:tl2br w:val="nil"/>
                    <w:tr2bl w:val="nil"/>
                  </w:tcBorders>
                  <w:noWrap w:val="0"/>
                  <w:vAlign w:val="center"/>
                </w:tcPr>
                <w:p w14:paraId="44465395">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符合性</w:t>
                  </w:r>
                </w:p>
              </w:tc>
            </w:tr>
            <w:tr w14:paraId="056626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6" w:type="pct"/>
                  <w:vMerge w:val="restart"/>
                  <w:tcBorders>
                    <w:tl2br w:val="nil"/>
                    <w:tr2bl w:val="nil"/>
                  </w:tcBorders>
                  <w:noWrap w:val="0"/>
                  <w:vAlign w:val="center"/>
                </w:tcPr>
                <w:p w14:paraId="069949B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造粒和改性要求</w:t>
                  </w:r>
                </w:p>
              </w:tc>
              <w:tc>
                <w:tcPr>
                  <w:tcW w:w="1636" w:type="pct"/>
                  <w:tcBorders>
                    <w:tl2br w:val="nil"/>
                    <w:tr2bl w:val="nil"/>
                  </w:tcBorders>
                  <w:noWrap w:val="0"/>
                  <w:vAlign w:val="center"/>
                </w:tcPr>
                <w:p w14:paraId="75C74BE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造粒废气应集中收集处理。推荐使用真空全密闭废气收集体系收集废气</w:t>
                  </w:r>
                  <w:r>
                    <w:rPr>
                      <w:rFonts w:hint="eastAsia" w:cs="Times New Roman"/>
                      <w:color w:val="auto"/>
                      <w:lang w:val="en-US" w:eastAsia="zh-CN"/>
                    </w:rPr>
                    <w:t>。</w:t>
                  </w:r>
                </w:p>
              </w:tc>
              <w:tc>
                <w:tcPr>
                  <w:tcW w:w="2256" w:type="pct"/>
                  <w:tcBorders>
                    <w:tl2br w:val="nil"/>
                    <w:tr2bl w:val="nil"/>
                  </w:tcBorders>
                  <w:noWrap w:val="0"/>
                  <w:vAlign w:val="center"/>
                </w:tcPr>
                <w:p w14:paraId="6AD13CF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本项目热熔工序在密闭热熔机内进行，主要在挤出时会产生一定的有机废气，项目在挤出口设置集气罩收集后设置二级活性炭吸附装置进行处置。</w:t>
                  </w:r>
                </w:p>
              </w:tc>
              <w:tc>
                <w:tcPr>
                  <w:tcW w:w="571" w:type="pct"/>
                  <w:tcBorders>
                    <w:tl2br w:val="nil"/>
                    <w:tr2bl w:val="nil"/>
                  </w:tcBorders>
                  <w:noWrap w:val="0"/>
                  <w:vAlign w:val="center"/>
                </w:tcPr>
                <w:p w14:paraId="19EA07B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符合</w:t>
                  </w:r>
                </w:p>
              </w:tc>
            </w:tr>
            <w:tr w14:paraId="3192CC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6" w:type="pct"/>
                  <w:vMerge w:val="continue"/>
                  <w:tcBorders>
                    <w:tl2br w:val="nil"/>
                    <w:tr2bl w:val="nil"/>
                  </w:tcBorders>
                  <w:noWrap w:val="0"/>
                  <w:vAlign w:val="center"/>
                </w:tcPr>
                <w:p w14:paraId="2C9A71EF">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lang w:val="en-US" w:eastAsia="zh-CN"/>
                    </w:rPr>
                  </w:pPr>
                </w:p>
              </w:tc>
              <w:tc>
                <w:tcPr>
                  <w:tcW w:w="1636" w:type="pct"/>
                  <w:tcBorders>
                    <w:tl2br w:val="nil"/>
                    <w:tr2bl w:val="nil"/>
                  </w:tcBorders>
                  <w:noWrap w:val="0"/>
                  <w:vAlign w:val="center"/>
                </w:tcPr>
                <w:p w14:paraId="4AD65D9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lang w:val="en-US" w:eastAsia="zh-CN"/>
                    </w:rPr>
                  </w:pPr>
                  <w:r>
                    <w:rPr>
                      <w:rFonts w:hint="eastAsia"/>
                      <w:color w:val="auto"/>
                    </w:rPr>
                    <w:t>推荐使用无丝网过滤器热熔机，减少废滤网产生。废弃滤网、熔融残渣应收集处理</w:t>
                  </w:r>
                </w:p>
              </w:tc>
              <w:tc>
                <w:tcPr>
                  <w:tcW w:w="2256" w:type="pct"/>
                  <w:tcBorders>
                    <w:tl2br w:val="nil"/>
                    <w:tr2bl w:val="nil"/>
                  </w:tcBorders>
                  <w:noWrap w:val="0"/>
                  <w:vAlign w:val="center"/>
                </w:tcPr>
                <w:p w14:paraId="4AF27311">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本项目使用无丝网过滤器热熔机生产，项目产生的熔热熔废渣回用于生产。</w:t>
                  </w:r>
                </w:p>
              </w:tc>
              <w:tc>
                <w:tcPr>
                  <w:tcW w:w="571" w:type="pct"/>
                  <w:tcBorders>
                    <w:tl2br w:val="nil"/>
                    <w:tr2bl w:val="nil"/>
                  </w:tcBorders>
                  <w:noWrap w:val="0"/>
                  <w:vAlign w:val="center"/>
                </w:tcPr>
                <w:p w14:paraId="0CAD425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符合</w:t>
                  </w:r>
                </w:p>
              </w:tc>
            </w:tr>
            <w:tr w14:paraId="272927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36" w:type="pct"/>
                  <w:vMerge w:val="restart"/>
                  <w:tcBorders>
                    <w:tl2br w:val="nil"/>
                    <w:tr2bl w:val="nil"/>
                  </w:tcBorders>
                  <w:noWrap w:val="0"/>
                  <w:vAlign w:val="center"/>
                </w:tcPr>
                <w:p w14:paraId="797A52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资源综合利用及能耗</w:t>
                  </w:r>
                </w:p>
              </w:tc>
              <w:tc>
                <w:tcPr>
                  <w:tcW w:w="1636" w:type="pct"/>
                  <w:tcBorders>
                    <w:tl2br w:val="nil"/>
                    <w:tr2bl w:val="nil"/>
                  </w:tcBorders>
                  <w:noWrap w:val="0"/>
                  <w:vAlign w:val="center"/>
                </w:tcPr>
                <w:p w14:paraId="5991037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塑料再生加工相关生产环节的综合电耗低于500千瓦时/吨废塑料。</w:t>
                  </w:r>
                </w:p>
              </w:tc>
              <w:tc>
                <w:tcPr>
                  <w:tcW w:w="2256" w:type="pct"/>
                  <w:tcBorders>
                    <w:tl2br w:val="nil"/>
                    <w:tr2bl w:val="nil"/>
                  </w:tcBorders>
                  <w:noWrap w:val="0"/>
                  <w:vAlign w:val="center"/>
                </w:tcPr>
                <w:p w14:paraId="5911ADC1">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项目年耗电量约为90万千瓦时/年，即180千瓦时/吨废塑料。</w:t>
                  </w:r>
                </w:p>
              </w:tc>
              <w:tc>
                <w:tcPr>
                  <w:tcW w:w="571" w:type="pct"/>
                  <w:tcBorders>
                    <w:tl2br w:val="nil"/>
                    <w:tr2bl w:val="nil"/>
                  </w:tcBorders>
                  <w:noWrap w:val="0"/>
                  <w:vAlign w:val="center"/>
                </w:tcPr>
                <w:p w14:paraId="5615FB5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符合</w:t>
                  </w:r>
                </w:p>
              </w:tc>
            </w:tr>
            <w:tr w14:paraId="0FD256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36" w:type="pct"/>
                  <w:vMerge w:val="continue"/>
                  <w:tcBorders>
                    <w:tl2br w:val="nil"/>
                    <w:tr2bl w:val="nil"/>
                  </w:tcBorders>
                  <w:noWrap w:val="0"/>
                  <w:vAlign w:val="center"/>
                </w:tcPr>
                <w:p w14:paraId="70AB815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color w:val="auto"/>
                    </w:rPr>
                  </w:pPr>
                </w:p>
              </w:tc>
              <w:tc>
                <w:tcPr>
                  <w:tcW w:w="1636" w:type="pct"/>
                  <w:tcBorders>
                    <w:tl2br w:val="nil"/>
                    <w:tr2bl w:val="nil"/>
                  </w:tcBorders>
                  <w:noWrap w:val="0"/>
                  <w:vAlign w:val="center"/>
                </w:tcPr>
                <w:p w14:paraId="62E27EB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塑料再生造粒企业，每吨废塑料综合新鲜水消耗低于0.2。</w:t>
                  </w:r>
                </w:p>
              </w:tc>
              <w:tc>
                <w:tcPr>
                  <w:tcW w:w="2256" w:type="pct"/>
                  <w:tcBorders>
                    <w:tl2br w:val="nil"/>
                    <w:tr2bl w:val="nil"/>
                  </w:tcBorders>
                  <w:noWrap w:val="0"/>
                  <w:vAlign w:val="center"/>
                </w:tcPr>
                <w:p w14:paraId="4AEAF10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本项目生产用水主要为冷却水，循环使用不外排，定期补充损耗。经估算，耗水量约为7.2m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/a ，每吨废塑料综合新鲜水消耗系数约为0.001 ，低于0.2。</w:t>
                  </w:r>
                </w:p>
              </w:tc>
              <w:tc>
                <w:tcPr>
                  <w:tcW w:w="571" w:type="pct"/>
                  <w:tcBorders>
                    <w:tl2br w:val="nil"/>
                    <w:tr2bl w:val="nil"/>
                  </w:tcBorders>
                  <w:noWrap w:val="0"/>
                  <w:vAlign w:val="center"/>
                </w:tcPr>
                <w:p w14:paraId="4A6DD25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符合</w:t>
                  </w:r>
                </w:p>
              </w:tc>
            </w:tr>
            <w:tr w14:paraId="0BB5BE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536" w:type="pct"/>
                  <w:vMerge w:val="restart"/>
                  <w:tcBorders>
                    <w:tl2br w:val="nil"/>
                    <w:tr2bl w:val="nil"/>
                  </w:tcBorders>
                  <w:noWrap w:val="0"/>
                  <w:vAlign w:val="center"/>
                </w:tcPr>
                <w:p w14:paraId="5266C95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资源综合利用及能耗</w:t>
                  </w:r>
                </w:p>
              </w:tc>
              <w:tc>
                <w:tcPr>
                  <w:tcW w:w="1636" w:type="pct"/>
                  <w:tcBorders>
                    <w:tl2br w:val="nil"/>
                    <w:tr2bl w:val="nil"/>
                  </w:tcBorders>
                  <w:noWrap w:val="0"/>
                  <w:vAlign w:val="center"/>
                </w:tcPr>
                <w:p w14:paraId="27EEF02A">
                  <w:pPr>
                    <w:pStyle w:val="184"/>
                    <w:keepNext w:val="0"/>
                    <w:keepLines w:val="0"/>
                    <w:suppressLineNumbers w:val="0"/>
                    <w:spacing w:before="65" w:beforeAutospacing="0" w:after="0" w:afterAutospacing="0" w:line="228" w:lineRule="auto"/>
                    <w:ind w:left="0" w:right="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企业应对收集的废塑料进行充分利用，提高资源回收利用效率，不得倾倒、焚烧与填埋。</w:t>
                  </w:r>
                </w:p>
              </w:tc>
              <w:tc>
                <w:tcPr>
                  <w:tcW w:w="2256" w:type="pct"/>
                  <w:tcBorders>
                    <w:tl2br w:val="nil"/>
                    <w:tr2bl w:val="nil"/>
                  </w:tcBorders>
                  <w:noWrap w:val="0"/>
                  <w:vAlign w:val="center"/>
                </w:tcPr>
                <w:p w14:paraId="764F39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项目对生产过程中的塑料按一般固废收集后再次利用。</w:t>
                  </w:r>
                </w:p>
              </w:tc>
              <w:tc>
                <w:tcPr>
                  <w:tcW w:w="571" w:type="pct"/>
                  <w:tcBorders>
                    <w:tl2br w:val="nil"/>
                    <w:tr2bl w:val="nil"/>
                  </w:tcBorders>
                  <w:noWrap w:val="0"/>
                  <w:vAlign w:val="center"/>
                </w:tcPr>
                <w:p w14:paraId="7EEC28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符合</w:t>
                  </w:r>
                </w:p>
              </w:tc>
            </w:tr>
            <w:tr w14:paraId="189DB9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6" w:type="pct"/>
                  <w:vMerge w:val="continue"/>
                  <w:tcBorders>
                    <w:tl2br w:val="nil"/>
                    <w:tr2bl w:val="nil"/>
                  </w:tcBorders>
                  <w:noWrap w:val="0"/>
                  <w:vAlign w:val="center"/>
                </w:tcPr>
                <w:p w14:paraId="2B3809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rPr>
                  </w:pPr>
                </w:p>
              </w:tc>
              <w:tc>
                <w:tcPr>
                  <w:tcW w:w="1636" w:type="pct"/>
                  <w:tcBorders>
                    <w:tl2br w:val="nil"/>
                    <w:tr2bl w:val="nil"/>
                  </w:tcBorders>
                  <w:noWrap w:val="0"/>
                  <w:vAlign w:val="center"/>
                </w:tcPr>
                <w:p w14:paraId="5DBBB6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不得在缺乏必要的环保设施条件下焚烧废弃滤网、熔融渣。</w:t>
                  </w:r>
                </w:p>
              </w:tc>
              <w:tc>
                <w:tcPr>
                  <w:tcW w:w="2256" w:type="pct"/>
                  <w:tcBorders>
                    <w:tl2br w:val="nil"/>
                    <w:tr2bl w:val="nil"/>
                  </w:tcBorders>
                  <w:noWrap w:val="0"/>
                  <w:vAlign w:val="center"/>
                </w:tcPr>
                <w:p w14:paraId="2ABC68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本项目产生的熔融渣回用于生产。</w:t>
                  </w:r>
                </w:p>
              </w:tc>
              <w:tc>
                <w:tcPr>
                  <w:tcW w:w="571" w:type="pct"/>
                  <w:tcBorders>
                    <w:tl2br w:val="nil"/>
                    <w:tr2bl w:val="nil"/>
                  </w:tcBorders>
                  <w:noWrap w:val="0"/>
                  <w:vAlign w:val="center"/>
                </w:tcPr>
                <w:p w14:paraId="1A5C42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符合</w:t>
                  </w:r>
                </w:p>
              </w:tc>
            </w:tr>
            <w:tr w14:paraId="422B46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536" w:type="pct"/>
                  <w:vMerge w:val="continue"/>
                  <w:tcBorders>
                    <w:tl2br w:val="nil"/>
                    <w:tr2bl w:val="nil"/>
                  </w:tcBorders>
                  <w:noWrap w:val="0"/>
                  <w:vAlign w:val="center"/>
                </w:tcPr>
                <w:p w14:paraId="7F5BA6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4"/>
                      <w:lang w:val="en-US" w:eastAsia="zh-CN" w:bidi="ar-SA"/>
                    </w:rPr>
                  </w:pPr>
                </w:p>
              </w:tc>
              <w:tc>
                <w:tcPr>
                  <w:tcW w:w="1636" w:type="pct"/>
                  <w:tcBorders>
                    <w:tl2br w:val="nil"/>
                    <w:tr2bl w:val="nil"/>
                  </w:tcBorders>
                  <w:noWrap w:val="0"/>
                  <w:vAlign w:val="center"/>
                </w:tcPr>
                <w:p w14:paraId="23EE48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再生利用过程应进行减噪处理</w:t>
                  </w:r>
                </w:p>
              </w:tc>
              <w:tc>
                <w:tcPr>
                  <w:tcW w:w="2256" w:type="pct"/>
                  <w:tcBorders>
                    <w:tl2br w:val="nil"/>
                    <w:tr2bl w:val="nil"/>
                  </w:tcBorders>
                  <w:noWrap w:val="0"/>
                  <w:vAlign w:val="center"/>
                </w:tcPr>
                <w:p w14:paraId="377F85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本项目生产过程中采取厂房隔声、减振、距离衰减等措施后，厂界噪声能满足《工业企业厂界环境噪声排放标准》</w:t>
                  </w:r>
                </w:p>
                <w:p w14:paraId="6C643B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（GB12348-2008）中的</w:t>
                  </w:r>
                  <w:r>
                    <w:rPr>
                      <w:rFonts w:hint="eastAsia" w:cs="Times New Roman"/>
                      <w:color w:val="auto"/>
                      <w:kern w:val="2"/>
                      <w:sz w:val="21"/>
                      <w:szCs w:val="24"/>
                      <w:lang w:val="en-US" w:eastAsia="zh-CN" w:bidi="ar-SA"/>
                    </w:rPr>
                    <w:t>3</w:t>
                  </w:r>
                  <w:r>
                    <w:rPr>
                      <w:rFonts w:hint="default" w:ascii="Times New Roman" w:hAnsi="Times New Roman" w:eastAsia="宋体" w:cs="Times New Roman"/>
                      <w:color w:val="auto"/>
                      <w:kern w:val="2"/>
                      <w:sz w:val="21"/>
                      <w:szCs w:val="24"/>
                      <w:lang w:val="en-US" w:eastAsia="zh-CN" w:bidi="ar-SA"/>
                    </w:rPr>
                    <w:t>类标准。</w:t>
                  </w:r>
                </w:p>
              </w:tc>
              <w:tc>
                <w:tcPr>
                  <w:tcW w:w="571" w:type="pct"/>
                  <w:tcBorders>
                    <w:tl2br w:val="nil"/>
                    <w:tr2bl w:val="nil"/>
                  </w:tcBorders>
                  <w:noWrap w:val="0"/>
                  <w:vAlign w:val="center"/>
                </w:tcPr>
                <w:p w14:paraId="3C7AA0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符合</w:t>
                  </w:r>
                </w:p>
              </w:tc>
            </w:tr>
            <w:tr w14:paraId="345299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536" w:type="pct"/>
                  <w:vMerge w:val="continue"/>
                  <w:tcBorders>
                    <w:tl2br w:val="nil"/>
                    <w:tr2bl w:val="nil"/>
                  </w:tcBorders>
                  <w:noWrap w:val="0"/>
                  <w:vAlign w:val="center"/>
                </w:tcPr>
                <w:p w14:paraId="3C69C5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4"/>
                      <w:lang w:val="en-US" w:eastAsia="zh-CN" w:bidi="ar-SA"/>
                    </w:rPr>
                  </w:pPr>
                </w:p>
              </w:tc>
              <w:tc>
                <w:tcPr>
                  <w:tcW w:w="1636" w:type="pct"/>
                  <w:tcBorders>
                    <w:tl2br w:val="nil"/>
                    <w:tr2bl w:val="nil"/>
                  </w:tcBorders>
                  <w:noWrap w:val="0"/>
                  <w:vAlign w:val="center"/>
                </w:tcPr>
                <w:p w14:paraId="27504E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应建立完善的污染防治制度，定期维护环境保护设施，建立完整的废水处理、废气治理、固体废物处理处置等环境保护相关记录。</w:t>
                  </w:r>
                </w:p>
              </w:tc>
              <w:tc>
                <w:tcPr>
                  <w:tcW w:w="2256" w:type="pct"/>
                  <w:tcBorders>
                    <w:tl2br w:val="nil"/>
                    <w:tr2bl w:val="nil"/>
                  </w:tcBorders>
                  <w:noWrap w:val="0"/>
                  <w:vAlign w:val="center"/>
                </w:tcPr>
                <w:p w14:paraId="22BA1C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环评要求建设单位建立完善的污染防治制度，定期维护环境保护设施，废水处理、废气治理、固体废物处理处置建立可追溯的台账。</w:t>
                  </w:r>
                </w:p>
              </w:tc>
              <w:tc>
                <w:tcPr>
                  <w:tcW w:w="571" w:type="pct"/>
                  <w:tcBorders>
                    <w:tl2br w:val="nil"/>
                    <w:tr2bl w:val="nil"/>
                  </w:tcBorders>
                  <w:noWrap w:val="0"/>
                  <w:vAlign w:val="center"/>
                </w:tcPr>
                <w:p w14:paraId="7425C5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符合</w:t>
                  </w:r>
                </w:p>
              </w:tc>
            </w:tr>
          </w:tbl>
          <w:p w14:paraId="11DE36F2">
            <w:pPr>
              <w:keepNext w:val="0"/>
              <w:keepLines w:val="0"/>
              <w:numPr>
                <w:ilvl w:val="0"/>
                <w:numId w:val="3"/>
              </w:numPr>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rPr>
              <w:t>与《废塑料加工利用污染防治管理规定》的符合性分析</w:t>
            </w:r>
          </w:p>
          <w:p w14:paraId="6F5B7834">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val="0"/>
                <w:bCs/>
                <w:color w:val="auto"/>
                <w:sz w:val="24"/>
                <w:szCs w:val="24"/>
                <w:highlight w:val="none"/>
                <w:lang w:val="en-US" w:eastAsia="zh-CN"/>
              </w:rPr>
              <w:t>项目与《废塑料加工利用污染防治管理规定》（环境保护部、发改委、商务部公告 2012 年第 55 号）相关要求的符合性分析具体见下表。</w:t>
            </w:r>
          </w:p>
          <w:p w14:paraId="56C107DA">
            <w:pPr>
              <w:pStyle w:val="184"/>
              <w:keepNext w:val="0"/>
              <w:keepLines w:val="0"/>
              <w:suppressLineNumbers w:val="0"/>
              <w:spacing w:before="0" w:beforeAutospacing="0" w:after="0" w:afterAutospacing="0" w:line="219" w:lineRule="auto"/>
              <w:ind w:left="0" w:right="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 1-5    项目与《废塑料加工利用污染防治管理规定》符合性分析一览表</w:t>
            </w:r>
          </w:p>
          <w:tbl>
            <w:tblPr>
              <w:tblStyle w:val="3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8"/>
              <w:gridCol w:w="4961"/>
              <w:gridCol w:w="1708"/>
              <w:gridCol w:w="945"/>
            </w:tblGrid>
            <w:tr w14:paraId="624F5C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80" w:hRule="atLeast"/>
                <w:jc w:val="center"/>
              </w:trPr>
              <w:tc>
                <w:tcPr>
                  <w:tcW w:w="397" w:type="pct"/>
                  <w:tcBorders>
                    <w:tl2br w:val="nil"/>
                    <w:tr2bl w:val="nil"/>
                  </w:tcBorders>
                  <w:noWrap w:val="0"/>
                  <w:vAlign w:val="center"/>
                </w:tcPr>
                <w:p w14:paraId="68C7B6B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lang w:val="en-US" w:eastAsia="zh-CN"/>
                    </w:rPr>
                  </w:pPr>
                  <w:r>
                    <w:rPr>
                      <w:rFonts w:hint="eastAsia" w:cs="Times New Roman"/>
                      <w:b/>
                      <w:bCs/>
                      <w:color w:val="auto"/>
                      <w:lang w:val="en-US" w:eastAsia="zh-CN"/>
                    </w:rPr>
                    <w:t>序号</w:t>
                  </w:r>
                </w:p>
              </w:tc>
              <w:tc>
                <w:tcPr>
                  <w:tcW w:w="2998" w:type="pct"/>
                  <w:tcBorders>
                    <w:tl2br w:val="nil"/>
                    <w:tr2bl w:val="nil"/>
                  </w:tcBorders>
                  <w:noWrap w:val="0"/>
                  <w:vAlign w:val="center"/>
                </w:tcPr>
                <w:p w14:paraId="44D15C9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管理规定要求</w:t>
                  </w:r>
                </w:p>
              </w:tc>
              <w:tc>
                <w:tcPr>
                  <w:tcW w:w="1032" w:type="pct"/>
                  <w:tcBorders>
                    <w:tl2br w:val="nil"/>
                    <w:tr2bl w:val="nil"/>
                  </w:tcBorders>
                  <w:noWrap w:val="0"/>
                  <w:vAlign w:val="center"/>
                </w:tcPr>
                <w:p w14:paraId="5C6255A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本项目情况</w:t>
                  </w:r>
                </w:p>
              </w:tc>
              <w:tc>
                <w:tcPr>
                  <w:tcW w:w="571" w:type="pct"/>
                  <w:tcBorders>
                    <w:tl2br w:val="nil"/>
                    <w:tr2bl w:val="nil"/>
                  </w:tcBorders>
                  <w:noWrap w:val="0"/>
                  <w:vAlign w:val="center"/>
                </w:tcPr>
                <w:p w14:paraId="69C6F7C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符合性</w:t>
                  </w:r>
                </w:p>
              </w:tc>
            </w:tr>
            <w:tr w14:paraId="0F030E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7" w:type="pct"/>
                  <w:tcBorders>
                    <w:tl2br w:val="nil"/>
                    <w:tr2bl w:val="nil"/>
                  </w:tcBorders>
                  <w:noWrap w:val="0"/>
                  <w:vAlign w:val="center"/>
                </w:tcPr>
                <w:p w14:paraId="3D40D35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1</w:t>
                  </w:r>
                </w:p>
              </w:tc>
              <w:tc>
                <w:tcPr>
                  <w:tcW w:w="2998" w:type="pct"/>
                  <w:tcBorders>
                    <w:tl2br w:val="nil"/>
                    <w:tr2bl w:val="nil"/>
                  </w:tcBorders>
                  <w:noWrap w:val="0"/>
                  <w:vAlign w:val="center"/>
                </w:tcPr>
                <w:p w14:paraId="0D12978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废塑料加工利用必须符合国家相关产业政策规定及《废塑料回收与再生利用污染控制技术规范》，防止二次污染。禁止在居民区加工利用废塑料。禁止利用废塑料生产厚度小于0.025mm的超薄塑料购物袋和厚度小于0.015mm超薄塑料袋。禁止利用废塑料生产食品用塑料袋。禁止无危险废物经营许可证从事废塑料类危险废物的回收利用活动，包括被危险化学品、农药等污染的废弃塑料包装物，废弃的一次性医疗用塑料制品（如输液器、血袋）等。无符合环保要求污水治理设施的，禁止从事废编织袋造粒、缸脚料淘洗、废塑料退镀（涂）、盐卤分拣等加工活动。</w:t>
                  </w:r>
                </w:p>
              </w:tc>
              <w:tc>
                <w:tcPr>
                  <w:tcW w:w="1032" w:type="pct"/>
                  <w:tcBorders>
                    <w:tl2br w:val="nil"/>
                    <w:tr2bl w:val="nil"/>
                  </w:tcBorders>
                  <w:noWrap w:val="0"/>
                  <w:vAlign w:val="center"/>
                </w:tcPr>
                <w:p w14:paraId="3A67B33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本项目热熔工序在密闭热熔机内进行，主要在挤出时会产生一定的有机废气，项目在挤出口设置集气罩收集后设置二级活性炭吸附装置进行处置。</w:t>
                  </w:r>
                </w:p>
              </w:tc>
              <w:tc>
                <w:tcPr>
                  <w:tcW w:w="571" w:type="pct"/>
                  <w:tcBorders>
                    <w:tl2br w:val="nil"/>
                    <w:tr2bl w:val="nil"/>
                  </w:tcBorders>
                  <w:noWrap w:val="0"/>
                  <w:vAlign w:val="center"/>
                </w:tcPr>
                <w:p w14:paraId="76203CD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符合</w:t>
                  </w:r>
                </w:p>
              </w:tc>
            </w:tr>
            <w:tr w14:paraId="77D23F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97" w:type="pct"/>
                  <w:tcBorders>
                    <w:tl2br w:val="nil"/>
                    <w:tr2bl w:val="nil"/>
                  </w:tcBorders>
                  <w:noWrap w:val="0"/>
                  <w:vAlign w:val="center"/>
                </w:tcPr>
                <w:p w14:paraId="08B7874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2</w:t>
                  </w:r>
                </w:p>
              </w:tc>
              <w:tc>
                <w:tcPr>
                  <w:tcW w:w="2998" w:type="pct"/>
                  <w:tcBorders>
                    <w:tl2br w:val="nil"/>
                    <w:tr2bl w:val="nil"/>
                  </w:tcBorders>
                  <w:noWrap w:val="0"/>
                  <w:vAlign w:val="center"/>
                </w:tcPr>
                <w:p w14:paraId="4B0FF5BF">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废塑料加工利用单位应当以环境无害化方式处理废塑料加工利用过程产生的残余垃圾、滤网；禁止交由不符合环保要求的单位或个人处置。禁止露天焚烧废塑料及加工利用过程产生的残余垃圾、滤网。</w:t>
                  </w:r>
                </w:p>
              </w:tc>
              <w:tc>
                <w:tcPr>
                  <w:tcW w:w="1032" w:type="pct"/>
                  <w:tcBorders>
                    <w:tl2br w:val="nil"/>
                    <w:tr2bl w:val="nil"/>
                  </w:tcBorders>
                  <w:noWrap w:val="0"/>
                  <w:vAlign w:val="center"/>
                </w:tcPr>
                <w:p w14:paraId="5D85C9B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项目年耗电量约为90万千瓦时/年，即180千瓦时/吨废塑料。</w:t>
                  </w:r>
                </w:p>
              </w:tc>
              <w:tc>
                <w:tcPr>
                  <w:tcW w:w="571" w:type="pct"/>
                  <w:tcBorders>
                    <w:tl2br w:val="nil"/>
                    <w:tr2bl w:val="nil"/>
                  </w:tcBorders>
                  <w:noWrap w:val="0"/>
                  <w:vAlign w:val="center"/>
                </w:tcPr>
                <w:p w14:paraId="5ED41EF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符合</w:t>
                  </w:r>
                </w:p>
              </w:tc>
            </w:tr>
            <w:tr w14:paraId="436F6F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397" w:type="pct"/>
                  <w:tcBorders>
                    <w:tl2br w:val="nil"/>
                    <w:tr2bl w:val="nil"/>
                  </w:tcBorders>
                  <w:noWrap w:val="0"/>
                  <w:vAlign w:val="center"/>
                </w:tcPr>
                <w:p w14:paraId="6E07F89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3</w:t>
                  </w:r>
                </w:p>
              </w:tc>
              <w:tc>
                <w:tcPr>
                  <w:tcW w:w="2998" w:type="pct"/>
                  <w:tcBorders>
                    <w:tl2br w:val="nil"/>
                    <w:tr2bl w:val="nil"/>
                  </w:tcBorders>
                  <w:noWrap w:val="0"/>
                  <w:vAlign w:val="center"/>
                </w:tcPr>
                <w:p w14:paraId="7342BFFC">
                  <w:pPr>
                    <w:pStyle w:val="184"/>
                    <w:keepNext w:val="0"/>
                    <w:keepLines w:val="0"/>
                    <w:suppressLineNumbers w:val="0"/>
                    <w:spacing w:before="65" w:beforeAutospacing="0" w:after="0" w:afterAutospacing="0" w:line="228" w:lineRule="auto"/>
                    <w:ind w:left="0" w:right="0"/>
                    <w:jc w:val="both"/>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进口废塑料加</w:t>
                  </w:r>
                  <w:bookmarkStart w:id="5" w:name="_GoBack"/>
                  <w:bookmarkEnd w:id="5"/>
                  <w:r>
                    <w:rPr>
                      <w:rFonts w:hint="default" w:ascii="Times New Roman" w:hAnsi="Times New Roman" w:eastAsia="宋体" w:cs="Times New Roman"/>
                      <w:color w:val="auto"/>
                      <w:kern w:val="2"/>
                      <w:sz w:val="21"/>
                      <w:szCs w:val="24"/>
                      <w:lang w:val="en-US" w:eastAsia="zh-CN" w:bidi="ar-SA"/>
                    </w:rPr>
                    <w:t>工利用企业应当符合《固体废物进口管理办法》以及生态环境部关于进口可用作原料的固体废物和废塑料环境保护管理相关规定。禁止进口未经清洗的使用过的废塑料。禁止将进口的废塑料全部或者部分转让给进口许可证载明的利用企业以外的单位或者个人，包括将进口废塑料委托给其他企业代为清洗。进口废塑料分拣或加工利用过程产生的残余废塑料应当进行无害化利用或者处置；禁止将上述残余废塑料未经清洗处理直接出售。</w:t>
                  </w:r>
                </w:p>
              </w:tc>
              <w:tc>
                <w:tcPr>
                  <w:tcW w:w="1032" w:type="pct"/>
                  <w:tcBorders>
                    <w:tl2br w:val="nil"/>
                    <w:tr2bl w:val="nil"/>
                  </w:tcBorders>
                  <w:noWrap w:val="0"/>
                  <w:vAlign w:val="center"/>
                </w:tcPr>
                <w:p w14:paraId="2532BA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项目对生产过程中的塑料按一般固废收集后再次利用。</w:t>
                  </w:r>
                </w:p>
              </w:tc>
              <w:tc>
                <w:tcPr>
                  <w:tcW w:w="571" w:type="pct"/>
                  <w:tcBorders>
                    <w:tl2br w:val="nil"/>
                    <w:tr2bl w:val="nil"/>
                  </w:tcBorders>
                  <w:noWrap w:val="0"/>
                  <w:vAlign w:val="center"/>
                </w:tcPr>
                <w:p w14:paraId="4A44D2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符合</w:t>
                  </w:r>
                </w:p>
              </w:tc>
            </w:tr>
          </w:tbl>
          <w:p w14:paraId="46B2BBCA">
            <w:pPr>
              <w:pStyle w:val="184"/>
              <w:keepNext w:val="0"/>
              <w:keepLines w:val="0"/>
              <w:suppressLineNumbers w:val="0"/>
              <w:spacing w:before="0" w:beforeAutospacing="0" w:after="0" w:afterAutospacing="0" w:line="219" w:lineRule="auto"/>
              <w:ind w:left="0" w:right="0"/>
              <w:jc w:val="both"/>
              <w:rPr>
                <w:rFonts w:hint="default" w:ascii="Times New Roman" w:hAnsi="Times New Roman" w:eastAsia="宋体" w:cs="Times New Roman"/>
                <w:b/>
                <w:bCs/>
                <w:color w:val="auto"/>
                <w:kern w:val="2"/>
                <w:sz w:val="21"/>
                <w:szCs w:val="21"/>
                <w:lang w:val="en-US" w:eastAsia="zh-CN" w:bidi="ar-SA"/>
              </w:rPr>
            </w:pPr>
          </w:p>
          <w:p w14:paraId="39164FCE">
            <w:pPr>
              <w:keepNext w:val="0"/>
              <w:keepLines w:val="0"/>
              <w:numPr>
                <w:ilvl w:val="0"/>
                <w:numId w:val="3"/>
              </w:numPr>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val="0"/>
                <w:color w:val="auto"/>
                <w:sz w:val="24"/>
                <w:szCs w:val="24"/>
                <w:shd w:val="clear" w:color="auto" w:fill="auto"/>
              </w:rPr>
            </w:pPr>
            <w:r>
              <w:rPr>
                <w:rFonts w:hint="default" w:ascii="Times New Roman" w:hAnsi="Times New Roman" w:eastAsia="宋体" w:cs="Times New Roman"/>
                <w:b/>
                <w:bCs w:val="0"/>
                <w:color w:val="auto"/>
                <w:sz w:val="24"/>
                <w:szCs w:val="24"/>
                <w:shd w:val="clear" w:color="auto" w:fill="auto"/>
              </w:rPr>
              <w:t>项目</w:t>
            </w:r>
            <w:r>
              <w:rPr>
                <w:rFonts w:hint="default" w:ascii="Times New Roman" w:hAnsi="Times New Roman" w:eastAsia="宋体" w:cs="Times New Roman"/>
                <w:b/>
                <w:bCs w:val="0"/>
                <w:color w:val="auto"/>
                <w:sz w:val="24"/>
                <w:szCs w:val="24"/>
                <w:shd w:val="clear" w:color="auto" w:fill="auto"/>
                <w:lang w:eastAsia="zh-CN"/>
              </w:rPr>
              <w:t>与相关生态环境保护法律法规和政策、生态环境保护规划的符合性分析</w:t>
            </w:r>
            <w:r>
              <w:rPr>
                <w:rFonts w:hint="default" w:ascii="Times New Roman" w:hAnsi="Times New Roman" w:eastAsia="宋体" w:cs="Times New Roman"/>
                <w:b/>
                <w:bCs w:val="0"/>
                <w:color w:val="auto"/>
                <w:sz w:val="24"/>
                <w:szCs w:val="24"/>
                <w:shd w:val="clear" w:color="auto" w:fill="auto"/>
              </w:rPr>
              <w:t>：</w:t>
            </w:r>
          </w:p>
          <w:p w14:paraId="549B8AE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shd w:val="clear" w:color="auto" w:fill="auto"/>
                <w:lang w:val="en-US" w:eastAsia="zh-CN"/>
              </w:rPr>
            </w:pPr>
            <w:r>
              <w:rPr>
                <w:rFonts w:hint="default" w:ascii="Times New Roman" w:hAnsi="Times New Roman" w:eastAsia="宋体" w:cs="Times New Roman"/>
                <w:b/>
                <w:bCs/>
                <w:color w:val="auto"/>
                <w:sz w:val="21"/>
                <w:szCs w:val="21"/>
                <w:shd w:val="clear" w:color="auto" w:fill="auto"/>
                <w:lang w:val="en-US" w:eastAsia="zh-CN"/>
              </w:rPr>
              <w:t>表1-3 项目与生态环境保护法律法规政策、</w:t>
            </w:r>
            <w:r>
              <w:rPr>
                <w:rFonts w:hint="eastAsia" w:cs="Times New Roman"/>
                <w:b/>
                <w:bCs/>
                <w:color w:val="auto"/>
                <w:sz w:val="21"/>
                <w:szCs w:val="21"/>
                <w:shd w:val="clear" w:color="auto" w:fill="auto"/>
                <w:lang w:val="en-US" w:eastAsia="zh-CN"/>
              </w:rPr>
              <w:t>生态环境保护</w:t>
            </w:r>
            <w:r>
              <w:rPr>
                <w:rFonts w:hint="default" w:ascii="Times New Roman" w:hAnsi="Times New Roman" w:eastAsia="宋体" w:cs="Times New Roman"/>
                <w:b/>
                <w:bCs/>
                <w:color w:val="auto"/>
                <w:sz w:val="21"/>
                <w:szCs w:val="21"/>
                <w:shd w:val="clear" w:color="auto" w:fill="auto"/>
                <w:lang w:val="en-US" w:eastAsia="zh-CN"/>
              </w:rPr>
              <w:t>规划符合性分析一览表</w:t>
            </w:r>
          </w:p>
          <w:tbl>
            <w:tblPr>
              <w:tblStyle w:val="3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77"/>
              <w:gridCol w:w="3484"/>
              <w:gridCol w:w="2550"/>
              <w:gridCol w:w="862"/>
            </w:tblGrid>
            <w:tr w14:paraId="44EE49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832" w:type="pct"/>
                  <w:tcBorders>
                    <w:tl2br w:val="nil"/>
                    <w:tr2bl w:val="nil"/>
                  </w:tcBorders>
                  <w:noWrap w:val="0"/>
                  <w:vAlign w:val="center"/>
                </w:tcPr>
                <w:p w14:paraId="5CFF940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2105" w:type="pct"/>
                  <w:tcBorders>
                    <w:tl2br w:val="nil"/>
                    <w:tr2bl w:val="nil"/>
                  </w:tcBorders>
                  <w:noWrap w:val="0"/>
                  <w:vAlign w:val="center"/>
                </w:tcPr>
                <w:p w14:paraId="7F21C65F">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规划内容</w:t>
                  </w:r>
                </w:p>
              </w:tc>
              <w:tc>
                <w:tcPr>
                  <w:tcW w:w="1541" w:type="pct"/>
                  <w:tcBorders>
                    <w:tl2br w:val="nil"/>
                    <w:tr2bl w:val="nil"/>
                  </w:tcBorders>
                  <w:noWrap w:val="0"/>
                  <w:vAlign w:val="center"/>
                </w:tcPr>
                <w:p w14:paraId="420C515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本项目情况</w:t>
                  </w:r>
                </w:p>
              </w:tc>
              <w:tc>
                <w:tcPr>
                  <w:tcW w:w="520" w:type="pct"/>
                  <w:tcBorders>
                    <w:tl2br w:val="nil"/>
                    <w:tr2bl w:val="nil"/>
                  </w:tcBorders>
                  <w:noWrap w:val="0"/>
                  <w:vAlign w:val="center"/>
                </w:tcPr>
                <w:p w14:paraId="4E6869F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符合性</w:t>
                  </w:r>
                </w:p>
              </w:tc>
            </w:tr>
            <w:tr w14:paraId="4AE812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65" w:hRule="atLeast"/>
                <w:jc w:val="center"/>
              </w:trPr>
              <w:tc>
                <w:tcPr>
                  <w:tcW w:w="832" w:type="pct"/>
                  <w:vMerge w:val="restart"/>
                  <w:tcBorders>
                    <w:tl2br w:val="nil"/>
                    <w:tr2bl w:val="nil"/>
                  </w:tcBorders>
                  <w:noWrap w:val="0"/>
                  <w:vAlign w:val="center"/>
                </w:tcPr>
                <w:p w14:paraId="4E3EA6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国家发展改革委《生态环境部关于进一步加强塑料污染治理的意见》（发改环资〔2020〕80 号）</w:t>
                  </w:r>
                </w:p>
              </w:tc>
              <w:tc>
                <w:tcPr>
                  <w:tcW w:w="2105" w:type="pct"/>
                  <w:tcBorders>
                    <w:tl2br w:val="nil"/>
                    <w:tr2bl w:val="nil"/>
                  </w:tcBorders>
                  <w:noWrap w:val="0"/>
                  <w:vAlign w:val="center"/>
                </w:tcPr>
                <w:p w14:paraId="64292D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eastAsia="zh-CN"/>
                    </w:rPr>
                    <w:t>（四）禁止生产、销售的塑料制品。禁止生产和销售厚度小于0.025毫米的超薄塑料购物袋、厚度小于0.01毫米的聚乙烯农用地膜。禁止以医疗废物为原料制造塑料制品。全面禁止废塑料进口。到2020 年底，禁止生产和销售一次性发泡塑料餐具、一次性塑料棉签；禁止生产含塑料微珠的日化产品。到2022年底，禁止销售含塑料微珠的日化产品。</w:t>
                  </w:r>
                </w:p>
              </w:tc>
              <w:tc>
                <w:tcPr>
                  <w:tcW w:w="1541" w:type="pct"/>
                  <w:tcBorders>
                    <w:tl2br w:val="nil"/>
                    <w:tr2bl w:val="nil"/>
                  </w:tcBorders>
                  <w:noWrap w:val="0"/>
                  <w:vAlign w:val="center"/>
                </w:tcPr>
                <w:p w14:paraId="414C92DF">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本项目为废旧塑料泡沫的回收再利用，不涉及加工利用危险化学品、农药等污染的废弃塑料包装物，废弃的一次性被感染的医疗用塑料制品。</w:t>
                  </w:r>
                </w:p>
              </w:tc>
              <w:tc>
                <w:tcPr>
                  <w:tcW w:w="520" w:type="pct"/>
                  <w:vMerge w:val="restart"/>
                  <w:tcBorders>
                    <w:tl2br w:val="nil"/>
                    <w:tr2bl w:val="nil"/>
                  </w:tcBorders>
                  <w:noWrap w:val="0"/>
                  <w:vAlign w:val="center"/>
                </w:tcPr>
                <w:p w14:paraId="4598A775">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04BF91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32" w:type="pct"/>
                  <w:vMerge w:val="continue"/>
                  <w:tcBorders>
                    <w:tl2br w:val="nil"/>
                    <w:tr2bl w:val="nil"/>
                  </w:tcBorders>
                  <w:noWrap w:val="0"/>
                  <w:vAlign w:val="center"/>
                </w:tcPr>
                <w:p w14:paraId="2530329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color w:val="auto"/>
                      <w:sz w:val="21"/>
                      <w:szCs w:val="21"/>
                    </w:rPr>
                  </w:pPr>
                </w:p>
              </w:tc>
              <w:tc>
                <w:tcPr>
                  <w:tcW w:w="2105" w:type="pct"/>
                  <w:tcBorders>
                    <w:tl2br w:val="nil"/>
                    <w:tr2bl w:val="nil"/>
                  </w:tcBorders>
                  <w:noWrap w:val="0"/>
                  <w:vAlign w:val="center"/>
                </w:tcPr>
                <w:p w14:paraId="15EB063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（九）加强塑料废弃物回收和清运。结合实施垃圾分类，加大塑料废弃物等可回收物分类收集和处理力度，禁止随意堆放、倾倒造成塑料垃圾污染。</w:t>
                  </w:r>
                </w:p>
              </w:tc>
              <w:tc>
                <w:tcPr>
                  <w:tcW w:w="1541" w:type="pct"/>
                  <w:tcBorders>
                    <w:tl2br w:val="nil"/>
                    <w:tr2bl w:val="nil"/>
                  </w:tcBorders>
                  <w:noWrap w:val="0"/>
                  <w:vAlign w:val="center"/>
                </w:tcPr>
                <w:p w14:paraId="31616315">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项目直接从废品收购站收购废旧塑料泡沫，采用封闭的交通工具运输至厂房内原料暂存区，厂房为钢结构封闭型。</w:t>
                  </w:r>
                </w:p>
              </w:tc>
              <w:tc>
                <w:tcPr>
                  <w:tcW w:w="520" w:type="pct"/>
                  <w:vMerge w:val="continue"/>
                  <w:tcBorders>
                    <w:tl2br w:val="nil"/>
                    <w:tr2bl w:val="nil"/>
                  </w:tcBorders>
                  <w:noWrap w:val="0"/>
                  <w:vAlign w:val="center"/>
                </w:tcPr>
                <w:p w14:paraId="683451F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lang w:eastAsia="zh-CN"/>
                    </w:rPr>
                  </w:pPr>
                </w:p>
              </w:tc>
            </w:tr>
            <w:tr w14:paraId="5E5F13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32" w:type="pct"/>
                  <w:tcBorders>
                    <w:tl2br w:val="nil"/>
                    <w:tr2bl w:val="nil"/>
                  </w:tcBorders>
                  <w:noWrap w:val="0"/>
                  <w:vAlign w:val="center"/>
                </w:tcPr>
                <w:p w14:paraId="63DB638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color w:val="auto"/>
                      <w:sz w:val="21"/>
                      <w:szCs w:val="21"/>
                    </w:rPr>
                  </w:pPr>
                  <w:r>
                    <w:rPr>
                      <w:rFonts w:hint="eastAsia"/>
                      <w:color w:val="auto"/>
                      <w:sz w:val="21"/>
                      <w:szCs w:val="21"/>
                    </w:rPr>
                    <w:t>《陕西省</w:t>
                  </w:r>
                  <w:r>
                    <w:rPr>
                      <w:rFonts w:hint="eastAsia"/>
                      <w:color w:val="auto"/>
                      <w:sz w:val="21"/>
                      <w:szCs w:val="21"/>
                      <w:lang w:val="en-US" w:eastAsia="zh-CN"/>
                    </w:rPr>
                    <w:t xml:space="preserve"> </w:t>
                  </w:r>
                  <w:r>
                    <w:rPr>
                      <w:rFonts w:hint="eastAsia"/>
                      <w:color w:val="auto"/>
                      <w:sz w:val="21"/>
                      <w:szCs w:val="21"/>
                    </w:rPr>
                    <w:t>进一步加强塑料污染治理实施方案》（陕发改环资〔2020〕 1184 号）</w:t>
                  </w:r>
                </w:p>
              </w:tc>
              <w:tc>
                <w:tcPr>
                  <w:tcW w:w="2105" w:type="pct"/>
                  <w:tcBorders>
                    <w:tl2br w:val="nil"/>
                    <w:tr2bl w:val="nil"/>
                  </w:tcBorders>
                  <w:noWrap w:val="0"/>
                  <w:vAlign w:val="center"/>
                </w:tcPr>
                <w:p w14:paraId="156D322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（一）</w:t>
                  </w:r>
                  <w:r>
                    <w:rPr>
                      <w:rFonts w:hint="default" w:ascii="Times New Roman" w:hAnsi="Times New Roman" w:eastAsia="宋体" w:cs="Times New Roman"/>
                      <w:color w:val="auto"/>
                      <w:sz w:val="21"/>
                      <w:szCs w:val="21"/>
                      <w:lang w:eastAsia="zh-CN"/>
                    </w:rPr>
                    <w:t>禁止生产、销售的塑料制品：按照国家要求，禁止生产和销售厚度小于0.025毫米的超薄塑料购物袋、厚度小于0.01毫米的聚乙烯农用地膜；禁止以医疗废物为原料制造塑料制品（符合国卫办医发〔2017〕30号文件中可回收的未经患者血液、体液、排泄物等污染的输液瓶</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eastAsia="zh-CN"/>
                    </w:rPr>
                    <w:t>袋除外）。到2020年底，禁止生产和销售一次性发泡塑料餐具、一次性塑料棉签；禁止生产含塑料微珠的日化产品。</w:t>
                  </w:r>
                </w:p>
              </w:tc>
              <w:tc>
                <w:tcPr>
                  <w:tcW w:w="1541" w:type="pct"/>
                  <w:tcBorders>
                    <w:tl2br w:val="nil"/>
                    <w:tr2bl w:val="nil"/>
                  </w:tcBorders>
                  <w:noWrap w:val="0"/>
                  <w:vAlign w:val="center"/>
                </w:tcPr>
                <w:p w14:paraId="6B4ACF25">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本项目为废旧塑料泡沫的回收再利用，不涉及加工利用危险化学品、农药等污染的废弃塑料包装物，废弃的一次性被感染的医疗用塑料制品。</w:t>
                  </w:r>
                </w:p>
              </w:tc>
              <w:tc>
                <w:tcPr>
                  <w:tcW w:w="520" w:type="pct"/>
                  <w:tcBorders>
                    <w:tl2br w:val="nil"/>
                    <w:tr2bl w:val="nil"/>
                  </w:tcBorders>
                  <w:noWrap w:val="0"/>
                  <w:vAlign w:val="center"/>
                </w:tcPr>
                <w:p w14:paraId="6996ACF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符合</w:t>
                  </w:r>
                </w:p>
              </w:tc>
            </w:tr>
            <w:tr w14:paraId="6186BB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832" w:type="pct"/>
                  <w:vMerge w:val="restart"/>
                  <w:tcBorders>
                    <w:tl2br w:val="nil"/>
                    <w:tr2bl w:val="nil"/>
                  </w:tcBorders>
                  <w:noWrap w:val="0"/>
                  <w:vAlign w:val="center"/>
                </w:tcPr>
                <w:p w14:paraId="465CDF5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《挥发性有机物（VOCs）污染防治技术政策》 （公告2013 年第31 号）</w:t>
                  </w:r>
                </w:p>
              </w:tc>
              <w:tc>
                <w:tcPr>
                  <w:tcW w:w="2105" w:type="pct"/>
                  <w:tcBorders>
                    <w:tl2br w:val="nil"/>
                    <w:tr2bl w:val="nil"/>
                  </w:tcBorders>
                  <w:noWrap w:val="0"/>
                  <w:vAlign w:val="center"/>
                </w:tcPr>
                <w:p w14:paraId="367DC0A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对于含低浓度 VOCs 的废气，有回收价值时可采用吸附技术、吸收技术对有机溶剂回收后达标排放；不宜回收时，可采用吸附浓缩燃烧技术、生物技术、吸收技术、等离子体技术或紫外光高级氧化技术等净化后达标排放</w:t>
                  </w:r>
                  <w:r>
                    <w:rPr>
                      <w:rFonts w:hint="default" w:ascii="Times New Roman" w:hAnsi="Times New Roman" w:eastAsia="宋体" w:cs="Times New Roman"/>
                      <w:color w:val="auto"/>
                      <w:sz w:val="21"/>
                      <w:szCs w:val="21"/>
                      <w:lang w:eastAsia="zh-CN"/>
                    </w:rPr>
                    <w:t>。</w:t>
                  </w:r>
                </w:p>
              </w:tc>
              <w:tc>
                <w:tcPr>
                  <w:tcW w:w="1541" w:type="pct"/>
                  <w:tcBorders>
                    <w:tl2br w:val="nil"/>
                    <w:tr2bl w:val="nil"/>
                  </w:tcBorders>
                  <w:noWrap w:val="0"/>
                  <w:vAlign w:val="center"/>
                </w:tcPr>
                <w:p w14:paraId="58E74A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本项目热熔挤出过程中会产生挥发性废气，产生的挥发性废气经集气罩收集后，通过二级活性炭吸附装置处理后经15m 高排气筒有组织排放。</w:t>
                  </w:r>
                </w:p>
              </w:tc>
              <w:tc>
                <w:tcPr>
                  <w:tcW w:w="520" w:type="pct"/>
                  <w:tcBorders>
                    <w:tl2br w:val="nil"/>
                    <w:tr2bl w:val="nil"/>
                  </w:tcBorders>
                  <w:noWrap w:val="0"/>
                  <w:vAlign w:val="center"/>
                </w:tcPr>
                <w:p w14:paraId="381540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eastAsia="宋体" w:cs="Times New Roman"/>
                      <w:color w:val="auto"/>
                      <w:sz w:val="21"/>
                      <w:szCs w:val="21"/>
                      <w:lang w:val="en-US" w:eastAsia="zh-CN"/>
                    </w:rPr>
                    <w:t>符合</w:t>
                  </w:r>
                </w:p>
              </w:tc>
            </w:tr>
            <w:tr w14:paraId="1273AD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832" w:type="pct"/>
                  <w:vMerge w:val="continue"/>
                  <w:tcBorders>
                    <w:tl2br w:val="nil"/>
                    <w:tr2bl w:val="nil"/>
                  </w:tcBorders>
                  <w:noWrap w:val="0"/>
                  <w:vAlign w:val="center"/>
                </w:tcPr>
                <w:p w14:paraId="5A0BBC6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2105" w:type="pct"/>
                  <w:tcBorders>
                    <w:tl2br w:val="nil"/>
                    <w:tr2bl w:val="nil"/>
                  </w:tcBorders>
                  <w:noWrap w:val="0"/>
                  <w:vAlign w:val="center"/>
                </w:tcPr>
                <w:p w14:paraId="67EF56A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对于不能再生的过滤材料、吸附剂及催化剂等净化材料，应按照国家固体废物管理的相关规定处理处置。</w:t>
                  </w:r>
                </w:p>
              </w:tc>
              <w:tc>
                <w:tcPr>
                  <w:tcW w:w="1541" w:type="pct"/>
                  <w:tcBorders>
                    <w:tl2br w:val="nil"/>
                    <w:tr2bl w:val="nil"/>
                  </w:tcBorders>
                  <w:noWrap w:val="0"/>
                  <w:vAlign w:val="center"/>
                </w:tcPr>
                <w:p w14:paraId="303B9D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z w:val="21"/>
                      <w:szCs w:val="21"/>
                      <w:lang w:eastAsia="zh-CN"/>
                    </w:rPr>
                  </w:pPr>
                  <w:r>
                    <w:rPr>
                      <w:rFonts w:hint="default" w:ascii="Times New Roman" w:hAnsi="Times New Roman" w:eastAsia="宋体" w:cs="Times New Roman"/>
                      <w:color w:val="auto"/>
                      <w:sz w:val="21"/>
                      <w:szCs w:val="21"/>
                      <w:lang w:eastAsia="zh-CN"/>
                    </w:rPr>
                    <w:t>本项目废气治理过程中产生的危险废物委托有资质单位进行处置。</w:t>
                  </w:r>
                </w:p>
              </w:tc>
              <w:tc>
                <w:tcPr>
                  <w:tcW w:w="520" w:type="pct"/>
                  <w:vMerge w:val="restart"/>
                  <w:tcBorders>
                    <w:tl2br w:val="nil"/>
                    <w:tr2bl w:val="nil"/>
                  </w:tcBorders>
                  <w:noWrap w:val="0"/>
                  <w:vAlign w:val="center"/>
                </w:tcPr>
                <w:p w14:paraId="6E8E12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1AD8D3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2" w:type="pct"/>
                  <w:vMerge w:val="continue"/>
                  <w:tcBorders>
                    <w:tl2br w:val="nil"/>
                    <w:tr2bl w:val="nil"/>
                  </w:tcBorders>
                  <w:noWrap w:val="0"/>
                  <w:vAlign w:val="center"/>
                </w:tcPr>
                <w:p w14:paraId="59B1BD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color w:val="auto"/>
                      <w:sz w:val="21"/>
                      <w:szCs w:val="21"/>
                    </w:rPr>
                  </w:pPr>
                </w:p>
              </w:tc>
              <w:tc>
                <w:tcPr>
                  <w:tcW w:w="2105" w:type="pct"/>
                  <w:tcBorders>
                    <w:tl2br w:val="nil"/>
                    <w:tr2bl w:val="nil"/>
                  </w:tcBorders>
                  <w:noWrap w:val="0"/>
                  <w:vAlign w:val="center"/>
                </w:tcPr>
                <w:p w14:paraId="79A56F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企业应建立健全</w:t>
                  </w:r>
                  <w:r>
                    <w:rPr>
                      <w:rFonts w:hint="eastAsia" w:cs="Times New Roman"/>
                      <w:color w:val="auto"/>
                      <w:sz w:val="21"/>
                      <w:szCs w:val="21"/>
                      <w:lang w:eastAsia="zh-CN"/>
                    </w:rPr>
                    <w:t>VOCs</w:t>
                  </w:r>
                  <w:r>
                    <w:rPr>
                      <w:rFonts w:hint="default" w:ascii="Times New Roman" w:hAnsi="Times New Roman" w:eastAsia="宋体" w:cs="Times New Roman"/>
                      <w:color w:val="auto"/>
                      <w:sz w:val="21"/>
                      <w:szCs w:val="21"/>
                      <w:lang w:eastAsia="zh-CN"/>
                    </w:rPr>
                    <w:t>治理设施的运行维护规程和台账等日常管理制度，并根据工艺要求定期对各类设备、电气、 自控仪表等进行检修维护，确保设施的稳定运行。当采用吸附回收（浓缩）、催化燃烧、热力焚烧、等离子体等方法进行末端治理时，应编制本单位事故火灾、爆炸等应急救援预案，配备应急救援人员和器材，并开展应急演练。</w:t>
                  </w:r>
                </w:p>
              </w:tc>
              <w:tc>
                <w:tcPr>
                  <w:tcW w:w="1541" w:type="pct"/>
                  <w:tcBorders>
                    <w:tl2br w:val="nil"/>
                    <w:tr2bl w:val="nil"/>
                  </w:tcBorders>
                  <w:noWrap w:val="0"/>
                  <w:vAlign w:val="center"/>
                </w:tcPr>
                <w:p w14:paraId="0B0055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项目建成后建立健全</w:t>
                  </w:r>
                  <w:r>
                    <w:rPr>
                      <w:rFonts w:hint="eastAsia" w:cs="Times New Roman"/>
                      <w:color w:val="auto"/>
                      <w:sz w:val="21"/>
                      <w:szCs w:val="21"/>
                      <w:lang w:eastAsia="zh-CN"/>
                    </w:rPr>
                    <w:t>VOCs</w:t>
                  </w:r>
                  <w:r>
                    <w:rPr>
                      <w:rFonts w:hint="default" w:ascii="Times New Roman" w:hAnsi="Times New Roman" w:eastAsia="宋体" w:cs="Times New Roman"/>
                      <w:color w:val="auto"/>
                      <w:sz w:val="21"/>
                      <w:szCs w:val="21"/>
                      <w:lang w:eastAsia="zh-CN"/>
                    </w:rPr>
                    <w:t>治理设施的运行维护规程和台账等日常管理制度，及时制定本单位突发环境事件应急预案并报送当地</w:t>
                  </w:r>
                  <w:r>
                    <w:rPr>
                      <w:rFonts w:hint="eastAsia" w:cs="Times New Roman"/>
                      <w:color w:val="auto"/>
                      <w:sz w:val="21"/>
                      <w:szCs w:val="21"/>
                      <w:lang w:eastAsia="zh-CN"/>
                    </w:rPr>
                    <w:t>主管部门</w:t>
                  </w:r>
                  <w:r>
                    <w:rPr>
                      <w:rFonts w:hint="default" w:ascii="Times New Roman" w:hAnsi="Times New Roman" w:eastAsia="宋体" w:cs="Times New Roman"/>
                      <w:color w:val="auto"/>
                      <w:sz w:val="21"/>
                      <w:szCs w:val="21"/>
                      <w:lang w:eastAsia="zh-CN"/>
                    </w:rPr>
                    <w:t>进行备案。</w:t>
                  </w:r>
                </w:p>
              </w:tc>
              <w:tc>
                <w:tcPr>
                  <w:tcW w:w="520" w:type="pct"/>
                  <w:vMerge w:val="continue"/>
                  <w:tcBorders>
                    <w:tl2br w:val="nil"/>
                    <w:tr2bl w:val="nil"/>
                  </w:tcBorders>
                  <w:noWrap w:val="0"/>
                  <w:vAlign w:val="center"/>
                </w:tcPr>
                <w:p w14:paraId="1605CB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lang w:eastAsia="zh-CN"/>
                    </w:rPr>
                  </w:pPr>
                </w:p>
              </w:tc>
            </w:tr>
            <w:tr w14:paraId="6C3F8C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65" w:hRule="atLeast"/>
                <w:jc w:val="center"/>
              </w:trPr>
              <w:tc>
                <w:tcPr>
                  <w:tcW w:w="832" w:type="pct"/>
                  <w:vMerge w:val="restart"/>
                  <w:tcBorders>
                    <w:tl2br w:val="nil"/>
                    <w:tr2bl w:val="nil"/>
                  </w:tcBorders>
                  <w:noWrap w:val="0"/>
                  <w:vAlign w:val="center"/>
                </w:tcPr>
                <w:p w14:paraId="2608AD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《生态环境部关于加快解决当前挥发性有机物</w:t>
                  </w:r>
                </w:p>
                <w:p w14:paraId="63F342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snapToGrid w:val="0"/>
                      <w:color w:val="auto"/>
                      <w:sz w:val="21"/>
                      <w:szCs w:val="21"/>
                    </w:rPr>
                    <w:t>治理突出问题的通知》环大气〔2021〕65号</w:t>
                  </w:r>
                </w:p>
              </w:tc>
              <w:tc>
                <w:tcPr>
                  <w:tcW w:w="2105" w:type="pct"/>
                  <w:tcBorders>
                    <w:tl2br w:val="nil"/>
                    <w:tr2bl w:val="nil"/>
                  </w:tcBorders>
                  <w:noWrap w:val="0"/>
                  <w:vAlign w:val="center"/>
                </w:tcPr>
                <w:p w14:paraId="36419A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废气收集设施：产生 VOCS的生产环节优先采用密闭设备、在密闭空间中操作或采用全密闭集气罩收集方式，并保持负压运行。无尘等级要求车间需设置成正压的，宜建设内层正压、外层微负压的双层整体密闭收集空间。废气收集系统的输送管道应密闭、无破损。</w:t>
                  </w:r>
                </w:p>
              </w:tc>
              <w:tc>
                <w:tcPr>
                  <w:tcW w:w="1541" w:type="pct"/>
                  <w:tcBorders>
                    <w:tl2br w:val="nil"/>
                    <w:tr2bl w:val="nil"/>
                  </w:tcBorders>
                  <w:noWrap w:val="0"/>
                  <w:vAlign w:val="center"/>
                </w:tcPr>
                <w:p w14:paraId="73AE13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本项目原料和成品储存过程中无废气产生，热熔挤出过程中产生的废气经集气罩收集后通过二级活性炭吸附装置处理后通过 15m 高排气筒有组织排放。</w:t>
                  </w:r>
                </w:p>
              </w:tc>
              <w:tc>
                <w:tcPr>
                  <w:tcW w:w="520" w:type="pct"/>
                  <w:tcBorders>
                    <w:tl2br w:val="nil"/>
                    <w:tr2bl w:val="nil"/>
                  </w:tcBorders>
                  <w:noWrap w:val="0"/>
                  <w:vAlign w:val="center"/>
                </w:tcPr>
                <w:p w14:paraId="49F4C8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eastAsia="宋体" w:cs="Times New Roman"/>
                      <w:color w:val="auto"/>
                      <w:sz w:val="21"/>
                      <w:szCs w:val="21"/>
                      <w:lang w:val="en-US" w:eastAsia="zh-CN"/>
                    </w:rPr>
                    <w:t>符合</w:t>
                  </w:r>
                </w:p>
              </w:tc>
            </w:tr>
            <w:tr w14:paraId="34F13F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2" w:type="pct"/>
                  <w:vMerge w:val="continue"/>
                  <w:tcBorders>
                    <w:tl2br w:val="nil"/>
                    <w:tr2bl w:val="nil"/>
                  </w:tcBorders>
                  <w:noWrap w:val="0"/>
                  <w:vAlign w:val="center"/>
                </w:tcPr>
                <w:p w14:paraId="4C0403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p>
              </w:tc>
              <w:tc>
                <w:tcPr>
                  <w:tcW w:w="2105" w:type="pct"/>
                  <w:tcBorders>
                    <w:tl2br w:val="nil"/>
                    <w:tr2bl w:val="nil"/>
                  </w:tcBorders>
                  <w:noWrap w:val="0"/>
                  <w:vAlign w:val="center"/>
                </w:tcPr>
                <w:p w14:paraId="2DE132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有机废气治理设施：新建治理设施或对现有治理设施实施改造，应依据排放废气特征、VOCS 组分及浓度、生产工况等，合理选择治理技术；对治理难度大、单一治理工艺难以稳定达标的，宜采用多种技术的组合工艺；除恶臭异味治理外，一般不使用低温等离子、光催化、光氧化等技术。加强运行维护管理，做到治理设施较生产设备“先启后停” ，在治理设施达到正常运行条件后方可启动生产设备，在生产设备停止、残留 VOCS 废气收集处理完毕后，方可停运治理设施采用活性炭吸附工艺的企业，应根据废气排放特征，按照相关工程技术规范设计净化工艺和设备，使废气在吸附装置中有足够的停留时间，选择符合相关产品质量标准的活性炭，并足额充填、及时更换。</w:t>
                  </w:r>
                </w:p>
              </w:tc>
              <w:tc>
                <w:tcPr>
                  <w:tcW w:w="1541" w:type="pct"/>
                  <w:tcBorders>
                    <w:tl2br w:val="nil"/>
                    <w:tr2bl w:val="nil"/>
                  </w:tcBorders>
                  <w:noWrap w:val="0"/>
                  <w:vAlign w:val="center"/>
                </w:tcPr>
                <w:p w14:paraId="384556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本项目有机废气设置二级活性炭吸附装置处理，环评要求项目在运行过程中治理设施</w:t>
                  </w:r>
                  <w:r>
                    <w:rPr>
                      <w:rFonts w:hint="eastAsia" w:cs="Times New Roman"/>
                      <w:color w:val="auto"/>
                      <w:sz w:val="21"/>
                      <w:szCs w:val="21"/>
                      <w:lang w:eastAsia="zh-CN"/>
                    </w:rPr>
                    <w:t>及</w:t>
                  </w:r>
                  <w:r>
                    <w:rPr>
                      <w:rFonts w:hint="default" w:ascii="Times New Roman" w:hAnsi="Times New Roman" w:cs="Times New Roman"/>
                      <w:color w:val="auto"/>
                      <w:sz w:val="21"/>
                      <w:szCs w:val="21"/>
                    </w:rPr>
                    <w:t>生产设备做到“先启后停”，并及时对活性炭进行更换。</w:t>
                  </w:r>
                </w:p>
              </w:tc>
              <w:tc>
                <w:tcPr>
                  <w:tcW w:w="520" w:type="pct"/>
                  <w:tcBorders>
                    <w:tl2br w:val="nil"/>
                    <w:tr2bl w:val="nil"/>
                  </w:tcBorders>
                  <w:noWrap w:val="0"/>
                  <w:vAlign w:val="center"/>
                </w:tcPr>
                <w:p w14:paraId="532C0A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14:paraId="4216DA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832" w:type="pct"/>
                  <w:vMerge w:val="restart"/>
                  <w:tcBorders>
                    <w:tl2br w:val="nil"/>
                    <w:tr2bl w:val="nil"/>
                  </w:tcBorders>
                  <w:noWrap w:val="0"/>
                  <w:vAlign w:val="center"/>
                </w:tcPr>
                <w:p w14:paraId="1C61AC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sz w:val="21"/>
                      <w:szCs w:val="21"/>
                      <w:lang w:eastAsia="zh-CN"/>
                    </w:rPr>
                  </w:pPr>
                  <w:r>
                    <w:rPr>
                      <w:rFonts w:hint="default" w:ascii="Times New Roman" w:hAnsi="Times New Roman" w:cs="Times New Roman"/>
                      <w:snapToGrid w:val="0"/>
                      <w:color w:val="auto"/>
                      <w:sz w:val="21"/>
                      <w:szCs w:val="21"/>
                      <w:lang w:eastAsia="zh-CN"/>
                    </w:rPr>
                    <w:t>《重点行业挥发性有机物综合治理方案》</w:t>
                  </w:r>
                </w:p>
              </w:tc>
              <w:tc>
                <w:tcPr>
                  <w:tcW w:w="2105" w:type="pct"/>
                  <w:tcBorders>
                    <w:tl2br w:val="nil"/>
                    <w:tr2bl w:val="nil"/>
                  </w:tcBorders>
                  <w:noWrap w:val="0"/>
                  <w:vAlign w:val="center"/>
                </w:tcPr>
                <w:p w14:paraId="351528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全面加强无组织排放控制-加强设备与场所密闭管理。含 VOCs物料应储存于密闭容器、包装袋，高效密封储罐，封闭式储库、料仓等。含 VOCs物料转移和输送，应采用密闭管道或密闭容器、罐车等。含 VOCs物料生产和使用过程，应采取有效收集措施或在密闭空间中操作。</w:t>
                  </w:r>
                </w:p>
              </w:tc>
              <w:tc>
                <w:tcPr>
                  <w:tcW w:w="1541" w:type="pct"/>
                  <w:vMerge w:val="restart"/>
                  <w:tcBorders>
                    <w:tl2br w:val="nil"/>
                    <w:tr2bl w:val="nil"/>
                  </w:tcBorders>
                  <w:noWrap w:val="0"/>
                  <w:vAlign w:val="center"/>
                </w:tcPr>
                <w:p w14:paraId="0BCC39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重点行业是指石化、化工、工业涂装、包装印刷、油品储运销等行业，本项目</w:t>
                  </w:r>
                  <w:r>
                    <w:rPr>
                      <w:rFonts w:hint="eastAsia" w:cs="Times New Roman"/>
                      <w:color w:val="auto"/>
                      <w:sz w:val="21"/>
                      <w:szCs w:val="21"/>
                      <w:lang w:val="en-US" w:eastAsia="zh-CN"/>
                    </w:rPr>
                    <w:t>为废</w:t>
                  </w:r>
                  <w:r>
                    <w:rPr>
                      <w:rFonts w:hint="default" w:ascii="Times New Roman" w:hAnsi="Times New Roman" w:cs="Times New Roman"/>
                      <w:color w:val="auto"/>
                      <w:sz w:val="21"/>
                      <w:szCs w:val="21"/>
                      <w:lang w:val="en-US" w:eastAsia="zh-CN"/>
                    </w:rPr>
                    <w:t>弃资源综合利用业，不属于重点行业；本项目原料和成品储存过程中无有机废气挥发，热熔挤出过程中产生的有机废气经集气罩收集后，通过二级活性炭吸附装置处理后经15m高排气筒有组织排放。</w:t>
                  </w:r>
                </w:p>
                <w:p w14:paraId="0AE598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z w:val="21"/>
                      <w:szCs w:val="21"/>
                      <w:lang w:val="en-US" w:eastAsia="zh-CN"/>
                    </w:rPr>
                  </w:pPr>
                </w:p>
              </w:tc>
              <w:tc>
                <w:tcPr>
                  <w:tcW w:w="520" w:type="pct"/>
                  <w:tcBorders>
                    <w:tl2br w:val="nil"/>
                    <w:tr2bl w:val="nil"/>
                  </w:tcBorders>
                  <w:noWrap w:val="0"/>
                  <w:vAlign w:val="center"/>
                </w:tcPr>
                <w:p w14:paraId="5DDB13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3692E2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2" w:type="pct"/>
                  <w:vMerge w:val="continue"/>
                  <w:tcBorders>
                    <w:tl2br w:val="nil"/>
                    <w:tr2bl w:val="nil"/>
                  </w:tcBorders>
                  <w:noWrap w:val="0"/>
                  <w:vAlign w:val="center"/>
                </w:tcPr>
                <w:p w14:paraId="3E141D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napToGrid w:val="0"/>
                      <w:color w:val="auto"/>
                      <w:sz w:val="21"/>
                      <w:szCs w:val="21"/>
                      <w:lang w:eastAsia="zh-CN"/>
                    </w:rPr>
                  </w:pPr>
                </w:p>
              </w:tc>
              <w:tc>
                <w:tcPr>
                  <w:tcW w:w="2105" w:type="pct"/>
                  <w:tcBorders>
                    <w:tl2br w:val="nil"/>
                    <w:tr2bl w:val="nil"/>
                  </w:tcBorders>
                  <w:noWrap w:val="0"/>
                  <w:vAlign w:val="center"/>
                </w:tcPr>
                <w:p w14:paraId="4CD542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全面加强无组织排放控制提高废气收集率。遵循“应收尽收、分质收集” 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p>
              </w:tc>
              <w:tc>
                <w:tcPr>
                  <w:tcW w:w="1541" w:type="pct"/>
                  <w:vMerge w:val="continue"/>
                  <w:tcBorders>
                    <w:tl2br w:val="nil"/>
                    <w:tr2bl w:val="nil"/>
                  </w:tcBorders>
                  <w:noWrap w:val="0"/>
                  <w:vAlign w:val="center"/>
                </w:tcPr>
                <w:p w14:paraId="5BC6E4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z w:val="21"/>
                      <w:szCs w:val="21"/>
                      <w:lang w:val="en-US" w:eastAsia="zh-CN"/>
                    </w:rPr>
                  </w:pPr>
                </w:p>
              </w:tc>
              <w:tc>
                <w:tcPr>
                  <w:tcW w:w="520" w:type="pct"/>
                  <w:tcBorders>
                    <w:tl2br w:val="nil"/>
                    <w:tr2bl w:val="nil"/>
                  </w:tcBorders>
                  <w:noWrap w:val="0"/>
                  <w:vAlign w:val="center"/>
                </w:tcPr>
                <w:p w14:paraId="116FBD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212E9E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2" w:type="pct"/>
                  <w:tcBorders>
                    <w:tl2br w:val="nil"/>
                    <w:tr2bl w:val="nil"/>
                  </w:tcBorders>
                  <w:noWrap w:val="0"/>
                  <w:vAlign w:val="center"/>
                </w:tcPr>
                <w:p w14:paraId="12F4A2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napToGrid w:val="0"/>
                      <w:color w:val="auto"/>
                      <w:sz w:val="21"/>
                      <w:szCs w:val="21"/>
                      <w:lang w:val="en-US" w:eastAsia="zh-CN"/>
                    </w:rPr>
                  </w:pPr>
                  <w:r>
                    <w:rPr>
                      <w:rFonts w:hint="default" w:ascii="Times New Roman" w:hAnsi="Times New Roman" w:cs="Times New Roman"/>
                      <w:snapToGrid w:val="0"/>
                      <w:color w:val="auto"/>
                      <w:sz w:val="21"/>
                      <w:szCs w:val="21"/>
                      <w:lang w:val="en-US" w:eastAsia="zh-CN"/>
                    </w:rPr>
                    <w:t>《空气质量持续改善行动计划》（国发〔2023〕24号）</w:t>
                  </w:r>
                </w:p>
              </w:tc>
              <w:tc>
                <w:tcPr>
                  <w:tcW w:w="2105" w:type="pct"/>
                  <w:tcBorders>
                    <w:tl2br w:val="nil"/>
                    <w:tr2bl w:val="nil"/>
                  </w:tcBorders>
                  <w:noWrap w:val="0"/>
                  <w:vAlign w:val="center"/>
                </w:tcPr>
                <w:p w14:paraId="4672C8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新改扩建项目严格落实国家产业规划、产业政策、生态环境分区管控方案。</w:t>
                  </w:r>
                </w:p>
              </w:tc>
              <w:tc>
                <w:tcPr>
                  <w:tcW w:w="1541" w:type="pct"/>
                  <w:tcBorders>
                    <w:tl2br w:val="nil"/>
                    <w:tr2bl w:val="nil"/>
                  </w:tcBorders>
                  <w:noWrap w:val="0"/>
                  <w:vAlign w:val="center"/>
                </w:tcPr>
                <w:p w14:paraId="18E016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根据《产业结构调整指导目录（2024 年本）》，本项目</w:t>
                  </w:r>
                  <w:r>
                    <w:rPr>
                      <w:rFonts w:hint="eastAsia" w:cs="Times New Roman"/>
                      <w:color w:val="auto"/>
                      <w:sz w:val="21"/>
                      <w:szCs w:val="21"/>
                      <w:lang w:val="en-US" w:eastAsia="zh-CN"/>
                    </w:rPr>
                    <w:t>属于</w:t>
                  </w:r>
                  <w:r>
                    <w:rPr>
                      <w:rFonts w:hint="default" w:ascii="Times New Roman" w:hAnsi="Times New Roman" w:cs="Times New Roman"/>
                      <w:color w:val="auto"/>
                      <w:sz w:val="21"/>
                      <w:szCs w:val="21"/>
                      <w:lang w:val="en-US" w:eastAsia="zh-CN"/>
                    </w:rPr>
                    <w:t>鼓励类，不在“宝鸡市生态环境准入清单”中禁止准入产业，符合管理要求。</w:t>
                  </w:r>
                </w:p>
              </w:tc>
              <w:tc>
                <w:tcPr>
                  <w:tcW w:w="520" w:type="pct"/>
                  <w:tcBorders>
                    <w:tl2br w:val="nil"/>
                    <w:tr2bl w:val="nil"/>
                  </w:tcBorders>
                  <w:noWrap w:val="0"/>
                  <w:vAlign w:val="center"/>
                </w:tcPr>
                <w:p w14:paraId="652898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19B047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832" w:type="pct"/>
                  <w:tcBorders>
                    <w:tl2br w:val="nil"/>
                    <w:tr2bl w:val="nil"/>
                  </w:tcBorders>
                  <w:noWrap w:val="0"/>
                  <w:vAlign w:val="center"/>
                </w:tcPr>
                <w:p w14:paraId="157DF1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napToGrid w:val="0"/>
                      <w:color w:val="auto"/>
                      <w:sz w:val="21"/>
                      <w:szCs w:val="21"/>
                      <w:lang w:val="en-US" w:eastAsia="zh-CN"/>
                    </w:rPr>
                  </w:pPr>
                  <w:r>
                    <w:rPr>
                      <w:rFonts w:hint="default" w:ascii="Times New Roman" w:hAnsi="Times New Roman" w:cs="Times New Roman"/>
                      <w:color w:val="auto"/>
                      <w:sz w:val="21"/>
                      <w:szCs w:val="21"/>
                      <w:highlight w:val="none"/>
                      <w:lang w:eastAsia="zh-CN"/>
                    </w:rPr>
                    <w:t>《陕西省生态环境厅关于进一步加强重点地区涉 VOCs项目环境影响评价管理工作的通知》（陕环环评函〔2020〕61号）</w:t>
                  </w:r>
                </w:p>
              </w:tc>
              <w:tc>
                <w:tcPr>
                  <w:tcW w:w="2105" w:type="pct"/>
                  <w:tcBorders>
                    <w:tl2br w:val="nil"/>
                    <w:tr2bl w:val="nil"/>
                  </w:tcBorders>
                  <w:noWrap w:val="0"/>
                  <w:vAlign w:val="center"/>
                </w:tcPr>
                <w:p w14:paraId="0D851389">
                  <w:pPr>
                    <w:keepNext w:val="0"/>
                    <w:keepLines w:val="0"/>
                    <w:widowControl/>
                    <w:suppressLineNumbers w:val="0"/>
                    <w:spacing w:before="0" w:beforeAutospacing="0" w:after="0" w:afterAutospacing="0"/>
                    <w:ind w:left="0" w:right="0"/>
                    <w:jc w:val="both"/>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涉VOCs建设项目特别是石化、化工、包装印刷、工业涂装等新增VOCs排放量的建设项目，环评文件应明确VOCs污染防治设施并预测排放量。</w:t>
                  </w:r>
                </w:p>
              </w:tc>
              <w:tc>
                <w:tcPr>
                  <w:tcW w:w="1541" w:type="pct"/>
                  <w:tcBorders>
                    <w:tl2br w:val="nil"/>
                    <w:tr2bl w:val="nil"/>
                  </w:tcBorders>
                  <w:noWrap w:val="0"/>
                  <w:vAlign w:val="center"/>
                </w:tcPr>
                <w:p w14:paraId="4F0A7E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项目热熔挤出过程中产生的有机废气经集气罩收集后，通过二级活性炭吸附装置处理后经 15m高排气筒有组织排放，本次评价对项目生产过程中VOCs 的产生量及排放量进行了估算，VOCs有组织排放量为0.855t/a。</w:t>
                  </w:r>
                </w:p>
              </w:tc>
              <w:tc>
                <w:tcPr>
                  <w:tcW w:w="520" w:type="pct"/>
                  <w:tcBorders>
                    <w:tl2br w:val="nil"/>
                    <w:tr2bl w:val="nil"/>
                  </w:tcBorders>
                  <w:noWrap w:val="0"/>
                  <w:vAlign w:val="center"/>
                </w:tcPr>
                <w:p w14:paraId="6FB4FC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64434D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832" w:type="pct"/>
                  <w:tcBorders>
                    <w:tl2br w:val="nil"/>
                    <w:tr2bl w:val="nil"/>
                  </w:tcBorders>
                  <w:noWrap w:val="0"/>
                  <w:vAlign w:val="center"/>
                </w:tcPr>
                <w:p w14:paraId="12D82C3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eastAsia="zh-CN"/>
                    </w:rPr>
                    <w:t>《陕西省噪声污染防治行动计划（2023—2025 年）》</w:t>
                  </w:r>
                </w:p>
              </w:tc>
              <w:tc>
                <w:tcPr>
                  <w:tcW w:w="2105" w:type="pct"/>
                  <w:tcBorders>
                    <w:tl2br w:val="nil"/>
                    <w:tr2bl w:val="nil"/>
                  </w:tcBorders>
                  <w:noWrap w:val="0"/>
                  <w:vAlign w:val="center"/>
                </w:tcPr>
                <w:p w14:paraId="61D3351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11.落实工业噪声过程控制。噪声排放工业企业切实落实噪声污染防治措施，开展工业噪声达标专项整治，严肃查处工业企业噪声超标排放行为，加强厂区内固定设备、</w:t>
                  </w:r>
                </w:p>
                <w:p w14:paraId="3EEB60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eastAsia="zh-CN"/>
                    </w:rPr>
                    <w:t>运输工具、货物装卸和试车线等声源噪声管理，避免突发噪声扰民。</w:t>
                  </w:r>
                </w:p>
              </w:tc>
              <w:tc>
                <w:tcPr>
                  <w:tcW w:w="1541" w:type="pct"/>
                  <w:tcBorders>
                    <w:tl2br w:val="nil"/>
                    <w:tr2bl w:val="nil"/>
                  </w:tcBorders>
                  <w:noWrap w:val="0"/>
                  <w:vAlign w:val="center"/>
                </w:tcPr>
                <w:p w14:paraId="763083B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eastAsia="zh-CN"/>
                    </w:rPr>
                    <w:t>项目噪声主要为生产设备运行时产生的噪声，项目生产设施均设置于厂房内，项目通过隔声、减振、距离衰减等减小对外环境的影响，经预测，项目厂界噪声可满足《工业企业厂界环境噪声排放标准》（GB12348-2008）2类标准限值要求。</w:t>
                  </w:r>
                </w:p>
              </w:tc>
              <w:tc>
                <w:tcPr>
                  <w:tcW w:w="520" w:type="pct"/>
                  <w:tcBorders>
                    <w:tl2br w:val="nil"/>
                    <w:tr2bl w:val="nil"/>
                  </w:tcBorders>
                  <w:noWrap w:val="0"/>
                  <w:vAlign w:val="center"/>
                </w:tcPr>
                <w:p w14:paraId="1B4FEB0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符合</w:t>
                  </w:r>
                </w:p>
              </w:tc>
            </w:tr>
            <w:tr w14:paraId="55DEF2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832" w:type="pct"/>
                  <w:vMerge w:val="restart"/>
                  <w:tcBorders>
                    <w:tl2br w:val="nil"/>
                    <w:tr2bl w:val="nil"/>
                  </w:tcBorders>
                  <w:noWrap w:val="0"/>
                  <w:vAlign w:val="center"/>
                </w:tcPr>
                <w:p w14:paraId="6F64BAE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《陕西省噪声污染防治行动计划（2023—2025年）》</w:t>
                  </w:r>
                </w:p>
              </w:tc>
              <w:tc>
                <w:tcPr>
                  <w:tcW w:w="2105" w:type="pct"/>
                  <w:tcBorders>
                    <w:tl2br w:val="nil"/>
                    <w:tr2bl w:val="nil"/>
                  </w:tcBorders>
                  <w:noWrap w:val="0"/>
                  <w:vAlign w:val="center"/>
                </w:tcPr>
                <w:p w14:paraId="35E3369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严格落实噪声污染防治要求。切实加强规划环评工作，充分考虑区域开发等规划内容产生的噪声对声环境质量的影响。可能产生噪声污染的新改扩建项目应当依法开展环评，符合相关规划环评管控要求。建设项目的噪声污染防治设施应当与主体工程同时设计、同时施工、同时投产使用。</w:t>
                  </w:r>
                </w:p>
              </w:tc>
              <w:tc>
                <w:tcPr>
                  <w:tcW w:w="1541" w:type="pct"/>
                  <w:tcBorders>
                    <w:tl2br w:val="nil"/>
                    <w:tr2bl w:val="nil"/>
                  </w:tcBorders>
                  <w:noWrap w:val="0"/>
                  <w:vAlign w:val="center"/>
                </w:tcPr>
                <w:p w14:paraId="43D3367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本项目环评正在办理中，项目噪声防治措施拟与主体工程同时设计、同时施工、同时投产使用。</w:t>
                  </w:r>
                </w:p>
              </w:tc>
              <w:tc>
                <w:tcPr>
                  <w:tcW w:w="520" w:type="pct"/>
                  <w:tcBorders>
                    <w:tl2br w:val="nil"/>
                    <w:tr2bl w:val="nil"/>
                  </w:tcBorders>
                  <w:noWrap w:val="0"/>
                  <w:vAlign w:val="center"/>
                </w:tcPr>
                <w:p w14:paraId="294F825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5293D8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832" w:type="pct"/>
                  <w:vMerge w:val="continue"/>
                  <w:tcBorders>
                    <w:tl2br w:val="nil"/>
                    <w:tr2bl w:val="nil"/>
                  </w:tcBorders>
                  <w:noWrap w:val="0"/>
                  <w:vAlign w:val="center"/>
                </w:tcPr>
                <w:p w14:paraId="7617420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p>
              </w:tc>
              <w:tc>
                <w:tcPr>
                  <w:tcW w:w="2105" w:type="pct"/>
                  <w:tcBorders>
                    <w:tl2br w:val="nil"/>
                    <w:tr2bl w:val="nil"/>
                  </w:tcBorders>
                  <w:noWrap w:val="0"/>
                  <w:vAlign w:val="center"/>
                </w:tcPr>
                <w:p w14:paraId="7CC0865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落实工业噪声过程控制。噪声排放工业企业切实落实噪声污染防治措施，加强厂区内固定设备、运输工具、货物装卸等声源噪声管理，避免突发噪声扰民。</w:t>
                  </w:r>
                </w:p>
              </w:tc>
              <w:tc>
                <w:tcPr>
                  <w:tcW w:w="1541" w:type="pct"/>
                  <w:tcBorders>
                    <w:tl2br w:val="nil"/>
                    <w:tr2bl w:val="nil"/>
                  </w:tcBorders>
                  <w:noWrap w:val="0"/>
                  <w:vAlign w:val="center"/>
                </w:tcPr>
                <w:p w14:paraId="7DC43E9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项目运营后的噪声主要来源于设备噪声，经采取基础减振、厂房隔声、距离衰减等措施后可达标排放。</w:t>
                  </w:r>
                </w:p>
              </w:tc>
              <w:tc>
                <w:tcPr>
                  <w:tcW w:w="520" w:type="pct"/>
                  <w:tcBorders>
                    <w:tl2br w:val="nil"/>
                    <w:tr2bl w:val="nil"/>
                  </w:tcBorders>
                  <w:noWrap w:val="0"/>
                  <w:vAlign w:val="center"/>
                </w:tcPr>
                <w:p w14:paraId="10BFD9B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4A9B8E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832" w:type="pct"/>
                  <w:vMerge w:val="restart"/>
                  <w:tcBorders>
                    <w:tl2br w:val="nil"/>
                    <w:tr2bl w:val="nil"/>
                  </w:tcBorders>
                  <w:noWrap w:val="0"/>
                  <w:vAlign w:val="center"/>
                </w:tcPr>
                <w:p w14:paraId="17E9929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《宝鸡市环境空气质量限期达标规划（2023— 2030 年）》</w:t>
                  </w:r>
                </w:p>
              </w:tc>
              <w:tc>
                <w:tcPr>
                  <w:tcW w:w="2105" w:type="pct"/>
                  <w:tcBorders>
                    <w:tl2br w:val="nil"/>
                    <w:tr2bl w:val="nil"/>
                  </w:tcBorders>
                  <w:noWrap w:val="0"/>
                  <w:vAlign w:val="center"/>
                </w:tcPr>
                <w:p w14:paraId="229FD4A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加快推进单一低温等离子、光氧化、光催化以及非水溶性 VOCs 废气采用单一喷淋吸收不能稳定达标设施的升级改造。</w:t>
                  </w:r>
                </w:p>
              </w:tc>
              <w:tc>
                <w:tcPr>
                  <w:tcW w:w="1541" w:type="pct"/>
                  <w:tcBorders>
                    <w:tl2br w:val="nil"/>
                    <w:tr2bl w:val="nil"/>
                  </w:tcBorders>
                  <w:noWrap w:val="0"/>
                  <w:vAlign w:val="center"/>
                </w:tcPr>
                <w:p w14:paraId="3823EB0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本项目有机废气采用二级活性炭吸附治理，不属于低温等离子、光氧化、光催化等治理技术。</w:t>
                  </w:r>
                </w:p>
              </w:tc>
              <w:tc>
                <w:tcPr>
                  <w:tcW w:w="520" w:type="pct"/>
                  <w:tcBorders>
                    <w:tl2br w:val="nil"/>
                    <w:tr2bl w:val="nil"/>
                  </w:tcBorders>
                  <w:noWrap w:val="0"/>
                  <w:vAlign w:val="center"/>
                </w:tcPr>
                <w:p w14:paraId="01FC17A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158C77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832" w:type="pct"/>
                  <w:vMerge w:val="continue"/>
                  <w:tcBorders>
                    <w:tl2br w:val="nil"/>
                    <w:tr2bl w:val="nil"/>
                  </w:tcBorders>
                  <w:noWrap w:val="0"/>
                  <w:vAlign w:val="center"/>
                </w:tcPr>
                <w:p w14:paraId="3CA3BA8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p>
              </w:tc>
              <w:tc>
                <w:tcPr>
                  <w:tcW w:w="2105" w:type="pct"/>
                  <w:tcBorders>
                    <w:tl2br w:val="nil"/>
                    <w:tr2bl w:val="nil"/>
                  </w:tcBorders>
                  <w:noWrap w:val="0"/>
                  <w:vAlign w:val="center"/>
                </w:tcPr>
                <w:p w14:paraId="64EDD41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加大工业无组织综合治理力度。原料场密闭化、原料高效输送改造、厂区道路硬化及保洁。强化治污设施运行</w:t>
                  </w:r>
                </w:p>
                <w:p w14:paraId="2D7EB74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监管，确保稳定达标运行，减少非正常工况排放。</w:t>
                  </w:r>
                </w:p>
              </w:tc>
              <w:tc>
                <w:tcPr>
                  <w:tcW w:w="1541" w:type="pct"/>
                  <w:tcBorders>
                    <w:tl2br w:val="nil"/>
                    <w:tr2bl w:val="nil"/>
                  </w:tcBorders>
                  <w:noWrap w:val="0"/>
                  <w:vAlign w:val="center"/>
                </w:tcPr>
                <w:p w14:paraId="7CE1AFD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本项目原辅材料均储存于封闭车间内</w:t>
                  </w:r>
                  <w:r>
                    <w:rPr>
                      <w:rFonts w:hint="eastAsia" w:cs="Times New Roman"/>
                      <w:color w:val="auto"/>
                      <w:sz w:val="21"/>
                      <w:szCs w:val="21"/>
                      <w:lang w:val="en-US" w:eastAsia="zh-CN"/>
                    </w:rPr>
                    <w:t>，对</w:t>
                  </w:r>
                  <w:r>
                    <w:rPr>
                      <w:rFonts w:hint="default" w:ascii="Times New Roman" w:hAnsi="Times New Roman" w:eastAsia="宋体" w:cs="Times New Roman"/>
                      <w:color w:val="auto"/>
                      <w:sz w:val="21"/>
                      <w:szCs w:val="21"/>
                      <w:lang w:val="en-US" w:eastAsia="zh-CN"/>
                    </w:rPr>
                    <w:t>厂区地面及道路进行硬化处理，定期洒水抑尘。本项目热熔挤出废气经二级活性炭吸附处理后经15m 高排气筒有组织排放；运行期严格落实污染治理设施。</w:t>
                  </w:r>
                </w:p>
              </w:tc>
              <w:tc>
                <w:tcPr>
                  <w:tcW w:w="520" w:type="pct"/>
                  <w:tcBorders>
                    <w:tl2br w:val="nil"/>
                    <w:tr2bl w:val="nil"/>
                  </w:tcBorders>
                  <w:noWrap w:val="0"/>
                  <w:vAlign w:val="center"/>
                </w:tcPr>
                <w:p w14:paraId="6959E12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65D55F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832" w:type="pct"/>
                  <w:vMerge w:val="restart"/>
                  <w:tcBorders>
                    <w:tl2br w:val="nil"/>
                    <w:tr2bl w:val="nil"/>
                  </w:tcBorders>
                  <w:noWrap w:val="0"/>
                  <w:vAlign w:val="center"/>
                </w:tcPr>
                <w:p w14:paraId="6096CA6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21"/>
                      <w:szCs w:val="21"/>
                    </w:rPr>
                  </w:pPr>
                  <w:r>
                    <w:rPr>
                      <w:rFonts w:hint="eastAsia"/>
                      <w:color w:val="auto"/>
                      <w:sz w:val="21"/>
                      <w:szCs w:val="21"/>
                    </w:rPr>
                    <w:t>《宝鸡市大气污染治理专项行动方案（2023—2027 年）》</w:t>
                  </w:r>
                </w:p>
              </w:tc>
              <w:tc>
                <w:tcPr>
                  <w:tcW w:w="2105" w:type="pct"/>
                  <w:tcBorders>
                    <w:tl2br w:val="nil"/>
                    <w:tr2bl w:val="nil"/>
                  </w:tcBorders>
                  <w:noWrap w:val="0"/>
                  <w:vAlign w:val="center"/>
                </w:tcPr>
                <w:p w14:paraId="6B16F2E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产业发展结构调整。严禁新增钢铁、焦化、水泥熟料、平板玻璃、电解铝、氧化铝、煤化工产能，合理控制煤制</w:t>
                  </w:r>
                </w:p>
                <w:p w14:paraId="1F18AC0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油气产能规模，严格新增炼油产能。</w:t>
                  </w:r>
                </w:p>
              </w:tc>
              <w:tc>
                <w:tcPr>
                  <w:tcW w:w="1541" w:type="pct"/>
                  <w:tcBorders>
                    <w:tl2br w:val="nil"/>
                    <w:tr2bl w:val="nil"/>
                  </w:tcBorders>
                  <w:noWrap w:val="0"/>
                  <w:vAlign w:val="center"/>
                </w:tcPr>
                <w:p w14:paraId="51084D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本项目为废弃资源综合利用业，不属于钢铁、焦化、水泥熟料、平板玻璃、电解铝、氧化铝、煤化工等项目，属于《产业结构调整指导目录》鼓励类项目。</w:t>
                  </w:r>
                </w:p>
              </w:tc>
              <w:tc>
                <w:tcPr>
                  <w:tcW w:w="520" w:type="pct"/>
                  <w:tcBorders>
                    <w:tl2br w:val="nil"/>
                    <w:tr2bl w:val="nil"/>
                  </w:tcBorders>
                  <w:noWrap w:val="0"/>
                  <w:vAlign w:val="center"/>
                </w:tcPr>
                <w:p w14:paraId="4209406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379C27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832" w:type="pct"/>
                  <w:vMerge w:val="continue"/>
                  <w:tcBorders>
                    <w:tl2br w:val="nil"/>
                    <w:tr2bl w:val="nil"/>
                  </w:tcBorders>
                  <w:noWrap w:val="0"/>
                  <w:vAlign w:val="center"/>
                </w:tcPr>
                <w:p w14:paraId="7B71DA5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rPr>
                  </w:pPr>
                </w:p>
              </w:tc>
              <w:tc>
                <w:tcPr>
                  <w:tcW w:w="2105" w:type="pct"/>
                  <w:tcBorders>
                    <w:tl2br w:val="nil"/>
                    <w:tr2bl w:val="nil"/>
                  </w:tcBorders>
                  <w:noWrap w:val="0"/>
                  <w:vAlign w:val="center"/>
                </w:tcPr>
                <w:p w14:paraId="1E37374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动态更新挥发性有机物治理设施台账，开展简易低效挥发性有机物治理设施清理整治、涉活性炭挥发性有机物处理工艺专项整治行动，强化挥发性有机物无组织排放整治，确保达到相关标准要求。新建挥发性有机物治理设施不再采用单一低温等离子、光氧化、光催化等治理技术，非水溶性挥发性有机物废气不再采用单一喷淋吸收方式处理。</w:t>
                  </w:r>
                </w:p>
              </w:tc>
              <w:tc>
                <w:tcPr>
                  <w:tcW w:w="1541" w:type="pct"/>
                  <w:tcBorders>
                    <w:tl2br w:val="nil"/>
                    <w:tr2bl w:val="nil"/>
                  </w:tcBorders>
                  <w:noWrap w:val="0"/>
                  <w:vAlign w:val="center"/>
                </w:tcPr>
                <w:p w14:paraId="55E5DA6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本项目热熔挤出过程中会产生挥发性废气，产生的挥发性废气经集气罩收集后，通过二级活性炭吸附装置处理后经15m高排气筒有组织排放，风机风量满足控制风速要求；生产车间在生产</w:t>
                  </w:r>
                  <w:r>
                    <w:rPr>
                      <w:rFonts w:hint="eastAsia" w:cs="Times New Roman"/>
                      <w:color w:val="auto"/>
                      <w:sz w:val="21"/>
                      <w:szCs w:val="21"/>
                      <w:lang w:val="en-US" w:eastAsia="zh-CN"/>
                    </w:rPr>
                    <w:t>时</w:t>
                  </w:r>
                  <w:r>
                    <w:rPr>
                      <w:rFonts w:hint="default" w:ascii="Times New Roman" w:hAnsi="Times New Roman" w:eastAsia="宋体" w:cs="Times New Roman"/>
                      <w:color w:val="auto"/>
                      <w:sz w:val="21"/>
                      <w:szCs w:val="21"/>
                      <w:lang w:val="en-US" w:eastAsia="zh-CN"/>
                    </w:rPr>
                    <w:t>保持密闭。</w:t>
                  </w:r>
                </w:p>
              </w:tc>
              <w:tc>
                <w:tcPr>
                  <w:tcW w:w="520" w:type="pct"/>
                  <w:tcBorders>
                    <w:tl2br w:val="nil"/>
                    <w:tr2bl w:val="nil"/>
                  </w:tcBorders>
                  <w:noWrap w:val="0"/>
                  <w:vAlign w:val="center"/>
                </w:tcPr>
                <w:p w14:paraId="7E0C25F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bl>
          <w:p w14:paraId="7FF75E72">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en-US" w:eastAsia="zh-CN"/>
              </w:rPr>
              <w:t>项目选址合理性分析：</w:t>
            </w:r>
          </w:p>
          <w:p w14:paraId="331CC31B">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cs="Times New Roman"/>
                <w:bCs/>
                <w:color w:val="auto"/>
                <w:sz w:val="24"/>
                <w:lang w:val="en-US" w:eastAsia="zh-CN"/>
              </w:rPr>
            </w:pPr>
            <w:r>
              <w:rPr>
                <w:rFonts w:hint="default" w:ascii="Times New Roman" w:hAnsi="Times New Roman" w:cs="Times New Roman"/>
                <w:bCs/>
                <w:color w:val="auto"/>
                <w:sz w:val="24"/>
                <w:lang w:val="en-US" w:eastAsia="zh-CN"/>
              </w:rPr>
              <w:t>（1）用地合理性分析：</w:t>
            </w:r>
          </w:p>
          <w:p w14:paraId="6BCEB58F">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cs="Times New Roman"/>
                <w:bCs/>
                <w:color w:val="auto"/>
                <w:sz w:val="24"/>
                <w:lang w:val="en-US" w:eastAsia="zh-CN"/>
              </w:rPr>
            </w:pPr>
            <w:r>
              <w:rPr>
                <w:rFonts w:hint="default" w:ascii="Times New Roman" w:hAnsi="Times New Roman" w:cs="Times New Roman"/>
                <w:bCs/>
                <w:color w:val="auto"/>
                <w:sz w:val="24"/>
                <w:lang w:val="en-US" w:eastAsia="zh-CN"/>
              </w:rPr>
              <w:t>本项目位于陈仓区千河镇盛创二手车物流园东南角2号，根据建设单位提供的资料，项目租赁</w:t>
            </w:r>
            <w:r>
              <w:rPr>
                <w:rFonts w:hint="eastAsia" w:cs="Times New Roman"/>
                <w:bCs/>
                <w:color w:val="auto"/>
                <w:sz w:val="24"/>
                <w:lang w:val="en-US" w:eastAsia="zh-CN"/>
              </w:rPr>
              <w:t>宝鸡百融晟企业管理咨询有限公司</w:t>
            </w:r>
            <w:r>
              <w:rPr>
                <w:rFonts w:hint="default" w:ascii="Times New Roman" w:hAnsi="Times New Roman" w:cs="Times New Roman"/>
                <w:bCs/>
                <w:color w:val="auto"/>
                <w:sz w:val="24"/>
                <w:lang w:val="en-US" w:eastAsia="zh-CN"/>
              </w:rPr>
              <w:t>标准化厂房</w:t>
            </w:r>
            <w:r>
              <w:rPr>
                <w:rFonts w:hint="eastAsia" w:cs="Times New Roman"/>
                <w:bCs/>
                <w:color w:val="auto"/>
                <w:sz w:val="24"/>
                <w:lang w:val="en-US" w:eastAsia="zh-CN"/>
              </w:rPr>
              <w:t>中跨区域</w:t>
            </w:r>
            <w:r>
              <w:rPr>
                <w:rFonts w:hint="default" w:ascii="Times New Roman" w:hAnsi="Times New Roman" w:cs="Times New Roman"/>
                <w:bCs/>
                <w:color w:val="auto"/>
                <w:sz w:val="24"/>
                <w:lang w:val="en-US" w:eastAsia="zh-CN"/>
              </w:rPr>
              <w:t>。</w:t>
            </w:r>
          </w:p>
          <w:p w14:paraId="6D6EDA6B">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cs="Times New Roman"/>
                <w:bCs/>
                <w:color w:val="auto"/>
                <w:sz w:val="24"/>
                <w:lang w:val="en-US" w:eastAsia="zh-CN"/>
              </w:rPr>
            </w:pPr>
            <w:r>
              <w:rPr>
                <w:rFonts w:hint="default" w:ascii="Times New Roman" w:hAnsi="Times New Roman" w:cs="Times New Roman"/>
                <w:bCs/>
                <w:color w:val="auto"/>
                <w:sz w:val="24"/>
                <w:lang w:val="en-US" w:eastAsia="zh-CN"/>
              </w:rPr>
              <w:t>根据出租方提供的不动产登记证书陕（20</w:t>
            </w:r>
            <w:r>
              <w:rPr>
                <w:rFonts w:hint="eastAsia" w:cs="Times New Roman"/>
                <w:bCs/>
                <w:color w:val="auto"/>
                <w:sz w:val="24"/>
                <w:lang w:val="en-US" w:eastAsia="zh-CN"/>
              </w:rPr>
              <w:t>19</w:t>
            </w:r>
            <w:r>
              <w:rPr>
                <w:rFonts w:hint="default" w:ascii="Times New Roman" w:hAnsi="Times New Roman" w:cs="Times New Roman"/>
                <w:bCs/>
                <w:color w:val="auto"/>
                <w:sz w:val="24"/>
                <w:lang w:val="en-US" w:eastAsia="zh-CN"/>
              </w:rPr>
              <w:t>）宝鸡市不动产权第</w:t>
            </w:r>
            <w:r>
              <w:rPr>
                <w:rFonts w:hint="eastAsia" w:cs="Times New Roman"/>
                <w:bCs/>
                <w:color w:val="auto"/>
                <w:sz w:val="24"/>
                <w:lang w:val="en-US" w:eastAsia="zh-CN"/>
              </w:rPr>
              <w:t>0151924</w:t>
            </w:r>
            <w:r>
              <w:rPr>
                <w:rFonts w:hint="default" w:ascii="Times New Roman" w:hAnsi="Times New Roman" w:cs="Times New Roman"/>
                <w:bCs/>
                <w:color w:val="auto"/>
                <w:sz w:val="24"/>
                <w:lang w:val="en-US" w:eastAsia="zh-CN"/>
              </w:rPr>
              <w:t>号，本项目厂房用地类型属于国有建设用地，土地用途为工业用地，土地性质及场地租赁合同详见附件</w:t>
            </w:r>
            <w:r>
              <w:rPr>
                <w:rFonts w:hint="default" w:ascii="Times New Roman" w:hAnsi="Times New Roman" w:eastAsia="宋体" w:cs="Times New Roman"/>
                <w:bCs/>
                <w:color w:val="auto"/>
                <w:sz w:val="24"/>
                <w:lang w:val="en-US" w:eastAsia="zh-CN"/>
              </w:rPr>
              <w:t>。</w:t>
            </w:r>
          </w:p>
          <w:p w14:paraId="75E10BF5">
            <w:pPr>
              <w:pStyle w:val="32"/>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auto"/>
                <w:sz w:val="24"/>
                <w:szCs w:val="24"/>
                <w:shd w:val="clear" w:color="auto" w:fill="auto"/>
                <w:lang w:eastAsia="zh-CN"/>
              </w:rPr>
            </w:pPr>
            <w:r>
              <w:rPr>
                <w:rFonts w:hint="default" w:ascii="Times New Roman" w:hAnsi="Times New Roman" w:eastAsia="宋体" w:cs="Times New Roman"/>
                <w:color w:val="auto"/>
                <w:sz w:val="24"/>
                <w:szCs w:val="24"/>
                <w:shd w:val="clear" w:color="auto" w:fill="auto"/>
                <w:lang w:eastAsia="zh-CN"/>
              </w:rPr>
              <w:t>周围环境相容性分析：</w:t>
            </w:r>
          </w:p>
          <w:p w14:paraId="5FA34359">
            <w:pPr>
              <w:pStyle w:val="184"/>
              <w:keepNext w:val="0"/>
              <w:keepLines w:val="0"/>
              <w:suppressLineNumbers w:val="0"/>
              <w:spacing w:before="3" w:beforeAutospacing="0" w:after="0" w:afterAutospacing="0" w:line="338" w:lineRule="auto"/>
              <w:ind w:left="0" w:right="42" w:firstLine="476" w:firstLineChars="200"/>
              <w:rPr>
                <w:rFonts w:hint="default"/>
                <w:color w:val="auto"/>
                <w:lang w:eastAsia="zh-CN"/>
              </w:rPr>
            </w:pPr>
            <w:r>
              <w:rPr>
                <w:rFonts w:hint="default"/>
                <w:color w:val="auto"/>
                <w:spacing w:val="-1"/>
              </w:rPr>
              <w:t>经现场勘查，</w:t>
            </w:r>
            <w:r>
              <w:rPr>
                <w:rFonts w:hint="default"/>
                <w:color w:val="auto"/>
                <w:spacing w:val="-3"/>
              </w:rPr>
              <w:t>项目北侧为</w:t>
            </w:r>
            <w:r>
              <w:rPr>
                <w:rFonts w:hint="eastAsia"/>
                <w:color w:val="auto"/>
                <w:spacing w:val="-3"/>
                <w:lang w:eastAsia="zh-CN"/>
              </w:rPr>
              <w:t>物流</w:t>
            </w:r>
            <w:r>
              <w:rPr>
                <w:rFonts w:hint="default"/>
                <w:color w:val="auto"/>
                <w:spacing w:val="-3"/>
              </w:rPr>
              <w:t>厂房，</w:t>
            </w:r>
            <w:r>
              <w:rPr>
                <w:rFonts w:hint="eastAsia"/>
                <w:color w:val="auto"/>
                <w:spacing w:val="-3"/>
                <w:lang w:eastAsia="zh-CN"/>
              </w:rPr>
              <w:t>南侧为空置厂区及厂房，</w:t>
            </w:r>
            <w:r>
              <w:rPr>
                <w:rFonts w:hint="default"/>
                <w:color w:val="auto"/>
                <w:spacing w:val="-3"/>
              </w:rPr>
              <w:t>西侧为库房，</w:t>
            </w:r>
            <w:r>
              <w:rPr>
                <w:rFonts w:hint="default"/>
                <w:color w:val="auto"/>
                <w:spacing w:val="-4"/>
              </w:rPr>
              <w:t>东侧为</w:t>
            </w:r>
            <w:r>
              <w:rPr>
                <w:rFonts w:hint="eastAsia"/>
                <w:color w:val="auto"/>
                <w:spacing w:val="-4"/>
                <w:lang w:eastAsia="zh-CN"/>
              </w:rPr>
              <w:t>库房</w:t>
            </w:r>
            <w:r>
              <w:rPr>
                <w:rFonts w:hint="default"/>
                <w:color w:val="auto"/>
                <w:spacing w:val="-4"/>
              </w:rPr>
              <w:t>。项目所在区域不属于自然保护区、森林公园、风景</w:t>
            </w:r>
            <w:r>
              <w:rPr>
                <w:rFonts w:hint="default"/>
                <w:color w:val="auto"/>
                <w:spacing w:val="-2"/>
              </w:rPr>
              <w:t>名胜区、世界文化自然遗产、地质公园等禁止开发的生态红线区、</w:t>
            </w:r>
            <w:r>
              <w:rPr>
                <w:rFonts w:hint="default"/>
                <w:color w:val="auto"/>
                <w:spacing w:val="-4"/>
              </w:rPr>
              <w:t>重点保护生态红线区以及脆弱生态保护红线区内，项目建设不会占</w:t>
            </w:r>
            <w:r>
              <w:rPr>
                <w:rFonts w:hint="default"/>
                <w:color w:val="auto"/>
                <w:spacing w:val="-2"/>
              </w:rPr>
              <w:t>用生态红线保护区。</w:t>
            </w:r>
          </w:p>
          <w:p w14:paraId="6CB64CC4">
            <w:pPr>
              <w:pStyle w:val="3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（3）环境影响可接受性：</w:t>
            </w:r>
          </w:p>
          <w:p w14:paraId="24807D29">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sz w:val="24"/>
                <w:szCs w:val="24"/>
                <w:shd w:val="clear" w:color="auto" w:fill="auto"/>
                <w:lang w:eastAsia="zh-CN"/>
              </w:rPr>
              <w:t>本项目</w:t>
            </w:r>
            <w:r>
              <w:rPr>
                <w:rFonts w:hint="eastAsia" w:cs="Times New Roman"/>
                <w:color w:val="auto"/>
                <w:sz w:val="24"/>
                <w:szCs w:val="24"/>
                <w:shd w:val="clear" w:color="auto" w:fill="auto"/>
                <w:lang w:eastAsia="zh-CN"/>
              </w:rPr>
              <w:t>周边为物流厂房及企业厂区</w:t>
            </w:r>
            <w:r>
              <w:rPr>
                <w:rFonts w:hint="default" w:ascii="Times New Roman" w:hAnsi="Times New Roman" w:eastAsia="宋体" w:cs="Times New Roman"/>
                <w:color w:val="auto"/>
                <w:sz w:val="24"/>
                <w:szCs w:val="24"/>
                <w:shd w:val="clear" w:color="auto" w:fill="auto"/>
                <w:lang w:eastAsia="zh-CN"/>
              </w:rPr>
              <w:t>，项目距离环境敏感点较远，项目</w:t>
            </w:r>
            <w:r>
              <w:rPr>
                <w:rFonts w:hint="eastAsia" w:cs="Times New Roman"/>
                <w:color w:val="auto"/>
                <w:sz w:val="24"/>
                <w:szCs w:val="24"/>
                <w:shd w:val="clear" w:color="auto" w:fill="auto"/>
                <w:lang w:val="en-US" w:eastAsia="zh-CN"/>
              </w:rPr>
              <w:t>500m范围内无</w:t>
            </w:r>
            <w:r>
              <w:rPr>
                <w:rFonts w:hint="eastAsia" w:cs="Times New Roman"/>
                <w:color w:val="auto"/>
                <w:sz w:val="24"/>
                <w:szCs w:val="24"/>
                <w:shd w:val="clear" w:color="auto" w:fill="auto"/>
                <w:lang w:eastAsia="zh-CN"/>
              </w:rPr>
              <w:t>环境</w:t>
            </w:r>
            <w:r>
              <w:rPr>
                <w:rFonts w:hint="default" w:ascii="Times New Roman" w:hAnsi="Times New Roman" w:eastAsia="宋体" w:cs="Times New Roman"/>
                <w:color w:val="auto"/>
                <w:sz w:val="24"/>
                <w:szCs w:val="24"/>
                <w:shd w:val="clear" w:color="auto" w:fill="auto"/>
                <w:lang w:eastAsia="zh-CN"/>
              </w:rPr>
              <w:t>敏感点，项目通过合理布局</w:t>
            </w:r>
            <w:r>
              <w:rPr>
                <w:rFonts w:hint="eastAsia" w:cs="Times New Roman"/>
                <w:color w:val="auto"/>
                <w:sz w:val="24"/>
                <w:szCs w:val="24"/>
                <w:shd w:val="clear" w:color="auto" w:fill="auto"/>
                <w:lang w:eastAsia="zh-CN"/>
              </w:rPr>
              <w:t>，对</w:t>
            </w:r>
            <w:r>
              <w:rPr>
                <w:rFonts w:hint="default" w:ascii="Times New Roman" w:hAnsi="Times New Roman" w:eastAsia="宋体" w:cs="Times New Roman"/>
                <w:color w:val="auto"/>
                <w:sz w:val="24"/>
                <w:szCs w:val="24"/>
                <w:shd w:val="clear" w:color="auto" w:fill="auto"/>
                <w:lang w:eastAsia="zh-CN"/>
              </w:rPr>
              <w:t>各污染源采取相应的污染控制措施后，均可实现达标排放，对外环境影响较小</w:t>
            </w:r>
            <w:r>
              <w:rPr>
                <w:rFonts w:hint="default" w:ascii="Times New Roman" w:hAnsi="Times New Roman" w:eastAsia="宋体" w:cs="Times New Roman"/>
                <w:color w:val="auto"/>
                <w:kern w:val="0"/>
                <w:sz w:val="24"/>
                <w:szCs w:val="24"/>
                <w:lang w:val="en-US" w:eastAsia="zh-CN"/>
              </w:rPr>
              <w:t>综上所述，从环境保护角度分析，项目选址合理可行。</w:t>
            </w:r>
          </w:p>
          <w:p w14:paraId="1C378AE5">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lang w:val="en-US" w:eastAsia="zh-CN"/>
              </w:rPr>
            </w:pPr>
          </w:p>
          <w:p w14:paraId="56CA80DD">
            <w:pPr>
              <w:pStyle w:val="24"/>
              <w:keepNext w:val="0"/>
              <w:keepLines w:val="0"/>
              <w:suppressLineNumbers w:val="0"/>
              <w:ind w:left="0" w:right="0"/>
              <w:rPr>
                <w:rFonts w:hint="default" w:ascii="Times New Roman" w:hAnsi="Times New Roman" w:eastAsia="宋体" w:cs="Times New Roman"/>
                <w:color w:val="auto"/>
                <w:kern w:val="0"/>
                <w:sz w:val="24"/>
                <w:szCs w:val="24"/>
                <w:lang w:val="en-US" w:eastAsia="zh-CN"/>
              </w:rPr>
            </w:pPr>
          </w:p>
          <w:p w14:paraId="522D591F">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lang w:val="en-US" w:eastAsia="zh-CN"/>
              </w:rPr>
            </w:pPr>
          </w:p>
          <w:p w14:paraId="5F1BF25B">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lang w:val="en-US" w:eastAsia="zh-CN"/>
              </w:rPr>
            </w:pPr>
          </w:p>
          <w:p w14:paraId="02B5161D">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lang w:val="en-US" w:eastAsia="zh-CN"/>
              </w:rPr>
            </w:pPr>
          </w:p>
          <w:p w14:paraId="3375C9CB">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lang w:val="en-US" w:eastAsia="zh-CN"/>
              </w:rPr>
            </w:pPr>
          </w:p>
          <w:p w14:paraId="4243FD66">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lang w:val="en-US" w:eastAsia="zh-CN"/>
              </w:rPr>
            </w:pPr>
          </w:p>
          <w:p w14:paraId="3405CB9F">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lang w:val="en-US" w:eastAsia="zh-CN"/>
              </w:rPr>
            </w:pPr>
          </w:p>
          <w:p w14:paraId="5092CC3C">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lang w:val="en-US" w:eastAsia="zh-CN"/>
              </w:rPr>
            </w:pPr>
          </w:p>
          <w:p w14:paraId="6B61777E">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lang w:val="en-US" w:eastAsia="zh-CN"/>
              </w:rPr>
            </w:pPr>
          </w:p>
          <w:p w14:paraId="5FCABC73">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lang w:val="en-US" w:eastAsia="zh-CN"/>
              </w:rPr>
            </w:pPr>
          </w:p>
          <w:p w14:paraId="4C56FDEA">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lang w:val="en-US" w:eastAsia="zh-CN"/>
              </w:rPr>
            </w:pPr>
          </w:p>
          <w:p w14:paraId="00237CEB">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lang w:val="en-US" w:eastAsia="zh-CN"/>
              </w:rPr>
            </w:pPr>
          </w:p>
          <w:p w14:paraId="3A5A2A4F">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lang w:val="en-US" w:eastAsia="zh-CN"/>
              </w:rPr>
            </w:pPr>
          </w:p>
          <w:p w14:paraId="3F305F74">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lang w:val="en-US" w:eastAsia="zh-CN"/>
              </w:rPr>
            </w:pPr>
          </w:p>
          <w:p w14:paraId="509CD9F0">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lang w:val="en-US" w:eastAsia="zh-CN"/>
              </w:rPr>
            </w:pPr>
          </w:p>
          <w:p w14:paraId="00BBFEEF">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lang w:val="en-US" w:eastAsia="zh-CN"/>
              </w:rPr>
            </w:pPr>
          </w:p>
          <w:p w14:paraId="31737FBD">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lang w:val="en-US" w:eastAsia="zh-CN"/>
              </w:rPr>
            </w:pPr>
          </w:p>
          <w:p w14:paraId="6DA58404">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lang w:val="en-US" w:eastAsia="zh-CN"/>
              </w:rPr>
            </w:pPr>
          </w:p>
          <w:p w14:paraId="3883358B">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lang w:val="en-US" w:eastAsia="zh-CN"/>
              </w:rPr>
            </w:pPr>
          </w:p>
          <w:p w14:paraId="2E4C1FF6">
            <w:pPr>
              <w:keepNext w:val="0"/>
              <w:keepLines w:val="0"/>
              <w:suppressLineNumbers w:val="0"/>
              <w:spacing w:before="0" w:beforeAutospacing="0" w:after="0" w:afterAutospacing="0"/>
              <w:ind w:left="0" w:right="0"/>
              <w:rPr>
                <w:rFonts w:hint="default" w:ascii="Times New Roman" w:hAnsi="Times New Roman" w:cs="Times New Roman"/>
                <w:color w:val="auto"/>
                <w:lang w:val="en-US" w:eastAsia="zh-CN"/>
              </w:rPr>
            </w:pPr>
          </w:p>
        </w:tc>
      </w:tr>
    </w:tbl>
    <w:p w14:paraId="076E7B41">
      <w:pPr>
        <w:spacing w:line="360" w:lineRule="auto"/>
        <w:outlineLvl w:val="0"/>
        <w:rPr>
          <w:rFonts w:hint="default" w:ascii="Times New Roman" w:hAnsi="Times New Roman" w:eastAsia="黑体" w:cs="Times New Roman"/>
          <w:color w:val="auto"/>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1588D7AF">
      <w:pPr>
        <w:pStyle w:val="27"/>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二、建设项目工程分析</w:t>
      </w:r>
    </w:p>
    <w:tbl>
      <w:tblPr>
        <w:tblStyle w:val="33"/>
        <w:tblW w:w="937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47"/>
        <w:gridCol w:w="8730"/>
      </w:tblGrid>
      <w:tr w14:paraId="3F1658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647" w:type="dxa"/>
            <w:noWrap w:val="0"/>
            <w:vAlign w:val="center"/>
          </w:tcPr>
          <w:p w14:paraId="139953C8">
            <w:pPr>
              <w:pStyle w:val="27"/>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4"/>
                <w:szCs w:val="24"/>
              </w:rPr>
              <w:t>建设内容</w:t>
            </w:r>
          </w:p>
        </w:tc>
        <w:tc>
          <w:tcPr>
            <w:tcW w:w="8730" w:type="dxa"/>
            <w:noWrap w:val="0"/>
            <w:vAlign w:val="top"/>
          </w:tcPr>
          <w:p w14:paraId="19622C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color w:val="auto"/>
                <w:sz w:val="24"/>
              </w:rPr>
            </w:pPr>
            <w:r>
              <w:rPr>
                <w:rFonts w:hint="default" w:ascii="Times New Roman" w:hAnsi="Times New Roman" w:eastAsia="宋体" w:cs="Times New Roman"/>
                <w:b/>
                <w:bCs/>
                <w:color w:val="auto"/>
                <w:sz w:val="24"/>
                <w:lang w:val="en-US" w:eastAsia="zh-CN"/>
              </w:rPr>
              <w:t>1.项目由来</w:t>
            </w:r>
          </w:p>
          <w:p w14:paraId="244128F9">
            <w:pPr>
              <w:keepNext w:val="0"/>
              <w:keepLines w:val="0"/>
              <w:suppressLineNumbers w:val="0"/>
              <w:wordWrap w:val="0"/>
              <w:spacing w:before="0" w:beforeAutospacing="0" w:after="0" w:afterAutospacing="0" w:line="360" w:lineRule="auto"/>
              <w:ind w:left="0" w:right="0" w:firstLine="480" w:firstLineChars="200"/>
              <w:rPr>
                <w:rFonts w:hint="default" w:cs="Times New Roman"/>
                <w:color w:val="auto"/>
                <w:sz w:val="24"/>
                <w:lang w:val="en-US" w:eastAsia="zh-CN"/>
              </w:rPr>
            </w:pPr>
            <w:r>
              <w:rPr>
                <w:rFonts w:hint="eastAsia" w:cs="Times New Roman"/>
                <w:color w:val="auto"/>
                <w:sz w:val="24"/>
                <w:lang w:val="en-US" w:eastAsia="zh-CN"/>
              </w:rPr>
              <w:t>宝鸡市陈仓区绿之能再生资源加工厂</w:t>
            </w:r>
            <w:r>
              <w:rPr>
                <w:rFonts w:hint="default" w:cs="Times New Roman"/>
                <w:color w:val="auto"/>
                <w:sz w:val="24"/>
                <w:lang w:val="en-US" w:eastAsia="zh-CN"/>
              </w:rPr>
              <w:t>，经营范围主要包括再生资源回收，再生资源加工，再生资源销售等。202</w:t>
            </w:r>
            <w:r>
              <w:rPr>
                <w:rFonts w:hint="eastAsia" w:cs="Times New Roman"/>
                <w:color w:val="auto"/>
                <w:sz w:val="24"/>
                <w:lang w:val="en-US" w:eastAsia="zh-CN"/>
              </w:rPr>
              <w:t>6</w:t>
            </w:r>
            <w:r>
              <w:rPr>
                <w:rFonts w:hint="default" w:cs="Times New Roman"/>
                <w:color w:val="auto"/>
                <w:sz w:val="24"/>
                <w:lang w:val="en-US" w:eastAsia="zh-CN"/>
              </w:rPr>
              <w:t>年</w:t>
            </w:r>
            <w:r>
              <w:rPr>
                <w:rFonts w:hint="eastAsia" w:cs="Times New Roman"/>
                <w:color w:val="auto"/>
                <w:sz w:val="24"/>
                <w:lang w:val="en-US" w:eastAsia="zh-CN"/>
              </w:rPr>
              <w:t>4</w:t>
            </w:r>
            <w:r>
              <w:rPr>
                <w:rFonts w:hint="default" w:cs="Times New Roman"/>
                <w:color w:val="auto"/>
                <w:sz w:val="24"/>
                <w:lang w:val="en-US" w:eastAsia="zh-CN"/>
              </w:rPr>
              <w:t>月，公司拟投资</w:t>
            </w:r>
            <w:r>
              <w:rPr>
                <w:rFonts w:hint="eastAsia" w:cs="Times New Roman"/>
                <w:color w:val="auto"/>
                <w:sz w:val="24"/>
                <w:lang w:val="en-US" w:eastAsia="zh-CN"/>
              </w:rPr>
              <w:t>60</w:t>
            </w:r>
            <w:r>
              <w:rPr>
                <w:rFonts w:hint="default" w:cs="Times New Roman"/>
                <w:color w:val="auto"/>
                <w:sz w:val="24"/>
                <w:lang w:val="en-US" w:eastAsia="zh-CN"/>
              </w:rPr>
              <w:t>万元在陈仓区千河镇盛创二手车物流园东南角2号</w:t>
            </w:r>
            <w:r>
              <w:rPr>
                <w:rFonts w:hint="eastAsia" w:cs="Times New Roman"/>
                <w:color w:val="auto"/>
                <w:sz w:val="24"/>
                <w:lang w:val="en-US" w:eastAsia="zh-CN"/>
              </w:rPr>
              <w:t>，</w:t>
            </w:r>
            <w:r>
              <w:rPr>
                <w:rFonts w:hint="default" w:cs="Times New Roman"/>
                <w:color w:val="auto"/>
                <w:sz w:val="24"/>
                <w:lang w:val="en-US" w:eastAsia="zh-CN"/>
              </w:rPr>
              <w:t>建设</w:t>
            </w:r>
            <w:r>
              <w:rPr>
                <w:rFonts w:hint="eastAsia" w:cs="Times New Roman"/>
                <w:color w:val="auto"/>
                <w:sz w:val="24"/>
                <w:lang w:val="en-US" w:eastAsia="zh-CN"/>
              </w:rPr>
              <w:t>再生资源废旧泡沫回收利用项目</w:t>
            </w:r>
            <w:r>
              <w:rPr>
                <w:rFonts w:hint="default" w:cs="Times New Roman"/>
                <w:color w:val="auto"/>
                <w:sz w:val="24"/>
                <w:lang w:val="en-US" w:eastAsia="zh-CN"/>
              </w:rPr>
              <w:t>，项目年回收处理废旧泡沫5000吨。</w:t>
            </w:r>
          </w:p>
          <w:p w14:paraId="68930705">
            <w:pPr>
              <w:keepNext w:val="0"/>
              <w:keepLines w:val="0"/>
              <w:suppressLineNumbers w:val="0"/>
              <w:wordWrap w:val="0"/>
              <w:spacing w:before="0" w:beforeAutospacing="0" w:after="0" w:afterAutospacing="0" w:line="360" w:lineRule="auto"/>
              <w:ind w:left="0" w:right="0" w:firstLine="480" w:firstLineChars="200"/>
              <w:rPr>
                <w:rFonts w:hint="default" w:ascii="Times New Roman" w:hAnsi="Times New Roman" w:cs="Times New Roman"/>
                <w:color w:val="auto"/>
                <w:sz w:val="24"/>
                <w:lang w:val="en-US" w:eastAsia="zh-CN"/>
              </w:rPr>
            </w:pPr>
            <w:r>
              <w:rPr>
                <w:rFonts w:hint="default" w:cs="Times New Roman"/>
                <w:color w:val="auto"/>
                <w:sz w:val="24"/>
                <w:lang w:val="en-US" w:eastAsia="zh-CN"/>
              </w:rPr>
              <w:t>根据《中华人民共和国环境影响评价法》《建设项目环境保护管理条例》等，项目应开展环境影响评价工作。根据《建设项目环境影响评价分类管理名录》 （2021年版），本项目属于非金属废料和碎屑加工处理，项目主要为废塑料泡沫的加工处理，故本项目需编制环境影响报告表</w:t>
            </w:r>
            <w:r>
              <w:rPr>
                <w:rFonts w:hint="default" w:ascii="Times New Roman" w:hAnsi="Times New Roman" w:cs="Times New Roman"/>
                <w:color w:val="auto"/>
                <w:sz w:val="24"/>
                <w:lang w:val="en-US" w:eastAsia="zh-CN"/>
              </w:rPr>
              <w:t>，具体如下：</w:t>
            </w:r>
          </w:p>
          <w:p w14:paraId="6FF862B7">
            <w:pPr>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2-1</w:t>
            </w:r>
            <w:r>
              <w:rPr>
                <w:rFonts w:hint="default" w:ascii="Times New Roman" w:hAnsi="Times New Roman" w:cs="Times New Roman"/>
                <w:b/>
                <w:bCs/>
                <w:color w:val="auto"/>
                <w:sz w:val="21"/>
                <w:szCs w:val="21"/>
              </w:rPr>
              <w:t xml:space="preserve">  建设项目环境影响评价分类管理名录（摘录）</w:t>
            </w:r>
          </w:p>
          <w:tbl>
            <w:tblPr>
              <w:tblStyle w:val="33"/>
              <w:tblW w:w="83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70"/>
              <w:gridCol w:w="2003"/>
              <w:gridCol w:w="933"/>
              <w:gridCol w:w="2963"/>
              <w:gridCol w:w="679"/>
              <w:gridCol w:w="1339"/>
            </w:tblGrid>
            <w:tr w14:paraId="4B729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9" w:hRule="atLeast"/>
                <w:jc w:val="center"/>
              </w:trPr>
              <w:tc>
                <w:tcPr>
                  <w:tcW w:w="2473" w:type="dxa"/>
                  <w:gridSpan w:val="2"/>
                  <w:tcBorders>
                    <w:tl2br w:val="single" w:color="auto" w:sz="4" w:space="0"/>
                  </w:tcBorders>
                  <w:shd w:val="clear" w:color="auto" w:fill="auto"/>
                  <w:noWrap w:val="0"/>
                  <w:vAlign w:val="center"/>
                </w:tcPr>
                <w:p w14:paraId="669907D7">
                  <w:pPr>
                    <w:keepNext w:val="0"/>
                    <w:keepLines w:val="0"/>
                    <w:suppressLineNumbers w:val="0"/>
                    <w:adjustRightInd w:val="0"/>
                    <w:spacing w:before="0" w:beforeAutospacing="0" w:after="0" w:afterAutospacing="0" w:line="240" w:lineRule="auto"/>
                    <w:ind w:left="0" w:right="0" w:firstLine="1265" w:firstLineChars="600"/>
                    <w:jc w:val="both"/>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环评类别项目分类</w:t>
                  </w:r>
                </w:p>
              </w:tc>
              <w:tc>
                <w:tcPr>
                  <w:tcW w:w="933" w:type="dxa"/>
                  <w:shd w:val="clear" w:color="auto" w:fill="auto"/>
                  <w:noWrap w:val="0"/>
                  <w:vAlign w:val="center"/>
                </w:tcPr>
                <w:p w14:paraId="60604345">
                  <w:pPr>
                    <w:keepNext w:val="0"/>
                    <w:keepLines w:val="0"/>
                    <w:suppressLineNumbers w:val="0"/>
                    <w:adjustRightInd w:val="0"/>
                    <w:spacing w:before="0" w:beforeAutospacing="0" w:after="0" w:afterAutospacing="0" w:line="240" w:lineRule="auto"/>
                    <w:ind w:left="0" w:right="0"/>
                    <w:jc w:val="both"/>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报告书</w:t>
                  </w:r>
                </w:p>
              </w:tc>
              <w:tc>
                <w:tcPr>
                  <w:tcW w:w="2963" w:type="dxa"/>
                  <w:shd w:val="clear" w:color="auto" w:fill="auto"/>
                  <w:noWrap w:val="0"/>
                  <w:vAlign w:val="center"/>
                </w:tcPr>
                <w:p w14:paraId="0DDFA929">
                  <w:pPr>
                    <w:keepNext w:val="0"/>
                    <w:keepLines w:val="0"/>
                    <w:suppressLineNumbers w:val="0"/>
                    <w:adjustRightInd w:val="0"/>
                    <w:spacing w:before="0" w:beforeAutospacing="0" w:after="0" w:afterAutospacing="0" w:line="240" w:lineRule="auto"/>
                    <w:ind w:left="0" w:right="0"/>
                    <w:jc w:val="both"/>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报告表</w:t>
                  </w:r>
                </w:p>
              </w:tc>
              <w:tc>
                <w:tcPr>
                  <w:tcW w:w="679" w:type="dxa"/>
                  <w:shd w:val="clear" w:color="auto" w:fill="auto"/>
                  <w:noWrap w:val="0"/>
                  <w:vAlign w:val="center"/>
                </w:tcPr>
                <w:p w14:paraId="30D4FF2F">
                  <w:pPr>
                    <w:keepNext w:val="0"/>
                    <w:keepLines w:val="0"/>
                    <w:suppressLineNumbers w:val="0"/>
                    <w:adjustRightInd w:val="0"/>
                    <w:spacing w:before="0" w:beforeAutospacing="0" w:after="0" w:afterAutospacing="0" w:line="240" w:lineRule="auto"/>
                    <w:ind w:left="0" w:right="0"/>
                    <w:jc w:val="both"/>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登记表</w:t>
                  </w:r>
                </w:p>
              </w:tc>
              <w:tc>
                <w:tcPr>
                  <w:tcW w:w="1339" w:type="dxa"/>
                  <w:shd w:val="clear" w:color="auto" w:fill="auto"/>
                  <w:noWrap w:val="0"/>
                  <w:vAlign w:val="center"/>
                </w:tcPr>
                <w:p w14:paraId="7BFDDF9A">
                  <w:pPr>
                    <w:keepNext w:val="0"/>
                    <w:keepLines w:val="0"/>
                    <w:suppressLineNumbers w:val="0"/>
                    <w:adjustRightInd w:val="0"/>
                    <w:spacing w:before="0" w:beforeAutospacing="0" w:after="0" w:afterAutospacing="0" w:line="240" w:lineRule="auto"/>
                    <w:ind w:left="0" w:right="0"/>
                    <w:jc w:val="both"/>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本栏目环境敏感区含义</w:t>
                  </w:r>
                </w:p>
              </w:tc>
            </w:tr>
            <w:tr w14:paraId="37F7F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87" w:type="dxa"/>
                  <w:gridSpan w:val="6"/>
                  <w:shd w:val="clear" w:color="auto" w:fill="auto"/>
                  <w:noWrap w:val="0"/>
                  <w:vAlign w:val="center"/>
                </w:tcPr>
                <w:p w14:paraId="608E939A">
                  <w:pPr>
                    <w:keepNext w:val="0"/>
                    <w:keepLines w:val="0"/>
                    <w:suppressLineNumbers w:val="0"/>
                    <w:adjustRightInd w:val="0"/>
                    <w:spacing w:before="0" w:beforeAutospacing="0" w:after="0" w:afterAutospacing="0" w:line="240" w:lineRule="auto"/>
                    <w:ind w:left="0" w:right="0"/>
                    <w:jc w:val="both"/>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三十九、废弃资源综合利用业 42</w:t>
                  </w:r>
                </w:p>
              </w:tc>
            </w:tr>
            <w:tr w14:paraId="4CFAB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70" w:type="dxa"/>
                  <w:shd w:val="clear" w:color="auto" w:fill="auto"/>
                  <w:noWrap w:val="0"/>
                  <w:vAlign w:val="center"/>
                </w:tcPr>
                <w:p w14:paraId="7478AE89">
                  <w:pPr>
                    <w:keepNext w:val="0"/>
                    <w:keepLines w:val="0"/>
                    <w:suppressLineNumbers w:val="0"/>
                    <w:adjustRightInd w:val="0"/>
                    <w:spacing w:before="0" w:beforeAutospacing="0" w:after="0" w:afterAutospacing="0" w:line="240" w:lineRule="auto"/>
                    <w:ind w:left="0" w:right="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Times New Roman" w:cs="Times New Roman"/>
                      <w:color w:val="auto"/>
                      <w:spacing w:val="-2"/>
                      <w:sz w:val="20"/>
                      <w:szCs w:val="20"/>
                    </w:rPr>
                    <w:t>85</w:t>
                  </w:r>
                </w:p>
              </w:tc>
              <w:tc>
                <w:tcPr>
                  <w:tcW w:w="2003" w:type="dxa"/>
                  <w:shd w:val="clear" w:color="auto" w:fill="auto"/>
                  <w:noWrap w:val="0"/>
                  <w:vAlign w:val="center"/>
                </w:tcPr>
                <w:p w14:paraId="62A4AD9F">
                  <w:pPr>
                    <w:keepNext w:val="0"/>
                    <w:keepLines w:val="0"/>
                    <w:suppressLineNumbers w:val="0"/>
                    <w:adjustRightInd w:val="0"/>
                    <w:spacing w:before="0" w:beforeAutospacing="0" w:after="0" w:afterAutospacing="0" w:line="240" w:lineRule="auto"/>
                    <w:ind w:left="0" w:right="0"/>
                    <w:jc w:val="both"/>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金属废料和碎屑加工处理 421；非金属废料和碎屑加工处理 422（421 和 422 均不含原料为危险废物的，均不含仅分拣、破碎的）</w:t>
                  </w:r>
                </w:p>
              </w:tc>
              <w:tc>
                <w:tcPr>
                  <w:tcW w:w="933" w:type="dxa"/>
                  <w:shd w:val="clear" w:color="auto" w:fill="auto"/>
                  <w:noWrap w:val="0"/>
                  <w:vAlign w:val="center"/>
                </w:tcPr>
                <w:p w14:paraId="61D98F1A">
                  <w:pPr>
                    <w:keepNext w:val="0"/>
                    <w:keepLines w:val="0"/>
                    <w:suppressLineNumbers w:val="0"/>
                    <w:adjustRightInd w:val="0"/>
                    <w:spacing w:before="0" w:beforeAutospacing="0" w:after="0" w:afterAutospacing="0" w:line="240" w:lineRule="auto"/>
                    <w:ind w:left="0" w:right="0"/>
                    <w:jc w:val="both"/>
                    <w:rPr>
                      <w:rFonts w:hint="default" w:ascii="Times New Roman" w:hAnsi="Times New Roman" w:eastAsia="宋体" w:cs="Times New Roman"/>
                      <w:color w:val="auto"/>
                      <w:sz w:val="21"/>
                      <w:szCs w:val="21"/>
                      <w:lang w:val="en-US" w:eastAsia="zh-CN"/>
                    </w:rPr>
                  </w:pPr>
                  <w:r>
                    <w:rPr>
                      <w:rFonts w:hint="eastAsia"/>
                      <w:color w:val="auto"/>
                    </w:rPr>
                    <w:t>废电池、废油加工处理</w:t>
                  </w:r>
                </w:p>
              </w:tc>
              <w:tc>
                <w:tcPr>
                  <w:tcW w:w="2963" w:type="dxa"/>
                  <w:shd w:val="clear" w:color="auto" w:fill="auto"/>
                  <w:noWrap w:val="0"/>
                  <w:vAlign w:val="center"/>
                </w:tcPr>
                <w:p w14:paraId="4348FAAE">
                  <w:pPr>
                    <w:keepNext w:val="0"/>
                    <w:keepLines w:val="0"/>
                    <w:suppressLineNumbers w:val="0"/>
                    <w:adjustRightInd w:val="0"/>
                    <w:spacing w:before="0" w:beforeAutospacing="0" w:after="0" w:afterAutospacing="0" w:line="240" w:lineRule="auto"/>
                    <w:ind w:left="0" w:right="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废弃电器电子产品、废机动车、废电机、废电线电缆、废钢、废铁、金属和金属化合物矿灰及残渣、有色金属废料与碎屑、</w:t>
                  </w:r>
                </w:p>
                <w:p w14:paraId="4008FD94">
                  <w:pPr>
                    <w:keepNext w:val="0"/>
                    <w:keepLines w:val="0"/>
                    <w:suppressLineNumbers w:val="0"/>
                    <w:adjustRightInd w:val="0"/>
                    <w:spacing w:before="0" w:beforeAutospacing="0" w:after="0" w:afterAutospacing="0" w:line="240" w:lineRule="auto"/>
                    <w:ind w:left="0" w:right="0"/>
                    <w:jc w:val="both"/>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废塑料、废轮胎、废船、含水洗工艺的其他废料和碎屑加工处理（农业生产产生的废旧秧盘、薄膜破碎和清洗工艺的除外）</w:t>
                  </w:r>
                </w:p>
              </w:tc>
              <w:tc>
                <w:tcPr>
                  <w:tcW w:w="679" w:type="dxa"/>
                  <w:shd w:val="clear" w:color="auto" w:fill="auto"/>
                  <w:noWrap w:val="0"/>
                  <w:vAlign w:val="center"/>
                </w:tcPr>
                <w:p w14:paraId="6FE3947B">
                  <w:pPr>
                    <w:keepNext w:val="0"/>
                    <w:keepLines w:val="0"/>
                    <w:suppressLineNumbers w:val="0"/>
                    <w:adjustRightInd w:val="0"/>
                    <w:spacing w:before="0" w:beforeAutospacing="0" w:after="0" w:afterAutospacing="0" w:line="240" w:lineRule="auto"/>
                    <w:ind w:left="0" w:right="0"/>
                    <w:jc w:val="both"/>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339" w:type="dxa"/>
                  <w:shd w:val="clear" w:color="auto" w:fill="auto"/>
                  <w:noWrap w:val="0"/>
                  <w:vAlign w:val="center"/>
                </w:tcPr>
                <w:p w14:paraId="33A4D336">
                  <w:pPr>
                    <w:keepNext w:val="0"/>
                    <w:keepLines w:val="0"/>
                    <w:suppressLineNumbers w:val="0"/>
                    <w:adjustRightInd w:val="0"/>
                    <w:spacing w:before="0" w:beforeAutospacing="0" w:after="0" w:afterAutospacing="0" w:line="240" w:lineRule="auto"/>
                    <w:ind w:left="0" w:right="0"/>
                    <w:jc w:val="both"/>
                    <w:rPr>
                      <w:rFonts w:hint="default" w:ascii="Times New Roman" w:hAnsi="Times New Roman" w:cs="Times New Roman"/>
                      <w:color w:val="auto"/>
                      <w:sz w:val="21"/>
                      <w:szCs w:val="21"/>
                    </w:rPr>
                  </w:pPr>
                </w:p>
              </w:tc>
            </w:tr>
          </w:tbl>
          <w:p w14:paraId="707A7DAD">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color w:val="auto"/>
                <w:sz w:val="24"/>
              </w:rPr>
            </w:pPr>
            <w:r>
              <w:rPr>
                <w:rFonts w:hint="default" w:ascii="Times New Roman" w:hAnsi="Times New Roman" w:eastAsia="宋体" w:cs="Times New Roman"/>
                <w:b/>
                <w:bCs/>
                <w:color w:val="auto"/>
                <w:sz w:val="24"/>
                <w:lang w:val="en-US" w:eastAsia="zh-CN"/>
              </w:rPr>
              <w:t>2.建设工程内容及规模</w:t>
            </w:r>
          </w:p>
          <w:p w14:paraId="0AD7BD1E">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bCs/>
                <w:color w:val="auto"/>
                <w:sz w:val="24"/>
              </w:rPr>
            </w:pPr>
            <w:r>
              <w:rPr>
                <w:rFonts w:hint="default" w:ascii="Times New Roman" w:hAnsi="Times New Roman" w:cs="Times New Roman"/>
                <w:color w:val="auto"/>
                <w:sz w:val="24"/>
                <w:lang w:eastAsia="zh-CN"/>
              </w:rPr>
              <w:t>项目租赁现有厂房</w:t>
            </w:r>
            <w:r>
              <w:rPr>
                <w:rFonts w:hint="eastAsia" w:cs="Times New Roman"/>
                <w:color w:val="auto"/>
                <w:sz w:val="24"/>
                <w:lang w:val="en-US" w:eastAsia="zh-CN"/>
              </w:rPr>
              <w:t>555</w:t>
            </w:r>
            <w:r>
              <w:rPr>
                <w:rFonts w:hint="default" w:ascii="Times New Roman" w:hAnsi="Times New Roman" w:cs="Times New Roman"/>
                <w:color w:val="auto"/>
                <w:sz w:val="24"/>
                <w:lang w:eastAsia="zh-CN"/>
              </w:rPr>
              <w:t>平方米，购置安装粉碎机、切粒机等加工设备，并配套建设相关辅助设施，建设一条废旧塑料泡沫加工生产线，项目年回收处理废旧塑料泡沫 5000 吨。</w:t>
            </w:r>
            <w:r>
              <w:rPr>
                <w:rFonts w:hint="default" w:ascii="Times New Roman" w:hAnsi="Times New Roman" w:cs="Times New Roman"/>
                <w:color w:val="auto"/>
                <w:sz w:val="24"/>
              </w:rPr>
              <w:t>具体项目组成详见表2-</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w:t>
            </w:r>
          </w:p>
          <w:p w14:paraId="665F175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w:t>
            </w:r>
            <w:r>
              <w:rPr>
                <w:rFonts w:hint="default" w:ascii="Times New Roman" w:hAnsi="Times New Roman"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 xml:space="preserve">  项目组成一览表</w:t>
            </w:r>
          </w:p>
          <w:tbl>
            <w:tblPr>
              <w:tblStyle w:val="33"/>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94"/>
              <w:gridCol w:w="651"/>
              <w:gridCol w:w="658"/>
              <w:gridCol w:w="5430"/>
              <w:gridCol w:w="858"/>
            </w:tblGrid>
            <w:tr w14:paraId="79DE0E3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525" w:type="pct"/>
                  <w:tcBorders>
                    <w:tl2br w:val="nil"/>
                    <w:tr2bl w:val="nil"/>
                  </w:tcBorders>
                  <w:noWrap w:val="0"/>
                  <w:vAlign w:val="center"/>
                </w:tcPr>
                <w:p w14:paraId="3F29B4B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类别</w:t>
                  </w:r>
                </w:p>
              </w:tc>
              <w:tc>
                <w:tcPr>
                  <w:tcW w:w="770" w:type="pct"/>
                  <w:gridSpan w:val="2"/>
                  <w:tcBorders>
                    <w:tl2br w:val="nil"/>
                    <w:tr2bl w:val="nil"/>
                  </w:tcBorders>
                  <w:noWrap w:val="0"/>
                  <w:vAlign w:val="center"/>
                </w:tcPr>
                <w:p w14:paraId="0C76B13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项目名称</w:t>
                  </w:r>
                </w:p>
              </w:tc>
              <w:tc>
                <w:tcPr>
                  <w:tcW w:w="3197" w:type="pct"/>
                  <w:tcBorders>
                    <w:tl2br w:val="nil"/>
                    <w:tr2bl w:val="nil"/>
                  </w:tcBorders>
                  <w:noWrap w:val="0"/>
                  <w:vAlign w:val="center"/>
                </w:tcPr>
                <w:p w14:paraId="349A97F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项目组成</w:t>
                  </w:r>
                </w:p>
              </w:tc>
              <w:tc>
                <w:tcPr>
                  <w:tcW w:w="505" w:type="pct"/>
                  <w:tcBorders>
                    <w:tl2br w:val="nil"/>
                    <w:tr2bl w:val="nil"/>
                  </w:tcBorders>
                  <w:noWrap w:val="0"/>
                  <w:vAlign w:val="center"/>
                </w:tcPr>
                <w:p w14:paraId="360FA3A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备注</w:t>
                  </w:r>
                </w:p>
              </w:tc>
            </w:tr>
            <w:tr w14:paraId="3F67C92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525" w:type="pct"/>
                  <w:tcBorders>
                    <w:tl2br w:val="nil"/>
                    <w:tr2bl w:val="nil"/>
                  </w:tcBorders>
                  <w:noWrap w:val="0"/>
                  <w:vAlign w:val="center"/>
                </w:tcPr>
                <w:p w14:paraId="06A4D4F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主体</w:t>
                  </w:r>
                </w:p>
                <w:p w14:paraId="2755161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lang w:eastAsia="zh-CN"/>
                    </w:rPr>
                  </w:pPr>
                  <w:r>
                    <w:rPr>
                      <w:rFonts w:hint="default" w:ascii="Times New Roman" w:hAnsi="Times New Roman" w:cs="Times New Roman"/>
                      <w:color w:val="auto"/>
                      <w:szCs w:val="21"/>
                    </w:rPr>
                    <w:t>工程</w:t>
                  </w:r>
                </w:p>
              </w:tc>
              <w:tc>
                <w:tcPr>
                  <w:tcW w:w="770" w:type="pct"/>
                  <w:gridSpan w:val="2"/>
                  <w:tcBorders>
                    <w:tl2br w:val="nil"/>
                    <w:tr2bl w:val="nil"/>
                  </w:tcBorders>
                  <w:noWrap w:val="0"/>
                  <w:vAlign w:val="center"/>
                </w:tcPr>
                <w:p w14:paraId="746C918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生产车间</w:t>
                  </w:r>
                </w:p>
              </w:tc>
              <w:tc>
                <w:tcPr>
                  <w:tcW w:w="3197" w:type="pct"/>
                  <w:tcBorders>
                    <w:tl2br w:val="nil"/>
                    <w:tr2bl w:val="nil"/>
                  </w:tcBorders>
                  <w:noWrap w:val="0"/>
                  <w:vAlign w:val="center"/>
                </w:tcPr>
                <w:p w14:paraId="17C86D2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一层，钢结构，尺寸为</w:t>
                  </w:r>
                  <w:r>
                    <w:rPr>
                      <w:rFonts w:hint="eastAsia" w:cs="Times New Roman"/>
                      <w:color w:val="auto"/>
                      <w:szCs w:val="21"/>
                      <w:lang w:val="en-US" w:eastAsia="zh-CN"/>
                    </w:rPr>
                    <w:t>35</w:t>
                  </w:r>
                  <w:r>
                    <w:rPr>
                      <w:rFonts w:hint="default" w:ascii="Times New Roman" w:hAnsi="Times New Roman" w:cs="Times New Roman"/>
                      <w:color w:val="auto"/>
                      <w:szCs w:val="21"/>
                      <w:lang w:val="en-US" w:eastAsia="zh-CN"/>
                    </w:rPr>
                    <w:t>m*</w:t>
                  </w:r>
                  <w:r>
                    <w:rPr>
                      <w:rFonts w:hint="eastAsia" w:cs="Times New Roman"/>
                      <w:color w:val="auto"/>
                      <w:szCs w:val="21"/>
                      <w:lang w:val="en-US" w:eastAsia="zh-CN"/>
                    </w:rPr>
                    <w:t>15</w:t>
                  </w:r>
                  <w:r>
                    <w:rPr>
                      <w:rFonts w:hint="default" w:ascii="Times New Roman" w:hAnsi="Times New Roman" w:cs="Times New Roman"/>
                      <w:color w:val="auto"/>
                      <w:szCs w:val="21"/>
                      <w:lang w:val="en-US" w:eastAsia="zh-CN"/>
                    </w:rPr>
                    <w:t>m*8m ，分为生产区、原料区、成品区及办公区。生产区设置粉碎机、切粒机等建设一条废旧塑料泡沫加工生产线。</w:t>
                  </w:r>
                </w:p>
              </w:tc>
              <w:tc>
                <w:tcPr>
                  <w:tcW w:w="505" w:type="pct"/>
                  <w:tcBorders>
                    <w:tl2br w:val="nil"/>
                    <w:tr2bl w:val="nil"/>
                  </w:tcBorders>
                  <w:noWrap w:val="0"/>
                  <w:vAlign w:val="center"/>
                </w:tcPr>
                <w:p w14:paraId="4EDA199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lang w:eastAsia="zh-CN"/>
                    </w:rPr>
                  </w:pPr>
                  <w:r>
                    <w:rPr>
                      <w:rFonts w:hint="eastAsia" w:cs="Times New Roman"/>
                      <w:color w:val="auto"/>
                      <w:szCs w:val="21"/>
                      <w:lang w:eastAsia="zh-CN"/>
                    </w:rPr>
                    <w:t>新建</w:t>
                  </w:r>
                </w:p>
              </w:tc>
            </w:tr>
            <w:tr w14:paraId="50EFFCD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525" w:type="pct"/>
                  <w:vMerge w:val="restart"/>
                  <w:tcBorders>
                    <w:tl2br w:val="nil"/>
                    <w:tr2bl w:val="nil"/>
                  </w:tcBorders>
                  <w:noWrap w:val="0"/>
                  <w:vAlign w:val="center"/>
                </w:tcPr>
                <w:p w14:paraId="3360209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公用</w:t>
                  </w:r>
                </w:p>
                <w:p w14:paraId="1C43FCF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工程</w:t>
                  </w:r>
                </w:p>
              </w:tc>
              <w:tc>
                <w:tcPr>
                  <w:tcW w:w="770" w:type="pct"/>
                  <w:gridSpan w:val="2"/>
                  <w:tcBorders>
                    <w:tl2br w:val="nil"/>
                    <w:tr2bl w:val="nil"/>
                  </w:tcBorders>
                  <w:noWrap w:val="0"/>
                  <w:vAlign w:val="center"/>
                </w:tcPr>
                <w:p w14:paraId="72A15B7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供电</w:t>
                  </w:r>
                </w:p>
              </w:tc>
              <w:tc>
                <w:tcPr>
                  <w:tcW w:w="3197" w:type="pct"/>
                  <w:tcBorders>
                    <w:tl2br w:val="nil"/>
                    <w:tr2bl w:val="nil"/>
                  </w:tcBorders>
                  <w:noWrap w:val="0"/>
                  <w:vAlign w:val="center"/>
                </w:tcPr>
                <w:p w14:paraId="7A6229C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由供电系统供给</w:t>
                  </w:r>
                  <w:r>
                    <w:rPr>
                      <w:rFonts w:hint="default" w:ascii="Times New Roman" w:hAnsi="Times New Roman" w:cs="Times New Roman"/>
                      <w:color w:val="auto"/>
                      <w:szCs w:val="21"/>
                      <w:lang w:eastAsia="zh-CN"/>
                    </w:rPr>
                    <w:t>。</w:t>
                  </w:r>
                </w:p>
              </w:tc>
              <w:tc>
                <w:tcPr>
                  <w:tcW w:w="505" w:type="pct"/>
                  <w:tcBorders>
                    <w:tl2br w:val="nil"/>
                    <w:tr2bl w:val="nil"/>
                  </w:tcBorders>
                  <w:noWrap w:val="0"/>
                  <w:vAlign w:val="top"/>
                </w:tcPr>
                <w:p w14:paraId="3841368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依托</w:t>
                  </w:r>
                </w:p>
              </w:tc>
            </w:tr>
            <w:tr w14:paraId="185285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525" w:type="pct"/>
                  <w:vMerge w:val="continue"/>
                  <w:tcBorders>
                    <w:tl2br w:val="nil"/>
                    <w:tr2bl w:val="nil"/>
                  </w:tcBorders>
                  <w:noWrap w:val="0"/>
                  <w:vAlign w:val="center"/>
                </w:tcPr>
                <w:p w14:paraId="4945267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p>
              </w:tc>
              <w:tc>
                <w:tcPr>
                  <w:tcW w:w="770" w:type="pct"/>
                  <w:gridSpan w:val="2"/>
                  <w:tcBorders>
                    <w:tl2br w:val="nil"/>
                    <w:tr2bl w:val="nil"/>
                  </w:tcBorders>
                  <w:noWrap w:val="0"/>
                  <w:vAlign w:val="center"/>
                </w:tcPr>
                <w:p w14:paraId="1DA7490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供水</w:t>
                  </w:r>
                </w:p>
              </w:tc>
              <w:tc>
                <w:tcPr>
                  <w:tcW w:w="3197" w:type="pct"/>
                  <w:tcBorders>
                    <w:tl2br w:val="nil"/>
                    <w:tr2bl w:val="nil"/>
                  </w:tcBorders>
                  <w:noWrap w:val="0"/>
                  <w:vAlign w:val="center"/>
                </w:tcPr>
                <w:p w14:paraId="22334FD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由供水管网供给</w:t>
                  </w:r>
                  <w:r>
                    <w:rPr>
                      <w:rFonts w:hint="default" w:ascii="Times New Roman" w:hAnsi="Times New Roman" w:cs="Times New Roman"/>
                      <w:color w:val="auto"/>
                      <w:szCs w:val="21"/>
                      <w:lang w:eastAsia="zh-CN"/>
                    </w:rPr>
                    <w:t>。</w:t>
                  </w:r>
                </w:p>
              </w:tc>
              <w:tc>
                <w:tcPr>
                  <w:tcW w:w="505" w:type="pct"/>
                  <w:tcBorders>
                    <w:tl2br w:val="nil"/>
                    <w:tr2bl w:val="nil"/>
                  </w:tcBorders>
                  <w:noWrap w:val="0"/>
                  <w:vAlign w:val="top"/>
                </w:tcPr>
                <w:p w14:paraId="747F64D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依托</w:t>
                  </w:r>
                </w:p>
              </w:tc>
            </w:tr>
            <w:tr w14:paraId="62D84C8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525" w:type="pct"/>
                  <w:vMerge w:val="restart"/>
                  <w:tcBorders>
                    <w:tl2br w:val="nil"/>
                    <w:tr2bl w:val="nil"/>
                  </w:tcBorders>
                  <w:noWrap w:val="0"/>
                  <w:vAlign w:val="center"/>
                </w:tcPr>
                <w:p w14:paraId="12EDB3E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环保</w:t>
                  </w:r>
                </w:p>
                <w:p w14:paraId="095C760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工程</w:t>
                  </w:r>
                </w:p>
              </w:tc>
              <w:tc>
                <w:tcPr>
                  <w:tcW w:w="770" w:type="pct"/>
                  <w:gridSpan w:val="2"/>
                  <w:vMerge w:val="restart"/>
                  <w:tcBorders>
                    <w:tl2br w:val="nil"/>
                    <w:tr2bl w:val="nil"/>
                  </w:tcBorders>
                  <w:noWrap w:val="0"/>
                  <w:vAlign w:val="center"/>
                </w:tcPr>
                <w:p w14:paraId="71C77D3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废气处理系统</w:t>
                  </w:r>
                </w:p>
              </w:tc>
              <w:tc>
                <w:tcPr>
                  <w:tcW w:w="3197" w:type="pct"/>
                  <w:tcBorders>
                    <w:tl2br w:val="nil"/>
                    <w:tr2bl w:val="nil"/>
                  </w:tcBorders>
                  <w:noWrap w:val="0"/>
                  <w:vAlign w:val="center"/>
                </w:tcPr>
                <w:p w14:paraId="75483CB5">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项目粉碎粉尘经集气罩收集后引至布袋除尘器</w:t>
                  </w:r>
                  <w:r>
                    <w:rPr>
                      <w:rFonts w:hint="eastAsia" w:cs="Times New Roman"/>
                      <w:color w:val="auto"/>
                      <w:szCs w:val="21"/>
                      <w:lang w:val="en-US" w:eastAsia="zh-CN"/>
                    </w:rPr>
                    <w:t>（TA001）</w:t>
                  </w:r>
                  <w:r>
                    <w:rPr>
                      <w:rFonts w:hint="default" w:ascii="Times New Roman" w:hAnsi="Times New Roman" w:cs="Times New Roman"/>
                      <w:color w:val="auto"/>
                      <w:szCs w:val="21"/>
                      <w:lang w:val="en-US" w:eastAsia="zh-CN"/>
                    </w:rPr>
                    <w:t>处理后经 15m 高排气筒（DA001）排放。</w:t>
                  </w:r>
                </w:p>
              </w:tc>
              <w:tc>
                <w:tcPr>
                  <w:tcW w:w="505" w:type="pct"/>
                  <w:tcBorders>
                    <w:tl2br w:val="nil"/>
                    <w:tr2bl w:val="nil"/>
                  </w:tcBorders>
                  <w:noWrap w:val="0"/>
                  <w:vAlign w:val="center"/>
                </w:tcPr>
                <w:p w14:paraId="21AEC85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新建</w:t>
                  </w:r>
                </w:p>
              </w:tc>
            </w:tr>
            <w:tr w14:paraId="6934E9A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525" w:type="pct"/>
                  <w:vMerge w:val="continue"/>
                  <w:tcBorders>
                    <w:tl2br w:val="nil"/>
                    <w:tr2bl w:val="nil"/>
                  </w:tcBorders>
                  <w:noWrap w:val="0"/>
                  <w:vAlign w:val="center"/>
                </w:tcPr>
                <w:p w14:paraId="3B16A7E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lang w:eastAsia="zh-CN"/>
                    </w:rPr>
                  </w:pPr>
                </w:p>
              </w:tc>
              <w:tc>
                <w:tcPr>
                  <w:tcW w:w="770" w:type="pct"/>
                  <w:gridSpan w:val="2"/>
                  <w:vMerge w:val="continue"/>
                  <w:tcBorders>
                    <w:tl2br w:val="nil"/>
                    <w:tr2bl w:val="nil"/>
                  </w:tcBorders>
                  <w:noWrap w:val="0"/>
                  <w:vAlign w:val="center"/>
                </w:tcPr>
                <w:p w14:paraId="4F8AC6C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lang w:eastAsia="zh-CN"/>
                    </w:rPr>
                  </w:pPr>
                </w:p>
              </w:tc>
              <w:tc>
                <w:tcPr>
                  <w:tcW w:w="3197" w:type="pct"/>
                  <w:tcBorders>
                    <w:tl2br w:val="nil"/>
                    <w:tr2bl w:val="nil"/>
                  </w:tcBorders>
                  <w:noWrap w:val="0"/>
                  <w:vAlign w:val="center"/>
                </w:tcPr>
                <w:p w14:paraId="52922A38">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项目热熔挤出产生的非甲烷总烃经集气罩收集后引至二级活性炭吸附装置</w:t>
                  </w:r>
                  <w:r>
                    <w:rPr>
                      <w:rFonts w:hint="eastAsia" w:cs="Times New Roman"/>
                      <w:color w:val="auto"/>
                      <w:szCs w:val="21"/>
                      <w:lang w:val="en-US" w:eastAsia="zh-CN"/>
                    </w:rPr>
                    <w:t>（TA002）</w:t>
                  </w:r>
                  <w:r>
                    <w:rPr>
                      <w:rFonts w:hint="default" w:ascii="Times New Roman" w:hAnsi="Times New Roman" w:cs="Times New Roman"/>
                      <w:color w:val="auto"/>
                      <w:szCs w:val="21"/>
                      <w:lang w:val="en-US" w:eastAsia="zh-CN"/>
                    </w:rPr>
                    <w:t>处理后经 15m 高排气筒（DA002）排放。</w:t>
                  </w:r>
                </w:p>
              </w:tc>
              <w:tc>
                <w:tcPr>
                  <w:tcW w:w="505" w:type="pct"/>
                  <w:tcBorders>
                    <w:tl2br w:val="nil"/>
                    <w:tr2bl w:val="nil"/>
                  </w:tcBorders>
                  <w:noWrap w:val="0"/>
                  <w:vAlign w:val="center"/>
                </w:tcPr>
                <w:p w14:paraId="1849334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新建</w:t>
                  </w:r>
                </w:p>
              </w:tc>
            </w:tr>
            <w:tr w14:paraId="0D15290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525" w:type="pct"/>
                  <w:vMerge w:val="continue"/>
                  <w:tcBorders>
                    <w:tl2br w:val="nil"/>
                    <w:tr2bl w:val="nil"/>
                  </w:tcBorders>
                  <w:noWrap w:val="0"/>
                  <w:vAlign w:val="center"/>
                </w:tcPr>
                <w:p w14:paraId="6D3ABC3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lang w:eastAsia="zh-CN"/>
                    </w:rPr>
                  </w:pPr>
                </w:p>
              </w:tc>
              <w:tc>
                <w:tcPr>
                  <w:tcW w:w="770" w:type="pct"/>
                  <w:gridSpan w:val="2"/>
                  <w:tcBorders>
                    <w:tl2br w:val="nil"/>
                    <w:tr2bl w:val="nil"/>
                  </w:tcBorders>
                  <w:noWrap w:val="0"/>
                  <w:vAlign w:val="center"/>
                </w:tcPr>
                <w:p w14:paraId="4E1737D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废水处理系统</w:t>
                  </w:r>
                </w:p>
              </w:tc>
              <w:tc>
                <w:tcPr>
                  <w:tcW w:w="3197" w:type="pct"/>
                  <w:tcBorders>
                    <w:tl2br w:val="nil"/>
                    <w:tr2bl w:val="nil"/>
                  </w:tcBorders>
                  <w:noWrap w:val="0"/>
                  <w:vAlign w:val="center"/>
                </w:tcPr>
                <w:p w14:paraId="0B366F2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项目运营期生产工序冷却用水循环使用不外排，定期补充损耗；生活污水经厂区化粪池预处理后通过市政污水管网排至</w:t>
                  </w:r>
                  <w:r>
                    <w:rPr>
                      <w:rFonts w:hint="eastAsia" w:cs="Times New Roman"/>
                      <w:color w:val="auto"/>
                      <w:szCs w:val="21"/>
                      <w:lang w:val="en-US" w:eastAsia="zh-CN"/>
                    </w:rPr>
                    <w:t>污水</w:t>
                  </w:r>
                  <w:r>
                    <w:rPr>
                      <w:rFonts w:hint="default" w:ascii="Times New Roman" w:hAnsi="Times New Roman" w:cs="Times New Roman"/>
                      <w:color w:val="auto"/>
                      <w:szCs w:val="21"/>
                      <w:lang w:val="en-US" w:eastAsia="zh-CN"/>
                    </w:rPr>
                    <w:t>处理</w:t>
                  </w:r>
                  <w:r>
                    <w:rPr>
                      <w:rFonts w:hint="eastAsia" w:cs="Times New Roman"/>
                      <w:color w:val="auto"/>
                      <w:szCs w:val="21"/>
                      <w:lang w:val="en-US" w:eastAsia="zh-CN"/>
                    </w:rPr>
                    <w:t>厂</w:t>
                  </w:r>
                  <w:r>
                    <w:rPr>
                      <w:rFonts w:hint="default" w:ascii="Times New Roman" w:hAnsi="Times New Roman" w:cs="Times New Roman"/>
                      <w:color w:val="auto"/>
                      <w:szCs w:val="21"/>
                      <w:lang w:val="en-US" w:eastAsia="zh-CN"/>
                    </w:rPr>
                    <w:t>。</w:t>
                  </w:r>
                </w:p>
              </w:tc>
              <w:tc>
                <w:tcPr>
                  <w:tcW w:w="505" w:type="pct"/>
                  <w:tcBorders>
                    <w:tl2br w:val="nil"/>
                    <w:tr2bl w:val="nil"/>
                  </w:tcBorders>
                  <w:noWrap w:val="0"/>
                  <w:vAlign w:val="center"/>
                </w:tcPr>
                <w:p w14:paraId="53E757B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snapToGrid w:val="0"/>
                      <w:color w:val="auto"/>
                      <w:szCs w:val="21"/>
                      <w:lang w:val="en-US" w:eastAsia="zh-CN"/>
                    </w:rPr>
                    <w:t>依托</w:t>
                  </w:r>
                </w:p>
              </w:tc>
            </w:tr>
            <w:tr w14:paraId="352CD5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525" w:type="pct"/>
                  <w:vMerge w:val="continue"/>
                  <w:tcBorders>
                    <w:tl2br w:val="nil"/>
                    <w:tr2bl w:val="nil"/>
                  </w:tcBorders>
                  <w:noWrap w:val="0"/>
                  <w:vAlign w:val="center"/>
                </w:tcPr>
                <w:p w14:paraId="328535C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p>
              </w:tc>
              <w:tc>
                <w:tcPr>
                  <w:tcW w:w="770" w:type="pct"/>
                  <w:gridSpan w:val="2"/>
                  <w:tcBorders>
                    <w:tl2br w:val="nil"/>
                    <w:tr2bl w:val="nil"/>
                  </w:tcBorders>
                  <w:noWrap w:val="0"/>
                  <w:vAlign w:val="center"/>
                </w:tcPr>
                <w:p w14:paraId="6704983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噪声处理系统</w:t>
                  </w:r>
                </w:p>
              </w:tc>
              <w:tc>
                <w:tcPr>
                  <w:tcW w:w="3197" w:type="pct"/>
                  <w:tcBorders>
                    <w:tl2br w:val="nil"/>
                    <w:tr2bl w:val="nil"/>
                  </w:tcBorders>
                  <w:noWrap w:val="0"/>
                  <w:vAlign w:val="center"/>
                </w:tcPr>
                <w:p w14:paraId="117DEB5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default" w:ascii="Times New Roman" w:hAnsi="Times New Roman" w:cs="Times New Roman"/>
                      <w:snapToGrid w:val="0"/>
                      <w:color w:val="auto"/>
                      <w:szCs w:val="21"/>
                      <w:lang w:eastAsia="zh-CN"/>
                    </w:rPr>
                    <w:t>风机与风管处采用橡胶软连接</w:t>
                  </w:r>
                  <w:r>
                    <w:rPr>
                      <w:rFonts w:hint="eastAsia" w:cs="Times New Roman"/>
                      <w:snapToGrid w:val="0"/>
                      <w:color w:val="auto"/>
                      <w:szCs w:val="21"/>
                      <w:lang w:val="en-US" w:eastAsia="zh-CN"/>
                    </w:rPr>
                    <w:t>，</w:t>
                  </w:r>
                  <w:r>
                    <w:rPr>
                      <w:rFonts w:hint="default" w:ascii="Times New Roman" w:hAnsi="Times New Roman" w:cs="Times New Roman"/>
                      <w:snapToGrid w:val="0"/>
                      <w:color w:val="auto"/>
                      <w:szCs w:val="21"/>
                      <w:lang w:eastAsia="zh-CN"/>
                    </w:rPr>
                    <w:t>合理布局，加强设备维护，通过建筑物隔挡，距离衰减等降噪。</w:t>
                  </w:r>
                </w:p>
              </w:tc>
              <w:tc>
                <w:tcPr>
                  <w:tcW w:w="505" w:type="pct"/>
                  <w:tcBorders>
                    <w:tl2br w:val="nil"/>
                    <w:tr2bl w:val="nil"/>
                  </w:tcBorders>
                  <w:noWrap w:val="0"/>
                  <w:vAlign w:val="center"/>
                </w:tcPr>
                <w:p w14:paraId="00D8252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szCs w:val="21"/>
                      <w:lang w:val="en-US" w:eastAsia="zh-CN"/>
                    </w:rPr>
                  </w:pPr>
                  <w:r>
                    <w:rPr>
                      <w:rFonts w:hint="default" w:ascii="Times New Roman" w:hAnsi="Times New Roman" w:cs="Times New Roman"/>
                      <w:snapToGrid w:val="0"/>
                      <w:color w:val="auto"/>
                      <w:szCs w:val="21"/>
                    </w:rPr>
                    <w:t>新建</w:t>
                  </w:r>
                </w:p>
              </w:tc>
            </w:tr>
            <w:tr w14:paraId="55FB1A0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525" w:type="pct"/>
                  <w:vMerge w:val="continue"/>
                  <w:tcBorders>
                    <w:tl2br w:val="nil"/>
                    <w:tr2bl w:val="nil"/>
                  </w:tcBorders>
                  <w:noWrap w:val="0"/>
                  <w:vAlign w:val="center"/>
                </w:tcPr>
                <w:p w14:paraId="4438B58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p>
              </w:tc>
              <w:tc>
                <w:tcPr>
                  <w:tcW w:w="383" w:type="pct"/>
                  <w:vMerge w:val="restart"/>
                  <w:tcBorders>
                    <w:tl2br w:val="nil"/>
                    <w:tr2bl w:val="nil"/>
                  </w:tcBorders>
                  <w:noWrap w:val="0"/>
                  <w:vAlign w:val="center"/>
                </w:tcPr>
                <w:p w14:paraId="7DB6BEC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固废处理系统</w:t>
                  </w:r>
                </w:p>
              </w:tc>
              <w:tc>
                <w:tcPr>
                  <w:tcW w:w="387" w:type="pct"/>
                  <w:tcBorders>
                    <w:tl2br w:val="nil"/>
                    <w:tr2bl w:val="nil"/>
                  </w:tcBorders>
                  <w:noWrap w:val="0"/>
                  <w:vAlign w:val="center"/>
                </w:tcPr>
                <w:p w14:paraId="6D7702F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一般固废</w:t>
                  </w:r>
                </w:p>
              </w:tc>
              <w:tc>
                <w:tcPr>
                  <w:tcW w:w="3197" w:type="pct"/>
                  <w:tcBorders>
                    <w:tl2br w:val="nil"/>
                    <w:tr2bl w:val="nil"/>
                  </w:tcBorders>
                  <w:noWrap w:val="0"/>
                  <w:vAlign w:val="center"/>
                </w:tcPr>
                <w:p w14:paraId="35FD8F1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szCs w:val="21"/>
                      <w:lang w:val="en-US" w:eastAsia="zh-CN"/>
                    </w:rPr>
                  </w:pPr>
                  <w:r>
                    <w:rPr>
                      <w:rFonts w:hint="default" w:ascii="Times New Roman" w:hAnsi="Times New Roman" w:eastAsia="宋体" w:cs="Times New Roman"/>
                      <w:snapToGrid w:val="0"/>
                      <w:color w:val="auto"/>
                      <w:szCs w:val="21"/>
                      <w:lang w:eastAsia="zh-CN"/>
                    </w:rPr>
                    <w:t>项目热熔废料及不合格品、收尘灰收集后均回用于生产；</w:t>
                  </w:r>
                </w:p>
              </w:tc>
              <w:tc>
                <w:tcPr>
                  <w:tcW w:w="505" w:type="pct"/>
                  <w:tcBorders>
                    <w:tl2br w:val="nil"/>
                    <w:tr2bl w:val="nil"/>
                  </w:tcBorders>
                  <w:noWrap w:val="0"/>
                  <w:vAlign w:val="center"/>
                </w:tcPr>
                <w:p w14:paraId="09FDB34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szCs w:val="21"/>
                      <w:lang w:val="en-US" w:eastAsia="zh-CN"/>
                    </w:rPr>
                  </w:pPr>
                  <w:r>
                    <w:rPr>
                      <w:rFonts w:hint="default" w:ascii="Times New Roman" w:hAnsi="Times New Roman" w:cs="Times New Roman"/>
                      <w:snapToGrid w:val="0"/>
                      <w:color w:val="auto"/>
                      <w:szCs w:val="21"/>
                    </w:rPr>
                    <w:t>新建</w:t>
                  </w:r>
                </w:p>
              </w:tc>
            </w:tr>
            <w:tr w14:paraId="25B5DE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525" w:type="pct"/>
                  <w:vMerge w:val="continue"/>
                  <w:tcBorders>
                    <w:tl2br w:val="nil"/>
                    <w:tr2bl w:val="nil"/>
                  </w:tcBorders>
                  <w:noWrap w:val="0"/>
                  <w:vAlign w:val="center"/>
                </w:tcPr>
                <w:p w14:paraId="688E48F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c>
                <w:tcPr>
                  <w:tcW w:w="383" w:type="pct"/>
                  <w:vMerge w:val="continue"/>
                  <w:tcBorders>
                    <w:tl2br w:val="nil"/>
                    <w:tr2bl w:val="nil"/>
                  </w:tcBorders>
                  <w:noWrap w:val="0"/>
                  <w:vAlign w:val="center"/>
                </w:tcPr>
                <w:p w14:paraId="30CE94E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c>
                <w:tcPr>
                  <w:tcW w:w="387" w:type="pct"/>
                  <w:tcBorders>
                    <w:tl2br w:val="nil"/>
                    <w:tr2bl w:val="nil"/>
                  </w:tcBorders>
                  <w:noWrap w:val="0"/>
                  <w:vAlign w:val="center"/>
                </w:tcPr>
                <w:p w14:paraId="5C3034E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危险废物</w:t>
                  </w:r>
                </w:p>
              </w:tc>
              <w:tc>
                <w:tcPr>
                  <w:tcW w:w="3197" w:type="pct"/>
                  <w:tcBorders>
                    <w:tl2br w:val="nil"/>
                    <w:tr2bl w:val="nil"/>
                  </w:tcBorders>
                  <w:noWrap w:val="0"/>
                  <w:vAlign w:val="center"/>
                </w:tcPr>
                <w:p w14:paraId="4A05A86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eastAsia="宋体" w:cs="Times New Roman"/>
                      <w:snapToGrid w:val="0"/>
                      <w:color w:val="auto"/>
                      <w:szCs w:val="21"/>
                      <w:lang w:eastAsia="zh-CN"/>
                    </w:rPr>
                    <w:t>危险废物（</w:t>
                  </w:r>
                  <w:r>
                    <w:rPr>
                      <w:rFonts w:hint="default" w:ascii="Times New Roman" w:hAnsi="Times New Roman" w:eastAsia="宋体" w:cs="Times New Roman"/>
                      <w:snapToGrid w:val="0"/>
                      <w:color w:val="auto"/>
                      <w:szCs w:val="21"/>
                      <w:lang w:val="en-US" w:eastAsia="zh-CN"/>
                    </w:rPr>
                    <w:t>废活性炭、</w:t>
                  </w:r>
                  <w:r>
                    <w:rPr>
                      <w:rFonts w:hint="default" w:ascii="Times New Roman" w:hAnsi="Times New Roman" w:eastAsia="宋体" w:cs="Times New Roman"/>
                      <w:snapToGrid w:val="0"/>
                      <w:color w:val="auto"/>
                      <w:szCs w:val="21"/>
                      <w:lang w:eastAsia="zh-CN"/>
                    </w:rPr>
                    <w:t>废</w:t>
                  </w:r>
                  <w:r>
                    <w:rPr>
                      <w:rFonts w:hint="default" w:ascii="Times New Roman" w:hAnsi="Times New Roman" w:cs="Times New Roman"/>
                      <w:snapToGrid w:val="0"/>
                      <w:color w:val="auto"/>
                      <w:szCs w:val="21"/>
                      <w:lang w:val="en-US" w:eastAsia="zh-CN"/>
                    </w:rPr>
                    <w:t>润滑油</w:t>
                  </w:r>
                  <w:r>
                    <w:rPr>
                      <w:rFonts w:hint="default" w:ascii="Times New Roman" w:hAnsi="Times New Roman" w:eastAsia="宋体" w:cs="Times New Roman"/>
                      <w:snapToGrid w:val="0"/>
                      <w:color w:val="auto"/>
                      <w:szCs w:val="21"/>
                      <w:lang w:eastAsia="zh-CN"/>
                    </w:rPr>
                    <w:t>、废油桶、</w:t>
                  </w:r>
                  <w:r>
                    <w:rPr>
                      <w:rFonts w:hint="default" w:ascii="Times New Roman" w:hAnsi="Times New Roman" w:eastAsia="宋体" w:cs="Times New Roman"/>
                      <w:snapToGrid w:val="0"/>
                      <w:color w:val="auto"/>
                      <w:szCs w:val="21"/>
                      <w:lang w:val="en-US" w:eastAsia="zh-CN"/>
                    </w:rPr>
                    <w:t>废</w:t>
                  </w:r>
                  <w:r>
                    <w:rPr>
                      <w:rFonts w:hint="default" w:ascii="Times New Roman" w:hAnsi="Times New Roman" w:eastAsia="宋体" w:cs="Times New Roman"/>
                      <w:snapToGrid w:val="0"/>
                      <w:color w:val="auto"/>
                      <w:szCs w:val="21"/>
                      <w:lang w:eastAsia="zh-CN"/>
                    </w:rPr>
                    <w:t>含油抹布、手套）暂存于</w:t>
                  </w:r>
                  <w:r>
                    <w:rPr>
                      <w:rFonts w:hint="eastAsia" w:cs="Times New Roman"/>
                      <w:snapToGrid w:val="0"/>
                      <w:color w:val="auto"/>
                      <w:szCs w:val="21"/>
                      <w:lang w:eastAsia="zh-CN"/>
                    </w:rPr>
                    <w:t>危险废物贮存设施</w:t>
                  </w:r>
                  <w:r>
                    <w:rPr>
                      <w:rFonts w:hint="default" w:ascii="Times New Roman" w:hAnsi="Times New Roman" w:eastAsia="宋体" w:cs="Times New Roman"/>
                      <w:snapToGrid w:val="0"/>
                      <w:color w:val="auto"/>
                      <w:szCs w:val="21"/>
                      <w:lang w:eastAsia="zh-CN"/>
                    </w:rPr>
                    <w:t>（占地</w:t>
                  </w:r>
                  <w:r>
                    <w:rPr>
                      <w:rFonts w:hint="default" w:ascii="Times New Roman" w:hAnsi="Times New Roman" w:cs="Times New Roman"/>
                      <w:snapToGrid w:val="0"/>
                      <w:color w:val="auto"/>
                      <w:szCs w:val="21"/>
                      <w:lang w:val="en-US" w:eastAsia="zh-CN"/>
                    </w:rPr>
                    <w:t>5</w:t>
                  </w:r>
                  <w:r>
                    <w:rPr>
                      <w:rFonts w:hint="default" w:ascii="Times New Roman" w:hAnsi="Times New Roman" w:eastAsia="宋体" w:cs="Times New Roman"/>
                      <w:snapToGrid w:val="0"/>
                      <w:color w:val="auto"/>
                      <w:szCs w:val="21"/>
                      <w:lang w:val="en-US" w:eastAsia="zh-CN"/>
                    </w:rPr>
                    <w:t>㎡</w:t>
                  </w:r>
                  <w:r>
                    <w:rPr>
                      <w:rFonts w:hint="default" w:ascii="Times New Roman" w:hAnsi="Times New Roman" w:eastAsia="宋体" w:cs="Times New Roman"/>
                      <w:snapToGrid w:val="0"/>
                      <w:color w:val="auto"/>
                      <w:szCs w:val="21"/>
                      <w:lang w:eastAsia="zh-CN"/>
                    </w:rPr>
                    <w:t>），定期交由</w:t>
                  </w:r>
                  <w:r>
                    <w:rPr>
                      <w:rFonts w:hint="default" w:ascii="Times New Roman" w:hAnsi="Times New Roman" w:cs="Times New Roman"/>
                      <w:snapToGrid w:val="0"/>
                      <w:color w:val="auto"/>
                      <w:szCs w:val="21"/>
                      <w:lang w:val="en-US" w:eastAsia="zh-CN"/>
                    </w:rPr>
                    <w:t>有资质单位</w:t>
                  </w:r>
                  <w:r>
                    <w:rPr>
                      <w:rFonts w:hint="default" w:ascii="Times New Roman" w:hAnsi="Times New Roman" w:eastAsia="宋体" w:cs="Times New Roman"/>
                      <w:snapToGrid w:val="0"/>
                      <w:color w:val="auto"/>
                      <w:szCs w:val="21"/>
                      <w:lang w:eastAsia="zh-CN"/>
                    </w:rPr>
                    <w:t>处理。</w:t>
                  </w:r>
                </w:p>
              </w:tc>
              <w:tc>
                <w:tcPr>
                  <w:tcW w:w="505" w:type="pct"/>
                  <w:tcBorders>
                    <w:tl2br w:val="nil"/>
                    <w:tr2bl w:val="nil"/>
                  </w:tcBorders>
                  <w:noWrap w:val="0"/>
                  <w:vAlign w:val="center"/>
                </w:tcPr>
                <w:p w14:paraId="690481A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snapToGrid w:val="0"/>
                      <w:color w:val="auto"/>
                      <w:szCs w:val="21"/>
                    </w:rPr>
                    <w:t>新建</w:t>
                  </w:r>
                </w:p>
              </w:tc>
            </w:tr>
          </w:tbl>
          <w:p w14:paraId="44B3C4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rPr>
            </w:pPr>
            <w:r>
              <w:rPr>
                <w:rFonts w:hint="eastAsia" w:cs="Times New Roman"/>
                <w:b/>
                <w:bCs/>
                <w:color w:val="auto"/>
                <w:sz w:val="24"/>
                <w:lang w:val="en-US" w:eastAsia="zh-CN"/>
              </w:rPr>
              <w:t>3.</w:t>
            </w:r>
            <w:r>
              <w:rPr>
                <w:rFonts w:hint="default" w:ascii="Times New Roman" w:hAnsi="Times New Roman" w:eastAsia="宋体" w:cs="Times New Roman"/>
                <w:b/>
                <w:bCs/>
                <w:color w:val="auto"/>
                <w:sz w:val="24"/>
                <w:lang w:val="en-US" w:eastAsia="zh-CN"/>
              </w:rPr>
              <w:t>项目主要生产设施</w:t>
            </w:r>
          </w:p>
          <w:p w14:paraId="4B2762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项目主要生产设施见表2-</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w:t>
            </w:r>
          </w:p>
          <w:p w14:paraId="6FF02A1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w:t>
            </w:r>
            <w:r>
              <w:rPr>
                <w:rFonts w:hint="default" w:ascii="Times New Roman" w:hAnsi="Times New Roman" w:cs="Times New Roman"/>
                <w:b/>
                <w:bCs/>
                <w:color w:val="auto"/>
                <w:sz w:val="21"/>
                <w:szCs w:val="21"/>
                <w:lang w:val="en-US" w:eastAsia="zh-CN"/>
              </w:rPr>
              <w:t>3</w:t>
            </w:r>
            <w:r>
              <w:rPr>
                <w:rFonts w:hint="default" w:ascii="Times New Roman" w:hAnsi="Times New Roman" w:eastAsia="宋体" w:cs="Times New Roman"/>
                <w:b/>
                <w:bCs/>
                <w:color w:val="auto"/>
                <w:sz w:val="21"/>
                <w:szCs w:val="21"/>
                <w:lang w:val="en-US" w:eastAsia="zh-CN"/>
              </w:rPr>
              <w:t xml:space="preserve">  主要生产设施一览表</w:t>
            </w:r>
          </w:p>
          <w:tbl>
            <w:tblPr>
              <w:tblStyle w:val="185"/>
              <w:tblW w:w="85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7"/>
              <w:gridCol w:w="1252"/>
              <w:gridCol w:w="1764"/>
              <w:gridCol w:w="2307"/>
              <w:gridCol w:w="675"/>
              <w:gridCol w:w="1973"/>
            </w:tblGrid>
            <w:tr w14:paraId="11305E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332" w:type="pct"/>
                  <w:tcBorders>
                    <w:top w:val="single" w:color="000000" w:sz="10" w:space="0"/>
                    <w:left w:val="single" w:color="000000" w:sz="10" w:space="0"/>
                  </w:tcBorders>
                  <w:noWrap w:val="0"/>
                  <w:vAlign w:val="center"/>
                </w:tcPr>
                <w:p w14:paraId="7E3451F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序号</w:t>
                  </w:r>
                </w:p>
              </w:tc>
              <w:tc>
                <w:tcPr>
                  <w:tcW w:w="733" w:type="pct"/>
                  <w:tcBorders>
                    <w:top w:val="single" w:color="000000" w:sz="10" w:space="0"/>
                  </w:tcBorders>
                  <w:noWrap w:val="0"/>
                  <w:vAlign w:val="center"/>
                </w:tcPr>
                <w:p w14:paraId="48CFFEC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生产工艺</w:t>
                  </w:r>
                </w:p>
              </w:tc>
              <w:tc>
                <w:tcPr>
                  <w:tcW w:w="1033" w:type="pct"/>
                  <w:tcBorders>
                    <w:top w:val="single" w:color="000000" w:sz="10" w:space="0"/>
                  </w:tcBorders>
                  <w:noWrap w:val="0"/>
                  <w:vAlign w:val="center"/>
                </w:tcPr>
                <w:p w14:paraId="4846337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设施名称</w:t>
                  </w:r>
                </w:p>
              </w:tc>
              <w:tc>
                <w:tcPr>
                  <w:tcW w:w="1351" w:type="pct"/>
                  <w:tcBorders>
                    <w:top w:val="single" w:color="000000" w:sz="10" w:space="0"/>
                  </w:tcBorders>
                  <w:noWrap w:val="0"/>
                  <w:vAlign w:val="center"/>
                </w:tcPr>
                <w:p w14:paraId="2E880F9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设施参数</w:t>
                  </w:r>
                </w:p>
              </w:tc>
              <w:tc>
                <w:tcPr>
                  <w:tcW w:w="395" w:type="pct"/>
                  <w:tcBorders>
                    <w:top w:val="single" w:color="000000" w:sz="10" w:space="0"/>
                    <w:right w:val="single" w:color="000000" w:sz="10" w:space="0"/>
                  </w:tcBorders>
                  <w:noWrap w:val="0"/>
                  <w:vAlign w:val="center"/>
                </w:tcPr>
                <w:p w14:paraId="50C8296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数量</w:t>
                  </w:r>
                </w:p>
              </w:tc>
              <w:tc>
                <w:tcPr>
                  <w:tcW w:w="1155" w:type="pct"/>
                  <w:tcBorders>
                    <w:top w:val="single" w:color="000000" w:sz="10" w:space="0"/>
                    <w:right w:val="single" w:color="000000" w:sz="10" w:space="0"/>
                  </w:tcBorders>
                  <w:noWrap w:val="0"/>
                  <w:vAlign w:val="center"/>
                </w:tcPr>
                <w:p w14:paraId="08346C7E">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b/>
                      <w:bCs/>
                      <w:color w:val="auto"/>
                      <w:szCs w:val="21"/>
                      <w:lang w:eastAsia="zh-CN"/>
                    </w:rPr>
                  </w:pPr>
                  <w:r>
                    <w:rPr>
                      <w:rFonts w:hint="eastAsia" w:ascii="Times New Roman" w:hAnsi="Times New Roman" w:cs="Times New Roman"/>
                      <w:b/>
                      <w:bCs/>
                      <w:color w:val="auto"/>
                      <w:szCs w:val="21"/>
                      <w:lang w:eastAsia="zh-CN"/>
                    </w:rPr>
                    <w:t>备注</w:t>
                  </w:r>
                </w:p>
              </w:tc>
            </w:tr>
            <w:tr w14:paraId="4AF604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332" w:type="pct"/>
                  <w:tcBorders>
                    <w:left w:val="single" w:color="000000" w:sz="10" w:space="0"/>
                  </w:tcBorders>
                  <w:noWrap w:val="0"/>
                  <w:vAlign w:val="center"/>
                </w:tcPr>
                <w:p w14:paraId="428E450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733" w:type="pct"/>
                  <w:noWrap w:val="0"/>
                  <w:vAlign w:val="center"/>
                </w:tcPr>
                <w:p w14:paraId="0928F65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粉碎</w:t>
                  </w:r>
                </w:p>
              </w:tc>
              <w:tc>
                <w:tcPr>
                  <w:tcW w:w="1033" w:type="pct"/>
                  <w:noWrap w:val="0"/>
                  <w:vAlign w:val="center"/>
                </w:tcPr>
                <w:p w14:paraId="5795DB5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粉碎机</w:t>
                  </w:r>
                </w:p>
              </w:tc>
              <w:tc>
                <w:tcPr>
                  <w:tcW w:w="1351" w:type="pct"/>
                  <w:noWrap w:val="0"/>
                  <w:vAlign w:val="center"/>
                </w:tcPr>
                <w:p w14:paraId="55ED570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处理能力1.5t/h</w:t>
                  </w:r>
                </w:p>
              </w:tc>
              <w:tc>
                <w:tcPr>
                  <w:tcW w:w="395" w:type="pct"/>
                  <w:tcBorders>
                    <w:right w:val="single" w:color="000000" w:sz="10" w:space="0"/>
                  </w:tcBorders>
                  <w:noWrap w:val="0"/>
                  <w:vAlign w:val="center"/>
                </w:tcPr>
                <w:p w14:paraId="685CE9D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1台</w:t>
                  </w:r>
                </w:p>
              </w:tc>
              <w:tc>
                <w:tcPr>
                  <w:tcW w:w="1155" w:type="pct"/>
                  <w:tcBorders>
                    <w:right w:val="single" w:color="000000" w:sz="10" w:space="0"/>
                  </w:tcBorders>
                  <w:noWrap w:val="0"/>
                  <w:vAlign w:val="center"/>
                </w:tcPr>
                <w:p w14:paraId="4D76410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p>
              </w:tc>
            </w:tr>
            <w:tr w14:paraId="6605C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332" w:type="pct"/>
                  <w:tcBorders>
                    <w:left w:val="single" w:color="000000" w:sz="10" w:space="0"/>
                  </w:tcBorders>
                  <w:noWrap w:val="0"/>
                  <w:vAlign w:val="center"/>
                </w:tcPr>
                <w:p w14:paraId="3DEF337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733" w:type="pct"/>
                  <w:noWrap w:val="0"/>
                  <w:vAlign w:val="center"/>
                </w:tcPr>
                <w:p w14:paraId="6B66AD5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热熔</w:t>
                  </w:r>
                </w:p>
              </w:tc>
              <w:tc>
                <w:tcPr>
                  <w:tcW w:w="1033" w:type="pct"/>
                  <w:noWrap w:val="0"/>
                  <w:vAlign w:val="center"/>
                </w:tcPr>
                <w:p w14:paraId="66E2B13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热熔机</w:t>
                  </w:r>
                </w:p>
              </w:tc>
              <w:tc>
                <w:tcPr>
                  <w:tcW w:w="1351" w:type="pct"/>
                  <w:noWrap w:val="0"/>
                  <w:vAlign w:val="center"/>
                </w:tcPr>
                <w:p w14:paraId="753540F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电加热，处理能力1.</w:t>
                  </w:r>
                  <w:r>
                    <w:rPr>
                      <w:rFonts w:hint="eastAsia" w:ascii="Times New Roman" w:hAnsi="Times New Roman" w:cs="Times New Roman"/>
                      <w:color w:val="auto"/>
                      <w:szCs w:val="21"/>
                      <w:lang w:val="en-US" w:eastAsia="zh-CN"/>
                    </w:rPr>
                    <w:t>5</w:t>
                  </w:r>
                  <w:r>
                    <w:rPr>
                      <w:rFonts w:hint="default" w:ascii="Times New Roman" w:hAnsi="Times New Roman" w:cs="Times New Roman"/>
                      <w:color w:val="auto"/>
                      <w:szCs w:val="21"/>
                    </w:rPr>
                    <w:t>t/h</w:t>
                  </w:r>
                </w:p>
              </w:tc>
              <w:tc>
                <w:tcPr>
                  <w:tcW w:w="395" w:type="pct"/>
                  <w:tcBorders>
                    <w:right w:val="single" w:color="000000" w:sz="10" w:space="0"/>
                  </w:tcBorders>
                  <w:noWrap w:val="0"/>
                  <w:vAlign w:val="center"/>
                </w:tcPr>
                <w:p w14:paraId="65B966E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1台</w:t>
                  </w:r>
                </w:p>
              </w:tc>
              <w:tc>
                <w:tcPr>
                  <w:tcW w:w="1155" w:type="pct"/>
                  <w:tcBorders>
                    <w:right w:val="single" w:color="000000" w:sz="10" w:space="0"/>
                  </w:tcBorders>
                  <w:noWrap w:val="0"/>
                  <w:vAlign w:val="center"/>
                </w:tcPr>
                <w:p w14:paraId="73C67DA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p>
              </w:tc>
            </w:tr>
            <w:tr w14:paraId="77886E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332" w:type="pct"/>
                  <w:tcBorders>
                    <w:left w:val="single" w:color="000000" w:sz="10" w:space="0"/>
                  </w:tcBorders>
                  <w:noWrap w:val="0"/>
                  <w:vAlign w:val="center"/>
                </w:tcPr>
                <w:p w14:paraId="32FC339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733" w:type="pct"/>
                  <w:vMerge w:val="restart"/>
                  <w:tcBorders>
                    <w:bottom w:val="nil"/>
                  </w:tcBorders>
                  <w:noWrap w:val="0"/>
                  <w:vAlign w:val="center"/>
                </w:tcPr>
                <w:p w14:paraId="6B227FD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冷却</w:t>
                  </w:r>
                </w:p>
              </w:tc>
              <w:tc>
                <w:tcPr>
                  <w:tcW w:w="1033" w:type="pct"/>
                  <w:noWrap w:val="0"/>
                  <w:vAlign w:val="center"/>
                </w:tcPr>
                <w:p w14:paraId="6407961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水槽</w:t>
                  </w:r>
                </w:p>
              </w:tc>
              <w:tc>
                <w:tcPr>
                  <w:tcW w:w="1351" w:type="pct"/>
                  <w:noWrap w:val="0"/>
                  <w:vAlign w:val="center"/>
                </w:tcPr>
                <w:p w14:paraId="7E46F0D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3</w:t>
                  </w:r>
                  <w:r>
                    <w:rPr>
                      <w:rFonts w:hint="default" w:ascii="Times New Roman" w:hAnsi="Times New Roman" w:cs="Times New Roman"/>
                      <w:color w:val="auto"/>
                      <w:szCs w:val="21"/>
                    </w:rPr>
                    <w:t>m*0.4m*0.3m</w:t>
                  </w:r>
                </w:p>
              </w:tc>
              <w:tc>
                <w:tcPr>
                  <w:tcW w:w="395" w:type="pct"/>
                  <w:tcBorders>
                    <w:right w:val="single" w:color="000000" w:sz="10" w:space="0"/>
                  </w:tcBorders>
                  <w:noWrap w:val="0"/>
                  <w:vAlign w:val="center"/>
                </w:tcPr>
                <w:p w14:paraId="38C6BE8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1座</w:t>
                  </w:r>
                </w:p>
              </w:tc>
              <w:tc>
                <w:tcPr>
                  <w:tcW w:w="1155" w:type="pct"/>
                  <w:tcBorders>
                    <w:right w:val="single" w:color="000000" w:sz="10" w:space="0"/>
                  </w:tcBorders>
                  <w:noWrap w:val="0"/>
                  <w:vAlign w:val="center"/>
                </w:tcPr>
                <w:p w14:paraId="3AF7AF0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p>
              </w:tc>
            </w:tr>
            <w:tr w14:paraId="495DBE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332" w:type="pct"/>
                  <w:tcBorders>
                    <w:left w:val="single" w:color="000000" w:sz="10" w:space="0"/>
                  </w:tcBorders>
                  <w:noWrap w:val="0"/>
                  <w:vAlign w:val="center"/>
                </w:tcPr>
                <w:p w14:paraId="3B6AF02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733" w:type="pct"/>
                  <w:vMerge w:val="continue"/>
                  <w:tcBorders>
                    <w:top w:val="nil"/>
                  </w:tcBorders>
                  <w:noWrap w:val="0"/>
                  <w:vAlign w:val="center"/>
                </w:tcPr>
                <w:p w14:paraId="2443DE2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p>
              </w:tc>
              <w:tc>
                <w:tcPr>
                  <w:tcW w:w="1033" w:type="pct"/>
                  <w:noWrap w:val="0"/>
                  <w:vAlign w:val="center"/>
                </w:tcPr>
                <w:p w14:paraId="232BA86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循环水箱</w:t>
                  </w:r>
                </w:p>
              </w:tc>
              <w:tc>
                <w:tcPr>
                  <w:tcW w:w="1351" w:type="pct"/>
                  <w:noWrap w:val="0"/>
                  <w:vAlign w:val="center"/>
                </w:tcPr>
                <w:p w14:paraId="7AAD9A2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3m</w:t>
                  </w:r>
                  <w:r>
                    <w:rPr>
                      <w:rFonts w:hint="default" w:ascii="Times New Roman" w:hAnsi="Times New Roman" w:cs="Times New Roman"/>
                      <w:color w:val="auto"/>
                      <w:szCs w:val="21"/>
                      <w:vertAlign w:val="superscript"/>
                    </w:rPr>
                    <w:t>3</w:t>
                  </w:r>
                </w:p>
              </w:tc>
              <w:tc>
                <w:tcPr>
                  <w:tcW w:w="395" w:type="pct"/>
                  <w:tcBorders>
                    <w:right w:val="single" w:color="000000" w:sz="10" w:space="0"/>
                  </w:tcBorders>
                  <w:noWrap w:val="0"/>
                  <w:vAlign w:val="center"/>
                </w:tcPr>
                <w:p w14:paraId="48CB421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1座</w:t>
                  </w:r>
                </w:p>
              </w:tc>
              <w:tc>
                <w:tcPr>
                  <w:tcW w:w="1155" w:type="pct"/>
                  <w:tcBorders>
                    <w:right w:val="single" w:color="000000" w:sz="10" w:space="0"/>
                  </w:tcBorders>
                  <w:noWrap w:val="0"/>
                  <w:vAlign w:val="center"/>
                </w:tcPr>
                <w:p w14:paraId="7C06B9A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p>
              </w:tc>
            </w:tr>
            <w:tr w14:paraId="17DFEB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332" w:type="pct"/>
                  <w:tcBorders>
                    <w:left w:val="single" w:color="000000" w:sz="10" w:space="0"/>
                  </w:tcBorders>
                  <w:noWrap w:val="0"/>
                  <w:vAlign w:val="center"/>
                </w:tcPr>
                <w:p w14:paraId="65D6F9B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733" w:type="pct"/>
                  <w:noWrap w:val="0"/>
                  <w:vAlign w:val="center"/>
                </w:tcPr>
                <w:p w14:paraId="63A9EB7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切粒</w:t>
                  </w:r>
                </w:p>
              </w:tc>
              <w:tc>
                <w:tcPr>
                  <w:tcW w:w="1033" w:type="pct"/>
                  <w:noWrap w:val="0"/>
                  <w:vAlign w:val="center"/>
                </w:tcPr>
                <w:p w14:paraId="53BC397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切粒机</w:t>
                  </w:r>
                </w:p>
              </w:tc>
              <w:tc>
                <w:tcPr>
                  <w:tcW w:w="1351" w:type="pct"/>
                  <w:noWrap w:val="0"/>
                  <w:vAlign w:val="center"/>
                </w:tcPr>
                <w:p w14:paraId="3068DF7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切粒长度3mm</w:t>
                  </w:r>
                </w:p>
              </w:tc>
              <w:tc>
                <w:tcPr>
                  <w:tcW w:w="395" w:type="pct"/>
                  <w:tcBorders>
                    <w:right w:val="single" w:color="000000" w:sz="10" w:space="0"/>
                  </w:tcBorders>
                  <w:noWrap w:val="0"/>
                  <w:vAlign w:val="center"/>
                </w:tcPr>
                <w:p w14:paraId="052091D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1台</w:t>
                  </w:r>
                </w:p>
              </w:tc>
              <w:tc>
                <w:tcPr>
                  <w:tcW w:w="1155" w:type="pct"/>
                  <w:tcBorders>
                    <w:right w:val="single" w:color="000000" w:sz="10" w:space="0"/>
                  </w:tcBorders>
                  <w:noWrap w:val="0"/>
                  <w:vAlign w:val="center"/>
                </w:tcPr>
                <w:p w14:paraId="4722F26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p>
              </w:tc>
            </w:tr>
            <w:tr w14:paraId="61772D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332" w:type="pct"/>
                  <w:tcBorders>
                    <w:left w:val="single" w:color="000000" w:sz="10" w:space="0"/>
                  </w:tcBorders>
                  <w:noWrap w:val="0"/>
                  <w:vAlign w:val="center"/>
                </w:tcPr>
                <w:p w14:paraId="08644C4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6</w:t>
                  </w:r>
                </w:p>
              </w:tc>
              <w:tc>
                <w:tcPr>
                  <w:tcW w:w="733" w:type="pct"/>
                  <w:vMerge w:val="restart"/>
                  <w:noWrap w:val="0"/>
                  <w:vAlign w:val="center"/>
                </w:tcPr>
                <w:p w14:paraId="3AF5E20E">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存储</w:t>
                  </w:r>
                </w:p>
              </w:tc>
              <w:tc>
                <w:tcPr>
                  <w:tcW w:w="1033" w:type="pct"/>
                  <w:noWrap w:val="0"/>
                  <w:vAlign w:val="center"/>
                </w:tcPr>
                <w:p w14:paraId="736172C1">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料仓</w:t>
                  </w:r>
                </w:p>
              </w:tc>
              <w:tc>
                <w:tcPr>
                  <w:tcW w:w="1351" w:type="pct"/>
                  <w:noWrap w:val="0"/>
                  <w:vAlign w:val="center"/>
                </w:tcPr>
                <w:p w14:paraId="069A03E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3</w:t>
                  </w:r>
                  <w:r>
                    <w:rPr>
                      <w:rFonts w:hint="default" w:ascii="Times New Roman" w:hAnsi="Times New Roman" w:cs="Times New Roman"/>
                      <w:color w:val="auto"/>
                      <w:szCs w:val="21"/>
                    </w:rPr>
                    <w:t>m*</w:t>
                  </w:r>
                  <w:r>
                    <w:rPr>
                      <w:rFonts w:hint="eastAsia" w:ascii="Times New Roman" w:hAnsi="Times New Roman" w:cs="Times New Roman"/>
                      <w:color w:val="auto"/>
                      <w:szCs w:val="21"/>
                      <w:lang w:val="en-US" w:eastAsia="zh-CN"/>
                    </w:rPr>
                    <w:t>3</w:t>
                  </w:r>
                  <w:r>
                    <w:rPr>
                      <w:rFonts w:hint="default" w:ascii="Times New Roman" w:hAnsi="Times New Roman" w:cs="Times New Roman"/>
                      <w:color w:val="auto"/>
                      <w:szCs w:val="21"/>
                    </w:rPr>
                    <w:t>m*</w:t>
                  </w:r>
                  <w:r>
                    <w:rPr>
                      <w:rFonts w:hint="eastAsia" w:ascii="Times New Roman" w:hAnsi="Times New Roman" w:cs="Times New Roman"/>
                      <w:color w:val="auto"/>
                      <w:szCs w:val="21"/>
                      <w:lang w:val="en-US" w:eastAsia="zh-CN"/>
                    </w:rPr>
                    <w:t>5</w:t>
                  </w:r>
                  <w:r>
                    <w:rPr>
                      <w:rFonts w:hint="default" w:ascii="Times New Roman" w:hAnsi="Times New Roman" w:cs="Times New Roman"/>
                      <w:color w:val="auto"/>
                      <w:szCs w:val="21"/>
                    </w:rPr>
                    <w:t>m</w:t>
                  </w:r>
                </w:p>
              </w:tc>
              <w:tc>
                <w:tcPr>
                  <w:tcW w:w="395" w:type="pct"/>
                  <w:tcBorders>
                    <w:right w:val="single" w:color="000000" w:sz="10" w:space="0"/>
                  </w:tcBorders>
                  <w:noWrap w:val="0"/>
                  <w:vAlign w:val="center"/>
                </w:tcPr>
                <w:p w14:paraId="6870EC0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1座</w:t>
                  </w:r>
                </w:p>
              </w:tc>
              <w:tc>
                <w:tcPr>
                  <w:tcW w:w="1155" w:type="pct"/>
                  <w:tcBorders>
                    <w:right w:val="single" w:color="000000" w:sz="10" w:space="0"/>
                  </w:tcBorders>
                  <w:noWrap w:val="0"/>
                  <w:vAlign w:val="center"/>
                </w:tcPr>
                <w:p w14:paraId="30A2BCE1">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破碎料仓</w:t>
                  </w:r>
                </w:p>
              </w:tc>
            </w:tr>
            <w:tr w14:paraId="284320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332" w:type="pct"/>
                  <w:tcBorders>
                    <w:left w:val="single" w:color="000000" w:sz="10" w:space="0"/>
                  </w:tcBorders>
                  <w:noWrap w:val="0"/>
                  <w:vAlign w:val="center"/>
                </w:tcPr>
                <w:p w14:paraId="7195615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7</w:t>
                  </w:r>
                </w:p>
              </w:tc>
              <w:tc>
                <w:tcPr>
                  <w:tcW w:w="733" w:type="pct"/>
                  <w:vMerge w:val="continue"/>
                  <w:noWrap w:val="0"/>
                  <w:vAlign w:val="center"/>
                </w:tcPr>
                <w:p w14:paraId="0840AF66">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Cs w:val="21"/>
                      <w:lang w:eastAsia="zh-CN"/>
                    </w:rPr>
                  </w:pPr>
                </w:p>
              </w:tc>
              <w:tc>
                <w:tcPr>
                  <w:tcW w:w="1033" w:type="pct"/>
                  <w:noWrap w:val="0"/>
                  <w:vAlign w:val="center"/>
                </w:tcPr>
                <w:p w14:paraId="597627A0">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料仓</w:t>
                  </w:r>
                </w:p>
              </w:tc>
              <w:tc>
                <w:tcPr>
                  <w:tcW w:w="1351" w:type="pct"/>
                  <w:noWrap w:val="0"/>
                  <w:vAlign w:val="center"/>
                </w:tcPr>
                <w:p w14:paraId="513B7843">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10</w:t>
                  </w:r>
                  <w:r>
                    <w:rPr>
                      <w:rFonts w:hint="default" w:ascii="Times New Roman" w:hAnsi="Times New Roman" w:cs="Times New Roman"/>
                      <w:color w:val="auto"/>
                      <w:szCs w:val="21"/>
                    </w:rPr>
                    <w:t>m*</w:t>
                  </w:r>
                  <w:r>
                    <w:rPr>
                      <w:rFonts w:hint="eastAsia" w:ascii="Times New Roman" w:hAnsi="Times New Roman" w:cs="Times New Roman"/>
                      <w:color w:val="auto"/>
                      <w:szCs w:val="21"/>
                      <w:lang w:val="en-US" w:eastAsia="zh-CN"/>
                    </w:rPr>
                    <w:t>8</w:t>
                  </w:r>
                  <w:r>
                    <w:rPr>
                      <w:rFonts w:hint="default" w:ascii="Times New Roman" w:hAnsi="Times New Roman" w:cs="Times New Roman"/>
                      <w:color w:val="auto"/>
                      <w:szCs w:val="21"/>
                    </w:rPr>
                    <w:t>m*</w:t>
                  </w:r>
                  <w:r>
                    <w:rPr>
                      <w:rFonts w:hint="eastAsia" w:ascii="Times New Roman" w:hAnsi="Times New Roman" w:cs="Times New Roman"/>
                      <w:color w:val="auto"/>
                      <w:szCs w:val="21"/>
                      <w:lang w:val="en-US" w:eastAsia="zh-CN"/>
                    </w:rPr>
                    <w:t>6</w:t>
                  </w:r>
                  <w:r>
                    <w:rPr>
                      <w:rFonts w:hint="default" w:ascii="Times New Roman" w:hAnsi="Times New Roman" w:cs="Times New Roman"/>
                      <w:color w:val="auto"/>
                      <w:szCs w:val="21"/>
                    </w:rPr>
                    <w:t>m</w:t>
                  </w:r>
                </w:p>
              </w:tc>
              <w:tc>
                <w:tcPr>
                  <w:tcW w:w="395" w:type="pct"/>
                  <w:tcBorders>
                    <w:right w:val="single" w:color="000000" w:sz="10" w:space="0"/>
                  </w:tcBorders>
                  <w:noWrap w:val="0"/>
                  <w:vAlign w:val="center"/>
                </w:tcPr>
                <w:p w14:paraId="68D43CA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1座</w:t>
                  </w:r>
                </w:p>
              </w:tc>
              <w:tc>
                <w:tcPr>
                  <w:tcW w:w="1155" w:type="pct"/>
                  <w:tcBorders>
                    <w:right w:val="single" w:color="000000" w:sz="10" w:space="0"/>
                  </w:tcBorders>
                  <w:noWrap w:val="0"/>
                  <w:vAlign w:val="center"/>
                </w:tcPr>
                <w:p w14:paraId="624F8813">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Cs w:val="21"/>
                      <w:lang w:eastAsia="zh-CN"/>
                    </w:rPr>
                  </w:pPr>
                  <w:r>
                    <w:rPr>
                      <w:rFonts w:hint="default" w:ascii="Times New Roman" w:hAnsi="Times New Roman" w:cs="Times New Roman"/>
                      <w:color w:val="auto"/>
                      <w:szCs w:val="21"/>
                    </w:rPr>
                    <w:t>热熔</w:t>
                  </w:r>
                  <w:r>
                    <w:rPr>
                      <w:rFonts w:hint="eastAsia" w:ascii="Times New Roman" w:hAnsi="Times New Roman" w:cs="Times New Roman"/>
                      <w:color w:val="auto"/>
                      <w:szCs w:val="21"/>
                      <w:lang w:eastAsia="zh-CN"/>
                    </w:rPr>
                    <w:t>料仓</w:t>
                  </w:r>
                </w:p>
              </w:tc>
            </w:tr>
            <w:tr w14:paraId="0E400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332" w:type="pct"/>
                  <w:tcBorders>
                    <w:left w:val="single" w:color="000000" w:sz="10" w:space="0"/>
                  </w:tcBorders>
                  <w:noWrap w:val="0"/>
                  <w:vAlign w:val="center"/>
                </w:tcPr>
                <w:p w14:paraId="3EE0A6D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8</w:t>
                  </w:r>
                </w:p>
              </w:tc>
              <w:tc>
                <w:tcPr>
                  <w:tcW w:w="733" w:type="pct"/>
                  <w:noWrap w:val="0"/>
                  <w:vAlign w:val="center"/>
                </w:tcPr>
                <w:p w14:paraId="323055A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物料输送</w:t>
                  </w:r>
                </w:p>
              </w:tc>
              <w:tc>
                <w:tcPr>
                  <w:tcW w:w="1033" w:type="pct"/>
                  <w:noWrap w:val="0"/>
                  <w:vAlign w:val="center"/>
                </w:tcPr>
                <w:p w14:paraId="2123D3FC">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吸料</w:t>
                  </w:r>
                  <w:r>
                    <w:rPr>
                      <w:rFonts w:hint="default" w:ascii="Times New Roman" w:hAnsi="Times New Roman" w:cs="Times New Roman"/>
                      <w:color w:val="auto"/>
                      <w:szCs w:val="21"/>
                    </w:rPr>
                    <w:t>输送</w:t>
                  </w:r>
                  <w:r>
                    <w:rPr>
                      <w:rFonts w:hint="eastAsia" w:ascii="Times New Roman" w:hAnsi="Times New Roman" w:cs="Times New Roman"/>
                      <w:color w:val="auto"/>
                      <w:szCs w:val="21"/>
                      <w:lang w:eastAsia="zh-CN"/>
                    </w:rPr>
                    <w:t>管</w:t>
                  </w:r>
                </w:p>
              </w:tc>
              <w:tc>
                <w:tcPr>
                  <w:tcW w:w="1351" w:type="pct"/>
                  <w:noWrap w:val="0"/>
                  <w:vAlign w:val="center"/>
                </w:tcPr>
                <w:p w14:paraId="4EDE639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395" w:type="pct"/>
                  <w:tcBorders>
                    <w:right w:val="single" w:color="000000" w:sz="10" w:space="0"/>
                  </w:tcBorders>
                  <w:noWrap w:val="0"/>
                  <w:vAlign w:val="center"/>
                </w:tcPr>
                <w:p w14:paraId="75CF96EA">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val="en-US" w:eastAsia="zh-CN"/>
                    </w:rPr>
                    <w:t>2</w:t>
                  </w:r>
                  <w:r>
                    <w:rPr>
                      <w:rFonts w:hint="eastAsia" w:ascii="Times New Roman" w:hAnsi="Times New Roman" w:cs="Times New Roman"/>
                      <w:color w:val="auto"/>
                      <w:szCs w:val="21"/>
                      <w:lang w:eastAsia="zh-CN"/>
                    </w:rPr>
                    <w:t>套</w:t>
                  </w:r>
                </w:p>
              </w:tc>
              <w:tc>
                <w:tcPr>
                  <w:tcW w:w="1155" w:type="pct"/>
                  <w:tcBorders>
                    <w:right w:val="single" w:color="000000" w:sz="10" w:space="0"/>
                  </w:tcBorders>
                  <w:noWrap w:val="0"/>
                  <w:vAlign w:val="center"/>
                </w:tcPr>
                <w:p w14:paraId="2C96018E">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吸入式输送</w:t>
                  </w:r>
                </w:p>
              </w:tc>
            </w:tr>
            <w:tr w14:paraId="3B38D9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332" w:type="pct"/>
                  <w:tcBorders>
                    <w:left w:val="single" w:color="000000" w:sz="10" w:space="0"/>
                  </w:tcBorders>
                  <w:noWrap w:val="0"/>
                  <w:vAlign w:val="center"/>
                </w:tcPr>
                <w:p w14:paraId="36F1F7D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9</w:t>
                  </w:r>
                </w:p>
              </w:tc>
              <w:tc>
                <w:tcPr>
                  <w:tcW w:w="733" w:type="pct"/>
                  <w:vMerge w:val="restart"/>
                  <w:tcBorders>
                    <w:bottom w:val="nil"/>
                  </w:tcBorders>
                  <w:noWrap w:val="0"/>
                  <w:vAlign w:val="center"/>
                </w:tcPr>
                <w:p w14:paraId="2C31A104">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废气治理</w:t>
                  </w:r>
                </w:p>
              </w:tc>
              <w:tc>
                <w:tcPr>
                  <w:tcW w:w="1033" w:type="pct"/>
                  <w:noWrap w:val="0"/>
                  <w:vAlign w:val="center"/>
                </w:tcPr>
                <w:p w14:paraId="0B32232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布袋除尘器</w:t>
                  </w:r>
                </w:p>
              </w:tc>
              <w:tc>
                <w:tcPr>
                  <w:tcW w:w="1351" w:type="pct"/>
                  <w:noWrap w:val="0"/>
                  <w:vAlign w:val="center"/>
                </w:tcPr>
                <w:p w14:paraId="018054B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处理能力10000m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/h</w:t>
                  </w:r>
                </w:p>
              </w:tc>
              <w:tc>
                <w:tcPr>
                  <w:tcW w:w="395" w:type="pct"/>
                  <w:tcBorders>
                    <w:right w:val="single" w:color="000000" w:sz="10" w:space="0"/>
                  </w:tcBorders>
                  <w:noWrap w:val="0"/>
                  <w:vAlign w:val="center"/>
                </w:tcPr>
                <w:p w14:paraId="5E33AFB6">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Cs w:val="21"/>
                      <w:lang w:eastAsia="zh-CN"/>
                    </w:rPr>
                  </w:pPr>
                  <w:r>
                    <w:rPr>
                      <w:rFonts w:hint="default" w:ascii="Times New Roman" w:hAnsi="Times New Roman" w:cs="Times New Roman"/>
                      <w:color w:val="auto"/>
                      <w:szCs w:val="21"/>
                    </w:rPr>
                    <w:t>1</w:t>
                  </w:r>
                  <w:r>
                    <w:rPr>
                      <w:rFonts w:hint="eastAsia" w:ascii="Times New Roman" w:hAnsi="Times New Roman" w:cs="Times New Roman"/>
                      <w:color w:val="auto"/>
                      <w:szCs w:val="21"/>
                      <w:lang w:eastAsia="zh-CN"/>
                    </w:rPr>
                    <w:t>套</w:t>
                  </w:r>
                </w:p>
              </w:tc>
              <w:tc>
                <w:tcPr>
                  <w:tcW w:w="1155" w:type="pct"/>
                  <w:tcBorders>
                    <w:right w:val="single" w:color="000000" w:sz="10" w:space="0"/>
                  </w:tcBorders>
                  <w:noWrap w:val="0"/>
                  <w:vAlign w:val="center"/>
                </w:tcPr>
                <w:p w14:paraId="731698C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p>
              </w:tc>
            </w:tr>
            <w:tr w14:paraId="00F5B8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332" w:type="pct"/>
                  <w:tcBorders>
                    <w:left w:val="single" w:color="000000" w:sz="10" w:space="0"/>
                    <w:bottom w:val="single" w:color="000000" w:sz="10" w:space="0"/>
                  </w:tcBorders>
                  <w:noWrap w:val="0"/>
                  <w:vAlign w:val="center"/>
                </w:tcPr>
                <w:p w14:paraId="691BC57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10</w:t>
                  </w:r>
                </w:p>
              </w:tc>
              <w:tc>
                <w:tcPr>
                  <w:tcW w:w="733" w:type="pct"/>
                  <w:vMerge w:val="continue"/>
                  <w:tcBorders>
                    <w:top w:val="nil"/>
                    <w:bottom w:val="single" w:color="000000" w:sz="10" w:space="0"/>
                  </w:tcBorders>
                  <w:noWrap w:val="0"/>
                  <w:vAlign w:val="center"/>
                </w:tcPr>
                <w:p w14:paraId="27F0303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p>
              </w:tc>
              <w:tc>
                <w:tcPr>
                  <w:tcW w:w="1033" w:type="pct"/>
                  <w:tcBorders>
                    <w:bottom w:val="single" w:color="000000" w:sz="10" w:space="0"/>
                  </w:tcBorders>
                  <w:noWrap w:val="0"/>
                  <w:vAlign w:val="center"/>
                </w:tcPr>
                <w:p w14:paraId="335BBA8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二级活性炭吸附</w:t>
                  </w:r>
                </w:p>
              </w:tc>
              <w:tc>
                <w:tcPr>
                  <w:tcW w:w="1351" w:type="pct"/>
                  <w:tcBorders>
                    <w:bottom w:val="single" w:color="000000" w:sz="10" w:space="0"/>
                  </w:tcBorders>
                  <w:noWrap w:val="0"/>
                  <w:vAlign w:val="center"/>
                </w:tcPr>
                <w:p w14:paraId="13C00A7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处理能力</w:t>
                  </w:r>
                  <w:r>
                    <w:rPr>
                      <w:rFonts w:hint="eastAsia" w:cs="Times New Roman"/>
                      <w:color w:val="auto"/>
                      <w:szCs w:val="21"/>
                      <w:lang w:val="en-US" w:eastAsia="zh-CN"/>
                    </w:rPr>
                    <w:t>5</w:t>
                  </w:r>
                  <w:r>
                    <w:rPr>
                      <w:rFonts w:hint="default" w:ascii="Times New Roman" w:hAnsi="Times New Roman" w:cs="Times New Roman"/>
                      <w:color w:val="auto"/>
                      <w:szCs w:val="21"/>
                    </w:rPr>
                    <w:t>000m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/h</w:t>
                  </w:r>
                </w:p>
              </w:tc>
              <w:tc>
                <w:tcPr>
                  <w:tcW w:w="395" w:type="pct"/>
                  <w:tcBorders>
                    <w:bottom w:val="single" w:color="000000" w:sz="10" w:space="0"/>
                    <w:right w:val="single" w:color="000000" w:sz="10" w:space="0"/>
                  </w:tcBorders>
                  <w:noWrap w:val="0"/>
                  <w:vAlign w:val="center"/>
                </w:tcPr>
                <w:p w14:paraId="47DAB530">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Cs w:val="21"/>
                      <w:lang w:eastAsia="zh-CN"/>
                    </w:rPr>
                  </w:pPr>
                  <w:r>
                    <w:rPr>
                      <w:rFonts w:hint="default" w:ascii="Times New Roman" w:hAnsi="Times New Roman" w:cs="Times New Roman"/>
                      <w:color w:val="auto"/>
                      <w:szCs w:val="21"/>
                    </w:rPr>
                    <w:t>1</w:t>
                  </w:r>
                  <w:r>
                    <w:rPr>
                      <w:rFonts w:hint="eastAsia" w:ascii="Times New Roman" w:hAnsi="Times New Roman" w:cs="Times New Roman"/>
                      <w:color w:val="auto"/>
                      <w:szCs w:val="21"/>
                      <w:lang w:eastAsia="zh-CN"/>
                    </w:rPr>
                    <w:t>套</w:t>
                  </w:r>
                </w:p>
              </w:tc>
              <w:tc>
                <w:tcPr>
                  <w:tcW w:w="1155" w:type="pct"/>
                  <w:tcBorders>
                    <w:bottom w:val="single" w:color="000000" w:sz="10" w:space="0"/>
                    <w:right w:val="single" w:color="000000" w:sz="10" w:space="0"/>
                  </w:tcBorders>
                  <w:noWrap w:val="0"/>
                  <w:vAlign w:val="center"/>
                </w:tcPr>
                <w:p w14:paraId="37C2115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p>
              </w:tc>
            </w:tr>
          </w:tbl>
          <w:p w14:paraId="6C4588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cs="Times New Roman"/>
                <w:b/>
                <w:bCs/>
                <w:color w:val="auto"/>
                <w:sz w:val="24"/>
                <w:lang w:val="en-US" w:eastAsia="zh-CN"/>
              </w:rPr>
            </w:pPr>
            <w:r>
              <w:rPr>
                <w:rFonts w:hint="eastAsia" w:cs="Times New Roman"/>
                <w:b/>
                <w:bCs/>
                <w:color w:val="auto"/>
                <w:sz w:val="24"/>
                <w:lang w:val="en-US" w:eastAsia="zh-CN"/>
              </w:rPr>
              <w:t>4</w:t>
            </w:r>
            <w:r>
              <w:rPr>
                <w:rFonts w:hint="default" w:cs="Times New Roman"/>
                <w:b/>
                <w:bCs/>
                <w:color w:val="auto"/>
                <w:sz w:val="24"/>
                <w:lang w:val="en-US" w:eastAsia="zh-CN"/>
              </w:rPr>
              <w:t>.产品方案</w:t>
            </w:r>
          </w:p>
          <w:p w14:paraId="637E6A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本项目产品方案见下表：</w:t>
            </w:r>
          </w:p>
          <w:p w14:paraId="03DC079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w:t>
            </w:r>
            <w:r>
              <w:rPr>
                <w:rFonts w:hint="eastAsia" w:cs="Times New Roman"/>
                <w:b/>
                <w:bCs/>
                <w:color w:val="auto"/>
                <w:sz w:val="21"/>
                <w:szCs w:val="21"/>
                <w:lang w:val="en-US" w:eastAsia="zh-CN"/>
              </w:rPr>
              <w:t>2-4</w:t>
            </w:r>
            <w:r>
              <w:rPr>
                <w:rFonts w:hint="default" w:ascii="Times New Roman" w:hAnsi="Times New Roman" w:eastAsia="宋体" w:cs="Times New Roman"/>
                <w:b/>
                <w:bCs/>
                <w:color w:val="auto"/>
                <w:sz w:val="21"/>
                <w:szCs w:val="21"/>
                <w:lang w:val="en-US" w:eastAsia="zh-CN"/>
              </w:rPr>
              <w:t xml:space="preserve">  项目产品方案一览表</w:t>
            </w:r>
          </w:p>
          <w:tbl>
            <w:tblPr>
              <w:tblStyle w:val="185"/>
              <w:tblW w:w="835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4"/>
              <w:gridCol w:w="1583"/>
              <w:gridCol w:w="2018"/>
              <w:gridCol w:w="3733"/>
            </w:tblGrid>
            <w:tr w14:paraId="3C2B4B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024" w:type="dxa"/>
                  <w:tcBorders>
                    <w:top w:val="single" w:color="000000" w:sz="10" w:space="0"/>
                    <w:left w:val="single" w:color="000000" w:sz="10" w:space="0"/>
                  </w:tcBorders>
                  <w:noWrap w:val="0"/>
                  <w:vAlign w:val="center"/>
                </w:tcPr>
                <w:p w14:paraId="2900645F">
                  <w:pPr>
                    <w:pStyle w:val="184"/>
                    <w:spacing w:before="119" w:line="240" w:lineRule="auto"/>
                    <w:ind w:left="291"/>
                    <w:jc w:val="both"/>
                    <w:rPr>
                      <w:color w:val="auto"/>
                      <w:sz w:val="20"/>
                      <w:szCs w:val="20"/>
                    </w:rPr>
                  </w:pPr>
                  <w:r>
                    <w:rPr>
                      <w:b/>
                      <w:bCs/>
                      <w:color w:val="auto"/>
                      <w:spacing w:val="4"/>
                      <w:sz w:val="20"/>
                      <w:szCs w:val="20"/>
                    </w:rPr>
                    <w:t>序号</w:t>
                  </w:r>
                </w:p>
              </w:tc>
              <w:tc>
                <w:tcPr>
                  <w:tcW w:w="1583" w:type="dxa"/>
                  <w:tcBorders>
                    <w:top w:val="single" w:color="000000" w:sz="10" w:space="0"/>
                  </w:tcBorders>
                  <w:noWrap w:val="0"/>
                  <w:vAlign w:val="center"/>
                </w:tcPr>
                <w:p w14:paraId="6361C4FB">
                  <w:pPr>
                    <w:pStyle w:val="184"/>
                    <w:spacing w:before="119" w:line="240" w:lineRule="auto"/>
                    <w:ind w:left="367"/>
                    <w:jc w:val="both"/>
                    <w:rPr>
                      <w:color w:val="auto"/>
                      <w:sz w:val="20"/>
                      <w:szCs w:val="20"/>
                    </w:rPr>
                  </w:pPr>
                  <w:r>
                    <w:rPr>
                      <w:b/>
                      <w:bCs/>
                      <w:color w:val="auto"/>
                      <w:spacing w:val="6"/>
                      <w:sz w:val="20"/>
                      <w:szCs w:val="20"/>
                    </w:rPr>
                    <w:t>产品名称</w:t>
                  </w:r>
                </w:p>
              </w:tc>
              <w:tc>
                <w:tcPr>
                  <w:tcW w:w="2018" w:type="dxa"/>
                  <w:tcBorders>
                    <w:top w:val="single" w:color="000000" w:sz="10" w:space="0"/>
                  </w:tcBorders>
                  <w:noWrap w:val="0"/>
                  <w:vAlign w:val="center"/>
                </w:tcPr>
                <w:p w14:paraId="3AFC9BF6">
                  <w:pPr>
                    <w:pStyle w:val="184"/>
                    <w:spacing w:before="119" w:line="240" w:lineRule="auto"/>
                    <w:ind w:left="698"/>
                    <w:jc w:val="both"/>
                    <w:rPr>
                      <w:color w:val="auto"/>
                      <w:sz w:val="20"/>
                      <w:szCs w:val="20"/>
                    </w:rPr>
                  </w:pPr>
                  <w:r>
                    <w:rPr>
                      <w:b/>
                      <w:bCs/>
                      <w:color w:val="auto"/>
                      <w:spacing w:val="4"/>
                      <w:sz w:val="20"/>
                      <w:szCs w:val="20"/>
                    </w:rPr>
                    <w:t>年产量</w:t>
                  </w:r>
                </w:p>
              </w:tc>
              <w:tc>
                <w:tcPr>
                  <w:tcW w:w="3733" w:type="dxa"/>
                  <w:tcBorders>
                    <w:top w:val="single" w:color="000000" w:sz="10" w:space="0"/>
                    <w:right w:val="single" w:color="000000" w:sz="10" w:space="0"/>
                  </w:tcBorders>
                  <w:noWrap w:val="0"/>
                  <w:vAlign w:val="center"/>
                </w:tcPr>
                <w:p w14:paraId="4412B8BC">
                  <w:pPr>
                    <w:pStyle w:val="184"/>
                    <w:spacing w:before="119" w:line="240" w:lineRule="auto"/>
                    <w:ind w:left="1449"/>
                    <w:jc w:val="both"/>
                    <w:rPr>
                      <w:color w:val="auto"/>
                      <w:sz w:val="20"/>
                      <w:szCs w:val="20"/>
                    </w:rPr>
                  </w:pPr>
                  <w:r>
                    <w:rPr>
                      <w:b/>
                      <w:bCs/>
                      <w:color w:val="auto"/>
                      <w:spacing w:val="6"/>
                      <w:sz w:val="20"/>
                      <w:szCs w:val="20"/>
                    </w:rPr>
                    <w:t>产品规格</w:t>
                  </w:r>
                </w:p>
              </w:tc>
            </w:tr>
            <w:tr w14:paraId="6DB5FA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024" w:type="dxa"/>
                  <w:tcBorders>
                    <w:left w:val="single" w:color="000000" w:sz="10" w:space="0"/>
                    <w:bottom w:val="single" w:color="000000" w:sz="10" w:space="0"/>
                  </w:tcBorders>
                  <w:noWrap w:val="0"/>
                  <w:vAlign w:val="center"/>
                </w:tcPr>
                <w:p w14:paraId="35DFD67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583" w:type="dxa"/>
                  <w:tcBorders>
                    <w:bottom w:val="single" w:color="000000" w:sz="10" w:space="0"/>
                  </w:tcBorders>
                  <w:noWrap w:val="0"/>
                  <w:vAlign w:val="center"/>
                </w:tcPr>
                <w:p w14:paraId="004B541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塑料颗粒</w:t>
                  </w:r>
                </w:p>
              </w:tc>
              <w:tc>
                <w:tcPr>
                  <w:tcW w:w="2018" w:type="dxa"/>
                  <w:tcBorders>
                    <w:bottom w:val="single" w:color="000000" w:sz="10" w:space="0"/>
                  </w:tcBorders>
                  <w:noWrap w:val="0"/>
                  <w:vAlign w:val="center"/>
                </w:tcPr>
                <w:p w14:paraId="57F8638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5000 吨/年</w:t>
                  </w:r>
                </w:p>
              </w:tc>
              <w:tc>
                <w:tcPr>
                  <w:tcW w:w="3733" w:type="dxa"/>
                  <w:tcBorders>
                    <w:bottom w:val="single" w:color="000000" w:sz="10" w:space="0"/>
                    <w:right w:val="single" w:color="000000" w:sz="10" w:space="0"/>
                  </w:tcBorders>
                  <w:noWrap w:val="0"/>
                  <w:vAlign w:val="center"/>
                </w:tcPr>
                <w:p w14:paraId="2073C8D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Φ2.5mm ，长 3mm ，袋装 25kg/袋</w:t>
                  </w:r>
                </w:p>
              </w:tc>
            </w:tr>
          </w:tbl>
          <w:p w14:paraId="47E8CC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cs="Times New Roman"/>
                <w:b/>
                <w:bCs/>
                <w:color w:val="auto"/>
                <w:sz w:val="24"/>
                <w:lang w:val="en-US" w:eastAsia="zh-CN"/>
              </w:rPr>
            </w:pPr>
            <w:r>
              <w:rPr>
                <w:rFonts w:hint="eastAsia" w:cs="Times New Roman"/>
                <w:b/>
                <w:bCs/>
                <w:color w:val="auto"/>
                <w:sz w:val="24"/>
                <w:lang w:val="en-US" w:eastAsia="zh-CN"/>
              </w:rPr>
              <w:t>5</w:t>
            </w:r>
            <w:r>
              <w:rPr>
                <w:rFonts w:hint="default" w:cs="Times New Roman"/>
                <w:b/>
                <w:bCs/>
                <w:color w:val="auto"/>
                <w:sz w:val="24"/>
                <w:lang w:val="en-US" w:eastAsia="zh-CN"/>
              </w:rPr>
              <w:t>.主要原辅材料</w:t>
            </w:r>
          </w:p>
          <w:p w14:paraId="04C05F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lang w:eastAsia="zh-CN"/>
              </w:rPr>
              <w:t>本项目</w:t>
            </w:r>
            <w:r>
              <w:rPr>
                <w:rFonts w:hint="default" w:ascii="Times New Roman" w:hAnsi="Times New Roman" w:cs="Times New Roman"/>
                <w:color w:val="auto"/>
                <w:sz w:val="24"/>
              </w:rPr>
              <w:t>主要原辅材料及其</w:t>
            </w:r>
            <w:r>
              <w:rPr>
                <w:rFonts w:hint="eastAsia" w:cs="Times New Roman"/>
                <w:color w:val="auto"/>
                <w:sz w:val="24"/>
                <w:lang w:eastAsia="zh-CN"/>
              </w:rPr>
              <w:t>消耗量</w:t>
            </w:r>
            <w:r>
              <w:rPr>
                <w:rFonts w:hint="default" w:ascii="Times New Roman" w:hAnsi="Times New Roman" w:cs="Times New Roman"/>
                <w:color w:val="auto"/>
                <w:sz w:val="24"/>
              </w:rPr>
              <w:t>见表2-</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w:t>
            </w:r>
          </w:p>
          <w:p w14:paraId="420C280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w:t>
            </w:r>
            <w:r>
              <w:rPr>
                <w:rFonts w:hint="eastAsia"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 xml:space="preserve">  原辅材料总消耗量</w:t>
            </w:r>
          </w:p>
          <w:tbl>
            <w:tblPr>
              <w:tblStyle w:val="185"/>
              <w:tblW w:w="835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1"/>
              <w:gridCol w:w="1015"/>
              <w:gridCol w:w="1178"/>
              <w:gridCol w:w="1280"/>
              <w:gridCol w:w="1878"/>
              <w:gridCol w:w="1846"/>
            </w:tblGrid>
            <w:tr w14:paraId="5A1BE9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161" w:type="dxa"/>
                  <w:tcBorders>
                    <w:top w:val="single" w:color="000000" w:sz="10" w:space="0"/>
                    <w:left w:val="single" w:color="000000" w:sz="10" w:space="0"/>
                  </w:tcBorders>
                  <w:noWrap w:val="0"/>
                  <w:vAlign w:val="center"/>
                </w:tcPr>
                <w:p w14:paraId="33D2715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项目</w:t>
                  </w:r>
                </w:p>
              </w:tc>
              <w:tc>
                <w:tcPr>
                  <w:tcW w:w="1015" w:type="dxa"/>
                  <w:tcBorders>
                    <w:top w:val="single" w:color="000000" w:sz="10" w:space="0"/>
                  </w:tcBorders>
                  <w:noWrap w:val="0"/>
                  <w:vAlign w:val="center"/>
                </w:tcPr>
                <w:p w14:paraId="684B232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名称</w:t>
                  </w:r>
                </w:p>
              </w:tc>
              <w:tc>
                <w:tcPr>
                  <w:tcW w:w="1178" w:type="dxa"/>
                  <w:tcBorders>
                    <w:top w:val="single" w:color="000000" w:sz="10" w:space="0"/>
                  </w:tcBorders>
                  <w:noWrap w:val="0"/>
                  <w:vAlign w:val="center"/>
                </w:tcPr>
                <w:p w14:paraId="118965D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年用量</w:t>
                  </w:r>
                </w:p>
              </w:tc>
              <w:tc>
                <w:tcPr>
                  <w:tcW w:w="1280" w:type="dxa"/>
                  <w:tcBorders>
                    <w:top w:val="single" w:color="000000" w:sz="10" w:space="0"/>
                  </w:tcBorders>
                  <w:noWrap w:val="0"/>
                  <w:vAlign w:val="center"/>
                </w:tcPr>
                <w:p w14:paraId="0465969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最大暂存量</w:t>
                  </w:r>
                </w:p>
              </w:tc>
              <w:tc>
                <w:tcPr>
                  <w:tcW w:w="1878" w:type="dxa"/>
                  <w:tcBorders>
                    <w:top w:val="single" w:color="000000" w:sz="10" w:space="0"/>
                  </w:tcBorders>
                  <w:noWrap w:val="0"/>
                  <w:vAlign w:val="center"/>
                </w:tcPr>
                <w:p w14:paraId="0BCDCDF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存储方式</w:t>
                  </w:r>
                </w:p>
              </w:tc>
              <w:tc>
                <w:tcPr>
                  <w:tcW w:w="1846" w:type="dxa"/>
                  <w:tcBorders>
                    <w:top w:val="single" w:color="000000" w:sz="10" w:space="0"/>
                    <w:right w:val="single" w:color="000000" w:sz="10" w:space="0"/>
                  </w:tcBorders>
                  <w:noWrap w:val="0"/>
                  <w:vAlign w:val="center"/>
                </w:tcPr>
                <w:p w14:paraId="7A118AF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备注</w:t>
                  </w:r>
                </w:p>
              </w:tc>
            </w:tr>
            <w:tr w14:paraId="70296A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161" w:type="dxa"/>
                  <w:tcBorders>
                    <w:left w:val="single" w:color="000000" w:sz="10" w:space="0"/>
                  </w:tcBorders>
                  <w:noWrap w:val="0"/>
                  <w:vAlign w:val="center"/>
                </w:tcPr>
                <w:p w14:paraId="49C81D0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主要原料</w:t>
                  </w:r>
                </w:p>
              </w:tc>
              <w:tc>
                <w:tcPr>
                  <w:tcW w:w="1015" w:type="dxa"/>
                  <w:noWrap w:val="0"/>
                  <w:vAlign w:val="center"/>
                </w:tcPr>
                <w:p w14:paraId="466D6BC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废旧塑料泡沫</w:t>
                  </w:r>
                </w:p>
              </w:tc>
              <w:tc>
                <w:tcPr>
                  <w:tcW w:w="1178" w:type="dxa"/>
                  <w:noWrap w:val="0"/>
                  <w:vAlign w:val="center"/>
                </w:tcPr>
                <w:p w14:paraId="09EF829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5005.2t/a</w:t>
                  </w:r>
                </w:p>
              </w:tc>
              <w:tc>
                <w:tcPr>
                  <w:tcW w:w="1280" w:type="dxa"/>
                  <w:noWrap w:val="0"/>
                  <w:vAlign w:val="center"/>
                </w:tcPr>
                <w:p w14:paraId="2094226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5t</w:t>
                  </w:r>
                </w:p>
              </w:tc>
              <w:tc>
                <w:tcPr>
                  <w:tcW w:w="1878" w:type="dxa"/>
                  <w:noWrap w:val="0"/>
                  <w:vAlign w:val="center"/>
                </w:tcPr>
                <w:p w14:paraId="3660A66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主要为</w:t>
                  </w:r>
                  <w:r>
                    <w:rPr>
                      <w:rFonts w:hint="eastAsia" w:cs="Times New Roman"/>
                      <w:color w:val="auto"/>
                      <w:szCs w:val="21"/>
                      <w:lang w:eastAsia="zh-CN"/>
                    </w:rPr>
                    <w:t>洁净的</w:t>
                  </w:r>
                  <w:r>
                    <w:rPr>
                      <w:rFonts w:hint="default" w:ascii="Times New Roman" w:hAnsi="Times New Roman" w:cs="Times New Roman"/>
                      <w:color w:val="auto"/>
                      <w:szCs w:val="21"/>
                    </w:rPr>
                    <w:t>聚苯乙烯泡沫（PS）</w:t>
                  </w:r>
                </w:p>
              </w:tc>
              <w:tc>
                <w:tcPr>
                  <w:tcW w:w="1846" w:type="dxa"/>
                  <w:tcBorders>
                    <w:right w:val="single" w:color="000000" w:sz="10" w:space="0"/>
                  </w:tcBorders>
                  <w:noWrap w:val="0"/>
                  <w:vAlign w:val="center"/>
                </w:tcPr>
                <w:p w14:paraId="010CA557">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auto"/>
                      <w:szCs w:val="21"/>
                      <w:lang w:eastAsia="zh-CN"/>
                    </w:rPr>
                  </w:pPr>
                  <w:r>
                    <w:rPr>
                      <w:rFonts w:hint="eastAsia" w:cs="Times New Roman"/>
                      <w:color w:val="auto"/>
                      <w:szCs w:val="21"/>
                      <w:lang w:eastAsia="zh-CN"/>
                    </w:rPr>
                    <w:t>仅</w:t>
                  </w:r>
                  <w:r>
                    <w:rPr>
                      <w:rFonts w:hint="default" w:ascii="Times New Roman" w:hAnsi="Times New Roman" w:cs="Times New Roman"/>
                      <w:color w:val="auto"/>
                      <w:szCs w:val="21"/>
                    </w:rPr>
                    <w:t>回收料分批进厂，进厂后即粉碎，厂内</w:t>
                  </w:r>
                  <w:r>
                    <w:rPr>
                      <w:rFonts w:hint="eastAsia" w:cs="Times New Roman"/>
                      <w:color w:val="auto"/>
                      <w:szCs w:val="21"/>
                      <w:lang w:eastAsia="zh-CN"/>
                    </w:rPr>
                    <w:t>暂存量较小</w:t>
                  </w:r>
                </w:p>
              </w:tc>
            </w:tr>
            <w:tr w14:paraId="7671D1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161" w:type="dxa"/>
                  <w:tcBorders>
                    <w:left w:val="single" w:color="000000" w:sz="10" w:space="0"/>
                  </w:tcBorders>
                  <w:noWrap w:val="0"/>
                  <w:vAlign w:val="center"/>
                </w:tcPr>
                <w:p w14:paraId="2C497CA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废气治理</w:t>
                  </w:r>
                </w:p>
              </w:tc>
              <w:tc>
                <w:tcPr>
                  <w:tcW w:w="1015" w:type="dxa"/>
                  <w:noWrap w:val="0"/>
                  <w:vAlign w:val="center"/>
                </w:tcPr>
                <w:p w14:paraId="5C067DE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活性炭</w:t>
                  </w:r>
                </w:p>
              </w:tc>
              <w:tc>
                <w:tcPr>
                  <w:tcW w:w="1178" w:type="dxa"/>
                  <w:noWrap w:val="0"/>
                  <w:vAlign w:val="center"/>
                </w:tcPr>
                <w:p w14:paraId="6D3376C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10.72t/a</w:t>
                  </w:r>
                </w:p>
              </w:tc>
              <w:tc>
                <w:tcPr>
                  <w:tcW w:w="1280" w:type="dxa"/>
                  <w:noWrap w:val="0"/>
                  <w:vAlign w:val="center"/>
                </w:tcPr>
                <w:p w14:paraId="6B57D4C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2t</w:t>
                  </w:r>
                </w:p>
              </w:tc>
              <w:tc>
                <w:tcPr>
                  <w:tcW w:w="1878" w:type="dxa"/>
                  <w:noWrap w:val="0"/>
                  <w:vAlign w:val="center"/>
                </w:tcPr>
                <w:p w14:paraId="5D7D8EA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箱装，暂存于原料区</w:t>
                  </w:r>
                </w:p>
              </w:tc>
              <w:tc>
                <w:tcPr>
                  <w:tcW w:w="1846" w:type="dxa"/>
                  <w:tcBorders>
                    <w:right w:val="single" w:color="000000" w:sz="10" w:space="0"/>
                  </w:tcBorders>
                  <w:noWrap w:val="0"/>
                  <w:vAlign w:val="center"/>
                </w:tcPr>
                <w:p w14:paraId="689357B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外购，蜂窝状，碘值大于800</w:t>
                  </w:r>
                </w:p>
              </w:tc>
            </w:tr>
            <w:tr w14:paraId="7CB200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161" w:type="dxa"/>
                  <w:tcBorders>
                    <w:left w:val="single" w:color="000000" w:sz="10" w:space="0"/>
                  </w:tcBorders>
                  <w:noWrap w:val="0"/>
                  <w:vAlign w:val="center"/>
                </w:tcPr>
                <w:p w14:paraId="09DCFE1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设备维护保养</w:t>
                  </w:r>
                </w:p>
              </w:tc>
              <w:tc>
                <w:tcPr>
                  <w:tcW w:w="1015" w:type="dxa"/>
                  <w:noWrap w:val="0"/>
                  <w:vAlign w:val="center"/>
                </w:tcPr>
                <w:p w14:paraId="21277F47">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auto"/>
                      <w:szCs w:val="21"/>
                      <w:lang w:eastAsia="zh-CN"/>
                    </w:rPr>
                  </w:pPr>
                  <w:r>
                    <w:rPr>
                      <w:rFonts w:hint="eastAsia" w:cs="Times New Roman"/>
                      <w:color w:val="auto"/>
                      <w:szCs w:val="21"/>
                      <w:lang w:eastAsia="zh-CN"/>
                    </w:rPr>
                    <w:t>润滑油</w:t>
                  </w:r>
                </w:p>
              </w:tc>
              <w:tc>
                <w:tcPr>
                  <w:tcW w:w="1178" w:type="dxa"/>
                  <w:noWrap w:val="0"/>
                  <w:vAlign w:val="center"/>
                </w:tcPr>
                <w:p w14:paraId="720E2A5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r>
                    <w:rPr>
                      <w:rFonts w:hint="eastAsia" w:cs="Times New Roman"/>
                      <w:color w:val="auto"/>
                      <w:szCs w:val="21"/>
                      <w:lang w:val="en-US" w:eastAsia="zh-CN"/>
                    </w:rPr>
                    <w:t>5</w:t>
                  </w:r>
                  <w:r>
                    <w:rPr>
                      <w:rFonts w:hint="default" w:ascii="Times New Roman" w:hAnsi="Times New Roman" w:cs="Times New Roman"/>
                      <w:color w:val="auto"/>
                      <w:szCs w:val="21"/>
                    </w:rPr>
                    <w:t>0L/a</w:t>
                  </w:r>
                </w:p>
              </w:tc>
              <w:tc>
                <w:tcPr>
                  <w:tcW w:w="1280" w:type="dxa"/>
                  <w:noWrap w:val="0"/>
                  <w:vAlign w:val="center"/>
                </w:tcPr>
                <w:p w14:paraId="5F71602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Cs w:val="21"/>
                    </w:rPr>
                  </w:pPr>
                  <w:r>
                    <w:rPr>
                      <w:rFonts w:hint="eastAsia" w:cs="Times New Roman"/>
                      <w:color w:val="auto"/>
                      <w:szCs w:val="21"/>
                      <w:lang w:val="en-US" w:eastAsia="zh-CN"/>
                    </w:rPr>
                    <w:t>150</w:t>
                  </w:r>
                  <w:r>
                    <w:rPr>
                      <w:rFonts w:hint="default" w:ascii="Times New Roman" w:hAnsi="Times New Roman" w:cs="Times New Roman"/>
                      <w:color w:val="auto"/>
                      <w:szCs w:val="21"/>
                    </w:rPr>
                    <w:t>L</w:t>
                  </w:r>
                </w:p>
              </w:tc>
              <w:tc>
                <w:tcPr>
                  <w:tcW w:w="1878" w:type="dxa"/>
                  <w:noWrap w:val="0"/>
                  <w:vAlign w:val="center"/>
                </w:tcPr>
                <w:p w14:paraId="069E2E0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桶装，暂存于原料区</w:t>
                  </w:r>
                </w:p>
              </w:tc>
              <w:tc>
                <w:tcPr>
                  <w:tcW w:w="1846" w:type="dxa"/>
                  <w:tcBorders>
                    <w:right w:val="single" w:color="000000" w:sz="10" w:space="0"/>
                  </w:tcBorders>
                  <w:noWrap w:val="0"/>
                  <w:vAlign w:val="center"/>
                </w:tcPr>
                <w:p w14:paraId="79999D6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外购</w:t>
                  </w:r>
                </w:p>
              </w:tc>
            </w:tr>
            <w:tr w14:paraId="19C382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161" w:type="dxa"/>
                  <w:vMerge w:val="restart"/>
                  <w:tcBorders>
                    <w:left w:val="single" w:color="000000" w:sz="10" w:space="0"/>
                    <w:bottom w:val="nil"/>
                  </w:tcBorders>
                  <w:noWrap w:val="0"/>
                  <w:vAlign w:val="center"/>
                </w:tcPr>
                <w:p w14:paraId="791A835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Cs w:val="21"/>
                    </w:rPr>
                  </w:pPr>
                </w:p>
                <w:p w14:paraId="2614C55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能源</w:t>
                  </w:r>
                </w:p>
              </w:tc>
              <w:tc>
                <w:tcPr>
                  <w:tcW w:w="1015" w:type="dxa"/>
                  <w:noWrap w:val="0"/>
                  <w:vAlign w:val="center"/>
                </w:tcPr>
                <w:p w14:paraId="3458B82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电</w:t>
                  </w:r>
                </w:p>
              </w:tc>
              <w:tc>
                <w:tcPr>
                  <w:tcW w:w="1178" w:type="dxa"/>
                  <w:noWrap w:val="0"/>
                  <w:vAlign w:val="center"/>
                </w:tcPr>
                <w:p w14:paraId="4465466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90 万度</w:t>
                  </w:r>
                </w:p>
              </w:tc>
              <w:tc>
                <w:tcPr>
                  <w:tcW w:w="1280" w:type="dxa"/>
                  <w:noWrap w:val="0"/>
                  <w:vAlign w:val="center"/>
                </w:tcPr>
                <w:p w14:paraId="3305F64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878" w:type="dxa"/>
                  <w:noWrap w:val="0"/>
                  <w:vAlign w:val="center"/>
                </w:tcPr>
                <w:p w14:paraId="0EF040F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846" w:type="dxa"/>
                  <w:tcBorders>
                    <w:right w:val="single" w:color="000000" w:sz="10" w:space="0"/>
                  </w:tcBorders>
                  <w:noWrap w:val="0"/>
                  <w:vAlign w:val="center"/>
                </w:tcPr>
                <w:p w14:paraId="01AEE1E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市政电网</w:t>
                  </w:r>
                </w:p>
              </w:tc>
            </w:tr>
            <w:tr w14:paraId="570054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161" w:type="dxa"/>
                  <w:vMerge w:val="continue"/>
                  <w:tcBorders>
                    <w:top w:val="nil"/>
                    <w:left w:val="single" w:color="000000" w:sz="10" w:space="0"/>
                    <w:bottom w:val="single" w:color="000000" w:sz="10" w:space="0"/>
                  </w:tcBorders>
                  <w:noWrap w:val="0"/>
                  <w:vAlign w:val="center"/>
                </w:tcPr>
                <w:p w14:paraId="3715C2A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Cs w:val="21"/>
                    </w:rPr>
                  </w:pPr>
                </w:p>
              </w:tc>
              <w:tc>
                <w:tcPr>
                  <w:tcW w:w="1015" w:type="dxa"/>
                  <w:tcBorders>
                    <w:bottom w:val="single" w:color="000000" w:sz="10" w:space="0"/>
                  </w:tcBorders>
                  <w:noWrap w:val="0"/>
                  <w:vAlign w:val="center"/>
                </w:tcPr>
                <w:p w14:paraId="555B3A1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水</w:t>
                  </w:r>
                </w:p>
              </w:tc>
              <w:tc>
                <w:tcPr>
                  <w:tcW w:w="1178" w:type="dxa"/>
                  <w:tcBorders>
                    <w:bottom w:val="single" w:color="000000" w:sz="10" w:space="0"/>
                  </w:tcBorders>
                  <w:noWrap w:val="0"/>
                  <w:vAlign w:val="center"/>
                </w:tcPr>
                <w:p w14:paraId="2953C28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100.32t/a</w:t>
                  </w:r>
                </w:p>
              </w:tc>
              <w:tc>
                <w:tcPr>
                  <w:tcW w:w="1280" w:type="dxa"/>
                  <w:tcBorders>
                    <w:bottom w:val="single" w:color="000000" w:sz="10" w:space="0"/>
                  </w:tcBorders>
                  <w:noWrap w:val="0"/>
                  <w:vAlign w:val="center"/>
                </w:tcPr>
                <w:p w14:paraId="0111C59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878" w:type="dxa"/>
                  <w:tcBorders>
                    <w:bottom w:val="single" w:color="000000" w:sz="10" w:space="0"/>
                  </w:tcBorders>
                  <w:noWrap w:val="0"/>
                  <w:vAlign w:val="center"/>
                </w:tcPr>
                <w:p w14:paraId="5F5AC49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846" w:type="dxa"/>
                  <w:tcBorders>
                    <w:bottom w:val="single" w:color="000000" w:sz="10" w:space="0"/>
                    <w:right w:val="single" w:color="000000" w:sz="10" w:space="0"/>
                  </w:tcBorders>
                  <w:noWrap w:val="0"/>
                  <w:vAlign w:val="center"/>
                </w:tcPr>
                <w:p w14:paraId="4339DF1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市政供水管网</w:t>
                  </w:r>
                </w:p>
              </w:tc>
            </w:tr>
          </w:tbl>
          <w:p w14:paraId="1E4F7B99">
            <w:pPr>
              <w:keepNext w:val="0"/>
              <w:keepLines w:val="0"/>
              <w:pageBreakBefore w:val="0"/>
              <w:widowControl/>
              <w:numPr>
                <w:ilvl w:val="0"/>
                <w:numId w:val="5"/>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原辅料理化性质：</w:t>
            </w:r>
          </w:p>
          <w:p w14:paraId="73646EBD">
            <w:pPr>
              <w:keepNext w:val="0"/>
              <w:keepLines w:val="0"/>
              <w:widowControl/>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本项目所用废旧塑料泡沫主要为</w:t>
            </w:r>
            <w:r>
              <w:rPr>
                <w:rFonts w:hint="eastAsia" w:cs="Times New Roman"/>
                <w:color w:val="auto"/>
                <w:sz w:val="24"/>
                <w:highlight w:val="none"/>
                <w:lang w:eastAsia="zh-CN"/>
              </w:rPr>
              <w:t>：</w:t>
            </w:r>
            <w:r>
              <w:rPr>
                <w:rFonts w:hint="default" w:ascii="Times New Roman" w:hAnsi="Times New Roman" w:cs="Times New Roman"/>
                <w:b/>
                <w:bCs/>
                <w:color w:val="auto"/>
                <w:sz w:val="24"/>
                <w:highlight w:val="none"/>
              </w:rPr>
              <w:t>生活电器包装泡沫、饼干等糕点类食品包装泡沫边角废料，项目原料不沾染泥渣及油类物质，不涉及泡沫清洗，</w:t>
            </w:r>
            <w:r>
              <w:rPr>
                <w:rFonts w:hint="default" w:ascii="Times New Roman" w:hAnsi="Times New Roman" w:cs="Times New Roman"/>
                <w:color w:val="auto"/>
                <w:sz w:val="24"/>
                <w:highlight w:val="none"/>
              </w:rPr>
              <w:t>项目所用泡沫材质为聚苯乙烯泡沫，是一种由可发性聚苯乙烯（EPS）经过发泡、熟化成型、烘干</w:t>
            </w:r>
            <w:r>
              <w:rPr>
                <w:rFonts w:hint="eastAsia" w:cs="Times New Roman"/>
                <w:color w:val="auto"/>
                <w:sz w:val="24"/>
                <w:highlight w:val="none"/>
                <w:lang w:eastAsia="zh-CN"/>
              </w:rPr>
              <w:t>等生产</w:t>
            </w:r>
            <w:r>
              <w:rPr>
                <w:rFonts w:hint="default" w:ascii="Times New Roman" w:hAnsi="Times New Roman" w:cs="Times New Roman"/>
                <w:color w:val="auto"/>
                <w:sz w:val="24"/>
                <w:highlight w:val="none"/>
              </w:rPr>
              <w:t>处理的 EPS 制品。它具有闭孔结构，吸水性小</w:t>
            </w:r>
            <w:r>
              <w:rPr>
                <w:rFonts w:hint="eastAsia" w:cs="Times New Roman"/>
                <w:color w:val="auto"/>
                <w:sz w:val="24"/>
                <w:highlight w:val="none"/>
                <w:lang w:eastAsia="zh-CN"/>
              </w:rPr>
              <w:t>，具</w:t>
            </w:r>
            <w:r>
              <w:rPr>
                <w:rFonts w:hint="default" w:ascii="Times New Roman" w:hAnsi="Times New Roman" w:cs="Times New Roman"/>
                <w:color w:val="auto"/>
                <w:sz w:val="24"/>
                <w:highlight w:val="none"/>
              </w:rPr>
              <w:t>有优良的抗水性；密度小，机械强度好，缓冲性能优异；加工性好，易于模塑成型；着色性好，温度适应性强，抗放射性优异等优点，而且尺寸精度高，结构均匀。它是目前使用最多的一种缓冲材料。</w:t>
            </w:r>
          </w:p>
          <w:p w14:paraId="279BD25C">
            <w:pPr>
              <w:keepNext w:val="0"/>
              <w:keepLines w:val="0"/>
              <w:widowControl/>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原辅料理化性质</w:t>
            </w:r>
            <w:r>
              <w:rPr>
                <w:rFonts w:hint="eastAsia" w:cs="Times New Roman"/>
                <w:color w:val="auto"/>
                <w:sz w:val="24"/>
                <w:highlight w:val="none"/>
                <w:lang w:val="en-US" w:eastAsia="zh-CN"/>
              </w:rPr>
              <w:t>如下：</w:t>
            </w:r>
          </w:p>
          <w:p w14:paraId="4F8C46A7">
            <w:pPr>
              <w:pStyle w:val="181"/>
              <w:keepNext w:val="0"/>
              <w:keepLines w:val="0"/>
              <w:suppressLineNumbers w:val="0"/>
              <w:bidi w:val="0"/>
              <w:spacing w:before="0" w:beforeAutospacing="0" w:after="0" w:afterAutospacing="0"/>
              <w:ind w:left="0" w:right="0"/>
              <w:rPr>
                <w:rFonts w:hint="default" w:ascii="Times New Roman" w:hAnsi="Times New Roman" w:cs="Times New Roman"/>
                <w:b/>
                <w:bCs w:val="0"/>
                <w:color w:val="auto"/>
                <w:sz w:val="21"/>
                <w:szCs w:val="32"/>
                <w:highlight w:val="none"/>
                <w:vertAlign w:val="baseline"/>
                <w:lang w:val="en-US" w:eastAsia="zh-CN"/>
              </w:rPr>
            </w:pPr>
            <w:r>
              <w:rPr>
                <w:rFonts w:hint="default" w:ascii="Times New Roman" w:hAnsi="Times New Roman" w:cs="Times New Roman"/>
                <w:b/>
                <w:bCs w:val="0"/>
                <w:color w:val="auto"/>
                <w:sz w:val="21"/>
                <w:szCs w:val="24"/>
                <w:lang w:val="en-US" w:eastAsia="zh-CN"/>
              </w:rPr>
              <w:t>表</w:t>
            </w:r>
            <w:r>
              <w:rPr>
                <w:rFonts w:hint="eastAsia" w:cs="Times New Roman"/>
                <w:b/>
                <w:bCs w:val="0"/>
                <w:color w:val="auto"/>
                <w:sz w:val="21"/>
                <w:szCs w:val="24"/>
                <w:lang w:val="en-US" w:eastAsia="zh-CN"/>
              </w:rPr>
              <w:t>2-6</w:t>
            </w:r>
            <w:r>
              <w:rPr>
                <w:rFonts w:hint="default" w:ascii="Times New Roman" w:hAnsi="Times New Roman" w:cs="Times New Roman"/>
                <w:b/>
                <w:bCs w:val="0"/>
                <w:color w:val="auto"/>
                <w:sz w:val="21"/>
                <w:szCs w:val="24"/>
                <w:lang w:val="en-US" w:eastAsia="zh-CN"/>
              </w:rPr>
              <w:t xml:space="preserve">  原辅料理化性质一览表</w:t>
            </w:r>
          </w:p>
          <w:tbl>
            <w:tblPr>
              <w:tblStyle w:val="34"/>
              <w:tblW w:w="8499" w:type="dxa"/>
              <w:tblInd w:w="-6"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77"/>
              <w:gridCol w:w="7622"/>
            </w:tblGrid>
            <w:tr w14:paraId="1A74EEF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8" w:hRule="atLeast"/>
              </w:trPr>
              <w:tc>
                <w:tcPr>
                  <w:tcW w:w="877" w:type="dxa"/>
                  <w:tcBorders>
                    <w:tl2br w:val="nil"/>
                    <w:tr2bl w:val="nil"/>
                  </w:tcBorders>
                </w:tcPr>
                <w:p w14:paraId="20EA07AC">
                  <w:pPr>
                    <w:pStyle w:val="181"/>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名称</w:t>
                  </w:r>
                </w:p>
              </w:tc>
              <w:tc>
                <w:tcPr>
                  <w:tcW w:w="7622" w:type="dxa"/>
                  <w:tcBorders>
                    <w:tl2br w:val="nil"/>
                    <w:tr2bl w:val="nil"/>
                  </w:tcBorders>
                </w:tcPr>
                <w:p w14:paraId="76938C3C">
                  <w:pPr>
                    <w:pStyle w:val="181"/>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理化性质</w:t>
                  </w:r>
                </w:p>
              </w:tc>
            </w:tr>
            <w:tr w14:paraId="5D8BDD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20" w:hRule="atLeast"/>
              </w:trPr>
              <w:tc>
                <w:tcPr>
                  <w:tcW w:w="877" w:type="dxa"/>
                  <w:tcBorders>
                    <w:tl2br w:val="nil"/>
                    <w:tr2bl w:val="nil"/>
                  </w:tcBorders>
                  <w:shd w:val="clear" w:color="auto" w:fill="auto"/>
                  <w:vAlign w:val="center"/>
                </w:tcPr>
                <w:p w14:paraId="553DB80D">
                  <w:pPr>
                    <w:pStyle w:val="181"/>
                    <w:keepNext w:val="0"/>
                    <w:keepLines w:val="0"/>
                    <w:suppressLineNumbers w:val="0"/>
                    <w:bidi w:val="0"/>
                    <w:spacing w:before="0" w:beforeAutospacing="0" w:after="0" w:afterAutospacing="0"/>
                    <w:ind w:left="0" w:right="0"/>
                    <w:jc w:val="center"/>
                    <w:rPr>
                      <w:rFonts w:hint="default" w:ascii="Times New Roman" w:hAnsi="Times New Roman" w:cs="Times New Roman"/>
                      <w:bCs/>
                      <w:color w:val="auto"/>
                      <w:kern w:val="2"/>
                      <w:sz w:val="21"/>
                      <w:szCs w:val="24"/>
                      <w:lang w:val="en-US" w:eastAsia="zh-CN" w:bidi="ar-SA"/>
                    </w:rPr>
                  </w:pPr>
                  <w:r>
                    <w:rPr>
                      <w:rFonts w:hint="default" w:ascii="Times New Roman" w:hAnsi="Times New Roman" w:cs="Times New Roman"/>
                      <w:bCs/>
                      <w:color w:val="auto"/>
                      <w:kern w:val="2"/>
                      <w:sz w:val="21"/>
                      <w:szCs w:val="24"/>
                      <w:lang w:val="en-US" w:eastAsia="zh-CN" w:bidi="ar-SA"/>
                    </w:rPr>
                    <w:t>废旧塑料泡沫</w:t>
                  </w:r>
                </w:p>
              </w:tc>
              <w:tc>
                <w:tcPr>
                  <w:tcW w:w="7622" w:type="dxa"/>
                  <w:tcBorders>
                    <w:tl2br w:val="nil"/>
                    <w:tr2bl w:val="nil"/>
                  </w:tcBorders>
                  <w:vAlign w:val="center"/>
                </w:tcPr>
                <w:p w14:paraId="633298D3">
                  <w:pPr>
                    <w:pStyle w:val="181"/>
                    <w:keepNext w:val="0"/>
                    <w:keepLines w:val="0"/>
                    <w:suppressLineNumbers w:val="0"/>
                    <w:bidi w:val="0"/>
                    <w:spacing w:before="0" w:beforeAutospacing="0" w:after="0" w:afterAutospacing="0"/>
                    <w:ind w:left="0" w:right="0" w:firstLine="420" w:firstLineChars="20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聚苯乙烯（PS），</w:t>
                  </w:r>
                  <w:r>
                    <w:rPr>
                      <w:rFonts w:hint="eastAsia" w:cs="Times New Roman"/>
                      <w:b/>
                      <w:bCs w:val="0"/>
                      <w:color w:val="auto"/>
                      <w:lang w:val="en-US" w:eastAsia="zh-CN"/>
                    </w:rPr>
                    <w:t>物理性质：</w:t>
                  </w:r>
                  <w:r>
                    <w:rPr>
                      <w:rFonts w:hint="default" w:ascii="Times New Roman" w:hAnsi="Times New Roman" w:cs="Times New Roman"/>
                      <w:color w:val="auto"/>
                      <w:lang w:val="en-US" w:eastAsia="zh-CN"/>
                    </w:rPr>
                    <w:t>一种热塑性树脂，透明或白色，密度1.04g/cm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- 1.07g/cm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 xml:space="preserve"> ，玻璃化转变温度80℃-100℃ , 热变形温度 70℃-90℃ , 熔点 240℃ , 热分解温度300℃-500℃ , 低吸水性。</w:t>
                  </w:r>
                </w:p>
                <w:p w14:paraId="4750D502">
                  <w:pPr>
                    <w:pStyle w:val="181"/>
                    <w:keepNext w:val="0"/>
                    <w:keepLines w:val="0"/>
                    <w:suppressLineNumbers w:val="0"/>
                    <w:bidi w:val="0"/>
                    <w:spacing w:before="0" w:beforeAutospacing="0" w:after="0" w:afterAutospacing="0"/>
                    <w:ind w:left="0" w:right="0" w:firstLine="422" w:firstLineChars="200"/>
                    <w:jc w:val="both"/>
                    <w:rPr>
                      <w:rFonts w:hint="default" w:ascii="Times New Roman" w:hAnsi="Times New Roman" w:cs="Times New Roman"/>
                      <w:color w:val="auto"/>
                      <w:lang w:val="en-US" w:eastAsia="zh-CN"/>
                    </w:rPr>
                  </w:pPr>
                  <w:r>
                    <w:rPr>
                      <w:rFonts w:hint="eastAsia" w:cs="Times New Roman"/>
                      <w:b/>
                      <w:bCs w:val="0"/>
                      <w:color w:val="auto"/>
                      <w:lang w:val="en-US" w:eastAsia="zh-CN"/>
                    </w:rPr>
                    <w:t>化学性质：</w:t>
                  </w:r>
                  <w:r>
                    <w:rPr>
                      <w:rFonts w:hint="default" w:ascii="Times New Roman" w:hAnsi="Times New Roman" w:cs="Times New Roman"/>
                      <w:color w:val="auto"/>
                      <w:lang w:val="en-US" w:eastAsia="zh-CN"/>
                    </w:rPr>
                    <w:t>耐水、酸、碱、醇类，不耐烃类、酯类、酮类；可溶于苯、甲苯、二甲苯、氯仿、二氯甲烷等有机溶剂；耐氧化性一般，长期暴露于紫外线会变黄、脆化；易燃，燃烧时产生黑色烟雾，有苯乙烯单体气味</w:t>
                  </w:r>
                </w:p>
              </w:tc>
            </w:tr>
            <w:tr w14:paraId="5A5E41F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13" w:hRule="atLeast"/>
              </w:trPr>
              <w:tc>
                <w:tcPr>
                  <w:tcW w:w="877" w:type="dxa"/>
                  <w:tcBorders>
                    <w:tl2br w:val="nil"/>
                    <w:tr2bl w:val="nil"/>
                  </w:tcBorders>
                  <w:shd w:val="clear" w:color="auto" w:fill="auto"/>
                  <w:vAlign w:val="center"/>
                </w:tcPr>
                <w:p w14:paraId="13CD3725">
                  <w:pPr>
                    <w:pStyle w:val="181"/>
                    <w:keepNext w:val="0"/>
                    <w:keepLines w:val="0"/>
                    <w:suppressLineNumbers w:val="0"/>
                    <w:bidi w:val="0"/>
                    <w:spacing w:before="0" w:beforeAutospacing="0" w:after="0" w:afterAutospacing="0"/>
                    <w:ind w:left="0" w:right="0"/>
                    <w:jc w:val="center"/>
                    <w:rPr>
                      <w:rFonts w:hint="default" w:ascii="Times New Roman" w:hAnsi="Times New Roman" w:cs="Times New Roman"/>
                      <w:bCs/>
                      <w:color w:val="auto"/>
                      <w:kern w:val="2"/>
                      <w:sz w:val="21"/>
                      <w:szCs w:val="24"/>
                      <w:lang w:val="en-US" w:eastAsia="zh-CN" w:bidi="ar-SA"/>
                    </w:rPr>
                  </w:pPr>
                  <w:r>
                    <w:rPr>
                      <w:rFonts w:hint="default" w:ascii="Times New Roman" w:hAnsi="Times New Roman" w:cs="Times New Roman"/>
                      <w:bCs/>
                      <w:color w:val="auto"/>
                      <w:kern w:val="2"/>
                      <w:sz w:val="21"/>
                      <w:szCs w:val="24"/>
                      <w:lang w:val="en-US" w:eastAsia="zh-CN" w:bidi="ar-SA"/>
                    </w:rPr>
                    <w:t>润滑油</w:t>
                  </w:r>
                </w:p>
              </w:tc>
              <w:tc>
                <w:tcPr>
                  <w:tcW w:w="7622" w:type="dxa"/>
                  <w:tcBorders>
                    <w:tl2br w:val="nil"/>
                    <w:tr2bl w:val="nil"/>
                  </w:tcBorders>
                  <w:vAlign w:val="center"/>
                </w:tcPr>
                <w:p w14:paraId="17CE1599">
                  <w:pPr>
                    <w:pStyle w:val="181"/>
                    <w:keepNext w:val="0"/>
                    <w:keepLines w:val="0"/>
                    <w:suppressLineNumbers w:val="0"/>
                    <w:bidi w:val="0"/>
                    <w:spacing w:before="0" w:beforeAutospacing="0" w:after="0" w:afterAutospacing="0"/>
                    <w:ind w:left="0" w:right="0" w:firstLine="420" w:firstLineChars="200"/>
                    <w:jc w:val="both"/>
                    <w:rPr>
                      <w:rFonts w:hint="eastAsia" w:cs="Times New Roman"/>
                      <w:b/>
                      <w:bCs w:val="0"/>
                      <w:color w:val="auto"/>
                      <w:lang w:val="en-US" w:eastAsia="zh-CN"/>
                    </w:rPr>
                  </w:pPr>
                  <w:r>
                    <w:rPr>
                      <w:rFonts w:hint="eastAsia" w:ascii="Times New Roman" w:hAnsi="Times New Roman" w:cs="Times New Roman"/>
                      <w:color w:val="auto"/>
                      <w:lang w:val="en-US" w:eastAsia="zh-CN"/>
                    </w:rPr>
                    <w:t>淡黄色粘稠液体，闪点为120℃~340℃，自燃点为300℃~350℃，相对密度为（水=1）934.8，相对空气密度为（空气=1）0.85，沸点为-252.8℃，饱和蒸气压（kPa）为0.13/145.8℃。其溶于苯、乙醇、乙醚、氯仿、丙酮等多数有机溶剂，遇明火、高热可燃，燃烧分解为CO、CO2等有毒有害气体。</w:t>
                  </w:r>
                </w:p>
              </w:tc>
            </w:tr>
          </w:tbl>
          <w:p w14:paraId="66542FAD">
            <w:pPr>
              <w:keepNext w:val="0"/>
              <w:keepLines w:val="0"/>
              <w:pageBreakBefore w:val="0"/>
              <w:widowControl/>
              <w:numPr>
                <w:ilvl w:val="0"/>
                <w:numId w:val="5"/>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废旧塑料来源控制要求</w:t>
            </w:r>
          </w:p>
          <w:p w14:paraId="3E96C7F3">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本项目仅回收位于宝鸡市及周边区域内废品回收站的废旧聚苯乙烯塑料泡沫，不回收聚氯乙烯、聚乙烯泡沫等其他泡沫，种类比较单一，不含 PVC 制品，不涉及加工利用危险化学品、农药等污染的废弃塑料包装物</w:t>
            </w:r>
            <w:r>
              <w:rPr>
                <w:rFonts w:hint="eastAsia" w:cs="Times New Roman"/>
                <w:b w:val="0"/>
                <w:bCs w:val="0"/>
                <w:color w:val="auto"/>
                <w:kern w:val="2"/>
                <w:sz w:val="24"/>
                <w:szCs w:val="24"/>
                <w:lang w:val="en-US" w:eastAsia="zh-CN" w:bidi="ar-SA"/>
              </w:rPr>
              <w:t>和</w:t>
            </w:r>
            <w:r>
              <w:rPr>
                <w:rFonts w:hint="default" w:ascii="Times New Roman" w:hAnsi="Times New Roman" w:eastAsia="宋体" w:cs="Times New Roman"/>
                <w:b w:val="0"/>
                <w:bCs w:val="0"/>
                <w:color w:val="auto"/>
                <w:kern w:val="2"/>
                <w:sz w:val="24"/>
                <w:szCs w:val="24"/>
                <w:lang w:val="en-US" w:eastAsia="zh-CN" w:bidi="ar-SA"/>
              </w:rPr>
              <w:t>废弃的一次性医疗用塑料制品（如输液器、血袋）。依据《中华人民共和国固体废物污染环境防治法》《国家危险废物名录》（2025 年），本项目原料不属于危险废物和限制物品，符合《废塑料加工利用污染防治管理规定》中的要求。</w:t>
            </w:r>
          </w:p>
          <w:p w14:paraId="3EF14AC8">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根据《废塑料综合利用行业规范条件》，禁止利用废塑料生产食品用塑料袋，禁止无危险废物经营许可证从事废塑料类危险废物的回收利用活动，包括被危险化学品、农药等污染的废弃塑料包装物，废弃的一次性医疗用塑料制品（如输液器、血袋）等；禁止进口未经清洗的使用过的废塑料，禁止将进口的废塑料全部或者部分转让给进口许可证载明的利用企业以外的单位或者个人，包括将进口废塑料委托给其他企业代为清洗。</w:t>
            </w:r>
          </w:p>
          <w:p w14:paraId="359996A8">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根据《关于进一步加强塑料污染治理的意见》，禁止生产和销售厚度小于0.025毫米的超薄塑料购物袋、厚度小于0.01 毫米的聚乙烯农用地膜，禁止以医疗废物为原料制造塑料制品，全面禁止废塑料进口，禁止生产和销售一次性发泡塑料餐具、一次性塑料棉签，禁止生产含塑料微珠的日化产品，禁止销售含塑料微珠的日化产品。</w:t>
            </w:r>
          </w:p>
          <w:p w14:paraId="0D4B3CD6">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eastAsia" w:cs="Times New Roman"/>
                <w:b w:val="0"/>
                <w:bCs w:val="0"/>
                <w:color w:val="auto"/>
                <w:kern w:val="2"/>
                <w:sz w:val="24"/>
                <w:szCs w:val="24"/>
                <w:lang w:val="en-US" w:eastAsia="zh-CN" w:bidi="ar-SA"/>
              </w:rPr>
              <w:t>本</w:t>
            </w:r>
            <w:r>
              <w:rPr>
                <w:rFonts w:hint="default" w:ascii="Times New Roman" w:hAnsi="Times New Roman" w:eastAsia="宋体" w:cs="Times New Roman"/>
                <w:b w:val="0"/>
                <w:bCs w:val="0"/>
                <w:color w:val="auto"/>
                <w:kern w:val="2"/>
                <w:sz w:val="24"/>
                <w:szCs w:val="24"/>
                <w:lang w:val="en-US" w:eastAsia="zh-CN" w:bidi="ar-SA"/>
              </w:rPr>
              <w:t>项目原料进厂前已通过分拣，原料比较单一。</w:t>
            </w:r>
            <w:r>
              <w:rPr>
                <w:rFonts w:hint="eastAsia" w:cs="Times New Roman"/>
                <w:b w:val="0"/>
                <w:bCs w:val="0"/>
                <w:color w:val="auto"/>
                <w:kern w:val="2"/>
                <w:sz w:val="24"/>
                <w:szCs w:val="24"/>
                <w:lang w:val="en-US" w:eastAsia="zh-CN" w:bidi="ar-SA"/>
              </w:rPr>
              <w:t>本环评</w:t>
            </w:r>
            <w:r>
              <w:rPr>
                <w:rFonts w:hint="default" w:ascii="Times New Roman" w:hAnsi="Times New Roman" w:eastAsia="宋体" w:cs="Times New Roman"/>
                <w:b w:val="0"/>
                <w:bCs w:val="0"/>
                <w:color w:val="auto"/>
                <w:kern w:val="2"/>
                <w:sz w:val="24"/>
                <w:szCs w:val="24"/>
                <w:lang w:val="en-US" w:eastAsia="zh-CN" w:bidi="ar-SA"/>
              </w:rPr>
              <w:t>要求建设单位严格控制废塑料泡沫造粒原料的种类、质量及清洁度。建设单位应严格控制废旧泡沫原料的来源，做好原料来源的台账记录。建设单位应建立再生利用情况记录制度。</w:t>
            </w:r>
            <w:r>
              <w:rPr>
                <w:rFonts w:hint="eastAsia" w:cs="Times New Roman"/>
                <w:b w:val="0"/>
                <w:bCs w:val="0"/>
                <w:color w:val="auto"/>
                <w:kern w:val="2"/>
                <w:sz w:val="24"/>
                <w:szCs w:val="24"/>
                <w:lang w:val="en-US" w:eastAsia="zh-CN" w:bidi="ar-SA"/>
              </w:rPr>
              <w:t>内容</w:t>
            </w:r>
            <w:r>
              <w:rPr>
                <w:rFonts w:hint="default" w:ascii="Times New Roman" w:hAnsi="Times New Roman" w:eastAsia="宋体" w:cs="Times New Roman"/>
                <w:b w:val="0"/>
                <w:bCs w:val="0"/>
                <w:color w:val="auto"/>
                <w:kern w:val="2"/>
                <w:sz w:val="24"/>
                <w:szCs w:val="24"/>
                <w:lang w:val="en-US" w:eastAsia="zh-CN" w:bidi="ar-SA"/>
              </w:rPr>
              <w:t>包括每批废旧塑料泡沫的采购时间、地点、来源、数量、种类，产品的流向、用途，</w:t>
            </w:r>
            <w:r>
              <w:rPr>
                <w:rFonts w:hint="eastAsia" w:cs="Times New Roman"/>
                <w:b w:val="0"/>
                <w:bCs w:val="0"/>
                <w:color w:val="auto"/>
                <w:kern w:val="2"/>
                <w:sz w:val="24"/>
                <w:szCs w:val="24"/>
                <w:lang w:val="en-US" w:eastAsia="zh-CN" w:bidi="ar-SA"/>
              </w:rPr>
              <w:t>并做好</w:t>
            </w:r>
            <w:r>
              <w:rPr>
                <w:rFonts w:hint="default" w:ascii="Times New Roman" w:hAnsi="Times New Roman" w:eastAsia="宋体" w:cs="Times New Roman"/>
                <w:b w:val="0"/>
                <w:bCs w:val="0"/>
                <w:color w:val="auto"/>
                <w:kern w:val="2"/>
                <w:sz w:val="24"/>
                <w:szCs w:val="24"/>
                <w:lang w:val="en-US" w:eastAsia="zh-CN" w:bidi="ar-SA"/>
              </w:rPr>
              <w:t>原料及成品的月度和年度汇总工作。本项目生产使用的原料可从源头上有效地控制其成分以及危险性。</w:t>
            </w:r>
          </w:p>
          <w:p w14:paraId="4DC6882E">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cs="Times New Roman"/>
                <w:b/>
                <w:bCs/>
                <w:color w:val="auto"/>
                <w:kern w:val="2"/>
                <w:sz w:val="24"/>
                <w:szCs w:val="24"/>
                <w:lang w:val="en-US" w:eastAsia="zh-CN" w:bidi="ar-SA"/>
              </w:rPr>
            </w:pPr>
            <w:r>
              <w:rPr>
                <w:rFonts w:hint="default" w:ascii="Times New Roman" w:hAnsi="Times New Roman" w:cs="Times New Roman"/>
                <w:b/>
                <w:bCs/>
                <w:color w:val="auto"/>
                <w:sz w:val="24"/>
                <w:szCs w:val="24"/>
                <w:lang w:val="en-US" w:eastAsia="zh-CN"/>
              </w:rPr>
              <w:t>（3）包装运输要求</w:t>
            </w:r>
          </w:p>
          <w:p w14:paraId="058313E4">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cs="Times New Roman"/>
                <w:b w:val="0"/>
                <w:bCs w:val="0"/>
                <w:color w:val="auto"/>
                <w:kern w:val="2"/>
                <w:sz w:val="24"/>
                <w:szCs w:val="24"/>
                <w:lang w:val="en-US" w:eastAsia="zh-CN" w:bidi="ar-SA"/>
              </w:rPr>
            </w:pPr>
            <w:r>
              <w:rPr>
                <w:rFonts w:hint="default" w:cs="Times New Roman"/>
                <w:b w:val="0"/>
                <w:bCs w:val="0"/>
                <w:color w:val="auto"/>
                <w:kern w:val="2"/>
                <w:sz w:val="24"/>
                <w:szCs w:val="24"/>
                <w:lang w:val="en-US" w:eastAsia="zh-CN" w:bidi="ar-SA"/>
              </w:rPr>
              <w:t>本项目废旧塑料泡沫原料的包装、运输和贮存符合《废塑料污染控制技术规范》（HJ364-2022）要求。</w:t>
            </w:r>
          </w:p>
          <w:p w14:paraId="1A7D02FE">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cs="Times New Roman"/>
                <w:b w:val="0"/>
                <w:bCs w:val="0"/>
                <w:color w:val="auto"/>
                <w:kern w:val="2"/>
                <w:sz w:val="24"/>
                <w:szCs w:val="24"/>
                <w:lang w:val="en-US" w:eastAsia="zh-CN" w:bidi="ar-SA"/>
              </w:rPr>
            </w:pPr>
            <w:r>
              <w:rPr>
                <w:rFonts w:hint="default" w:cs="Times New Roman"/>
                <w:b w:val="0"/>
                <w:bCs w:val="0"/>
                <w:color w:val="auto"/>
                <w:kern w:val="2"/>
                <w:sz w:val="24"/>
                <w:szCs w:val="24"/>
                <w:lang w:val="en-US" w:eastAsia="zh-CN" w:bidi="ar-SA"/>
              </w:rPr>
              <w:t>废旧塑料泡沫运输前应进行包装，或用封闭的交通工具运输，不得裸露运输。废旧塑料泡沫包装物应防水、耐压、遮蔽性好，可多次重复使用；在装卸、运输过程中应确保包装完好，无塑料泡沫遗洒。不得超高、超宽、超载运输物料，宜采用密闭集装箱或带有压缩装置的厢式货车运输。</w:t>
            </w:r>
          </w:p>
          <w:p w14:paraId="05D8A00D">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cs="Times New Roman"/>
                <w:b w:val="0"/>
                <w:bCs w:val="0"/>
                <w:color w:val="auto"/>
                <w:kern w:val="2"/>
                <w:sz w:val="24"/>
                <w:szCs w:val="24"/>
                <w:lang w:val="en-US" w:eastAsia="zh-CN" w:bidi="ar-SA"/>
              </w:rPr>
            </w:pPr>
            <w:r>
              <w:rPr>
                <w:rFonts w:hint="default" w:cs="Times New Roman"/>
                <w:b w:val="0"/>
                <w:bCs w:val="0"/>
                <w:color w:val="auto"/>
                <w:kern w:val="2"/>
                <w:sz w:val="24"/>
                <w:szCs w:val="24"/>
                <w:lang w:val="en-US" w:eastAsia="zh-CN" w:bidi="ar-SA"/>
              </w:rPr>
              <w:t>同时，本项目废塑料泡沫进厂后暂存于生产厂房内原料暂存区，厂房为钢结构封闭型，设有防雨、防晒、防渗、防尘、防扬散和防火措施。</w:t>
            </w:r>
          </w:p>
          <w:p w14:paraId="00391E1F">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（4）</w:t>
            </w:r>
            <w:r>
              <w:rPr>
                <w:rFonts w:hint="default" w:ascii="Times New Roman" w:hAnsi="Times New Roman" w:cs="Times New Roman"/>
                <w:b/>
                <w:bCs/>
                <w:color w:val="auto"/>
                <w:sz w:val="24"/>
                <w:szCs w:val="24"/>
                <w:lang w:val="en-US" w:eastAsia="zh-CN"/>
              </w:rPr>
              <w:t>物料平衡</w:t>
            </w:r>
          </w:p>
          <w:p w14:paraId="5C242884">
            <w:pPr>
              <w:pStyle w:val="18"/>
              <w:keepNext w:val="0"/>
              <w:keepLines w:val="0"/>
              <w:suppressLineNumbers w:val="0"/>
              <w:spacing w:before="0" w:beforeAutospacing="0" w:after="0" w:afterAutospacing="0" w:line="360" w:lineRule="auto"/>
              <w:ind w:left="0" w:leftChars="0" w:right="0"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cs="Times New Roman"/>
                <w:b w:val="0"/>
                <w:bCs w:val="0"/>
                <w:color w:val="auto"/>
                <w:sz w:val="24"/>
                <w:szCs w:val="24"/>
                <w:lang w:val="en-US" w:eastAsia="zh-CN"/>
              </w:rPr>
              <w:t>项目物料平衡情况见下表。</w:t>
            </w:r>
          </w:p>
          <w:p w14:paraId="7D42C3AF">
            <w:pPr>
              <w:pStyle w:val="18"/>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val="0"/>
                <w:color w:val="auto"/>
                <w:kern w:val="2"/>
                <w:sz w:val="21"/>
                <w:szCs w:val="24"/>
                <w:lang w:val="en-US" w:eastAsia="zh-CN" w:bidi="ar-SA"/>
              </w:rPr>
            </w:pPr>
            <w:r>
              <w:rPr>
                <w:rFonts w:hint="default" w:ascii="Times New Roman" w:hAnsi="Times New Roman" w:eastAsia="宋体" w:cs="Times New Roman"/>
                <w:b/>
                <w:bCs w:val="0"/>
                <w:color w:val="auto"/>
                <w:kern w:val="2"/>
                <w:sz w:val="21"/>
                <w:szCs w:val="24"/>
                <w:lang w:val="en-US" w:eastAsia="zh-CN" w:bidi="ar-SA"/>
              </w:rPr>
              <w:t>表</w:t>
            </w:r>
            <w:r>
              <w:rPr>
                <w:rFonts w:hint="eastAsia" w:cs="Times New Roman"/>
                <w:b/>
                <w:bCs w:val="0"/>
                <w:color w:val="auto"/>
                <w:kern w:val="2"/>
                <w:sz w:val="21"/>
                <w:szCs w:val="24"/>
                <w:lang w:val="en-US" w:eastAsia="zh-CN" w:bidi="ar-SA"/>
              </w:rPr>
              <w:t xml:space="preserve">2-7    </w:t>
            </w:r>
            <w:r>
              <w:rPr>
                <w:rFonts w:hint="default" w:ascii="Times New Roman" w:hAnsi="Times New Roman" w:eastAsia="宋体" w:cs="Times New Roman"/>
                <w:b/>
                <w:bCs w:val="0"/>
                <w:color w:val="auto"/>
                <w:kern w:val="2"/>
                <w:sz w:val="21"/>
                <w:szCs w:val="24"/>
                <w:lang w:val="en-US" w:eastAsia="zh-CN" w:bidi="ar-SA"/>
              </w:rPr>
              <w:t>物料平衡一览表</w:t>
            </w:r>
          </w:p>
          <w:tbl>
            <w:tblPr>
              <w:tblStyle w:val="185"/>
              <w:tblW w:w="8358" w:type="dxa"/>
              <w:tblInd w:w="1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99"/>
              <w:gridCol w:w="1514"/>
              <w:gridCol w:w="1290"/>
              <w:gridCol w:w="2100"/>
              <w:gridCol w:w="1655"/>
            </w:tblGrid>
            <w:tr w14:paraId="7BB4E3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313" w:type="dxa"/>
                  <w:gridSpan w:val="2"/>
                  <w:tcBorders>
                    <w:top w:val="single" w:color="000000" w:sz="10" w:space="0"/>
                    <w:left w:val="single" w:color="000000" w:sz="10" w:space="0"/>
                  </w:tcBorders>
                  <w:noWrap w:val="0"/>
                  <w:vAlign w:val="center"/>
                </w:tcPr>
                <w:p w14:paraId="7ACF731E">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投入（t/a）</w:t>
                  </w:r>
                </w:p>
              </w:tc>
              <w:tc>
                <w:tcPr>
                  <w:tcW w:w="5045" w:type="dxa"/>
                  <w:gridSpan w:val="3"/>
                  <w:tcBorders>
                    <w:top w:val="single" w:color="000000" w:sz="10" w:space="0"/>
                    <w:right w:val="single" w:color="000000" w:sz="10" w:space="0"/>
                  </w:tcBorders>
                  <w:noWrap w:val="0"/>
                  <w:vAlign w:val="center"/>
                </w:tcPr>
                <w:p w14:paraId="0911AF7C">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产出（t/a）</w:t>
                  </w:r>
                </w:p>
              </w:tc>
            </w:tr>
            <w:tr w14:paraId="705373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799" w:type="dxa"/>
                  <w:tcBorders>
                    <w:left w:val="single" w:color="000000" w:sz="10" w:space="0"/>
                  </w:tcBorders>
                  <w:noWrap w:val="0"/>
                  <w:vAlign w:val="center"/>
                </w:tcPr>
                <w:p w14:paraId="33C8E600">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废旧塑料泡沫</w:t>
                  </w:r>
                </w:p>
              </w:tc>
              <w:tc>
                <w:tcPr>
                  <w:tcW w:w="1514" w:type="dxa"/>
                  <w:noWrap w:val="0"/>
                  <w:vAlign w:val="center"/>
                </w:tcPr>
                <w:p w14:paraId="48B6D930">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5005.2</w:t>
                  </w:r>
                </w:p>
              </w:tc>
              <w:tc>
                <w:tcPr>
                  <w:tcW w:w="3390" w:type="dxa"/>
                  <w:gridSpan w:val="2"/>
                  <w:noWrap w:val="0"/>
                  <w:vAlign w:val="center"/>
                </w:tcPr>
                <w:p w14:paraId="36E852F7">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塑料泡沫颗粒产品</w:t>
                  </w:r>
                </w:p>
              </w:tc>
              <w:tc>
                <w:tcPr>
                  <w:tcW w:w="1655" w:type="dxa"/>
                  <w:tcBorders>
                    <w:right w:val="single" w:color="000000" w:sz="10" w:space="0"/>
                  </w:tcBorders>
                  <w:noWrap w:val="0"/>
                  <w:vAlign w:val="center"/>
                </w:tcPr>
                <w:p w14:paraId="4095D363">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5000</w:t>
                  </w:r>
                </w:p>
              </w:tc>
            </w:tr>
            <w:tr w14:paraId="3B058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799" w:type="dxa"/>
                  <w:tcBorders>
                    <w:left w:val="single" w:color="000000" w:sz="10" w:space="0"/>
                  </w:tcBorders>
                  <w:noWrap w:val="0"/>
                  <w:vAlign w:val="center"/>
                </w:tcPr>
                <w:p w14:paraId="050A43DF">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热熔废料及不合格品回用</w:t>
                  </w:r>
                </w:p>
              </w:tc>
              <w:tc>
                <w:tcPr>
                  <w:tcW w:w="1514" w:type="dxa"/>
                  <w:noWrap w:val="0"/>
                  <w:vAlign w:val="center"/>
                </w:tcPr>
                <w:p w14:paraId="69602683">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59.5</w:t>
                  </w:r>
                </w:p>
              </w:tc>
              <w:tc>
                <w:tcPr>
                  <w:tcW w:w="1290" w:type="dxa"/>
                  <w:vMerge w:val="restart"/>
                  <w:tcBorders>
                    <w:bottom w:val="nil"/>
                  </w:tcBorders>
                  <w:noWrap w:val="0"/>
                  <w:vAlign w:val="center"/>
                </w:tcPr>
                <w:p w14:paraId="48ABEF7D">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粉尘废气产生2. 127t/a</w:t>
                  </w:r>
                </w:p>
              </w:tc>
              <w:tc>
                <w:tcPr>
                  <w:tcW w:w="2100" w:type="dxa"/>
                  <w:noWrap w:val="0"/>
                  <w:vAlign w:val="center"/>
                </w:tcPr>
                <w:p w14:paraId="74AF6DF1">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有组织排放</w:t>
                  </w:r>
                </w:p>
              </w:tc>
              <w:tc>
                <w:tcPr>
                  <w:tcW w:w="1655" w:type="dxa"/>
                  <w:tcBorders>
                    <w:right w:val="single" w:color="000000" w:sz="10" w:space="0"/>
                  </w:tcBorders>
                  <w:noWrap w:val="0"/>
                  <w:vAlign w:val="center"/>
                </w:tcPr>
                <w:p w14:paraId="44DB49E0">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0.09</w:t>
                  </w:r>
                </w:p>
              </w:tc>
            </w:tr>
            <w:tr w14:paraId="38ECB8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799" w:type="dxa"/>
                  <w:tcBorders>
                    <w:left w:val="single" w:color="000000" w:sz="10" w:space="0"/>
                  </w:tcBorders>
                  <w:noWrap w:val="0"/>
                  <w:vAlign w:val="center"/>
                </w:tcPr>
                <w:p w14:paraId="1ABD7AE4">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收尘灰回用</w:t>
                  </w:r>
                </w:p>
              </w:tc>
              <w:tc>
                <w:tcPr>
                  <w:tcW w:w="1514" w:type="dxa"/>
                  <w:noWrap w:val="0"/>
                  <w:vAlign w:val="center"/>
                </w:tcPr>
                <w:p w14:paraId="7092F3B7">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1.717</w:t>
                  </w:r>
                </w:p>
              </w:tc>
              <w:tc>
                <w:tcPr>
                  <w:tcW w:w="1290" w:type="dxa"/>
                  <w:vMerge w:val="continue"/>
                  <w:tcBorders>
                    <w:top w:val="nil"/>
                    <w:bottom w:val="nil"/>
                  </w:tcBorders>
                  <w:noWrap w:val="0"/>
                  <w:vAlign w:val="center"/>
                </w:tcPr>
                <w:p w14:paraId="1E845063">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p>
              </w:tc>
              <w:tc>
                <w:tcPr>
                  <w:tcW w:w="2100" w:type="dxa"/>
                  <w:noWrap w:val="0"/>
                  <w:vAlign w:val="center"/>
                </w:tcPr>
                <w:p w14:paraId="0F7FCDF4">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无组织排放</w:t>
                  </w:r>
                </w:p>
              </w:tc>
              <w:tc>
                <w:tcPr>
                  <w:tcW w:w="1655" w:type="dxa"/>
                  <w:tcBorders>
                    <w:right w:val="single" w:color="000000" w:sz="10" w:space="0"/>
                  </w:tcBorders>
                  <w:noWrap w:val="0"/>
                  <w:vAlign w:val="center"/>
                </w:tcPr>
                <w:p w14:paraId="3E2C0AAC">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0.32</w:t>
                  </w:r>
                </w:p>
              </w:tc>
            </w:tr>
            <w:tr w14:paraId="25B5D2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799" w:type="dxa"/>
                  <w:tcBorders>
                    <w:left w:val="single" w:color="000000" w:sz="10" w:space="0"/>
                  </w:tcBorders>
                  <w:noWrap w:val="0"/>
                  <w:vAlign w:val="center"/>
                </w:tcPr>
                <w:p w14:paraId="538BCC3A">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1514" w:type="dxa"/>
                  <w:noWrap w:val="0"/>
                  <w:vAlign w:val="center"/>
                </w:tcPr>
                <w:p w14:paraId="15C46E8B">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1290" w:type="dxa"/>
                  <w:vMerge w:val="continue"/>
                  <w:tcBorders>
                    <w:top w:val="nil"/>
                  </w:tcBorders>
                  <w:noWrap w:val="0"/>
                  <w:vAlign w:val="center"/>
                </w:tcPr>
                <w:p w14:paraId="3AD0E895">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p>
              </w:tc>
              <w:tc>
                <w:tcPr>
                  <w:tcW w:w="2100" w:type="dxa"/>
                  <w:noWrap w:val="0"/>
                  <w:vAlign w:val="center"/>
                </w:tcPr>
                <w:p w14:paraId="70126FD1">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both"/>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除尘器收集（收尘灰）</w:t>
                  </w:r>
                </w:p>
              </w:tc>
              <w:tc>
                <w:tcPr>
                  <w:tcW w:w="1655" w:type="dxa"/>
                  <w:tcBorders>
                    <w:right w:val="single" w:color="000000" w:sz="10" w:space="0"/>
                  </w:tcBorders>
                  <w:noWrap w:val="0"/>
                  <w:vAlign w:val="center"/>
                </w:tcPr>
                <w:p w14:paraId="77F40545">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1.717</w:t>
                  </w:r>
                </w:p>
              </w:tc>
            </w:tr>
            <w:tr w14:paraId="3512A8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799" w:type="dxa"/>
                  <w:tcBorders>
                    <w:left w:val="single" w:color="000000" w:sz="10" w:space="0"/>
                  </w:tcBorders>
                  <w:noWrap w:val="0"/>
                  <w:vAlign w:val="center"/>
                </w:tcPr>
                <w:p w14:paraId="19CD595B">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1514" w:type="dxa"/>
                  <w:noWrap w:val="0"/>
                  <w:vAlign w:val="center"/>
                </w:tcPr>
                <w:p w14:paraId="725CFC22">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1290" w:type="dxa"/>
                  <w:vMerge w:val="restart"/>
                  <w:tcBorders>
                    <w:bottom w:val="nil"/>
                  </w:tcBorders>
                  <w:noWrap w:val="0"/>
                  <w:vAlign w:val="center"/>
                </w:tcPr>
                <w:p w14:paraId="1CF4C889">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有机废气产生4.79t/a</w:t>
                  </w:r>
                </w:p>
              </w:tc>
              <w:tc>
                <w:tcPr>
                  <w:tcW w:w="2100" w:type="dxa"/>
                  <w:noWrap w:val="0"/>
                  <w:vAlign w:val="center"/>
                </w:tcPr>
                <w:p w14:paraId="53D1E424">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有组织排放</w:t>
                  </w:r>
                </w:p>
              </w:tc>
              <w:tc>
                <w:tcPr>
                  <w:tcW w:w="1655" w:type="dxa"/>
                  <w:tcBorders>
                    <w:right w:val="single" w:color="000000" w:sz="10" w:space="0"/>
                  </w:tcBorders>
                  <w:noWrap w:val="0"/>
                  <w:vAlign w:val="center"/>
                </w:tcPr>
                <w:p w14:paraId="1C6FCC08">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0.855</w:t>
                  </w:r>
                </w:p>
              </w:tc>
            </w:tr>
            <w:tr w14:paraId="01A8E5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799" w:type="dxa"/>
                  <w:tcBorders>
                    <w:left w:val="single" w:color="000000" w:sz="10" w:space="0"/>
                  </w:tcBorders>
                  <w:noWrap w:val="0"/>
                  <w:vAlign w:val="center"/>
                </w:tcPr>
                <w:p w14:paraId="083C22B0">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1514" w:type="dxa"/>
                  <w:noWrap w:val="0"/>
                  <w:vAlign w:val="center"/>
                </w:tcPr>
                <w:p w14:paraId="16BF525A">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1290" w:type="dxa"/>
                  <w:vMerge w:val="continue"/>
                  <w:tcBorders>
                    <w:top w:val="nil"/>
                    <w:bottom w:val="nil"/>
                  </w:tcBorders>
                  <w:noWrap w:val="0"/>
                  <w:vAlign w:val="center"/>
                </w:tcPr>
                <w:p w14:paraId="5E6E96D9">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p>
              </w:tc>
              <w:tc>
                <w:tcPr>
                  <w:tcW w:w="2100" w:type="dxa"/>
                  <w:noWrap w:val="0"/>
                  <w:vAlign w:val="center"/>
                </w:tcPr>
                <w:p w14:paraId="3CCD0437">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无组织排放</w:t>
                  </w:r>
                </w:p>
              </w:tc>
              <w:tc>
                <w:tcPr>
                  <w:tcW w:w="1655" w:type="dxa"/>
                  <w:tcBorders>
                    <w:right w:val="single" w:color="000000" w:sz="10" w:space="0"/>
                  </w:tcBorders>
                  <w:noWrap w:val="0"/>
                  <w:vAlign w:val="center"/>
                </w:tcPr>
                <w:p w14:paraId="26B6CFA2">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0.718</w:t>
                  </w:r>
                </w:p>
              </w:tc>
            </w:tr>
            <w:tr w14:paraId="173FC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799" w:type="dxa"/>
                  <w:tcBorders>
                    <w:left w:val="single" w:color="000000" w:sz="10" w:space="0"/>
                  </w:tcBorders>
                  <w:noWrap w:val="0"/>
                  <w:vAlign w:val="center"/>
                </w:tcPr>
                <w:p w14:paraId="3DAEBC1B">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1514" w:type="dxa"/>
                  <w:noWrap w:val="0"/>
                  <w:vAlign w:val="center"/>
                </w:tcPr>
                <w:p w14:paraId="7EF81B06">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1290" w:type="dxa"/>
                  <w:vMerge w:val="continue"/>
                  <w:tcBorders>
                    <w:top w:val="nil"/>
                  </w:tcBorders>
                  <w:noWrap w:val="0"/>
                  <w:vAlign w:val="center"/>
                </w:tcPr>
                <w:p w14:paraId="334CF504">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p>
              </w:tc>
              <w:tc>
                <w:tcPr>
                  <w:tcW w:w="2100" w:type="dxa"/>
                  <w:noWrap w:val="0"/>
                  <w:vAlign w:val="center"/>
                </w:tcPr>
                <w:p w14:paraId="40A3F554">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活性炭吸附</w:t>
                  </w:r>
                </w:p>
              </w:tc>
              <w:tc>
                <w:tcPr>
                  <w:tcW w:w="1655" w:type="dxa"/>
                  <w:tcBorders>
                    <w:right w:val="single" w:color="000000" w:sz="10" w:space="0"/>
                  </w:tcBorders>
                  <w:noWrap w:val="0"/>
                  <w:vAlign w:val="center"/>
                </w:tcPr>
                <w:p w14:paraId="58625B97">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3.217</w:t>
                  </w:r>
                </w:p>
              </w:tc>
            </w:tr>
            <w:tr w14:paraId="2A731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799" w:type="dxa"/>
                  <w:tcBorders>
                    <w:left w:val="single" w:color="000000" w:sz="10" w:space="0"/>
                  </w:tcBorders>
                  <w:noWrap w:val="0"/>
                  <w:vAlign w:val="center"/>
                </w:tcPr>
                <w:p w14:paraId="3F4240B5">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1514" w:type="dxa"/>
                  <w:noWrap w:val="0"/>
                  <w:vAlign w:val="center"/>
                </w:tcPr>
                <w:p w14:paraId="2827255E">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3390" w:type="dxa"/>
                  <w:gridSpan w:val="2"/>
                  <w:noWrap w:val="0"/>
                  <w:vAlign w:val="center"/>
                </w:tcPr>
                <w:p w14:paraId="3535D329">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热熔废料及不合格品</w:t>
                  </w:r>
                </w:p>
              </w:tc>
              <w:tc>
                <w:tcPr>
                  <w:tcW w:w="1655" w:type="dxa"/>
                  <w:tcBorders>
                    <w:right w:val="single" w:color="000000" w:sz="10" w:space="0"/>
                  </w:tcBorders>
                  <w:noWrap w:val="0"/>
                  <w:vAlign w:val="center"/>
                </w:tcPr>
                <w:p w14:paraId="638182A6">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59.5</w:t>
                  </w:r>
                </w:p>
              </w:tc>
            </w:tr>
            <w:tr w14:paraId="1584CA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799" w:type="dxa"/>
                  <w:tcBorders>
                    <w:left w:val="single" w:color="000000" w:sz="10" w:space="0"/>
                    <w:bottom w:val="single" w:color="000000" w:sz="10" w:space="0"/>
                  </w:tcBorders>
                  <w:noWrap w:val="0"/>
                  <w:vAlign w:val="center"/>
                </w:tcPr>
                <w:p w14:paraId="04754BDE">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合计</w:t>
                  </w:r>
                </w:p>
              </w:tc>
              <w:tc>
                <w:tcPr>
                  <w:tcW w:w="1514" w:type="dxa"/>
                  <w:tcBorders>
                    <w:bottom w:val="single" w:color="000000" w:sz="10" w:space="0"/>
                  </w:tcBorders>
                  <w:noWrap w:val="0"/>
                  <w:vAlign w:val="center"/>
                </w:tcPr>
                <w:p w14:paraId="033A07E3">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5066.417</w:t>
                  </w:r>
                </w:p>
              </w:tc>
              <w:tc>
                <w:tcPr>
                  <w:tcW w:w="3390" w:type="dxa"/>
                  <w:gridSpan w:val="2"/>
                  <w:tcBorders>
                    <w:bottom w:val="single" w:color="000000" w:sz="10" w:space="0"/>
                  </w:tcBorders>
                  <w:noWrap w:val="0"/>
                  <w:vAlign w:val="center"/>
                </w:tcPr>
                <w:p w14:paraId="339511A5">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合计</w:t>
                  </w:r>
                </w:p>
              </w:tc>
              <w:tc>
                <w:tcPr>
                  <w:tcW w:w="1655" w:type="dxa"/>
                  <w:tcBorders>
                    <w:bottom w:val="single" w:color="000000" w:sz="10" w:space="0"/>
                    <w:right w:val="single" w:color="000000" w:sz="10" w:space="0"/>
                  </w:tcBorders>
                  <w:noWrap w:val="0"/>
                  <w:vAlign w:val="center"/>
                </w:tcPr>
                <w:p w14:paraId="1A3A8CC8">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5066.417</w:t>
                  </w:r>
                </w:p>
              </w:tc>
            </w:tr>
          </w:tbl>
          <w:p w14:paraId="023F7B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cs="Times New Roman"/>
                <w:b/>
                <w:bCs/>
                <w:color w:val="auto"/>
                <w:sz w:val="24"/>
                <w:lang w:val="en-US" w:eastAsia="zh-CN"/>
              </w:rPr>
            </w:pPr>
            <w:r>
              <w:rPr>
                <w:rFonts w:hint="default" w:cs="Times New Roman"/>
                <w:b/>
                <w:bCs/>
                <w:color w:val="auto"/>
                <w:sz w:val="24"/>
                <w:lang w:val="en-US" w:eastAsia="zh-CN"/>
              </w:rPr>
              <w:t>6.水平衡分析</w:t>
            </w:r>
          </w:p>
          <w:p w14:paraId="65AA53AC">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项目区供水由供水管网供给，项目运营期用水主要为生活用水及生产</w:t>
            </w:r>
            <w:r>
              <w:rPr>
                <w:rFonts w:hint="eastAsia" w:cs="Times New Roman"/>
                <w:color w:val="auto"/>
                <w:sz w:val="24"/>
                <w:lang w:eastAsia="zh-CN"/>
              </w:rPr>
              <w:t>使用的冷却</w:t>
            </w:r>
            <w:r>
              <w:rPr>
                <w:rFonts w:hint="default" w:ascii="Times New Roman" w:hAnsi="Times New Roman" w:cs="Times New Roman"/>
                <w:color w:val="auto"/>
                <w:sz w:val="24"/>
              </w:rPr>
              <w:t>用水。</w:t>
            </w:r>
          </w:p>
          <w:p w14:paraId="6904CACF">
            <w:pPr>
              <w:keepNext w:val="0"/>
              <w:keepLines w:val="0"/>
              <w:numPr>
                <w:ilvl w:val="0"/>
                <w:numId w:val="6"/>
              </w:numPr>
              <w:suppressLineNumbers w:val="0"/>
              <w:spacing w:before="0" w:beforeAutospacing="0" w:after="0" w:afterAutospacing="0" w:line="360" w:lineRule="auto"/>
              <w:ind w:left="0" w:right="0" w:firstLine="480" w:firstLineChars="200"/>
              <w:rPr>
                <w:rFonts w:hint="eastAsia" w:cs="Times New Roman"/>
                <w:color w:val="auto"/>
                <w:kern w:val="2"/>
                <w:sz w:val="24"/>
                <w:szCs w:val="24"/>
                <w:lang w:val="en-US" w:eastAsia="zh-CN" w:bidi="ar-SA"/>
              </w:rPr>
            </w:pPr>
            <w:r>
              <w:rPr>
                <w:rFonts w:hint="eastAsia" w:cs="Times New Roman"/>
                <w:color w:val="auto"/>
                <w:kern w:val="2"/>
                <w:sz w:val="24"/>
                <w:szCs w:val="24"/>
                <w:lang w:val="en-US" w:eastAsia="zh-CN" w:bidi="ar-SA"/>
              </w:rPr>
              <w:t>供水</w:t>
            </w:r>
          </w:p>
          <w:p w14:paraId="2BD67BF0">
            <w:pPr>
              <w:keepNext w:val="0"/>
              <w:keepLines w:val="0"/>
              <w:numPr>
                <w:ilvl w:val="0"/>
                <w:numId w:val="0"/>
              </w:numPr>
              <w:suppressLineNumbers w:val="0"/>
              <w:spacing w:before="0" w:beforeAutospacing="0" w:after="0" w:afterAutospacing="0" w:line="360" w:lineRule="auto"/>
              <w:ind w:left="420" w:leftChars="200" w:right="0" w:rightChars="0"/>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生活用水</w:t>
            </w:r>
            <w:r>
              <w:rPr>
                <w:rFonts w:hint="eastAsia" w:cs="Times New Roman"/>
                <w:b/>
                <w:bCs/>
                <w:color w:val="auto"/>
                <w:kern w:val="2"/>
                <w:sz w:val="24"/>
                <w:szCs w:val="24"/>
                <w:lang w:val="en-US" w:eastAsia="zh-CN" w:bidi="ar-SA"/>
              </w:rPr>
              <w:t>：</w:t>
            </w:r>
          </w:p>
          <w:p w14:paraId="729210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本项目劳动定员</w:t>
            </w:r>
            <w:r>
              <w:rPr>
                <w:rFonts w:hint="eastAsia" w:ascii="Times New Roman" w:hAnsi="Times New Roman" w:eastAsia="宋体" w:cs="Times New Roman"/>
                <w:color w:val="auto"/>
                <w:kern w:val="2"/>
                <w:sz w:val="24"/>
                <w:szCs w:val="24"/>
                <w:lang w:val="en-US" w:eastAsia="zh-CN" w:bidi="ar-SA"/>
              </w:rPr>
              <w:t>6</w:t>
            </w:r>
            <w:r>
              <w:rPr>
                <w:rFonts w:hint="default" w:ascii="Times New Roman" w:hAnsi="Times New Roman" w:eastAsia="宋体" w:cs="Times New Roman"/>
                <w:color w:val="auto"/>
                <w:kern w:val="2"/>
                <w:sz w:val="24"/>
                <w:szCs w:val="24"/>
                <w:lang w:val="en-US" w:eastAsia="zh-CN" w:bidi="ar-SA"/>
              </w:rPr>
              <w:t>人，年运行300d。根据《陕西省行业用水定额》 （DB61/T943-2020）（修订版）中行政办公人员</w:t>
            </w:r>
            <w:r>
              <w:rPr>
                <w:rFonts w:hint="eastAsia" w:cs="Times New Roman"/>
                <w:color w:val="auto"/>
                <w:kern w:val="2"/>
                <w:sz w:val="24"/>
                <w:szCs w:val="24"/>
                <w:lang w:val="en-US" w:eastAsia="zh-CN" w:bidi="ar-SA"/>
              </w:rPr>
              <w:t>用水量及</w:t>
            </w:r>
            <w:r>
              <w:rPr>
                <w:rFonts w:hint="default" w:ascii="Times New Roman" w:hAnsi="Times New Roman" w:eastAsia="宋体" w:cs="Times New Roman"/>
                <w:color w:val="auto"/>
                <w:kern w:val="2"/>
                <w:sz w:val="24"/>
                <w:szCs w:val="24"/>
                <w:lang w:val="en-US" w:eastAsia="zh-CN" w:bidi="ar-SA"/>
              </w:rPr>
              <w:t>结合项目特点，本项目营运期员工用水量按 35L/人•d计，则本项目员工生活用水量为</w:t>
            </w:r>
            <w:r>
              <w:rPr>
                <w:rFonts w:hint="eastAsia" w:ascii="Times New Roman" w:hAnsi="Times New Roman" w:eastAsia="宋体" w:cs="Times New Roman"/>
                <w:color w:val="auto"/>
                <w:kern w:val="2"/>
                <w:sz w:val="24"/>
                <w:szCs w:val="24"/>
                <w:lang w:val="en-US" w:eastAsia="zh-CN" w:bidi="ar-SA"/>
              </w:rPr>
              <w:t>0.21</w:t>
            </w:r>
            <w:r>
              <w:rPr>
                <w:rFonts w:hint="default" w:ascii="Times New Roman" w:hAnsi="Times New Roman" w:eastAsia="宋体" w:cs="Times New Roman"/>
                <w:color w:val="auto"/>
                <w:kern w:val="2"/>
                <w:sz w:val="24"/>
                <w:szCs w:val="24"/>
                <w:lang w:val="en-US" w:eastAsia="zh-CN" w:bidi="ar-SA"/>
              </w:rPr>
              <w:t>m³/d（</w:t>
            </w:r>
            <w:r>
              <w:rPr>
                <w:rFonts w:hint="eastAsia" w:ascii="Times New Roman" w:hAnsi="Times New Roman" w:eastAsia="宋体" w:cs="Times New Roman"/>
                <w:color w:val="auto"/>
                <w:kern w:val="2"/>
                <w:sz w:val="24"/>
                <w:szCs w:val="24"/>
                <w:lang w:val="en-US" w:eastAsia="zh-CN" w:bidi="ar-SA"/>
              </w:rPr>
              <w:t>63</w:t>
            </w:r>
            <w:r>
              <w:rPr>
                <w:rFonts w:hint="default" w:ascii="Times New Roman" w:hAnsi="Times New Roman" w:eastAsia="宋体" w:cs="Times New Roman"/>
                <w:color w:val="auto"/>
                <w:kern w:val="2"/>
                <w:sz w:val="24"/>
                <w:szCs w:val="24"/>
                <w:lang w:val="en-US" w:eastAsia="zh-CN" w:bidi="ar-SA"/>
              </w:rPr>
              <w:t>m³/a）。废水排放量按用水量的80%</w:t>
            </w:r>
            <w:r>
              <w:rPr>
                <w:rFonts w:hint="eastAsia" w:cs="Times New Roman"/>
                <w:color w:val="auto"/>
                <w:kern w:val="2"/>
                <w:sz w:val="24"/>
                <w:szCs w:val="24"/>
                <w:lang w:val="en-US" w:eastAsia="zh-CN" w:bidi="ar-SA"/>
              </w:rPr>
              <w:t>计算</w:t>
            </w:r>
            <w:r>
              <w:rPr>
                <w:rFonts w:hint="default" w:ascii="Times New Roman" w:hAnsi="Times New Roman" w:eastAsia="宋体" w:cs="Times New Roman"/>
                <w:color w:val="auto"/>
                <w:kern w:val="2"/>
                <w:sz w:val="24"/>
                <w:szCs w:val="24"/>
                <w:lang w:val="en-US" w:eastAsia="zh-CN" w:bidi="ar-SA"/>
              </w:rPr>
              <w:t>，则员工生活污水产生量为0.</w:t>
            </w:r>
            <w:r>
              <w:rPr>
                <w:rFonts w:hint="eastAsia" w:ascii="Times New Roman" w:hAnsi="Times New Roman" w:eastAsia="宋体" w:cs="Times New Roman"/>
                <w:color w:val="auto"/>
                <w:kern w:val="2"/>
                <w:sz w:val="24"/>
                <w:szCs w:val="24"/>
                <w:lang w:val="en-US" w:eastAsia="zh-CN" w:bidi="ar-SA"/>
              </w:rPr>
              <w:t>17</w:t>
            </w:r>
            <w:r>
              <w:rPr>
                <w:rFonts w:hint="default" w:ascii="Times New Roman" w:hAnsi="Times New Roman" w:eastAsia="宋体" w:cs="Times New Roman"/>
                <w:color w:val="auto"/>
                <w:kern w:val="2"/>
                <w:sz w:val="24"/>
                <w:szCs w:val="24"/>
                <w:lang w:val="en-US" w:eastAsia="zh-CN" w:bidi="ar-SA"/>
              </w:rPr>
              <w:t>m³/d（</w:t>
            </w:r>
            <w:r>
              <w:rPr>
                <w:rFonts w:hint="eastAsia" w:ascii="Times New Roman" w:hAnsi="Times New Roman" w:eastAsia="宋体" w:cs="Times New Roman"/>
                <w:color w:val="auto"/>
                <w:kern w:val="2"/>
                <w:sz w:val="24"/>
                <w:szCs w:val="24"/>
                <w:lang w:val="en-US" w:eastAsia="zh-CN" w:bidi="ar-SA"/>
              </w:rPr>
              <w:t>50.4</w:t>
            </w:r>
            <w:r>
              <w:rPr>
                <w:rFonts w:hint="default" w:ascii="Times New Roman" w:hAnsi="Times New Roman" w:eastAsia="宋体" w:cs="Times New Roman"/>
                <w:color w:val="auto"/>
                <w:kern w:val="2"/>
                <w:sz w:val="24"/>
                <w:szCs w:val="24"/>
                <w:lang w:val="en-US" w:eastAsia="zh-CN" w:bidi="ar-SA"/>
              </w:rPr>
              <w:t>m³/a）。</w:t>
            </w:r>
          </w:p>
          <w:p w14:paraId="11D911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生产用水</w:t>
            </w:r>
            <w:r>
              <w:rPr>
                <w:rFonts w:hint="eastAsia" w:cs="Times New Roman"/>
                <w:b/>
                <w:bCs/>
                <w:color w:val="auto"/>
                <w:kern w:val="2"/>
                <w:sz w:val="24"/>
                <w:szCs w:val="24"/>
                <w:lang w:val="en-US" w:eastAsia="zh-CN" w:bidi="ar-SA"/>
              </w:rPr>
              <w:t>：</w:t>
            </w:r>
          </w:p>
          <w:p w14:paraId="37B3AE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项目生产用水主要为产品冷却用水。根据建设单位提供资料，本项目生产用水主要为热熔后产品浸没冷却水，浸没冷却水</w:t>
            </w:r>
            <w:r>
              <w:rPr>
                <w:rFonts w:hint="eastAsia" w:cs="Times New Roman"/>
                <w:color w:val="auto"/>
                <w:kern w:val="2"/>
                <w:sz w:val="24"/>
                <w:szCs w:val="24"/>
                <w:lang w:val="en-US" w:eastAsia="zh-CN" w:bidi="ar-SA"/>
              </w:rPr>
              <w:t>与产品</w:t>
            </w:r>
            <w:r>
              <w:rPr>
                <w:rFonts w:hint="default" w:ascii="Times New Roman" w:hAnsi="Times New Roman" w:eastAsia="宋体" w:cs="Times New Roman"/>
                <w:color w:val="auto"/>
                <w:kern w:val="2"/>
                <w:sz w:val="24"/>
                <w:szCs w:val="24"/>
                <w:lang w:val="en-US" w:eastAsia="zh-CN" w:bidi="ar-SA"/>
              </w:rPr>
              <w:t>直接接触，根据建设单位提供</w:t>
            </w:r>
            <w:r>
              <w:rPr>
                <w:rFonts w:hint="eastAsia" w:cs="Times New Roman"/>
                <w:color w:val="auto"/>
                <w:kern w:val="2"/>
                <w:sz w:val="24"/>
                <w:szCs w:val="24"/>
                <w:lang w:val="en-US" w:eastAsia="zh-CN" w:bidi="ar-SA"/>
              </w:rPr>
              <w:t>的资料</w:t>
            </w:r>
            <w:r>
              <w:rPr>
                <w:rFonts w:hint="default" w:ascii="Times New Roman" w:hAnsi="Times New Roman" w:eastAsia="宋体" w:cs="Times New Roman"/>
                <w:color w:val="auto"/>
                <w:kern w:val="2"/>
                <w:sz w:val="24"/>
                <w:szCs w:val="24"/>
                <w:lang w:val="en-US" w:eastAsia="zh-CN" w:bidi="ar-SA"/>
              </w:rPr>
              <w:t>，本项目共设置1个冷却水槽及</w:t>
            </w:r>
            <w:r>
              <w:rPr>
                <w:rFonts w:hint="eastAsia" w:cs="Times New Roman"/>
                <w:color w:val="auto"/>
                <w:kern w:val="2"/>
                <w:sz w:val="24"/>
                <w:szCs w:val="24"/>
                <w:lang w:val="en-US" w:eastAsia="zh-CN" w:bidi="ar-SA"/>
              </w:rPr>
              <w:t>1</w:t>
            </w:r>
            <w:r>
              <w:rPr>
                <w:rFonts w:hint="default" w:ascii="Times New Roman" w:hAnsi="Times New Roman" w:eastAsia="宋体" w:cs="Times New Roman"/>
                <w:color w:val="auto"/>
                <w:kern w:val="2"/>
                <w:sz w:val="24"/>
                <w:szCs w:val="24"/>
                <w:lang w:val="en-US" w:eastAsia="zh-CN" w:bidi="ar-SA"/>
              </w:rPr>
              <w:t>个循环水箱，根据建设单位提供资料，冷却水槽中设置过滤装置，本项目循环水箱容积为3m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，冷却水槽尺寸为</w:t>
            </w:r>
            <w:r>
              <w:rPr>
                <w:rFonts w:hint="eastAsia" w:cs="Times New Roman"/>
                <w:color w:val="auto"/>
                <w:kern w:val="2"/>
                <w:sz w:val="24"/>
                <w:szCs w:val="24"/>
                <w:lang w:val="en-US" w:eastAsia="zh-CN" w:bidi="ar-SA"/>
              </w:rPr>
              <w:t>3</w:t>
            </w:r>
            <w:r>
              <w:rPr>
                <w:rFonts w:hint="default" w:ascii="Times New Roman" w:hAnsi="Times New Roman" w:eastAsia="宋体" w:cs="Times New Roman"/>
                <w:color w:val="auto"/>
                <w:kern w:val="2"/>
                <w:sz w:val="24"/>
                <w:szCs w:val="24"/>
                <w:lang w:val="en-US" w:eastAsia="zh-CN" w:bidi="ar-SA"/>
              </w:rPr>
              <w:t>m*0.4m*0.3m，项目冷却用水循环水量为3m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/h，蒸发损耗量较少，约为循环水量</w:t>
            </w:r>
            <w:r>
              <w:rPr>
                <w:rFonts w:hint="eastAsia" w:cs="Times New Roman"/>
                <w:color w:val="auto"/>
                <w:kern w:val="2"/>
                <w:sz w:val="24"/>
                <w:szCs w:val="24"/>
                <w:lang w:val="en-US" w:eastAsia="zh-CN" w:bidi="ar-SA"/>
              </w:rPr>
              <w:t>的0.1</w:t>
            </w:r>
            <w:r>
              <w:rPr>
                <w:rFonts w:hint="default" w:ascii="Times New Roman" w:hAnsi="Times New Roman" w:eastAsia="宋体" w:cs="Times New Roman"/>
                <w:color w:val="auto"/>
                <w:kern w:val="2"/>
                <w:sz w:val="24"/>
                <w:szCs w:val="24"/>
                <w:lang w:val="en-US" w:eastAsia="zh-CN" w:bidi="ar-SA"/>
              </w:rPr>
              <w:t>%，则新鲜水补充量约为0.024m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/d（7.92m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/a），浸没冷却水经循环水箱降温冷却后回用于冷却水槽循环使用，不外排。</w:t>
            </w:r>
          </w:p>
          <w:p w14:paraId="630591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（2）</w:t>
            </w:r>
            <w:r>
              <w:rPr>
                <w:rFonts w:hint="eastAsia" w:cs="Times New Roman"/>
                <w:color w:val="auto"/>
                <w:kern w:val="2"/>
                <w:sz w:val="24"/>
                <w:szCs w:val="24"/>
                <w:lang w:val="en-US" w:eastAsia="zh-CN" w:bidi="ar-SA"/>
              </w:rPr>
              <w:t>排水</w:t>
            </w:r>
          </w:p>
          <w:p w14:paraId="6E3626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项目运营期生产废水循环使用不外排；生活污水经厂区内化粪池预处理后通过市政污水管网排至</w:t>
            </w:r>
            <w:r>
              <w:rPr>
                <w:rFonts w:hint="eastAsia" w:cs="Times New Roman"/>
                <w:color w:val="auto"/>
                <w:kern w:val="2"/>
                <w:sz w:val="24"/>
                <w:szCs w:val="24"/>
                <w:lang w:val="en-US" w:eastAsia="zh-CN" w:bidi="ar-SA"/>
              </w:rPr>
              <w:t>污水处理厂</w:t>
            </w:r>
            <w:r>
              <w:rPr>
                <w:rFonts w:hint="default" w:ascii="Times New Roman" w:hAnsi="Times New Roman" w:eastAsia="宋体" w:cs="Times New Roman"/>
                <w:color w:val="auto"/>
                <w:kern w:val="2"/>
                <w:sz w:val="24"/>
                <w:szCs w:val="24"/>
                <w:lang w:val="en-US" w:eastAsia="zh-CN" w:bidi="ar-SA"/>
              </w:rPr>
              <w:t>处理。</w:t>
            </w:r>
          </w:p>
          <w:p w14:paraId="70CDE4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项目水平衡一览表见表 2-8 。</w:t>
            </w:r>
          </w:p>
          <w:p w14:paraId="3BFD8404">
            <w:pPr>
              <w:pStyle w:val="18"/>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val="0"/>
                <w:color w:val="auto"/>
                <w:kern w:val="2"/>
                <w:sz w:val="21"/>
                <w:szCs w:val="24"/>
                <w:lang w:val="en-US" w:eastAsia="zh-CN" w:bidi="ar-SA"/>
              </w:rPr>
            </w:pPr>
            <w:r>
              <w:rPr>
                <w:rFonts w:hint="default" w:ascii="Times New Roman" w:hAnsi="Times New Roman" w:eastAsia="宋体" w:cs="Times New Roman"/>
                <w:b/>
                <w:bCs w:val="0"/>
                <w:color w:val="auto"/>
                <w:kern w:val="2"/>
                <w:sz w:val="21"/>
                <w:szCs w:val="24"/>
                <w:lang w:val="en-US" w:eastAsia="zh-CN" w:bidi="ar-SA"/>
              </w:rPr>
              <w:t>表 2-8    项目水平衡一览表</w:t>
            </w:r>
          </w:p>
          <w:tbl>
            <w:tblPr>
              <w:tblStyle w:val="185"/>
              <w:tblW w:w="841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3"/>
              <w:gridCol w:w="688"/>
              <w:gridCol w:w="688"/>
              <w:gridCol w:w="760"/>
              <w:gridCol w:w="798"/>
              <w:gridCol w:w="928"/>
              <w:gridCol w:w="819"/>
              <w:gridCol w:w="821"/>
              <w:gridCol w:w="760"/>
              <w:gridCol w:w="702"/>
              <w:gridCol w:w="981"/>
            </w:tblGrid>
            <w:tr w14:paraId="02CC13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473" w:type="dxa"/>
                  <w:vMerge w:val="restart"/>
                  <w:tcBorders>
                    <w:top w:val="single" w:color="000000" w:sz="10" w:space="0"/>
                    <w:left w:val="single" w:color="000000" w:sz="10" w:space="0"/>
                    <w:bottom w:val="nil"/>
                  </w:tcBorders>
                  <w:noWrap w:val="0"/>
                  <w:vAlign w:val="center"/>
                </w:tcPr>
                <w:p w14:paraId="3C76D8FE">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序号</w:t>
                  </w:r>
                </w:p>
              </w:tc>
              <w:tc>
                <w:tcPr>
                  <w:tcW w:w="1376" w:type="dxa"/>
                  <w:gridSpan w:val="2"/>
                  <w:vMerge w:val="restart"/>
                  <w:tcBorders>
                    <w:top w:val="single" w:color="000000" w:sz="10" w:space="0"/>
                    <w:bottom w:val="nil"/>
                  </w:tcBorders>
                  <w:noWrap w:val="0"/>
                  <w:vAlign w:val="center"/>
                </w:tcPr>
                <w:p w14:paraId="3B27BEA8">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b/>
                      <w:bCs/>
                      <w:color w:val="auto"/>
                      <w:sz w:val="21"/>
                      <w:szCs w:val="21"/>
                      <w:vertAlign w:val="baseline"/>
                      <w:lang w:val="en-US" w:eastAsia="zh-CN"/>
                    </w:rPr>
                  </w:pPr>
                </w:p>
                <w:p w14:paraId="60391E00">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名称</w:t>
                  </w:r>
                </w:p>
              </w:tc>
              <w:tc>
                <w:tcPr>
                  <w:tcW w:w="2486" w:type="dxa"/>
                  <w:gridSpan w:val="3"/>
                  <w:tcBorders>
                    <w:top w:val="single" w:color="000000" w:sz="10" w:space="0"/>
                  </w:tcBorders>
                  <w:noWrap w:val="0"/>
                  <w:vAlign w:val="center"/>
                </w:tcPr>
                <w:p w14:paraId="38FC5605">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用水量</w:t>
                  </w:r>
                </w:p>
              </w:tc>
              <w:tc>
                <w:tcPr>
                  <w:tcW w:w="1640" w:type="dxa"/>
                  <w:gridSpan w:val="2"/>
                  <w:vMerge w:val="restart"/>
                  <w:tcBorders>
                    <w:top w:val="single" w:color="000000" w:sz="10" w:space="0"/>
                    <w:bottom w:val="nil"/>
                  </w:tcBorders>
                  <w:noWrap w:val="0"/>
                  <w:vAlign w:val="center"/>
                </w:tcPr>
                <w:p w14:paraId="37421ECA">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损耗量</w:t>
                  </w:r>
                </w:p>
              </w:tc>
              <w:tc>
                <w:tcPr>
                  <w:tcW w:w="1462" w:type="dxa"/>
                  <w:gridSpan w:val="2"/>
                  <w:vMerge w:val="restart"/>
                  <w:tcBorders>
                    <w:top w:val="single" w:color="000000" w:sz="10" w:space="0"/>
                    <w:bottom w:val="nil"/>
                  </w:tcBorders>
                  <w:noWrap w:val="0"/>
                  <w:vAlign w:val="center"/>
                </w:tcPr>
                <w:p w14:paraId="51636ADD">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废水产生量</w:t>
                  </w:r>
                </w:p>
              </w:tc>
              <w:tc>
                <w:tcPr>
                  <w:tcW w:w="981" w:type="dxa"/>
                  <w:vMerge w:val="restart"/>
                  <w:tcBorders>
                    <w:top w:val="single" w:color="000000" w:sz="10" w:space="0"/>
                    <w:bottom w:val="nil"/>
                    <w:right w:val="single" w:color="000000" w:sz="10" w:space="0"/>
                  </w:tcBorders>
                  <w:noWrap w:val="0"/>
                  <w:vAlign w:val="center"/>
                </w:tcPr>
                <w:p w14:paraId="49BD7F7B">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去向/处理途径</w:t>
                  </w:r>
                </w:p>
              </w:tc>
            </w:tr>
            <w:tr w14:paraId="49514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473" w:type="dxa"/>
                  <w:vMerge w:val="continue"/>
                  <w:tcBorders>
                    <w:top w:val="nil"/>
                    <w:left w:val="single" w:color="000000" w:sz="10" w:space="0"/>
                    <w:bottom w:val="nil"/>
                  </w:tcBorders>
                  <w:noWrap w:val="0"/>
                  <w:textDirection w:val="tbRlV"/>
                  <w:vAlign w:val="center"/>
                </w:tcPr>
                <w:p w14:paraId="0286B3E7">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p>
              </w:tc>
              <w:tc>
                <w:tcPr>
                  <w:tcW w:w="1376" w:type="dxa"/>
                  <w:gridSpan w:val="2"/>
                  <w:vMerge w:val="continue"/>
                  <w:tcBorders>
                    <w:top w:val="nil"/>
                    <w:bottom w:val="nil"/>
                  </w:tcBorders>
                  <w:noWrap w:val="0"/>
                  <w:vAlign w:val="center"/>
                </w:tcPr>
                <w:p w14:paraId="1AD34FFA">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p>
              </w:tc>
              <w:tc>
                <w:tcPr>
                  <w:tcW w:w="1558" w:type="dxa"/>
                  <w:gridSpan w:val="2"/>
                  <w:noWrap w:val="0"/>
                  <w:vAlign w:val="center"/>
                </w:tcPr>
                <w:p w14:paraId="31C9B232">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新鲜水</w:t>
                  </w:r>
                </w:p>
              </w:tc>
              <w:tc>
                <w:tcPr>
                  <w:tcW w:w="928" w:type="dxa"/>
                  <w:noWrap w:val="0"/>
                  <w:vAlign w:val="center"/>
                </w:tcPr>
                <w:p w14:paraId="055450BB">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循环水</w:t>
                  </w:r>
                </w:p>
              </w:tc>
              <w:tc>
                <w:tcPr>
                  <w:tcW w:w="1640" w:type="dxa"/>
                  <w:gridSpan w:val="2"/>
                  <w:vMerge w:val="continue"/>
                  <w:tcBorders>
                    <w:top w:val="nil"/>
                  </w:tcBorders>
                  <w:noWrap w:val="0"/>
                  <w:vAlign w:val="center"/>
                </w:tcPr>
                <w:p w14:paraId="5FFC0F61">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b/>
                      <w:bCs/>
                      <w:color w:val="auto"/>
                      <w:sz w:val="21"/>
                      <w:szCs w:val="21"/>
                      <w:vertAlign w:val="baseline"/>
                      <w:lang w:val="en-US" w:eastAsia="zh-CN"/>
                    </w:rPr>
                  </w:pPr>
                </w:p>
              </w:tc>
              <w:tc>
                <w:tcPr>
                  <w:tcW w:w="1462" w:type="dxa"/>
                  <w:gridSpan w:val="2"/>
                  <w:vMerge w:val="continue"/>
                  <w:tcBorders>
                    <w:top w:val="nil"/>
                  </w:tcBorders>
                  <w:noWrap w:val="0"/>
                  <w:vAlign w:val="center"/>
                </w:tcPr>
                <w:p w14:paraId="677572F3">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b/>
                      <w:bCs/>
                      <w:color w:val="auto"/>
                      <w:sz w:val="21"/>
                      <w:szCs w:val="21"/>
                      <w:vertAlign w:val="baseline"/>
                      <w:lang w:val="en-US" w:eastAsia="zh-CN"/>
                    </w:rPr>
                  </w:pPr>
                </w:p>
              </w:tc>
              <w:tc>
                <w:tcPr>
                  <w:tcW w:w="981" w:type="dxa"/>
                  <w:vMerge w:val="continue"/>
                  <w:tcBorders>
                    <w:top w:val="nil"/>
                    <w:bottom w:val="nil"/>
                    <w:right w:val="single" w:color="000000" w:sz="10" w:space="0"/>
                  </w:tcBorders>
                  <w:noWrap w:val="0"/>
                  <w:vAlign w:val="center"/>
                </w:tcPr>
                <w:p w14:paraId="33264305">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p>
              </w:tc>
            </w:tr>
            <w:tr w14:paraId="24F76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473" w:type="dxa"/>
                  <w:vMerge w:val="continue"/>
                  <w:tcBorders>
                    <w:top w:val="nil"/>
                    <w:left w:val="single" w:color="000000" w:sz="10" w:space="0"/>
                  </w:tcBorders>
                  <w:noWrap w:val="0"/>
                  <w:textDirection w:val="tbRlV"/>
                  <w:vAlign w:val="center"/>
                </w:tcPr>
                <w:p w14:paraId="60463A8B">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p>
              </w:tc>
              <w:tc>
                <w:tcPr>
                  <w:tcW w:w="1376" w:type="dxa"/>
                  <w:gridSpan w:val="2"/>
                  <w:vMerge w:val="continue"/>
                  <w:tcBorders>
                    <w:top w:val="nil"/>
                  </w:tcBorders>
                  <w:noWrap w:val="0"/>
                  <w:vAlign w:val="center"/>
                </w:tcPr>
                <w:p w14:paraId="35824494">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p>
              </w:tc>
              <w:tc>
                <w:tcPr>
                  <w:tcW w:w="760" w:type="dxa"/>
                  <w:noWrap w:val="0"/>
                  <w:vAlign w:val="center"/>
                </w:tcPr>
                <w:p w14:paraId="2C0E29AD">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m³</w:t>
                  </w:r>
                  <w:r>
                    <w:rPr>
                      <w:rFonts w:hint="default" w:ascii="Times New Roman" w:hAnsi="Times New Roman" w:cs="Times New Roman"/>
                      <w:b/>
                      <w:bCs/>
                      <w:color w:val="auto"/>
                      <w:sz w:val="21"/>
                      <w:szCs w:val="21"/>
                      <w:vertAlign w:val="baseline"/>
                      <w:lang w:val="en-US" w:eastAsia="zh-CN"/>
                    </w:rPr>
                    <w:t>/d</w:t>
                  </w:r>
                </w:p>
              </w:tc>
              <w:tc>
                <w:tcPr>
                  <w:tcW w:w="798" w:type="dxa"/>
                  <w:noWrap w:val="0"/>
                  <w:vAlign w:val="center"/>
                </w:tcPr>
                <w:p w14:paraId="7A41405A">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m³</w:t>
                  </w:r>
                  <w:r>
                    <w:rPr>
                      <w:rFonts w:hint="default" w:ascii="Times New Roman" w:hAnsi="Times New Roman" w:cs="Times New Roman"/>
                      <w:b/>
                      <w:bCs/>
                      <w:color w:val="auto"/>
                      <w:sz w:val="21"/>
                      <w:szCs w:val="21"/>
                      <w:vertAlign w:val="baseline"/>
                      <w:lang w:val="en-US" w:eastAsia="zh-CN"/>
                    </w:rPr>
                    <w:t>/a</w:t>
                  </w:r>
                </w:p>
              </w:tc>
              <w:tc>
                <w:tcPr>
                  <w:tcW w:w="928" w:type="dxa"/>
                  <w:noWrap w:val="0"/>
                  <w:vAlign w:val="center"/>
                </w:tcPr>
                <w:p w14:paraId="61AAB73D">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m³</w:t>
                  </w:r>
                  <w:r>
                    <w:rPr>
                      <w:rFonts w:hint="default" w:ascii="Times New Roman" w:hAnsi="Times New Roman" w:cs="Times New Roman"/>
                      <w:b/>
                      <w:bCs/>
                      <w:color w:val="auto"/>
                      <w:sz w:val="21"/>
                      <w:szCs w:val="21"/>
                      <w:vertAlign w:val="baseline"/>
                      <w:lang w:val="en-US" w:eastAsia="zh-CN"/>
                    </w:rPr>
                    <w:t>/h</w:t>
                  </w:r>
                </w:p>
              </w:tc>
              <w:tc>
                <w:tcPr>
                  <w:tcW w:w="819" w:type="dxa"/>
                  <w:noWrap w:val="0"/>
                  <w:vAlign w:val="center"/>
                </w:tcPr>
                <w:p w14:paraId="23FA5119">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m³</w:t>
                  </w:r>
                  <w:r>
                    <w:rPr>
                      <w:rFonts w:hint="default" w:ascii="Times New Roman" w:hAnsi="Times New Roman" w:cs="Times New Roman"/>
                      <w:b/>
                      <w:bCs/>
                      <w:color w:val="auto"/>
                      <w:sz w:val="21"/>
                      <w:szCs w:val="21"/>
                      <w:vertAlign w:val="baseline"/>
                      <w:lang w:val="en-US" w:eastAsia="zh-CN"/>
                    </w:rPr>
                    <w:t>/d</w:t>
                  </w:r>
                </w:p>
              </w:tc>
              <w:tc>
                <w:tcPr>
                  <w:tcW w:w="821" w:type="dxa"/>
                  <w:noWrap w:val="0"/>
                  <w:vAlign w:val="center"/>
                </w:tcPr>
                <w:p w14:paraId="77F6366D">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m³</w:t>
                  </w:r>
                  <w:r>
                    <w:rPr>
                      <w:rFonts w:hint="default" w:ascii="Times New Roman" w:hAnsi="Times New Roman" w:cs="Times New Roman"/>
                      <w:b/>
                      <w:bCs/>
                      <w:color w:val="auto"/>
                      <w:sz w:val="21"/>
                      <w:szCs w:val="21"/>
                      <w:vertAlign w:val="baseline"/>
                      <w:lang w:val="en-US" w:eastAsia="zh-CN"/>
                    </w:rPr>
                    <w:t>/a</w:t>
                  </w:r>
                </w:p>
              </w:tc>
              <w:tc>
                <w:tcPr>
                  <w:tcW w:w="760" w:type="dxa"/>
                  <w:noWrap w:val="0"/>
                  <w:vAlign w:val="center"/>
                </w:tcPr>
                <w:p w14:paraId="0B962FC2">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m³</w:t>
                  </w:r>
                  <w:r>
                    <w:rPr>
                      <w:rFonts w:hint="default" w:ascii="Times New Roman" w:hAnsi="Times New Roman" w:cs="Times New Roman"/>
                      <w:b/>
                      <w:bCs/>
                      <w:color w:val="auto"/>
                      <w:sz w:val="21"/>
                      <w:szCs w:val="21"/>
                      <w:vertAlign w:val="baseline"/>
                      <w:lang w:val="en-US" w:eastAsia="zh-CN"/>
                    </w:rPr>
                    <w:t>/d</w:t>
                  </w:r>
                </w:p>
              </w:tc>
              <w:tc>
                <w:tcPr>
                  <w:tcW w:w="702" w:type="dxa"/>
                  <w:noWrap w:val="0"/>
                  <w:vAlign w:val="center"/>
                </w:tcPr>
                <w:p w14:paraId="61E611B1">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m³</w:t>
                  </w:r>
                  <w:r>
                    <w:rPr>
                      <w:rFonts w:hint="default" w:ascii="Times New Roman" w:hAnsi="Times New Roman" w:cs="Times New Roman"/>
                      <w:b/>
                      <w:bCs/>
                      <w:color w:val="auto"/>
                      <w:sz w:val="21"/>
                      <w:szCs w:val="21"/>
                      <w:vertAlign w:val="baseline"/>
                      <w:lang w:val="en-US" w:eastAsia="zh-CN"/>
                    </w:rPr>
                    <w:t>/a</w:t>
                  </w:r>
                </w:p>
              </w:tc>
              <w:tc>
                <w:tcPr>
                  <w:tcW w:w="981" w:type="dxa"/>
                  <w:vMerge w:val="continue"/>
                  <w:tcBorders>
                    <w:top w:val="nil"/>
                    <w:right w:val="single" w:color="000000" w:sz="10" w:space="0"/>
                  </w:tcBorders>
                  <w:noWrap w:val="0"/>
                  <w:vAlign w:val="center"/>
                </w:tcPr>
                <w:p w14:paraId="1C500048">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p>
              </w:tc>
            </w:tr>
            <w:tr w14:paraId="63571B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473" w:type="dxa"/>
                  <w:tcBorders>
                    <w:left w:val="single" w:color="000000" w:sz="10" w:space="0"/>
                  </w:tcBorders>
                  <w:noWrap w:val="0"/>
                  <w:vAlign w:val="center"/>
                </w:tcPr>
                <w:p w14:paraId="487D30FE">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p>
                <w:p w14:paraId="37205CEF">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688" w:type="dxa"/>
                  <w:noWrap w:val="0"/>
                  <w:vAlign w:val="center"/>
                </w:tcPr>
                <w:p w14:paraId="04F2EE5D">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生产用水</w:t>
                  </w:r>
                </w:p>
              </w:tc>
              <w:tc>
                <w:tcPr>
                  <w:tcW w:w="688" w:type="dxa"/>
                  <w:noWrap w:val="0"/>
                  <w:vAlign w:val="center"/>
                </w:tcPr>
                <w:p w14:paraId="4FF31B18">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冷却用水</w:t>
                  </w:r>
                </w:p>
              </w:tc>
              <w:tc>
                <w:tcPr>
                  <w:tcW w:w="760" w:type="dxa"/>
                  <w:noWrap w:val="0"/>
                  <w:vAlign w:val="center"/>
                </w:tcPr>
                <w:p w14:paraId="2CDC079A">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0.024</w:t>
                  </w:r>
                </w:p>
              </w:tc>
              <w:tc>
                <w:tcPr>
                  <w:tcW w:w="798" w:type="dxa"/>
                  <w:noWrap w:val="0"/>
                  <w:vAlign w:val="center"/>
                </w:tcPr>
                <w:p w14:paraId="7B34B731">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7.92</w:t>
                  </w:r>
                </w:p>
              </w:tc>
              <w:tc>
                <w:tcPr>
                  <w:tcW w:w="928" w:type="dxa"/>
                  <w:noWrap w:val="0"/>
                  <w:vAlign w:val="center"/>
                </w:tcPr>
                <w:p w14:paraId="602A1A21">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w:t>
                  </w:r>
                </w:p>
              </w:tc>
              <w:tc>
                <w:tcPr>
                  <w:tcW w:w="819" w:type="dxa"/>
                  <w:noWrap w:val="0"/>
                  <w:vAlign w:val="center"/>
                </w:tcPr>
                <w:p w14:paraId="3EFE5E2C">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0.024</w:t>
                  </w:r>
                </w:p>
              </w:tc>
              <w:tc>
                <w:tcPr>
                  <w:tcW w:w="821" w:type="dxa"/>
                  <w:noWrap w:val="0"/>
                  <w:vAlign w:val="center"/>
                </w:tcPr>
                <w:p w14:paraId="6C8A6B77">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7.92</w:t>
                  </w:r>
                </w:p>
              </w:tc>
              <w:tc>
                <w:tcPr>
                  <w:tcW w:w="760" w:type="dxa"/>
                  <w:noWrap w:val="0"/>
                  <w:vAlign w:val="center"/>
                </w:tcPr>
                <w:p w14:paraId="3BA02E9B">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w:t>
                  </w:r>
                </w:p>
              </w:tc>
              <w:tc>
                <w:tcPr>
                  <w:tcW w:w="702" w:type="dxa"/>
                  <w:noWrap w:val="0"/>
                  <w:vAlign w:val="center"/>
                </w:tcPr>
                <w:p w14:paraId="0DF5FE69">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w:t>
                  </w:r>
                </w:p>
              </w:tc>
              <w:tc>
                <w:tcPr>
                  <w:tcW w:w="981" w:type="dxa"/>
                  <w:tcBorders>
                    <w:right w:val="single" w:color="000000" w:sz="10" w:space="0"/>
                  </w:tcBorders>
                  <w:noWrap w:val="0"/>
                  <w:vAlign w:val="center"/>
                </w:tcPr>
                <w:p w14:paraId="0B94B7A1">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循环使</w:t>
                  </w:r>
                </w:p>
                <w:p w14:paraId="1FED9421">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用不外排</w:t>
                  </w:r>
                </w:p>
              </w:tc>
            </w:tr>
            <w:tr w14:paraId="0FC194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8" w:hRule="atLeast"/>
              </w:trPr>
              <w:tc>
                <w:tcPr>
                  <w:tcW w:w="473" w:type="dxa"/>
                  <w:tcBorders>
                    <w:left w:val="single" w:color="000000" w:sz="10" w:space="0"/>
                  </w:tcBorders>
                  <w:noWrap w:val="0"/>
                  <w:vAlign w:val="center"/>
                </w:tcPr>
                <w:p w14:paraId="5515D21B">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p>
                <w:p w14:paraId="0F4EE430">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p>
                <w:p w14:paraId="1414A160">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c>
                <w:tcPr>
                  <w:tcW w:w="688" w:type="dxa"/>
                  <w:noWrap w:val="0"/>
                  <w:vAlign w:val="center"/>
                </w:tcPr>
                <w:p w14:paraId="4F4A2163">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职工生活</w:t>
                  </w:r>
                </w:p>
              </w:tc>
              <w:tc>
                <w:tcPr>
                  <w:tcW w:w="688" w:type="dxa"/>
                  <w:noWrap w:val="0"/>
                  <w:vAlign w:val="center"/>
                </w:tcPr>
                <w:p w14:paraId="79E96506">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生活用水</w:t>
                  </w:r>
                </w:p>
              </w:tc>
              <w:tc>
                <w:tcPr>
                  <w:tcW w:w="760" w:type="dxa"/>
                  <w:noWrap w:val="0"/>
                  <w:vAlign w:val="center"/>
                </w:tcPr>
                <w:p w14:paraId="2EB414A2">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0.2</w:t>
                  </w:r>
                  <w:r>
                    <w:rPr>
                      <w:rFonts w:hint="eastAsia" w:cs="Times New Roman"/>
                      <w:color w:val="auto"/>
                      <w:sz w:val="21"/>
                      <w:szCs w:val="21"/>
                      <w:vertAlign w:val="baseline"/>
                      <w:lang w:val="en-US" w:eastAsia="zh-CN"/>
                    </w:rPr>
                    <w:t>1</w:t>
                  </w:r>
                </w:p>
              </w:tc>
              <w:tc>
                <w:tcPr>
                  <w:tcW w:w="798" w:type="dxa"/>
                  <w:noWrap w:val="0"/>
                  <w:vAlign w:val="center"/>
                </w:tcPr>
                <w:p w14:paraId="49AE3015">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63</w:t>
                  </w:r>
                </w:p>
              </w:tc>
              <w:tc>
                <w:tcPr>
                  <w:tcW w:w="928" w:type="dxa"/>
                  <w:noWrap w:val="0"/>
                  <w:vAlign w:val="center"/>
                </w:tcPr>
                <w:p w14:paraId="38A877FF">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w:t>
                  </w:r>
                </w:p>
              </w:tc>
              <w:tc>
                <w:tcPr>
                  <w:tcW w:w="819" w:type="dxa"/>
                  <w:noWrap w:val="0"/>
                  <w:vAlign w:val="center"/>
                </w:tcPr>
                <w:p w14:paraId="77B95511">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w:t>
                  </w:r>
                  <w:r>
                    <w:rPr>
                      <w:rFonts w:hint="eastAsia" w:cs="Times New Roman"/>
                      <w:color w:val="auto"/>
                      <w:sz w:val="21"/>
                      <w:szCs w:val="21"/>
                      <w:vertAlign w:val="baseline"/>
                      <w:lang w:val="en-US" w:eastAsia="zh-CN"/>
                    </w:rPr>
                    <w:t>4</w:t>
                  </w:r>
                </w:p>
              </w:tc>
              <w:tc>
                <w:tcPr>
                  <w:tcW w:w="821" w:type="dxa"/>
                  <w:noWrap w:val="0"/>
                  <w:vAlign w:val="center"/>
                </w:tcPr>
                <w:p w14:paraId="588E6290">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12.6</w:t>
                  </w:r>
                </w:p>
              </w:tc>
              <w:tc>
                <w:tcPr>
                  <w:tcW w:w="760" w:type="dxa"/>
                  <w:noWrap w:val="0"/>
                  <w:vAlign w:val="center"/>
                </w:tcPr>
                <w:p w14:paraId="3D9C4E69">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0.17</w:t>
                  </w:r>
                </w:p>
              </w:tc>
              <w:tc>
                <w:tcPr>
                  <w:tcW w:w="702" w:type="dxa"/>
                  <w:noWrap w:val="0"/>
                  <w:vAlign w:val="center"/>
                </w:tcPr>
                <w:p w14:paraId="4CEB7A5D">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50.4</w:t>
                  </w:r>
                </w:p>
              </w:tc>
              <w:tc>
                <w:tcPr>
                  <w:tcW w:w="981" w:type="dxa"/>
                  <w:tcBorders>
                    <w:right w:val="single" w:color="000000" w:sz="10" w:space="0"/>
                  </w:tcBorders>
                  <w:noWrap w:val="0"/>
                  <w:vAlign w:val="center"/>
                </w:tcPr>
                <w:p w14:paraId="64040576">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经化粪池处理后排入市政污水管网</w:t>
                  </w:r>
                </w:p>
              </w:tc>
            </w:tr>
            <w:tr w14:paraId="0B307F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1849" w:type="dxa"/>
                  <w:gridSpan w:val="3"/>
                  <w:tcBorders>
                    <w:left w:val="single" w:color="000000" w:sz="10" w:space="0"/>
                    <w:bottom w:val="single" w:color="000000" w:sz="10" w:space="0"/>
                  </w:tcBorders>
                  <w:noWrap w:val="0"/>
                  <w:vAlign w:val="center"/>
                </w:tcPr>
                <w:p w14:paraId="15BAD291">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合计</w:t>
                  </w:r>
                </w:p>
              </w:tc>
              <w:tc>
                <w:tcPr>
                  <w:tcW w:w="760" w:type="dxa"/>
                  <w:tcBorders>
                    <w:bottom w:val="single" w:color="000000" w:sz="10" w:space="0"/>
                  </w:tcBorders>
                  <w:noWrap w:val="0"/>
                  <w:vAlign w:val="center"/>
                </w:tcPr>
                <w:p w14:paraId="705891E1">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w:t>
                  </w:r>
                  <w:r>
                    <w:rPr>
                      <w:rFonts w:hint="eastAsia" w:cs="Times New Roman"/>
                      <w:color w:val="auto"/>
                      <w:sz w:val="21"/>
                      <w:szCs w:val="21"/>
                      <w:vertAlign w:val="baseline"/>
                      <w:lang w:val="en-US" w:eastAsia="zh-CN"/>
                    </w:rPr>
                    <w:t>234</w:t>
                  </w:r>
                </w:p>
              </w:tc>
              <w:tc>
                <w:tcPr>
                  <w:tcW w:w="798" w:type="dxa"/>
                  <w:tcBorders>
                    <w:bottom w:val="single" w:color="000000" w:sz="10" w:space="0"/>
                  </w:tcBorders>
                  <w:noWrap w:val="0"/>
                  <w:vAlign w:val="center"/>
                </w:tcPr>
                <w:p w14:paraId="5CDE4C8A">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70.92</w:t>
                  </w:r>
                </w:p>
              </w:tc>
              <w:tc>
                <w:tcPr>
                  <w:tcW w:w="928" w:type="dxa"/>
                  <w:tcBorders>
                    <w:bottom w:val="single" w:color="000000" w:sz="10" w:space="0"/>
                  </w:tcBorders>
                  <w:noWrap w:val="0"/>
                  <w:vAlign w:val="center"/>
                </w:tcPr>
                <w:p w14:paraId="21909CF3">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w:t>
                  </w:r>
                </w:p>
              </w:tc>
              <w:tc>
                <w:tcPr>
                  <w:tcW w:w="819" w:type="dxa"/>
                  <w:tcBorders>
                    <w:bottom w:val="single" w:color="000000" w:sz="10" w:space="0"/>
                  </w:tcBorders>
                  <w:noWrap w:val="0"/>
                  <w:vAlign w:val="center"/>
                </w:tcPr>
                <w:p w14:paraId="29467980">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w:t>
                  </w:r>
                  <w:r>
                    <w:rPr>
                      <w:rFonts w:hint="eastAsia" w:cs="Times New Roman"/>
                      <w:color w:val="auto"/>
                      <w:sz w:val="21"/>
                      <w:szCs w:val="21"/>
                      <w:vertAlign w:val="baseline"/>
                      <w:lang w:val="en-US" w:eastAsia="zh-CN"/>
                    </w:rPr>
                    <w:t>64</w:t>
                  </w:r>
                </w:p>
              </w:tc>
              <w:tc>
                <w:tcPr>
                  <w:tcW w:w="821" w:type="dxa"/>
                  <w:tcBorders>
                    <w:bottom w:val="single" w:color="000000" w:sz="10" w:space="0"/>
                  </w:tcBorders>
                  <w:noWrap w:val="0"/>
                  <w:vAlign w:val="center"/>
                </w:tcPr>
                <w:p w14:paraId="25EA31CC">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19.92</w:t>
                  </w:r>
                </w:p>
              </w:tc>
              <w:tc>
                <w:tcPr>
                  <w:tcW w:w="760" w:type="dxa"/>
                  <w:tcBorders>
                    <w:bottom w:val="single" w:color="000000" w:sz="10" w:space="0"/>
                  </w:tcBorders>
                  <w:noWrap w:val="0"/>
                  <w:vAlign w:val="center"/>
                </w:tcPr>
                <w:p w14:paraId="40FDA184">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w:t>
                  </w:r>
                  <w:r>
                    <w:rPr>
                      <w:rFonts w:hint="eastAsia" w:cs="Times New Roman"/>
                      <w:color w:val="auto"/>
                      <w:sz w:val="21"/>
                      <w:szCs w:val="21"/>
                      <w:vertAlign w:val="baseline"/>
                      <w:lang w:val="en-US" w:eastAsia="zh-CN"/>
                    </w:rPr>
                    <w:t>17</w:t>
                  </w:r>
                </w:p>
              </w:tc>
              <w:tc>
                <w:tcPr>
                  <w:tcW w:w="702" w:type="dxa"/>
                  <w:tcBorders>
                    <w:bottom w:val="single" w:color="000000" w:sz="10" w:space="0"/>
                  </w:tcBorders>
                  <w:noWrap w:val="0"/>
                  <w:vAlign w:val="center"/>
                </w:tcPr>
                <w:p w14:paraId="0B466E2A">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50.4</w:t>
                  </w:r>
                </w:p>
              </w:tc>
              <w:tc>
                <w:tcPr>
                  <w:tcW w:w="981" w:type="dxa"/>
                  <w:tcBorders>
                    <w:bottom w:val="single" w:color="000000" w:sz="10" w:space="0"/>
                    <w:right w:val="single" w:color="000000" w:sz="10" w:space="0"/>
                  </w:tcBorders>
                  <w:noWrap w:val="0"/>
                  <w:vAlign w:val="center"/>
                </w:tcPr>
                <w:p w14:paraId="3EC49FE6">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r>
          </w:tbl>
          <w:p w14:paraId="5A5D35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cs="Times New Roman"/>
                <w:b/>
                <w:bCs/>
                <w:color w:val="auto"/>
                <w:sz w:val="24"/>
                <w:lang w:val="en-US" w:eastAsia="zh-CN"/>
              </w:rPr>
            </w:pPr>
            <w:r>
              <w:rPr>
                <w:rFonts w:hint="default" w:cs="Times New Roman"/>
                <w:b/>
                <w:bCs/>
                <w:color w:val="auto"/>
                <w:sz w:val="24"/>
                <w:lang w:val="en-US" w:eastAsia="zh-CN"/>
              </w:rPr>
              <w:t>7.供电</w:t>
            </w:r>
          </w:p>
          <w:p w14:paraId="648F0051">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项目用电由供电系统供给，能满足项目生产、生活的要求。</w:t>
            </w:r>
          </w:p>
          <w:p w14:paraId="1A5AC6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color w:val="auto"/>
                <w:sz w:val="24"/>
              </w:rPr>
            </w:pPr>
            <w:r>
              <w:rPr>
                <w:rFonts w:hint="eastAsia" w:cs="Times New Roman"/>
                <w:b/>
                <w:bCs/>
                <w:color w:val="auto"/>
                <w:sz w:val="24"/>
                <w:lang w:val="en-US" w:eastAsia="zh-CN"/>
              </w:rPr>
              <w:t>8</w:t>
            </w:r>
            <w:r>
              <w:rPr>
                <w:rFonts w:hint="default" w:ascii="Times New Roman" w:hAnsi="Times New Roman" w:eastAsia="宋体" w:cs="Times New Roman"/>
                <w:b/>
                <w:bCs/>
                <w:color w:val="auto"/>
                <w:sz w:val="24"/>
                <w:lang w:val="en-US" w:eastAsia="zh-CN"/>
              </w:rPr>
              <w:t>.劳动定员及工作制度</w:t>
            </w:r>
          </w:p>
          <w:p w14:paraId="20D5942F">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劳动定员：</w:t>
            </w:r>
            <w:r>
              <w:rPr>
                <w:rFonts w:hint="default" w:ascii="Times New Roman" w:hAnsi="Times New Roman" w:cs="Times New Roman"/>
                <w:color w:val="auto"/>
                <w:sz w:val="24"/>
                <w:lang w:eastAsia="zh-CN"/>
              </w:rPr>
              <w:t>项目劳动定员</w:t>
            </w:r>
            <w:r>
              <w:rPr>
                <w:rFonts w:hint="eastAsia" w:cs="Times New Roman"/>
                <w:color w:val="auto"/>
                <w:sz w:val="24"/>
                <w:lang w:val="en-US" w:eastAsia="zh-CN"/>
              </w:rPr>
              <w:t>6</w:t>
            </w:r>
            <w:r>
              <w:rPr>
                <w:rFonts w:hint="default" w:ascii="Times New Roman" w:hAnsi="Times New Roman" w:cs="Times New Roman"/>
                <w:color w:val="auto"/>
                <w:sz w:val="24"/>
                <w:lang w:val="en-US" w:eastAsia="zh-CN"/>
              </w:rPr>
              <w:t>人，</w:t>
            </w:r>
            <w:r>
              <w:rPr>
                <w:rFonts w:hint="default" w:ascii="Times New Roman" w:hAnsi="Times New Roman" w:cs="Times New Roman"/>
                <w:color w:val="auto"/>
                <w:sz w:val="24"/>
              </w:rPr>
              <w:t>厂区不提供食宿。</w:t>
            </w:r>
          </w:p>
          <w:p w14:paraId="6D52BC3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工作制度：项目年工作3</w:t>
            </w:r>
            <w:r>
              <w:rPr>
                <w:rFonts w:hint="eastAsia" w:cs="Times New Roman"/>
                <w:color w:val="auto"/>
                <w:sz w:val="24"/>
                <w:lang w:val="en-US" w:eastAsia="zh-CN"/>
              </w:rPr>
              <w:t>0</w:t>
            </w:r>
            <w:r>
              <w:rPr>
                <w:rFonts w:hint="default" w:ascii="Times New Roman" w:hAnsi="Times New Roman" w:cs="Times New Roman"/>
                <w:color w:val="auto"/>
                <w:sz w:val="24"/>
              </w:rPr>
              <w:t>0天，两班制（7:00-14:00，14:00-21:00）。</w:t>
            </w:r>
          </w:p>
          <w:p w14:paraId="0E0916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cs="Times New Roman"/>
                <w:b/>
                <w:bCs/>
                <w:color w:val="auto"/>
                <w:sz w:val="24"/>
                <w:lang w:val="en-US" w:eastAsia="zh-CN"/>
              </w:rPr>
            </w:pPr>
            <w:r>
              <w:rPr>
                <w:rFonts w:hint="default" w:cs="Times New Roman"/>
                <w:b/>
                <w:bCs/>
                <w:color w:val="auto"/>
                <w:sz w:val="24"/>
                <w:lang w:val="en-US" w:eastAsia="zh-CN"/>
              </w:rPr>
              <w:t>8.平面布置合理性</w:t>
            </w:r>
          </w:p>
          <w:p w14:paraId="3BF02B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rPr>
              <w:t>本项目拟租赁</w:t>
            </w:r>
            <w:r>
              <w:rPr>
                <w:rFonts w:hint="default" w:ascii="Times New Roman" w:hAnsi="Times New Roman" w:cs="Times New Roman"/>
                <w:color w:val="auto"/>
                <w:sz w:val="24"/>
                <w:szCs w:val="24"/>
                <w:lang w:val="en-US" w:eastAsia="zh-CN"/>
              </w:rPr>
              <w:t>院内一座</w:t>
            </w:r>
            <w:r>
              <w:rPr>
                <w:rFonts w:hint="default" w:ascii="Times New Roman" w:hAnsi="Times New Roman" w:cs="Times New Roman"/>
                <w:color w:val="auto"/>
                <w:sz w:val="24"/>
              </w:rPr>
              <w:t>现有闲置</w:t>
            </w:r>
            <w:r>
              <w:rPr>
                <w:rFonts w:hint="default" w:ascii="Times New Roman" w:hAnsi="Times New Roman" w:cs="Times New Roman"/>
                <w:color w:val="auto"/>
                <w:sz w:val="24"/>
                <w:lang w:val="en-US" w:eastAsia="zh-CN"/>
              </w:rPr>
              <w:t>厂房</w:t>
            </w:r>
            <w:r>
              <w:rPr>
                <w:rFonts w:hint="default" w:ascii="Times New Roman" w:hAnsi="Times New Roman" w:cs="Times New Roman"/>
                <w:color w:val="auto"/>
                <w:sz w:val="24"/>
                <w:szCs w:val="24"/>
                <w:lang w:val="en-US" w:eastAsia="zh-CN"/>
              </w:rPr>
              <w:t>作为生产车间，总占地面积</w:t>
            </w:r>
            <w:r>
              <w:rPr>
                <w:rFonts w:hint="eastAsia" w:cs="Times New Roman"/>
                <w:color w:val="auto"/>
                <w:sz w:val="24"/>
                <w:szCs w:val="24"/>
                <w:lang w:val="en-US" w:eastAsia="zh-CN"/>
              </w:rPr>
              <w:t>555</w:t>
            </w:r>
            <w:r>
              <w:rPr>
                <w:rFonts w:hint="default" w:ascii="Times New Roman" w:hAnsi="Times New Roman" w:cs="Times New Roman"/>
                <w:color w:val="auto"/>
                <w:sz w:val="24"/>
                <w:szCs w:val="24"/>
                <w:lang w:val="en-US" w:eastAsia="zh-CN"/>
              </w:rPr>
              <w:t>平方米。项目仅涉及生产厂房一间，厂房内分为办公区、</w:t>
            </w:r>
            <w:r>
              <w:rPr>
                <w:rFonts w:hint="default" w:ascii="Times New Roman" w:hAnsi="Times New Roman" w:cs="Times New Roman"/>
                <w:color w:val="auto"/>
                <w:sz w:val="24"/>
                <w:lang w:val="en-US" w:eastAsia="zh-CN"/>
              </w:rPr>
              <w:t>生产区、成品堆放区及原料区。</w:t>
            </w:r>
          </w:p>
          <w:p w14:paraId="5BA37F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项目进出口设置于</w:t>
            </w:r>
            <w:r>
              <w:rPr>
                <w:rFonts w:hint="eastAsia" w:cs="Times New Roman"/>
                <w:color w:val="auto"/>
                <w:sz w:val="24"/>
                <w:lang w:val="en-US" w:eastAsia="zh-CN"/>
              </w:rPr>
              <w:t>北</w:t>
            </w:r>
            <w:r>
              <w:rPr>
                <w:rFonts w:hint="default" w:ascii="Times New Roman" w:hAnsi="Times New Roman" w:cs="Times New Roman"/>
                <w:color w:val="auto"/>
                <w:sz w:val="24"/>
                <w:lang w:val="en-US" w:eastAsia="zh-CN"/>
              </w:rPr>
              <w:t>侧，厂房</w:t>
            </w:r>
            <w:r>
              <w:rPr>
                <w:rFonts w:hint="eastAsia" w:cs="Times New Roman"/>
                <w:color w:val="auto"/>
                <w:sz w:val="24"/>
                <w:lang w:val="en-US" w:eastAsia="zh-CN"/>
              </w:rPr>
              <w:t>门口东</w:t>
            </w:r>
            <w:r>
              <w:rPr>
                <w:rFonts w:hint="default" w:ascii="Times New Roman" w:hAnsi="Times New Roman" w:cs="Times New Roman"/>
                <w:color w:val="auto"/>
                <w:sz w:val="24"/>
                <w:lang w:val="en-US" w:eastAsia="zh-CN"/>
              </w:rPr>
              <w:t>侧设置办公室，西</w:t>
            </w:r>
            <w:r>
              <w:rPr>
                <w:rFonts w:hint="eastAsia" w:cs="Times New Roman"/>
                <w:color w:val="auto"/>
                <w:sz w:val="24"/>
                <w:lang w:val="en-US" w:eastAsia="zh-CN"/>
              </w:rPr>
              <w:t>南</w:t>
            </w:r>
            <w:r>
              <w:rPr>
                <w:rFonts w:hint="default" w:ascii="Times New Roman" w:hAnsi="Times New Roman" w:cs="Times New Roman"/>
                <w:color w:val="auto"/>
                <w:sz w:val="24"/>
                <w:lang w:val="en-US" w:eastAsia="zh-CN"/>
              </w:rPr>
              <w:t>侧为原料区，东南侧为生产区，各生产设备由</w:t>
            </w:r>
            <w:r>
              <w:rPr>
                <w:rFonts w:hint="eastAsia" w:cs="Times New Roman"/>
                <w:color w:val="auto"/>
                <w:sz w:val="24"/>
                <w:lang w:val="en-US" w:eastAsia="zh-CN"/>
              </w:rPr>
              <w:t>西</w:t>
            </w:r>
            <w:r>
              <w:rPr>
                <w:rFonts w:hint="default" w:ascii="Times New Roman" w:hAnsi="Times New Roman" w:cs="Times New Roman"/>
                <w:color w:val="auto"/>
                <w:sz w:val="24"/>
                <w:lang w:val="en-US" w:eastAsia="zh-CN"/>
              </w:rPr>
              <w:t>向</w:t>
            </w:r>
            <w:r>
              <w:rPr>
                <w:rFonts w:hint="eastAsia" w:cs="Times New Roman"/>
                <w:color w:val="auto"/>
                <w:sz w:val="24"/>
                <w:lang w:val="en-US" w:eastAsia="zh-CN"/>
              </w:rPr>
              <w:t>东</w:t>
            </w:r>
            <w:r>
              <w:rPr>
                <w:rFonts w:hint="default" w:ascii="Times New Roman" w:hAnsi="Times New Roman" w:cs="Times New Roman"/>
                <w:color w:val="auto"/>
                <w:sz w:val="24"/>
                <w:lang w:val="en-US" w:eastAsia="zh-CN"/>
              </w:rPr>
              <w:t>根据生产工艺依次顺向布设，成品区位于东北侧。项目各功能分区明确，生产区的布置考虑了工艺流程与物料运输方向，进行物料顺向布置。项目废气治理设施及排气筒设置于厂房</w:t>
            </w:r>
            <w:r>
              <w:rPr>
                <w:rFonts w:hint="eastAsia" w:cs="Times New Roman"/>
                <w:color w:val="auto"/>
                <w:sz w:val="24"/>
                <w:lang w:val="en-US" w:eastAsia="zh-CN"/>
              </w:rPr>
              <w:t>东北</w:t>
            </w:r>
            <w:r>
              <w:rPr>
                <w:rFonts w:hint="default" w:ascii="Times New Roman" w:hAnsi="Times New Roman" w:cs="Times New Roman"/>
                <w:color w:val="auto"/>
                <w:sz w:val="24"/>
                <w:lang w:val="en-US" w:eastAsia="zh-CN"/>
              </w:rPr>
              <w:t>侧，项目运营期产生的废气、废水、噪声及固废在采取相应环保治理设施处理后可达标排放，对外环境影响较小。</w:t>
            </w:r>
          </w:p>
          <w:p w14:paraId="0D1E5A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综上所述，从环保角度分析，项目平面布置基本合理。</w:t>
            </w:r>
            <w:r>
              <w:rPr>
                <w:rFonts w:hint="default" w:ascii="Times New Roman" w:hAnsi="Times New Roman" w:cs="Times New Roman"/>
                <w:color w:val="auto"/>
                <w:sz w:val="24"/>
              </w:rPr>
              <w:t>具体总平面布置图见附图</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w:t>
            </w:r>
          </w:p>
        </w:tc>
      </w:tr>
      <w:tr w14:paraId="17ABDD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93" w:hRule="atLeast"/>
          <w:jc w:val="center"/>
        </w:trPr>
        <w:tc>
          <w:tcPr>
            <w:tcW w:w="647" w:type="dxa"/>
            <w:noWrap w:val="0"/>
            <w:vAlign w:val="center"/>
          </w:tcPr>
          <w:p w14:paraId="6440C17B">
            <w:pPr>
              <w:pStyle w:val="27"/>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工艺流程和产排污环节</w:t>
            </w:r>
          </w:p>
        </w:tc>
        <w:tc>
          <w:tcPr>
            <w:tcW w:w="8730" w:type="dxa"/>
            <w:noWrap w:val="0"/>
            <w:vAlign w:val="top"/>
          </w:tcPr>
          <w:p w14:paraId="6F184845">
            <w:pPr>
              <w:keepNext w:val="0"/>
              <w:keepLines w:val="0"/>
              <w:pageBreakBefore w:val="0"/>
              <w:widowControl/>
              <w:numPr>
                <w:ilvl w:val="0"/>
                <w:numId w:val="7"/>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施工期工艺流程及产污环节</w:t>
            </w:r>
          </w:p>
          <w:p w14:paraId="7DAA8A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项目租赁已建成厂房安装设备进行项目建设。根据项目特点，项目施工期主要为设备安装和调试，施工期主要污染为设备调试运行过程中产生的机械噪声和设备安装时产生的少量包装固体废弃物。本项目施工工艺流程及产污环节见图 2-2。</w:t>
            </w:r>
          </w:p>
          <w:p w14:paraId="45F36006">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420" w:leftChars="200" w:right="0" w:rightChars="0"/>
              <w:jc w:val="center"/>
              <w:textAlignment w:val="auto"/>
              <w:rPr>
                <w:rFonts w:hint="default"/>
                <w:color w:val="auto"/>
                <w:position w:val="-21"/>
              </w:rPr>
            </w:pPr>
            <w:r>
              <w:rPr>
                <w:rFonts w:hint="default"/>
                <w:color w:val="auto"/>
                <w:position w:val="-21"/>
              </w:rPr>
              <w:drawing>
                <wp:inline distT="0" distB="0" distL="114300" distR="114300">
                  <wp:extent cx="2703830" cy="939165"/>
                  <wp:effectExtent l="0" t="0" r="1270" b="13335"/>
                  <wp:docPr id="15" name="图片 3"/>
                  <wp:cNvGraphicFramePr/>
                  <a:graphic xmlns:a="http://schemas.openxmlformats.org/drawingml/2006/main">
                    <a:graphicData uri="http://schemas.openxmlformats.org/drawingml/2006/picture">
                      <pic:pic xmlns:pic="http://schemas.openxmlformats.org/drawingml/2006/picture">
                        <pic:nvPicPr>
                          <pic:cNvPr id="15" name="图片 3"/>
                          <pic:cNvPicPr/>
                        </pic:nvPicPr>
                        <pic:blipFill>
                          <a:blip r:embed="rId12"/>
                          <a:stretch>
                            <a:fillRect/>
                          </a:stretch>
                        </pic:blipFill>
                        <pic:spPr>
                          <a:xfrm>
                            <a:off x="0" y="0"/>
                            <a:ext cx="2703830" cy="939165"/>
                          </a:xfrm>
                          <a:prstGeom prst="rect">
                            <a:avLst/>
                          </a:prstGeom>
                          <a:noFill/>
                          <a:ln>
                            <a:noFill/>
                          </a:ln>
                        </pic:spPr>
                      </pic:pic>
                    </a:graphicData>
                  </a:graphic>
                </wp:inline>
              </w:drawing>
            </w:r>
          </w:p>
          <w:p w14:paraId="2925B998">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420" w:leftChars="200" w:right="0" w:rightChars="0"/>
              <w:jc w:val="center"/>
              <w:textAlignment w:val="auto"/>
              <w:rPr>
                <w:rFonts w:hint="default"/>
                <w:color w:val="auto"/>
                <w:position w:val="-21"/>
                <w:lang w:val="en-US" w:eastAsia="zh-CN"/>
              </w:rPr>
            </w:pPr>
            <w:r>
              <w:rPr>
                <w:rFonts w:hint="default"/>
                <w:b/>
                <w:bCs/>
                <w:color w:val="auto"/>
                <w:spacing w:val="-3"/>
              </w:rPr>
              <w:t>图</w:t>
            </w:r>
            <w:r>
              <w:rPr>
                <w:rFonts w:hint="default"/>
                <w:color w:val="auto"/>
                <w:spacing w:val="-53"/>
              </w:rPr>
              <w:t xml:space="preserve"> </w:t>
            </w:r>
            <w:r>
              <w:rPr>
                <w:rFonts w:hint="default" w:ascii="Times New Roman" w:hAnsi="Times New Roman" w:eastAsia="Times New Roman" w:cs="Times New Roman"/>
                <w:b/>
                <w:bCs/>
                <w:color w:val="auto"/>
                <w:spacing w:val="-3"/>
              </w:rPr>
              <w:t xml:space="preserve">2-2    </w:t>
            </w:r>
            <w:r>
              <w:rPr>
                <w:rFonts w:hint="default"/>
                <w:b/>
                <w:bCs/>
                <w:color w:val="auto"/>
                <w:spacing w:val="-3"/>
              </w:rPr>
              <w:t>项目施工工艺流程及产污环节图</w:t>
            </w:r>
          </w:p>
          <w:p w14:paraId="054DE7B7">
            <w:pPr>
              <w:keepNext w:val="0"/>
              <w:keepLines w:val="0"/>
              <w:pageBreakBefore w:val="0"/>
              <w:widowControl/>
              <w:numPr>
                <w:ilvl w:val="0"/>
                <w:numId w:val="7"/>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生产工艺及产污环节流程图</w:t>
            </w:r>
          </w:p>
          <w:p w14:paraId="1FF14648">
            <w:pPr>
              <w:keepNext/>
              <w:keepLines/>
              <w:widowControl/>
              <w:suppressLineNumbers w:val="0"/>
              <w:adjustRightInd w:val="0"/>
              <w:snapToGrid w:val="0"/>
              <w:spacing w:before="0" w:beforeAutospacing="0" w:after="0" w:afterAutospacing="0" w:line="360" w:lineRule="auto"/>
              <w:ind w:left="0" w:right="0"/>
              <w:jc w:val="center"/>
              <w:outlineLvl w:val="0"/>
              <w:rPr>
                <w:rFonts w:hint="default" w:ascii="Times New Roman" w:hAnsi="Times New Roman" w:eastAsia="宋体" w:cs="Times New Roman"/>
                <w:b/>
                <w:bCs/>
                <w:color w:val="auto"/>
                <w:sz w:val="21"/>
                <w:szCs w:val="21"/>
                <w:lang w:val="en-US" w:eastAsia="zh-CN"/>
              </w:rPr>
            </w:pPr>
            <w:r>
              <w:rPr>
                <w:rFonts w:hint="default"/>
                <w:color w:val="auto"/>
                <w:position w:val="-28"/>
              </w:rPr>
              <w:drawing>
                <wp:inline distT="0" distB="0" distL="114300" distR="114300">
                  <wp:extent cx="4788535" cy="1323975"/>
                  <wp:effectExtent l="0" t="0" r="12065" b="9525"/>
                  <wp:docPr id="16" name="图片 4"/>
                  <wp:cNvGraphicFramePr/>
                  <a:graphic xmlns:a="http://schemas.openxmlformats.org/drawingml/2006/main">
                    <a:graphicData uri="http://schemas.openxmlformats.org/drawingml/2006/picture">
                      <pic:pic xmlns:pic="http://schemas.openxmlformats.org/drawingml/2006/picture">
                        <pic:nvPicPr>
                          <pic:cNvPr id="16" name="图片 4"/>
                          <pic:cNvPicPr/>
                        </pic:nvPicPr>
                        <pic:blipFill>
                          <a:blip r:embed="rId13"/>
                          <a:stretch>
                            <a:fillRect/>
                          </a:stretch>
                        </pic:blipFill>
                        <pic:spPr>
                          <a:xfrm>
                            <a:off x="0" y="0"/>
                            <a:ext cx="4788535" cy="1323975"/>
                          </a:xfrm>
                          <a:prstGeom prst="rect">
                            <a:avLst/>
                          </a:prstGeom>
                          <a:noFill/>
                          <a:ln>
                            <a:noFill/>
                          </a:ln>
                        </pic:spPr>
                      </pic:pic>
                    </a:graphicData>
                  </a:graphic>
                </wp:inline>
              </w:drawing>
            </w:r>
          </w:p>
          <w:p w14:paraId="31C5E416">
            <w:pPr>
              <w:keepNext/>
              <w:keepLines/>
              <w:widowControl/>
              <w:suppressLineNumbers w:val="0"/>
              <w:adjustRightInd w:val="0"/>
              <w:snapToGrid w:val="0"/>
              <w:spacing w:before="0" w:beforeAutospacing="0" w:after="0" w:afterAutospacing="0" w:line="360" w:lineRule="auto"/>
              <w:ind w:left="0" w:right="0"/>
              <w:jc w:val="center"/>
              <w:outlineLvl w:val="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图2-</w:t>
            </w:r>
            <w:r>
              <w:rPr>
                <w:rFonts w:hint="eastAsia" w:cs="Times New Roman"/>
                <w:b/>
                <w:bCs/>
                <w:color w:val="auto"/>
                <w:sz w:val="21"/>
                <w:szCs w:val="21"/>
                <w:lang w:val="en-US" w:eastAsia="zh-CN"/>
              </w:rPr>
              <w:t>3</w:t>
            </w:r>
            <w:r>
              <w:rPr>
                <w:rFonts w:hint="default" w:ascii="Times New Roman" w:hAnsi="Times New Roman" w:eastAsia="宋体" w:cs="Times New Roman"/>
                <w:b/>
                <w:bCs/>
                <w:color w:val="auto"/>
                <w:sz w:val="21"/>
                <w:szCs w:val="21"/>
                <w:lang w:val="en-US" w:eastAsia="zh-CN"/>
              </w:rPr>
              <w:t xml:space="preserve">   运营期工艺流程及产污环节示意图</w:t>
            </w:r>
          </w:p>
          <w:p w14:paraId="09CA98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2.工艺流程及产污环节简述</w:t>
            </w:r>
          </w:p>
          <w:p w14:paraId="1D7563C3">
            <w:pPr>
              <w:keepNext w:val="0"/>
              <w:keepLines w:val="0"/>
              <w:suppressLineNumbers w:val="0"/>
              <w:tabs>
                <w:tab w:val="left" w:pos="7980"/>
              </w:tabs>
              <w:spacing w:before="0" w:beforeAutospacing="0" w:after="0" w:afterAutospacing="0" w:line="360" w:lineRule="auto"/>
              <w:ind w:left="0" w:right="0" w:firstLine="480" w:firstLineChars="200"/>
              <w:jc w:val="left"/>
              <w:rPr>
                <w:rFonts w:hint="default" w:ascii="Times New Roman" w:hAnsi="Times New Roman" w:cs="Times New Roman"/>
                <w:bCs/>
                <w:color w:val="auto"/>
                <w:sz w:val="24"/>
                <w:lang w:eastAsia="zh-CN"/>
              </w:rPr>
            </w:pPr>
            <w:r>
              <w:rPr>
                <w:rFonts w:hint="default" w:ascii="Times New Roman" w:hAnsi="Times New Roman" w:cs="Times New Roman"/>
                <w:bCs/>
                <w:color w:val="auto"/>
                <w:sz w:val="24"/>
              </w:rPr>
              <w:t>（1）粉碎：项目外购的原料为废旧塑料泡沫板，项目设置粉碎机将回收来的废旧泡沫按要求送入干式粉碎机的进料口，在机腔体内通过叶轮高速旋转，在物料与叶片、齿盘及物料与物料之间的相互反复冲击、碰撞、切割、摩擦等综合作用下，将废泡沫粉碎成碎片，提高原料利用率。破碎后的碎片粒径为 2cm</w:t>
            </w:r>
            <w:r>
              <w:rPr>
                <w:rFonts w:hint="eastAsia" w:cs="Times New Roman"/>
                <w:bCs/>
                <w:color w:val="auto"/>
                <w:sz w:val="24"/>
                <w:lang w:eastAsia="zh-CN"/>
              </w:rPr>
              <w:t>～</w:t>
            </w:r>
            <w:r>
              <w:rPr>
                <w:rFonts w:hint="default" w:ascii="Times New Roman" w:hAnsi="Times New Roman" w:cs="Times New Roman"/>
                <w:bCs/>
                <w:color w:val="auto"/>
                <w:sz w:val="24"/>
              </w:rPr>
              <w:t>3cm</w:t>
            </w:r>
            <w:r>
              <w:rPr>
                <w:rFonts w:hint="default" w:ascii="Times New Roman" w:hAnsi="Times New Roman" w:cs="Times New Roman"/>
                <w:bCs/>
                <w:color w:val="auto"/>
                <w:sz w:val="24"/>
                <w:lang w:eastAsia="zh-CN"/>
              </w:rPr>
              <w:t>。粉碎后的原料通过管道直接吸至密闭室内暂存，粉碎工序将产生噪声及粉碎粉尘。</w:t>
            </w:r>
          </w:p>
          <w:p w14:paraId="6A1D4E11">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bCs/>
                <w:color w:val="auto"/>
                <w:sz w:val="24"/>
                <w:lang w:eastAsia="zh-CN"/>
              </w:rPr>
            </w:pPr>
            <w:r>
              <w:rPr>
                <w:rFonts w:hint="default" w:ascii="Times New Roman" w:hAnsi="Times New Roman" w:cs="Times New Roman"/>
                <w:bCs/>
                <w:color w:val="auto"/>
                <w:sz w:val="24"/>
              </w:rPr>
              <w:t>（2）热熔挤出：粉碎后的原料经管道抽至热熔机内进行热熔，根据建设单位提供的资料，本项目热熔过程的温度一般控制在 190℃-200℃之间，且加热时间较短（5min-6min），热熔机采用能源为电，当热熔温度超过 200℃时，设备会启动过热保护，自动断电降温。本项目废旧塑料泡沫主要为聚苯乙烯泡沫，其热变形温度70℃-90℃ , 废</w:t>
            </w:r>
            <w:r>
              <w:rPr>
                <w:rFonts w:hint="eastAsia" w:cs="Times New Roman"/>
                <w:bCs/>
                <w:color w:val="auto"/>
                <w:sz w:val="24"/>
                <w:lang w:eastAsia="zh-CN"/>
              </w:rPr>
              <w:t>塑料泡沫</w:t>
            </w:r>
            <w:r>
              <w:rPr>
                <w:rFonts w:hint="default" w:ascii="Times New Roman" w:hAnsi="Times New Roman" w:cs="Times New Roman"/>
                <w:bCs/>
                <w:color w:val="auto"/>
                <w:sz w:val="24"/>
              </w:rPr>
              <w:t>发生热解的温度为300℃~500℃ , 故本项目对塑料碎片加热过程中不会发生塑料裂解，不会产生多环芳烃类有机物。热熔后的物料通过热熔机口无网机头挤出，形成直径约为2.5mm 的条状。热熔、挤出工序均在热熔机中进行，主要产生挥发气体，以非甲烷总烃计</w:t>
            </w:r>
            <w:r>
              <w:rPr>
                <w:rFonts w:hint="default" w:ascii="Times New Roman" w:hAnsi="Times New Roman" w:cs="Times New Roman"/>
                <w:bCs/>
                <w:color w:val="auto"/>
                <w:sz w:val="24"/>
                <w:lang w:eastAsia="zh-CN"/>
              </w:rPr>
              <w:t>。</w:t>
            </w:r>
          </w:p>
          <w:p w14:paraId="465DD1DE">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eastAsia="zh-CN"/>
              </w:rPr>
              <w:t>（</w:t>
            </w:r>
            <w:r>
              <w:rPr>
                <w:rFonts w:hint="eastAsia" w:cs="Times New Roman"/>
                <w:bCs/>
                <w:color w:val="auto"/>
                <w:sz w:val="24"/>
                <w:lang w:val="en-US" w:eastAsia="zh-CN"/>
              </w:rPr>
              <w:t>3</w:t>
            </w:r>
            <w:r>
              <w:rPr>
                <w:rFonts w:hint="default" w:ascii="Times New Roman" w:hAnsi="Times New Roman" w:eastAsia="宋体" w:cs="Times New Roman"/>
                <w:bCs/>
                <w:color w:val="auto"/>
                <w:sz w:val="24"/>
                <w:lang w:eastAsia="zh-CN"/>
              </w:rPr>
              <w:t>）冷却：本项目设置一个</w:t>
            </w:r>
            <w:r>
              <w:rPr>
                <w:rFonts w:hint="eastAsia" w:cs="Times New Roman"/>
                <w:bCs/>
                <w:color w:val="auto"/>
                <w:sz w:val="24"/>
                <w:lang w:val="en-US" w:eastAsia="zh-CN"/>
              </w:rPr>
              <w:t>3</w:t>
            </w:r>
            <w:r>
              <w:rPr>
                <w:rFonts w:hint="default" w:ascii="Times New Roman" w:hAnsi="Times New Roman" w:eastAsia="宋体" w:cs="Times New Roman"/>
                <w:bCs/>
                <w:color w:val="auto"/>
                <w:sz w:val="24"/>
                <w:lang w:eastAsia="zh-CN"/>
              </w:rPr>
              <w:t>m×0.4m×0.3m 的冷却水槽，使用冷却水对热熔挤出的条状再生塑料进行冷却，使其快速成型，拉丝后的塑料与水进行直接接触，冷却用水循环使用不外排，定期补充损耗</w:t>
            </w:r>
            <w:r>
              <w:rPr>
                <w:rFonts w:hint="default" w:ascii="Times New Roman" w:hAnsi="Times New Roman" w:eastAsia="宋体" w:cs="Times New Roman"/>
                <w:bCs/>
                <w:color w:val="auto"/>
                <w:sz w:val="24"/>
                <w:lang w:val="en-US" w:eastAsia="zh-CN"/>
              </w:rPr>
              <w:t>。</w:t>
            </w:r>
          </w:p>
          <w:p w14:paraId="53B471BE">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w:t>
            </w:r>
            <w:r>
              <w:rPr>
                <w:rFonts w:hint="eastAsia" w:cs="Times New Roman"/>
                <w:bCs/>
                <w:color w:val="auto"/>
                <w:sz w:val="24"/>
                <w:lang w:val="en-US" w:eastAsia="zh-CN"/>
              </w:rPr>
              <w:t>4</w:t>
            </w:r>
            <w:r>
              <w:rPr>
                <w:rFonts w:hint="default" w:ascii="Times New Roman" w:hAnsi="Times New Roman" w:eastAsia="宋体" w:cs="Times New Roman"/>
                <w:bCs/>
                <w:color w:val="auto"/>
                <w:sz w:val="24"/>
                <w:lang w:val="en-US" w:eastAsia="zh-CN"/>
              </w:rPr>
              <w:t>）切粒：冷却后条状塑料进入切粒机进行切粒加工，切成3mm 左右长的塑料粒。</w:t>
            </w:r>
          </w:p>
          <w:p w14:paraId="5C040FE3">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w:t>
            </w:r>
            <w:r>
              <w:rPr>
                <w:rFonts w:hint="eastAsia" w:cs="Times New Roman"/>
                <w:bCs/>
                <w:color w:val="auto"/>
                <w:sz w:val="24"/>
                <w:lang w:val="en-US" w:eastAsia="zh-CN"/>
              </w:rPr>
              <w:t>5</w:t>
            </w:r>
            <w:r>
              <w:rPr>
                <w:rFonts w:hint="default" w:ascii="Times New Roman" w:hAnsi="Times New Roman" w:eastAsia="宋体" w:cs="Times New Roman"/>
                <w:bCs/>
                <w:color w:val="auto"/>
                <w:sz w:val="24"/>
                <w:lang w:val="en-US" w:eastAsia="zh-CN"/>
              </w:rPr>
              <w:t>）筛分：切粒后的塑料粒经切粒机下方筛分网进行筛分，大于3mm 的塑料粒为不合格品，返回热熔工序进行加工生产；小于3mm 的塑料粒即为成品</w:t>
            </w:r>
            <w:r>
              <w:rPr>
                <w:rFonts w:hint="eastAsia" w:cs="Times New Roman"/>
                <w:bCs/>
                <w:color w:val="auto"/>
                <w:sz w:val="24"/>
                <w:lang w:val="en-US" w:eastAsia="zh-CN"/>
              </w:rPr>
              <w:t>，</w:t>
            </w:r>
            <w:r>
              <w:rPr>
                <w:rFonts w:hint="default" w:ascii="Times New Roman" w:hAnsi="Times New Roman" w:eastAsia="宋体" w:cs="Times New Roman"/>
                <w:bCs/>
                <w:color w:val="auto"/>
                <w:sz w:val="24"/>
                <w:lang w:val="en-US" w:eastAsia="zh-CN"/>
              </w:rPr>
              <w:t>袋装后暂存于成品区。</w:t>
            </w:r>
          </w:p>
          <w:p w14:paraId="3BBF26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各污染物来源途径见表2-</w:t>
            </w:r>
            <w:r>
              <w:rPr>
                <w:rFonts w:hint="eastAsia" w:cs="Times New Roman"/>
                <w:bCs/>
                <w:color w:val="auto"/>
                <w:sz w:val="24"/>
                <w:lang w:val="en-US" w:eastAsia="zh-CN"/>
              </w:rPr>
              <w:t>9</w:t>
            </w:r>
            <w:r>
              <w:rPr>
                <w:rFonts w:hint="default" w:ascii="Times New Roman" w:hAnsi="Times New Roman" w:cs="Times New Roman"/>
                <w:bCs/>
                <w:color w:val="auto"/>
                <w:sz w:val="24"/>
              </w:rPr>
              <w:t>。</w:t>
            </w:r>
          </w:p>
          <w:p w14:paraId="7000A117">
            <w:pPr>
              <w:keepNext/>
              <w:keepLines/>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w:t>
            </w:r>
            <w:r>
              <w:rPr>
                <w:rFonts w:hint="eastAsia" w:cs="Times New Roman"/>
                <w:b/>
                <w:bCs/>
                <w:color w:val="auto"/>
                <w:sz w:val="21"/>
                <w:szCs w:val="21"/>
                <w:lang w:val="en-US" w:eastAsia="zh-CN"/>
              </w:rPr>
              <w:t>2-9</w:t>
            </w:r>
            <w:r>
              <w:rPr>
                <w:rFonts w:hint="default" w:ascii="Times New Roman" w:hAnsi="Times New Roman"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主要污染物一览表</w:t>
            </w:r>
          </w:p>
          <w:tbl>
            <w:tblPr>
              <w:tblStyle w:val="33"/>
              <w:tblW w:w="83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99"/>
              <w:gridCol w:w="1316"/>
              <w:gridCol w:w="1479"/>
              <w:gridCol w:w="2362"/>
              <w:gridCol w:w="1227"/>
              <w:gridCol w:w="1189"/>
            </w:tblGrid>
            <w:tr w14:paraId="452293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15" w:type="dxa"/>
                  <w:gridSpan w:val="2"/>
                  <w:tcBorders>
                    <w:tl2br w:val="nil"/>
                    <w:tr2bl w:val="nil"/>
                  </w:tcBorders>
                  <w:noWrap w:val="0"/>
                  <w:vAlign w:val="center"/>
                </w:tcPr>
                <w:p w14:paraId="25C9CEFD">
                  <w:pPr>
                    <w:pStyle w:val="128"/>
                    <w:keepNext w:val="0"/>
                    <w:keepLines w:val="0"/>
                    <w:suppressLineNumbers w:val="0"/>
                    <w:kinsoku w:val="0"/>
                    <w:overflowPunct w:val="0"/>
                    <w:spacing w:before="0" w:beforeAutospacing="0" w:after="0" w:afterAutospacing="0"/>
                    <w:ind w:left="0" w:right="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eastAsia="zh-CN"/>
                    </w:rPr>
                    <w:t>污染</w:t>
                  </w:r>
                  <w:r>
                    <w:rPr>
                      <w:rFonts w:hint="default" w:ascii="Times New Roman" w:hAnsi="Times New Roman" w:cs="Times New Roman"/>
                      <w:b/>
                      <w:bCs/>
                      <w:color w:val="auto"/>
                      <w:sz w:val="21"/>
                      <w:szCs w:val="21"/>
                    </w:rPr>
                    <w:t>类型</w:t>
                  </w:r>
                </w:p>
              </w:tc>
              <w:tc>
                <w:tcPr>
                  <w:tcW w:w="1479" w:type="dxa"/>
                  <w:tcBorders>
                    <w:tl2br w:val="nil"/>
                    <w:tr2bl w:val="nil"/>
                  </w:tcBorders>
                  <w:noWrap w:val="0"/>
                  <w:vAlign w:val="center"/>
                </w:tcPr>
                <w:p w14:paraId="4B4B4085">
                  <w:pPr>
                    <w:pStyle w:val="128"/>
                    <w:keepNext w:val="0"/>
                    <w:keepLines w:val="0"/>
                    <w:suppressLineNumbers w:val="0"/>
                    <w:kinsoku w:val="0"/>
                    <w:overflowPunct w:val="0"/>
                    <w:spacing w:before="0" w:beforeAutospacing="0" w:after="0" w:afterAutospacing="0"/>
                    <w:ind w:left="0" w:right="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产生工序</w:t>
                  </w:r>
                </w:p>
              </w:tc>
              <w:tc>
                <w:tcPr>
                  <w:tcW w:w="2362" w:type="dxa"/>
                  <w:tcBorders>
                    <w:tl2br w:val="nil"/>
                    <w:tr2bl w:val="nil"/>
                  </w:tcBorders>
                  <w:noWrap w:val="0"/>
                  <w:vAlign w:val="center"/>
                </w:tcPr>
                <w:p w14:paraId="75BA23EB">
                  <w:pPr>
                    <w:pStyle w:val="128"/>
                    <w:keepNext w:val="0"/>
                    <w:keepLines w:val="0"/>
                    <w:suppressLineNumbers w:val="0"/>
                    <w:kinsoku w:val="0"/>
                    <w:overflowPunct w:val="0"/>
                    <w:spacing w:before="0" w:beforeAutospacing="0" w:after="0" w:afterAutospacing="0"/>
                    <w:ind w:left="0" w:right="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主要污染物</w:t>
                  </w:r>
                </w:p>
              </w:tc>
              <w:tc>
                <w:tcPr>
                  <w:tcW w:w="1227" w:type="dxa"/>
                  <w:tcBorders>
                    <w:tl2br w:val="nil"/>
                    <w:tr2bl w:val="nil"/>
                  </w:tcBorders>
                  <w:noWrap w:val="0"/>
                  <w:vAlign w:val="center"/>
                </w:tcPr>
                <w:p w14:paraId="6959E550">
                  <w:pPr>
                    <w:pStyle w:val="128"/>
                    <w:keepNext w:val="0"/>
                    <w:keepLines w:val="0"/>
                    <w:suppressLineNumbers w:val="0"/>
                    <w:kinsoku w:val="0"/>
                    <w:overflowPunct w:val="0"/>
                    <w:spacing w:before="0" w:beforeAutospacing="0" w:after="0" w:afterAutospacing="0"/>
                    <w:ind w:left="0" w:right="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产生位置</w:t>
                  </w:r>
                </w:p>
              </w:tc>
              <w:tc>
                <w:tcPr>
                  <w:tcW w:w="1189" w:type="dxa"/>
                  <w:tcBorders>
                    <w:tl2br w:val="nil"/>
                    <w:tr2bl w:val="nil"/>
                  </w:tcBorders>
                  <w:noWrap w:val="0"/>
                  <w:vAlign w:val="center"/>
                </w:tcPr>
                <w:p w14:paraId="648E6EF9">
                  <w:pPr>
                    <w:pStyle w:val="128"/>
                    <w:keepNext w:val="0"/>
                    <w:keepLines w:val="0"/>
                    <w:suppressLineNumbers w:val="0"/>
                    <w:kinsoku w:val="0"/>
                    <w:overflowPunct w:val="0"/>
                    <w:spacing w:before="0" w:beforeAutospacing="0" w:after="0" w:afterAutospacing="0"/>
                    <w:ind w:left="0" w:right="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排放方式</w:t>
                  </w:r>
                </w:p>
              </w:tc>
            </w:tr>
            <w:tr w14:paraId="35F8DF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99" w:type="dxa"/>
                  <w:vMerge w:val="restart"/>
                  <w:tcBorders>
                    <w:tl2br w:val="nil"/>
                    <w:tr2bl w:val="nil"/>
                  </w:tcBorders>
                  <w:noWrap w:val="0"/>
                  <w:vAlign w:val="center"/>
                </w:tcPr>
                <w:p w14:paraId="4D5BAA5E">
                  <w:pPr>
                    <w:pStyle w:val="128"/>
                    <w:keepNext w:val="0"/>
                    <w:keepLines w:val="0"/>
                    <w:suppressLineNumbers w:val="0"/>
                    <w:kinsoku w:val="0"/>
                    <w:overflowPunct w:val="0"/>
                    <w:spacing w:before="0" w:beforeAutospacing="0" w:after="0" w:afterAutospacing="0"/>
                    <w:ind w:left="0" w:right="0"/>
                    <w:rPr>
                      <w:rFonts w:hint="default" w:ascii="Times New Roman" w:hAnsi="Times New Roman"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废气</w:t>
                  </w:r>
                </w:p>
              </w:tc>
              <w:tc>
                <w:tcPr>
                  <w:tcW w:w="1316" w:type="dxa"/>
                  <w:vMerge w:val="restart"/>
                  <w:tcBorders>
                    <w:tl2br w:val="nil"/>
                    <w:tr2bl w:val="nil"/>
                  </w:tcBorders>
                  <w:noWrap w:val="0"/>
                  <w:vAlign w:val="center"/>
                </w:tcPr>
                <w:p w14:paraId="5EBD00FD">
                  <w:pPr>
                    <w:pStyle w:val="128"/>
                    <w:keepNext w:val="0"/>
                    <w:keepLines w:val="0"/>
                    <w:suppressLineNumbers w:val="0"/>
                    <w:kinsoku w:val="0"/>
                    <w:overflowPunct w:val="0"/>
                    <w:spacing w:before="0" w:beforeAutospacing="0" w:after="0" w:afterAutospacing="0"/>
                    <w:ind w:left="0" w:right="0"/>
                    <w:rPr>
                      <w:rFonts w:hint="default" w:ascii="Times New Roman" w:hAnsi="Times New Roman"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生产废气</w:t>
                  </w:r>
                </w:p>
              </w:tc>
              <w:tc>
                <w:tcPr>
                  <w:tcW w:w="1479" w:type="dxa"/>
                  <w:tcBorders>
                    <w:tl2br w:val="nil"/>
                    <w:tr2bl w:val="nil"/>
                  </w:tcBorders>
                  <w:noWrap w:val="0"/>
                  <w:vAlign w:val="center"/>
                </w:tcPr>
                <w:p w14:paraId="5D4DC9DB">
                  <w:pPr>
                    <w:pStyle w:val="128"/>
                    <w:keepNext w:val="0"/>
                    <w:keepLines w:val="0"/>
                    <w:suppressLineNumbers w:val="0"/>
                    <w:kinsoku w:val="0"/>
                    <w:overflowPunct w:val="0"/>
                    <w:spacing w:before="0" w:beforeAutospacing="0" w:after="0" w:afterAutospacing="0"/>
                    <w:ind w:left="0" w:right="0"/>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eastAsia="zh-CN"/>
                    </w:rPr>
                    <w:t>粉碎</w:t>
                  </w:r>
                </w:p>
              </w:tc>
              <w:tc>
                <w:tcPr>
                  <w:tcW w:w="2362" w:type="dxa"/>
                  <w:tcBorders>
                    <w:tl2br w:val="nil"/>
                    <w:tr2bl w:val="nil"/>
                  </w:tcBorders>
                  <w:noWrap w:val="0"/>
                  <w:vAlign w:val="center"/>
                </w:tcPr>
                <w:p w14:paraId="36F2CC32">
                  <w:pPr>
                    <w:pStyle w:val="128"/>
                    <w:keepNext w:val="0"/>
                    <w:keepLines w:val="0"/>
                    <w:suppressLineNumbers w:val="0"/>
                    <w:kinsoku w:val="0"/>
                    <w:overflowPunct w:val="0"/>
                    <w:spacing w:before="0" w:beforeAutospacing="0" w:after="0" w:afterAutospacing="0"/>
                    <w:ind w:left="0" w:right="0"/>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z w:val="21"/>
                      <w:szCs w:val="21"/>
                      <w:lang w:val="en-US" w:eastAsia="zh-CN"/>
                    </w:rPr>
                    <w:t>颗粒物</w:t>
                  </w:r>
                </w:p>
              </w:tc>
              <w:tc>
                <w:tcPr>
                  <w:tcW w:w="1227" w:type="dxa"/>
                  <w:tcBorders>
                    <w:tl2br w:val="nil"/>
                    <w:tr2bl w:val="nil"/>
                  </w:tcBorders>
                  <w:noWrap w:val="0"/>
                  <w:vAlign w:val="center"/>
                </w:tcPr>
                <w:p w14:paraId="507180DE">
                  <w:pPr>
                    <w:pStyle w:val="128"/>
                    <w:keepNext w:val="0"/>
                    <w:keepLines w:val="0"/>
                    <w:suppressLineNumbers w:val="0"/>
                    <w:kinsoku w:val="0"/>
                    <w:overflowPunct w:val="0"/>
                    <w:spacing w:before="0" w:beforeAutospacing="0" w:after="0" w:afterAutospacing="0"/>
                    <w:ind w:left="0" w:right="0"/>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生产车间</w:t>
                  </w:r>
                </w:p>
              </w:tc>
              <w:tc>
                <w:tcPr>
                  <w:tcW w:w="1189" w:type="dxa"/>
                  <w:tcBorders>
                    <w:tl2br w:val="nil"/>
                    <w:tr2bl w:val="nil"/>
                  </w:tcBorders>
                  <w:noWrap w:val="0"/>
                  <w:vAlign w:val="center"/>
                </w:tcPr>
                <w:p w14:paraId="5B0422CC">
                  <w:pPr>
                    <w:pStyle w:val="128"/>
                    <w:keepNext w:val="0"/>
                    <w:keepLines w:val="0"/>
                    <w:suppressLineNumbers w:val="0"/>
                    <w:kinsoku w:val="0"/>
                    <w:overflowPunct w:val="0"/>
                    <w:spacing w:before="0" w:beforeAutospacing="0" w:after="0" w:afterAutospacing="0"/>
                    <w:ind w:left="0" w:right="0"/>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z w:val="21"/>
                      <w:szCs w:val="21"/>
                      <w:lang w:val="en-US" w:eastAsia="zh-CN"/>
                    </w:rPr>
                    <w:t>有组织，</w:t>
                  </w:r>
                  <w:r>
                    <w:rPr>
                      <w:rFonts w:hint="default" w:ascii="Times New Roman" w:hAnsi="Times New Roman" w:cs="Times New Roman"/>
                      <w:b w:val="0"/>
                      <w:bCs w:val="0"/>
                      <w:color w:val="auto"/>
                      <w:sz w:val="21"/>
                      <w:szCs w:val="21"/>
                      <w:lang w:eastAsia="zh-CN"/>
                    </w:rPr>
                    <w:t>间歇</w:t>
                  </w:r>
                </w:p>
              </w:tc>
            </w:tr>
            <w:tr w14:paraId="686504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99" w:type="dxa"/>
                  <w:vMerge w:val="continue"/>
                  <w:tcBorders>
                    <w:tl2br w:val="nil"/>
                    <w:tr2bl w:val="nil"/>
                  </w:tcBorders>
                  <w:noWrap w:val="0"/>
                  <w:vAlign w:val="center"/>
                </w:tcPr>
                <w:p w14:paraId="4966D60E">
                  <w:pPr>
                    <w:pStyle w:val="128"/>
                    <w:keepNext w:val="0"/>
                    <w:keepLines w:val="0"/>
                    <w:suppressLineNumbers w:val="0"/>
                    <w:kinsoku w:val="0"/>
                    <w:overflowPunct w:val="0"/>
                    <w:spacing w:before="0" w:beforeAutospacing="0" w:after="0" w:afterAutospacing="0"/>
                    <w:ind w:left="0" w:right="0"/>
                    <w:rPr>
                      <w:rFonts w:hint="default" w:ascii="Times New Roman" w:hAnsi="Times New Roman" w:cs="Times New Roman"/>
                      <w:b w:val="0"/>
                      <w:bCs w:val="0"/>
                      <w:color w:val="auto"/>
                      <w:sz w:val="21"/>
                      <w:szCs w:val="21"/>
                      <w:lang w:eastAsia="zh-CN"/>
                    </w:rPr>
                  </w:pPr>
                </w:p>
              </w:tc>
              <w:tc>
                <w:tcPr>
                  <w:tcW w:w="1316" w:type="dxa"/>
                  <w:vMerge w:val="continue"/>
                  <w:tcBorders>
                    <w:tl2br w:val="nil"/>
                    <w:tr2bl w:val="nil"/>
                  </w:tcBorders>
                  <w:noWrap w:val="0"/>
                  <w:vAlign w:val="center"/>
                </w:tcPr>
                <w:p w14:paraId="7AE6D031">
                  <w:pPr>
                    <w:pStyle w:val="128"/>
                    <w:keepNext w:val="0"/>
                    <w:keepLines w:val="0"/>
                    <w:suppressLineNumbers w:val="0"/>
                    <w:kinsoku w:val="0"/>
                    <w:overflowPunct w:val="0"/>
                    <w:spacing w:before="0" w:beforeAutospacing="0" w:after="0" w:afterAutospacing="0"/>
                    <w:ind w:left="0" w:right="0"/>
                    <w:rPr>
                      <w:rFonts w:hint="default" w:ascii="Times New Roman" w:hAnsi="Times New Roman" w:cs="Times New Roman"/>
                      <w:b w:val="0"/>
                      <w:bCs w:val="0"/>
                      <w:color w:val="auto"/>
                      <w:sz w:val="21"/>
                      <w:szCs w:val="21"/>
                      <w:lang w:eastAsia="zh-CN"/>
                    </w:rPr>
                  </w:pPr>
                </w:p>
              </w:tc>
              <w:tc>
                <w:tcPr>
                  <w:tcW w:w="1479" w:type="dxa"/>
                  <w:tcBorders>
                    <w:tl2br w:val="nil"/>
                    <w:tr2bl w:val="nil"/>
                  </w:tcBorders>
                  <w:noWrap w:val="0"/>
                  <w:vAlign w:val="center"/>
                </w:tcPr>
                <w:p w14:paraId="326AB2EC">
                  <w:pPr>
                    <w:pStyle w:val="128"/>
                    <w:keepNext w:val="0"/>
                    <w:keepLines w:val="0"/>
                    <w:suppressLineNumbers w:val="0"/>
                    <w:kinsoku w:val="0"/>
                    <w:overflowPunct w:val="0"/>
                    <w:spacing w:before="0" w:beforeAutospacing="0" w:after="0" w:afterAutospacing="0"/>
                    <w:ind w:left="0" w:right="0"/>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热熔挤出</w:t>
                  </w:r>
                </w:p>
              </w:tc>
              <w:tc>
                <w:tcPr>
                  <w:tcW w:w="2362" w:type="dxa"/>
                  <w:tcBorders>
                    <w:tl2br w:val="nil"/>
                    <w:tr2bl w:val="nil"/>
                  </w:tcBorders>
                  <w:noWrap w:val="0"/>
                  <w:vAlign w:val="center"/>
                </w:tcPr>
                <w:p w14:paraId="4636E5EF">
                  <w:pPr>
                    <w:pStyle w:val="128"/>
                    <w:keepNext w:val="0"/>
                    <w:keepLines w:val="0"/>
                    <w:suppressLineNumbers w:val="0"/>
                    <w:kinsoku w:val="0"/>
                    <w:overflowPunct w:val="0"/>
                    <w:spacing w:before="0" w:beforeAutospacing="0" w:after="0" w:afterAutospacing="0"/>
                    <w:ind w:left="0" w:right="0"/>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非甲烷总烃</w:t>
                  </w:r>
                </w:p>
              </w:tc>
              <w:tc>
                <w:tcPr>
                  <w:tcW w:w="1227" w:type="dxa"/>
                  <w:tcBorders>
                    <w:tl2br w:val="nil"/>
                    <w:tr2bl w:val="nil"/>
                  </w:tcBorders>
                  <w:noWrap w:val="0"/>
                  <w:vAlign w:val="center"/>
                </w:tcPr>
                <w:p w14:paraId="6534E1D5">
                  <w:pPr>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生产车间</w:t>
                  </w:r>
                </w:p>
              </w:tc>
              <w:tc>
                <w:tcPr>
                  <w:tcW w:w="1189" w:type="dxa"/>
                  <w:tcBorders>
                    <w:tl2br w:val="nil"/>
                    <w:tr2bl w:val="nil"/>
                  </w:tcBorders>
                  <w:noWrap w:val="0"/>
                  <w:vAlign w:val="center"/>
                </w:tcPr>
                <w:p w14:paraId="1C13280C">
                  <w:pPr>
                    <w:keepNext w:val="0"/>
                    <w:keepLines w:val="0"/>
                    <w:suppressLineNumbers w:val="0"/>
                    <w:kinsoku w:val="0"/>
                    <w:overflowPunct w:val="0"/>
                    <w:spacing w:before="0" w:beforeAutospacing="0" w:after="0" w:afterAutospacing="0"/>
                    <w:ind w:left="0" w:right="0"/>
                    <w:rPr>
                      <w:rFonts w:hint="default" w:ascii="Times New Roman" w:hAnsi="Times New Roman" w:cs="Times New Roman"/>
                      <w:b w:val="0"/>
                      <w:bCs w:val="0"/>
                      <w:color w:val="auto"/>
                      <w:sz w:val="21"/>
                      <w:szCs w:val="21"/>
                      <w:lang w:eastAsia="zh-CN"/>
                    </w:rPr>
                  </w:pPr>
                  <w:r>
                    <w:rPr>
                      <w:rFonts w:hint="default" w:ascii="Times New Roman" w:hAnsi="Times New Roman" w:cs="Times New Roman"/>
                      <w:b w:val="0"/>
                      <w:bCs w:val="0"/>
                      <w:color w:val="auto"/>
                      <w:sz w:val="21"/>
                      <w:szCs w:val="21"/>
                      <w:lang w:val="en-US" w:eastAsia="zh-CN"/>
                    </w:rPr>
                    <w:t>有组织，</w:t>
                  </w:r>
                  <w:r>
                    <w:rPr>
                      <w:rFonts w:hint="default" w:ascii="Times New Roman" w:hAnsi="Times New Roman" w:cs="Times New Roman"/>
                      <w:b w:val="0"/>
                      <w:bCs w:val="0"/>
                      <w:color w:val="auto"/>
                      <w:sz w:val="21"/>
                      <w:szCs w:val="21"/>
                      <w:lang w:eastAsia="zh-CN"/>
                    </w:rPr>
                    <w:t>间歇</w:t>
                  </w:r>
                </w:p>
              </w:tc>
            </w:tr>
            <w:tr w14:paraId="732CB7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99" w:type="dxa"/>
                  <w:vMerge w:val="restart"/>
                  <w:tcBorders>
                    <w:tl2br w:val="nil"/>
                    <w:tr2bl w:val="nil"/>
                  </w:tcBorders>
                  <w:noWrap w:val="0"/>
                  <w:vAlign w:val="center"/>
                </w:tcPr>
                <w:p w14:paraId="6A4A053E">
                  <w:pPr>
                    <w:pStyle w:val="128"/>
                    <w:keepNext w:val="0"/>
                    <w:keepLines w:val="0"/>
                    <w:suppressLineNumbers w:val="0"/>
                    <w:kinsoku w:val="0"/>
                    <w:overflowPunct w:val="0"/>
                    <w:spacing w:before="0" w:beforeAutospacing="0" w:after="0" w:afterAutospacing="0"/>
                    <w:ind w:left="0" w:right="0"/>
                    <w:rPr>
                      <w:rFonts w:hint="default" w:ascii="Times New Roman" w:hAnsi="Times New Roman"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废水</w:t>
                  </w:r>
                </w:p>
              </w:tc>
              <w:tc>
                <w:tcPr>
                  <w:tcW w:w="1316" w:type="dxa"/>
                  <w:tcBorders>
                    <w:tl2br w:val="nil"/>
                    <w:tr2bl w:val="nil"/>
                  </w:tcBorders>
                  <w:noWrap w:val="0"/>
                  <w:vAlign w:val="center"/>
                </w:tcPr>
                <w:p w14:paraId="092175E1">
                  <w:pPr>
                    <w:pStyle w:val="128"/>
                    <w:keepNext w:val="0"/>
                    <w:keepLines w:val="0"/>
                    <w:suppressLineNumbers w:val="0"/>
                    <w:kinsoku w:val="0"/>
                    <w:overflowPunct w:val="0"/>
                    <w:spacing w:before="0" w:beforeAutospacing="0" w:after="0" w:afterAutospacing="0"/>
                    <w:ind w:left="0" w:right="0"/>
                    <w:rPr>
                      <w:rFonts w:hint="default" w:ascii="Times New Roman" w:hAnsi="Times New Roman" w:cs="Times New Roman"/>
                      <w:b w:val="0"/>
                      <w:bCs w:val="0"/>
                      <w:color w:val="auto"/>
                      <w:sz w:val="21"/>
                      <w:szCs w:val="21"/>
                      <w:lang w:eastAsia="zh-CN"/>
                    </w:rPr>
                  </w:pPr>
                  <w:r>
                    <w:rPr>
                      <w:rFonts w:hint="eastAsia" w:ascii="Times New Roman" w:hAnsi="Times New Roman" w:cs="Times New Roman"/>
                      <w:b w:val="0"/>
                      <w:bCs w:val="0"/>
                      <w:color w:val="auto"/>
                      <w:sz w:val="21"/>
                      <w:szCs w:val="21"/>
                      <w:lang w:eastAsia="zh-CN"/>
                    </w:rPr>
                    <w:t>生活污水</w:t>
                  </w:r>
                </w:p>
              </w:tc>
              <w:tc>
                <w:tcPr>
                  <w:tcW w:w="1479" w:type="dxa"/>
                  <w:tcBorders>
                    <w:tl2br w:val="nil"/>
                    <w:tr2bl w:val="nil"/>
                  </w:tcBorders>
                  <w:noWrap w:val="0"/>
                  <w:vAlign w:val="center"/>
                </w:tcPr>
                <w:p w14:paraId="45C31DD6">
                  <w:pPr>
                    <w:pStyle w:val="128"/>
                    <w:keepNext w:val="0"/>
                    <w:keepLines w:val="0"/>
                    <w:suppressLineNumbers w:val="0"/>
                    <w:kinsoku w:val="0"/>
                    <w:overflowPunct w:val="0"/>
                    <w:spacing w:before="0" w:beforeAutospacing="0" w:after="0" w:afterAutospacing="0"/>
                    <w:ind w:left="0" w:right="0"/>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职工生活</w:t>
                  </w:r>
                </w:p>
              </w:tc>
              <w:tc>
                <w:tcPr>
                  <w:tcW w:w="2362" w:type="dxa"/>
                  <w:tcBorders>
                    <w:tl2br w:val="nil"/>
                    <w:tr2bl w:val="nil"/>
                  </w:tcBorders>
                  <w:noWrap w:val="0"/>
                  <w:vAlign w:val="center"/>
                </w:tcPr>
                <w:p w14:paraId="18CD7FB7">
                  <w:pPr>
                    <w:pStyle w:val="128"/>
                    <w:keepNext w:val="0"/>
                    <w:keepLines w:val="0"/>
                    <w:suppressLineNumbers w:val="0"/>
                    <w:kinsoku w:val="0"/>
                    <w:overflowPunct w:val="0"/>
                    <w:spacing w:before="0" w:beforeAutospacing="0" w:after="0" w:afterAutospacing="0"/>
                    <w:ind w:left="0" w:right="0"/>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COD 、BOD</w:t>
                  </w:r>
                  <w:r>
                    <w:rPr>
                      <w:rFonts w:hint="default" w:ascii="Times New Roman" w:hAnsi="Times New Roman" w:cs="Times New Roman"/>
                      <w:b w:val="0"/>
                      <w:bCs w:val="0"/>
                      <w:color w:val="auto"/>
                      <w:sz w:val="21"/>
                      <w:szCs w:val="21"/>
                      <w:vertAlign w:val="subscript"/>
                      <w:lang w:val="en-US" w:eastAsia="zh-CN"/>
                    </w:rPr>
                    <w:t>5</w:t>
                  </w:r>
                  <w:r>
                    <w:rPr>
                      <w:rFonts w:hint="default" w:ascii="Times New Roman" w:hAnsi="Times New Roman" w:cs="Times New Roman"/>
                      <w:b w:val="0"/>
                      <w:bCs w:val="0"/>
                      <w:color w:val="auto"/>
                      <w:sz w:val="21"/>
                      <w:szCs w:val="21"/>
                      <w:lang w:val="en-US" w:eastAsia="zh-CN"/>
                    </w:rPr>
                    <w:t xml:space="preserve"> 、NH</w:t>
                  </w:r>
                  <w:r>
                    <w:rPr>
                      <w:rFonts w:hint="default" w:ascii="Times New Roman" w:hAnsi="Times New Roman" w:cs="Times New Roman"/>
                      <w:b w:val="0"/>
                      <w:bCs w:val="0"/>
                      <w:color w:val="auto"/>
                      <w:sz w:val="21"/>
                      <w:szCs w:val="21"/>
                      <w:vertAlign w:val="subscript"/>
                      <w:lang w:val="en-US" w:eastAsia="zh-CN"/>
                    </w:rPr>
                    <w:t>3</w:t>
                  </w:r>
                  <w:r>
                    <w:rPr>
                      <w:rFonts w:hint="default" w:ascii="Times New Roman" w:hAnsi="Times New Roman" w:cs="Times New Roman"/>
                      <w:b w:val="0"/>
                      <w:bCs w:val="0"/>
                      <w:color w:val="auto"/>
                      <w:sz w:val="21"/>
                      <w:szCs w:val="21"/>
                      <w:lang w:val="en-US" w:eastAsia="zh-CN"/>
                    </w:rPr>
                    <w:t>-N 、SS 、pH</w:t>
                  </w:r>
                </w:p>
              </w:tc>
              <w:tc>
                <w:tcPr>
                  <w:tcW w:w="1227" w:type="dxa"/>
                  <w:tcBorders>
                    <w:tl2br w:val="nil"/>
                    <w:tr2bl w:val="nil"/>
                  </w:tcBorders>
                  <w:noWrap w:val="0"/>
                  <w:vAlign w:val="center"/>
                </w:tcPr>
                <w:p w14:paraId="3A9D3AC7">
                  <w:pPr>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生产车间</w:t>
                  </w:r>
                </w:p>
              </w:tc>
              <w:tc>
                <w:tcPr>
                  <w:tcW w:w="1189" w:type="dxa"/>
                  <w:tcBorders>
                    <w:tl2br w:val="nil"/>
                    <w:tr2bl w:val="nil"/>
                  </w:tcBorders>
                  <w:noWrap w:val="0"/>
                  <w:vAlign w:val="center"/>
                </w:tcPr>
                <w:p w14:paraId="66F17B38">
                  <w:pPr>
                    <w:keepNext w:val="0"/>
                    <w:keepLines w:val="0"/>
                    <w:suppressLineNumbers w:val="0"/>
                    <w:kinsoku w:val="0"/>
                    <w:overflowPunct w:val="0"/>
                    <w:spacing w:before="0" w:beforeAutospacing="0" w:after="0" w:afterAutospacing="0"/>
                    <w:ind w:left="0" w:right="0"/>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eastAsia="zh-CN"/>
                    </w:rPr>
                    <w:t>间歇</w:t>
                  </w:r>
                </w:p>
              </w:tc>
            </w:tr>
            <w:tr w14:paraId="4AC00D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99" w:type="dxa"/>
                  <w:vMerge w:val="continue"/>
                  <w:tcBorders>
                    <w:tl2br w:val="nil"/>
                    <w:tr2bl w:val="nil"/>
                  </w:tcBorders>
                  <w:noWrap w:val="0"/>
                  <w:vAlign w:val="center"/>
                </w:tcPr>
                <w:p w14:paraId="2C606F54">
                  <w:pPr>
                    <w:pStyle w:val="128"/>
                    <w:keepNext w:val="0"/>
                    <w:keepLines w:val="0"/>
                    <w:suppressLineNumbers w:val="0"/>
                    <w:kinsoku w:val="0"/>
                    <w:overflowPunct w:val="0"/>
                    <w:spacing w:before="0" w:beforeAutospacing="0" w:after="0" w:afterAutospacing="0"/>
                    <w:ind w:left="0" w:right="0"/>
                    <w:rPr>
                      <w:rFonts w:hint="default" w:ascii="Times New Roman" w:hAnsi="Times New Roman" w:cs="Times New Roman"/>
                      <w:b w:val="0"/>
                      <w:bCs w:val="0"/>
                      <w:color w:val="auto"/>
                      <w:sz w:val="21"/>
                      <w:szCs w:val="21"/>
                      <w:lang w:eastAsia="zh-CN"/>
                    </w:rPr>
                  </w:pPr>
                </w:p>
              </w:tc>
              <w:tc>
                <w:tcPr>
                  <w:tcW w:w="1316" w:type="dxa"/>
                  <w:tcBorders>
                    <w:tl2br w:val="nil"/>
                    <w:tr2bl w:val="nil"/>
                  </w:tcBorders>
                  <w:noWrap w:val="0"/>
                  <w:vAlign w:val="center"/>
                </w:tcPr>
                <w:p w14:paraId="06E5D598">
                  <w:pPr>
                    <w:pStyle w:val="128"/>
                    <w:keepNext w:val="0"/>
                    <w:keepLines w:val="0"/>
                    <w:suppressLineNumbers w:val="0"/>
                    <w:kinsoku w:val="0"/>
                    <w:overflowPunct w:val="0"/>
                    <w:spacing w:before="0" w:beforeAutospacing="0" w:after="0" w:afterAutospacing="0"/>
                    <w:ind w:left="0" w:right="0"/>
                    <w:rPr>
                      <w:rFonts w:hint="default" w:ascii="Times New Roman" w:hAnsi="Times New Roman" w:cs="Times New Roman"/>
                      <w:b w:val="0"/>
                      <w:bCs w:val="0"/>
                      <w:color w:val="auto"/>
                      <w:sz w:val="21"/>
                      <w:szCs w:val="21"/>
                      <w:lang w:eastAsia="zh-CN"/>
                    </w:rPr>
                  </w:pPr>
                  <w:r>
                    <w:rPr>
                      <w:rFonts w:hint="eastAsia" w:ascii="Times New Roman" w:hAnsi="Times New Roman" w:cs="Times New Roman"/>
                      <w:b w:val="0"/>
                      <w:bCs w:val="0"/>
                      <w:color w:val="auto"/>
                      <w:sz w:val="21"/>
                      <w:szCs w:val="21"/>
                      <w:lang w:eastAsia="zh-CN"/>
                    </w:rPr>
                    <w:t>生产废水</w:t>
                  </w:r>
                </w:p>
              </w:tc>
              <w:tc>
                <w:tcPr>
                  <w:tcW w:w="1479" w:type="dxa"/>
                  <w:tcBorders>
                    <w:tl2br w:val="nil"/>
                    <w:tr2bl w:val="nil"/>
                  </w:tcBorders>
                  <w:noWrap w:val="0"/>
                  <w:vAlign w:val="center"/>
                </w:tcPr>
                <w:p w14:paraId="68610787">
                  <w:pPr>
                    <w:pStyle w:val="128"/>
                    <w:keepNext w:val="0"/>
                    <w:keepLines w:val="0"/>
                    <w:suppressLineNumbers w:val="0"/>
                    <w:kinsoku w:val="0"/>
                    <w:overflowPunct w:val="0"/>
                    <w:spacing w:before="0" w:beforeAutospacing="0" w:after="0" w:afterAutospacing="0"/>
                    <w:ind w:left="0" w:right="0"/>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生产冷却</w:t>
                  </w:r>
                </w:p>
              </w:tc>
              <w:tc>
                <w:tcPr>
                  <w:tcW w:w="2362" w:type="dxa"/>
                  <w:tcBorders>
                    <w:tl2br w:val="nil"/>
                    <w:tr2bl w:val="nil"/>
                  </w:tcBorders>
                  <w:noWrap w:val="0"/>
                  <w:vAlign w:val="center"/>
                </w:tcPr>
                <w:p w14:paraId="1DA30097">
                  <w:pPr>
                    <w:pStyle w:val="128"/>
                    <w:keepNext w:val="0"/>
                    <w:keepLines w:val="0"/>
                    <w:suppressLineNumbers w:val="0"/>
                    <w:kinsoku w:val="0"/>
                    <w:overflowPunct w:val="0"/>
                    <w:spacing w:before="0" w:beforeAutospacing="0" w:after="0" w:afterAutospacing="0"/>
                    <w:ind w:left="0" w:right="0"/>
                    <w:rPr>
                      <w:rFonts w:hint="default" w:ascii="Times New Roman" w:hAnsi="Times New Roman" w:cs="Times New Roman"/>
                      <w:b w:val="0"/>
                      <w:bCs w:val="0"/>
                      <w:color w:val="auto"/>
                      <w:sz w:val="21"/>
                      <w:szCs w:val="21"/>
                      <w:lang w:val="en-US" w:eastAsia="zh-CN"/>
                    </w:rPr>
                  </w:pPr>
                  <w:r>
                    <w:rPr>
                      <w:rFonts w:hint="default" w:ascii="Times New Roman" w:hAnsi="Times New Roman" w:eastAsia="Times New Roman" w:cs="Times New Roman"/>
                      <w:color w:val="auto"/>
                      <w:spacing w:val="-3"/>
                      <w:sz w:val="20"/>
                      <w:szCs w:val="20"/>
                    </w:rPr>
                    <w:t>SS</w:t>
                  </w:r>
                </w:p>
              </w:tc>
              <w:tc>
                <w:tcPr>
                  <w:tcW w:w="1227" w:type="dxa"/>
                  <w:tcBorders>
                    <w:tl2br w:val="nil"/>
                    <w:tr2bl w:val="nil"/>
                  </w:tcBorders>
                  <w:noWrap w:val="0"/>
                  <w:vAlign w:val="center"/>
                </w:tcPr>
                <w:p w14:paraId="44F36762">
                  <w:pPr>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生产车间</w:t>
                  </w:r>
                </w:p>
              </w:tc>
              <w:tc>
                <w:tcPr>
                  <w:tcW w:w="1189" w:type="dxa"/>
                  <w:tcBorders>
                    <w:tl2br w:val="nil"/>
                    <w:tr2bl w:val="nil"/>
                  </w:tcBorders>
                  <w:noWrap w:val="0"/>
                  <w:vAlign w:val="center"/>
                </w:tcPr>
                <w:p w14:paraId="2FF357C0">
                  <w:pPr>
                    <w:keepNext w:val="0"/>
                    <w:keepLines w:val="0"/>
                    <w:suppressLineNumbers w:val="0"/>
                    <w:kinsoku w:val="0"/>
                    <w:overflowPunct w:val="0"/>
                    <w:spacing w:before="0" w:beforeAutospacing="0" w:after="0" w:afterAutospacing="0"/>
                    <w:ind w:left="0" w:right="0"/>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eastAsia="zh-CN"/>
                    </w:rPr>
                    <w:t>不外排</w:t>
                  </w:r>
                </w:p>
              </w:tc>
            </w:tr>
            <w:tr w14:paraId="30112F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99" w:type="dxa"/>
                  <w:vMerge w:val="restart"/>
                  <w:tcBorders>
                    <w:tl2br w:val="nil"/>
                    <w:tr2bl w:val="nil"/>
                  </w:tcBorders>
                  <w:noWrap w:val="0"/>
                  <w:vAlign w:val="center"/>
                </w:tcPr>
                <w:p w14:paraId="46E31A57">
                  <w:pPr>
                    <w:pStyle w:val="128"/>
                    <w:keepNext w:val="0"/>
                    <w:keepLines w:val="0"/>
                    <w:suppressLineNumbers w:val="0"/>
                    <w:kinsoku w:val="0"/>
                    <w:overflowPunct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w:t>
                  </w:r>
                </w:p>
              </w:tc>
              <w:tc>
                <w:tcPr>
                  <w:tcW w:w="1316" w:type="dxa"/>
                  <w:vMerge w:val="restart"/>
                  <w:tcBorders>
                    <w:tl2br w:val="nil"/>
                    <w:tr2bl w:val="nil"/>
                  </w:tcBorders>
                  <w:noWrap w:val="0"/>
                  <w:vAlign w:val="center"/>
                </w:tcPr>
                <w:p w14:paraId="1B25C5C9">
                  <w:pPr>
                    <w:pStyle w:val="128"/>
                    <w:keepNext w:val="0"/>
                    <w:keepLines w:val="0"/>
                    <w:suppressLineNumbers w:val="0"/>
                    <w:kinsoku w:val="0"/>
                    <w:overflowPunct w:val="0"/>
                    <w:spacing w:before="0" w:beforeAutospacing="0" w:after="0" w:afterAutospacing="0"/>
                    <w:ind w:left="0" w:right="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一般工业</w:t>
                  </w:r>
                </w:p>
                <w:p w14:paraId="25A353E2">
                  <w:pPr>
                    <w:pStyle w:val="128"/>
                    <w:keepNext w:val="0"/>
                    <w:keepLines w:val="0"/>
                    <w:suppressLineNumbers w:val="0"/>
                    <w:kinsoku w:val="0"/>
                    <w:overflowPunct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固废</w:t>
                  </w:r>
                </w:p>
              </w:tc>
              <w:tc>
                <w:tcPr>
                  <w:tcW w:w="1479" w:type="dxa"/>
                  <w:tcBorders>
                    <w:tl2br w:val="nil"/>
                    <w:tr2bl w:val="nil"/>
                  </w:tcBorders>
                  <w:noWrap w:val="0"/>
                  <w:vAlign w:val="center"/>
                </w:tcPr>
                <w:p w14:paraId="691A445C">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color w:val="auto"/>
                    </w:rPr>
                    <w:t>热熔</w:t>
                  </w:r>
                </w:p>
              </w:tc>
              <w:tc>
                <w:tcPr>
                  <w:tcW w:w="2362" w:type="dxa"/>
                  <w:tcBorders>
                    <w:tl2br w:val="nil"/>
                    <w:tr2bl w:val="nil"/>
                  </w:tcBorders>
                  <w:noWrap w:val="0"/>
                  <w:vAlign w:val="center"/>
                </w:tcPr>
                <w:p w14:paraId="5779F1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热熔</w:t>
                  </w:r>
                  <w:r>
                    <w:rPr>
                      <w:rFonts w:hint="default" w:ascii="Times New Roman" w:hAnsi="Times New Roman" w:cs="Times New Roman"/>
                      <w:color w:val="auto"/>
                      <w:szCs w:val="21"/>
                      <w:lang w:val="en-US" w:eastAsia="zh-CN"/>
                    </w:rPr>
                    <w:t>边角料</w:t>
                  </w:r>
                </w:p>
              </w:tc>
              <w:tc>
                <w:tcPr>
                  <w:tcW w:w="1227" w:type="dxa"/>
                  <w:tcBorders>
                    <w:tl2br w:val="nil"/>
                    <w:tr2bl w:val="nil"/>
                  </w:tcBorders>
                  <w:noWrap w:val="0"/>
                  <w:vAlign w:val="center"/>
                </w:tcPr>
                <w:p w14:paraId="232E06E7">
                  <w:pPr>
                    <w:pStyle w:val="128"/>
                    <w:keepNext w:val="0"/>
                    <w:keepLines w:val="0"/>
                    <w:suppressLineNumbers w:val="0"/>
                    <w:kinsoku w:val="0"/>
                    <w:overflowPunct w:val="0"/>
                    <w:spacing w:before="0" w:beforeAutospacing="0" w:after="0" w:afterAutospacing="0"/>
                    <w:ind w:left="0" w:right="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生产车间</w:t>
                  </w:r>
                </w:p>
              </w:tc>
              <w:tc>
                <w:tcPr>
                  <w:tcW w:w="1189" w:type="dxa"/>
                  <w:tcBorders>
                    <w:tl2br w:val="nil"/>
                    <w:tr2bl w:val="nil"/>
                  </w:tcBorders>
                  <w:noWrap w:val="0"/>
                  <w:vAlign w:val="center"/>
                </w:tcPr>
                <w:p w14:paraId="6AB36EA3">
                  <w:pPr>
                    <w:pStyle w:val="128"/>
                    <w:keepNext w:val="0"/>
                    <w:keepLines w:val="0"/>
                    <w:suppressLineNumbers w:val="0"/>
                    <w:kinsoku w:val="0"/>
                    <w:overflowPunct w:val="0"/>
                    <w:spacing w:before="0" w:beforeAutospacing="0" w:after="0" w:afterAutospacing="0"/>
                    <w:ind w:left="0" w:right="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室内，间歇</w:t>
                  </w:r>
                </w:p>
              </w:tc>
            </w:tr>
            <w:tr w14:paraId="3C4196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99" w:type="dxa"/>
                  <w:vMerge w:val="continue"/>
                  <w:tcBorders>
                    <w:tl2br w:val="nil"/>
                    <w:tr2bl w:val="nil"/>
                  </w:tcBorders>
                  <w:noWrap w:val="0"/>
                  <w:vAlign w:val="center"/>
                </w:tcPr>
                <w:p w14:paraId="05EC7BFD">
                  <w:pPr>
                    <w:pStyle w:val="128"/>
                    <w:keepNext w:val="0"/>
                    <w:keepLines w:val="0"/>
                    <w:suppressLineNumbers w:val="0"/>
                    <w:kinsoku w:val="0"/>
                    <w:overflowPunct w:val="0"/>
                    <w:spacing w:before="0" w:beforeAutospacing="0" w:after="0" w:afterAutospacing="0"/>
                    <w:ind w:left="0" w:right="0"/>
                    <w:rPr>
                      <w:rFonts w:hint="default" w:ascii="Times New Roman" w:hAnsi="Times New Roman" w:cs="Times New Roman"/>
                      <w:color w:val="auto"/>
                      <w:sz w:val="21"/>
                      <w:szCs w:val="21"/>
                    </w:rPr>
                  </w:pPr>
                </w:p>
              </w:tc>
              <w:tc>
                <w:tcPr>
                  <w:tcW w:w="1316" w:type="dxa"/>
                  <w:vMerge w:val="continue"/>
                  <w:tcBorders>
                    <w:tl2br w:val="nil"/>
                    <w:tr2bl w:val="nil"/>
                  </w:tcBorders>
                  <w:noWrap w:val="0"/>
                  <w:vAlign w:val="center"/>
                </w:tcPr>
                <w:p w14:paraId="63BF0446">
                  <w:pPr>
                    <w:pStyle w:val="128"/>
                    <w:keepNext w:val="0"/>
                    <w:keepLines w:val="0"/>
                    <w:suppressLineNumbers w:val="0"/>
                    <w:kinsoku w:val="0"/>
                    <w:overflowPunct w:val="0"/>
                    <w:spacing w:before="0" w:beforeAutospacing="0" w:after="0" w:afterAutospacing="0"/>
                    <w:ind w:left="0" w:right="0"/>
                    <w:rPr>
                      <w:rFonts w:hint="default" w:ascii="Times New Roman" w:hAnsi="Times New Roman" w:cs="Times New Roman"/>
                      <w:color w:val="auto"/>
                      <w:sz w:val="21"/>
                      <w:szCs w:val="21"/>
                      <w:lang w:eastAsia="zh-CN"/>
                    </w:rPr>
                  </w:pPr>
                </w:p>
              </w:tc>
              <w:tc>
                <w:tcPr>
                  <w:tcW w:w="1479" w:type="dxa"/>
                  <w:tcBorders>
                    <w:tl2br w:val="nil"/>
                    <w:tr2bl w:val="nil"/>
                  </w:tcBorders>
                  <w:noWrap w:val="0"/>
                  <w:vAlign w:val="center"/>
                </w:tcPr>
                <w:p w14:paraId="5705093D">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color w:val="auto"/>
                    </w:rPr>
                    <w:t>筛分</w:t>
                  </w:r>
                </w:p>
              </w:tc>
              <w:tc>
                <w:tcPr>
                  <w:tcW w:w="2362" w:type="dxa"/>
                  <w:tcBorders>
                    <w:tl2br w:val="nil"/>
                    <w:tr2bl w:val="nil"/>
                  </w:tcBorders>
                  <w:noWrap w:val="0"/>
                  <w:vAlign w:val="center"/>
                </w:tcPr>
                <w:p w14:paraId="25A85877">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不合格产品</w:t>
                  </w:r>
                </w:p>
              </w:tc>
              <w:tc>
                <w:tcPr>
                  <w:tcW w:w="1227" w:type="dxa"/>
                  <w:tcBorders>
                    <w:tl2br w:val="nil"/>
                    <w:tr2bl w:val="nil"/>
                  </w:tcBorders>
                  <w:noWrap w:val="0"/>
                  <w:vAlign w:val="center"/>
                </w:tcPr>
                <w:p w14:paraId="3093BAEC">
                  <w:pPr>
                    <w:pStyle w:val="128"/>
                    <w:keepNext w:val="0"/>
                    <w:keepLines w:val="0"/>
                    <w:suppressLineNumbers w:val="0"/>
                    <w:kinsoku w:val="0"/>
                    <w:overflowPunct w:val="0"/>
                    <w:spacing w:before="0" w:beforeAutospacing="0" w:after="0" w:afterAutospacing="0"/>
                    <w:ind w:left="0" w:right="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生产车间</w:t>
                  </w:r>
                </w:p>
              </w:tc>
              <w:tc>
                <w:tcPr>
                  <w:tcW w:w="1189" w:type="dxa"/>
                  <w:tcBorders>
                    <w:tl2br w:val="nil"/>
                    <w:tr2bl w:val="nil"/>
                  </w:tcBorders>
                  <w:noWrap w:val="0"/>
                  <w:vAlign w:val="center"/>
                </w:tcPr>
                <w:p w14:paraId="0346275C">
                  <w:pPr>
                    <w:pStyle w:val="128"/>
                    <w:keepNext w:val="0"/>
                    <w:keepLines w:val="0"/>
                    <w:suppressLineNumbers w:val="0"/>
                    <w:kinsoku w:val="0"/>
                    <w:overflowPunct w:val="0"/>
                    <w:spacing w:before="0" w:beforeAutospacing="0" w:after="0" w:afterAutospacing="0"/>
                    <w:ind w:left="0" w:right="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室内，间歇</w:t>
                  </w:r>
                </w:p>
              </w:tc>
            </w:tr>
            <w:tr w14:paraId="155D87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99" w:type="dxa"/>
                  <w:vMerge w:val="continue"/>
                  <w:tcBorders>
                    <w:tl2br w:val="nil"/>
                    <w:tr2bl w:val="nil"/>
                  </w:tcBorders>
                  <w:noWrap w:val="0"/>
                  <w:vAlign w:val="center"/>
                </w:tcPr>
                <w:p w14:paraId="7F7A47CE">
                  <w:pPr>
                    <w:pStyle w:val="128"/>
                    <w:keepNext w:val="0"/>
                    <w:keepLines w:val="0"/>
                    <w:suppressLineNumbers w:val="0"/>
                    <w:kinsoku w:val="0"/>
                    <w:overflowPunct w:val="0"/>
                    <w:spacing w:before="0" w:beforeAutospacing="0" w:after="0" w:afterAutospacing="0"/>
                    <w:ind w:left="0" w:right="0"/>
                    <w:rPr>
                      <w:rFonts w:hint="default" w:ascii="Times New Roman" w:hAnsi="Times New Roman" w:cs="Times New Roman"/>
                      <w:color w:val="auto"/>
                      <w:sz w:val="21"/>
                      <w:szCs w:val="21"/>
                    </w:rPr>
                  </w:pPr>
                </w:p>
              </w:tc>
              <w:tc>
                <w:tcPr>
                  <w:tcW w:w="1316" w:type="dxa"/>
                  <w:vMerge w:val="restart"/>
                  <w:tcBorders>
                    <w:tl2br w:val="nil"/>
                    <w:tr2bl w:val="nil"/>
                  </w:tcBorders>
                  <w:noWrap w:val="0"/>
                  <w:vAlign w:val="center"/>
                </w:tcPr>
                <w:p w14:paraId="7D01A93C">
                  <w:pPr>
                    <w:pStyle w:val="128"/>
                    <w:keepNext w:val="0"/>
                    <w:keepLines w:val="0"/>
                    <w:suppressLineNumbers w:val="0"/>
                    <w:kinsoku w:val="0"/>
                    <w:overflowPunct w:val="0"/>
                    <w:spacing w:before="0" w:beforeAutospacing="0" w:after="0" w:afterAutospacing="0"/>
                    <w:ind w:left="0" w:right="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危险废物</w:t>
                  </w:r>
                </w:p>
              </w:tc>
              <w:tc>
                <w:tcPr>
                  <w:tcW w:w="1479" w:type="dxa"/>
                  <w:tcBorders>
                    <w:tl2br w:val="nil"/>
                    <w:tr2bl w:val="nil"/>
                  </w:tcBorders>
                  <w:noWrap w:val="0"/>
                  <w:vAlign w:val="center"/>
                </w:tcPr>
                <w:p w14:paraId="0294436E">
                  <w:pPr>
                    <w:pStyle w:val="128"/>
                    <w:keepNext w:val="0"/>
                    <w:keepLines w:val="0"/>
                    <w:suppressLineNumbers w:val="0"/>
                    <w:kinsoku w:val="0"/>
                    <w:overflowPunct w:val="0"/>
                    <w:spacing w:before="0" w:beforeAutospacing="0" w:after="0" w:afterAutospacing="0"/>
                    <w:ind w:left="0" w:right="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废气处理</w:t>
                  </w:r>
                </w:p>
              </w:tc>
              <w:tc>
                <w:tcPr>
                  <w:tcW w:w="2362" w:type="dxa"/>
                  <w:tcBorders>
                    <w:tl2br w:val="nil"/>
                    <w:tr2bl w:val="nil"/>
                  </w:tcBorders>
                  <w:noWrap w:val="0"/>
                  <w:vAlign w:val="center"/>
                </w:tcPr>
                <w:p w14:paraId="29656B3A">
                  <w:pPr>
                    <w:pStyle w:val="128"/>
                    <w:keepNext w:val="0"/>
                    <w:keepLines w:val="0"/>
                    <w:suppressLineNumbers w:val="0"/>
                    <w:kinsoku w:val="0"/>
                    <w:overflowPunct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废活性炭</w:t>
                  </w:r>
                </w:p>
              </w:tc>
              <w:tc>
                <w:tcPr>
                  <w:tcW w:w="1227" w:type="dxa"/>
                  <w:tcBorders>
                    <w:tl2br w:val="nil"/>
                    <w:tr2bl w:val="nil"/>
                  </w:tcBorders>
                  <w:noWrap w:val="0"/>
                  <w:vAlign w:val="center"/>
                </w:tcPr>
                <w:p w14:paraId="294DF699">
                  <w:pPr>
                    <w:pStyle w:val="128"/>
                    <w:keepNext w:val="0"/>
                    <w:keepLines w:val="0"/>
                    <w:suppressLineNumbers w:val="0"/>
                    <w:kinsoku w:val="0"/>
                    <w:overflowPunct w:val="0"/>
                    <w:spacing w:before="0" w:beforeAutospacing="0" w:after="0" w:afterAutospacing="0"/>
                    <w:ind w:left="0" w:right="0"/>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sz w:val="21"/>
                      <w:szCs w:val="21"/>
                      <w:lang w:eastAsia="zh-CN"/>
                    </w:rPr>
                    <w:t>生产车间</w:t>
                  </w:r>
                </w:p>
              </w:tc>
              <w:tc>
                <w:tcPr>
                  <w:tcW w:w="1189" w:type="dxa"/>
                  <w:tcBorders>
                    <w:tl2br w:val="nil"/>
                    <w:tr2bl w:val="nil"/>
                  </w:tcBorders>
                  <w:noWrap w:val="0"/>
                  <w:vAlign w:val="center"/>
                </w:tcPr>
                <w:p w14:paraId="67488B93">
                  <w:pPr>
                    <w:pStyle w:val="128"/>
                    <w:keepNext w:val="0"/>
                    <w:keepLines w:val="0"/>
                    <w:suppressLineNumbers w:val="0"/>
                    <w:kinsoku w:val="0"/>
                    <w:overflowPunct w:val="0"/>
                    <w:spacing w:before="0" w:beforeAutospacing="0" w:after="0" w:afterAutospacing="0"/>
                    <w:ind w:left="0" w:right="0"/>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sz w:val="21"/>
                      <w:szCs w:val="21"/>
                      <w:lang w:eastAsia="zh-CN"/>
                    </w:rPr>
                    <w:t>室内、</w:t>
                  </w:r>
                  <w:r>
                    <w:rPr>
                      <w:rFonts w:hint="default" w:ascii="Times New Roman" w:hAnsi="Times New Roman" w:cs="Times New Roman"/>
                      <w:color w:val="auto"/>
                      <w:sz w:val="21"/>
                      <w:szCs w:val="21"/>
                    </w:rPr>
                    <w:t>间歇</w:t>
                  </w:r>
                </w:p>
              </w:tc>
            </w:tr>
            <w:tr w14:paraId="151EF5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99" w:type="dxa"/>
                  <w:vMerge w:val="continue"/>
                  <w:tcBorders>
                    <w:tl2br w:val="nil"/>
                    <w:tr2bl w:val="nil"/>
                  </w:tcBorders>
                  <w:noWrap w:val="0"/>
                  <w:vAlign w:val="center"/>
                </w:tcPr>
                <w:p w14:paraId="10CB9B3D">
                  <w:pPr>
                    <w:pStyle w:val="128"/>
                    <w:keepNext w:val="0"/>
                    <w:keepLines w:val="0"/>
                    <w:suppressLineNumbers w:val="0"/>
                    <w:kinsoku w:val="0"/>
                    <w:overflowPunct w:val="0"/>
                    <w:spacing w:before="0" w:beforeAutospacing="0" w:after="0" w:afterAutospacing="0"/>
                    <w:ind w:left="0" w:right="0"/>
                    <w:rPr>
                      <w:rFonts w:hint="default" w:ascii="Times New Roman" w:hAnsi="Times New Roman" w:cs="Times New Roman"/>
                      <w:color w:val="auto"/>
                      <w:sz w:val="21"/>
                      <w:szCs w:val="21"/>
                    </w:rPr>
                  </w:pPr>
                </w:p>
              </w:tc>
              <w:tc>
                <w:tcPr>
                  <w:tcW w:w="1316" w:type="dxa"/>
                  <w:vMerge w:val="continue"/>
                  <w:tcBorders>
                    <w:tl2br w:val="nil"/>
                    <w:tr2bl w:val="nil"/>
                  </w:tcBorders>
                  <w:noWrap w:val="0"/>
                  <w:vAlign w:val="center"/>
                </w:tcPr>
                <w:p w14:paraId="5A7C7F63">
                  <w:pPr>
                    <w:pStyle w:val="128"/>
                    <w:keepNext w:val="0"/>
                    <w:keepLines w:val="0"/>
                    <w:suppressLineNumbers w:val="0"/>
                    <w:kinsoku w:val="0"/>
                    <w:overflowPunct w:val="0"/>
                    <w:spacing w:before="0" w:beforeAutospacing="0" w:after="0" w:afterAutospacing="0"/>
                    <w:ind w:left="0" w:right="0"/>
                    <w:rPr>
                      <w:rFonts w:hint="default" w:ascii="Times New Roman" w:hAnsi="Times New Roman" w:cs="Times New Roman"/>
                      <w:color w:val="auto"/>
                      <w:sz w:val="21"/>
                      <w:szCs w:val="21"/>
                      <w:lang w:eastAsia="zh-CN"/>
                    </w:rPr>
                  </w:pPr>
                </w:p>
              </w:tc>
              <w:tc>
                <w:tcPr>
                  <w:tcW w:w="1479" w:type="dxa"/>
                  <w:tcBorders>
                    <w:tl2br w:val="nil"/>
                    <w:tr2bl w:val="nil"/>
                  </w:tcBorders>
                  <w:noWrap w:val="0"/>
                  <w:vAlign w:val="center"/>
                </w:tcPr>
                <w:p w14:paraId="06D9AA5A">
                  <w:pPr>
                    <w:pStyle w:val="128"/>
                    <w:keepNext w:val="0"/>
                    <w:keepLines w:val="0"/>
                    <w:suppressLineNumbers w:val="0"/>
                    <w:kinsoku w:val="0"/>
                    <w:overflowPunct w:val="0"/>
                    <w:spacing w:before="0" w:beforeAutospacing="0" w:after="0" w:afterAutospacing="0"/>
                    <w:ind w:left="0" w:right="0"/>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全厂</w:t>
                  </w:r>
                </w:p>
              </w:tc>
              <w:tc>
                <w:tcPr>
                  <w:tcW w:w="2362" w:type="dxa"/>
                  <w:tcBorders>
                    <w:tl2br w:val="nil"/>
                    <w:tr2bl w:val="nil"/>
                  </w:tcBorders>
                  <w:noWrap w:val="0"/>
                  <w:vAlign w:val="center"/>
                </w:tcPr>
                <w:p w14:paraId="28CE0CDB">
                  <w:pPr>
                    <w:pStyle w:val="128"/>
                    <w:keepNext w:val="0"/>
                    <w:keepLines w:val="0"/>
                    <w:suppressLineNumbers w:val="0"/>
                    <w:kinsoku w:val="0"/>
                    <w:overflowPunct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废润滑油、废油桶、含油抹布手套</w:t>
                  </w:r>
                </w:p>
              </w:tc>
              <w:tc>
                <w:tcPr>
                  <w:tcW w:w="1227" w:type="dxa"/>
                  <w:tcBorders>
                    <w:tl2br w:val="nil"/>
                    <w:tr2bl w:val="nil"/>
                  </w:tcBorders>
                  <w:noWrap w:val="0"/>
                  <w:vAlign w:val="center"/>
                </w:tcPr>
                <w:p w14:paraId="3972CB51">
                  <w:pPr>
                    <w:pStyle w:val="128"/>
                    <w:keepNext w:val="0"/>
                    <w:keepLines w:val="0"/>
                    <w:suppressLineNumbers w:val="0"/>
                    <w:kinsoku w:val="0"/>
                    <w:overflowPunct w:val="0"/>
                    <w:spacing w:before="0" w:beforeAutospacing="0" w:after="0" w:afterAutospacing="0"/>
                    <w:ind w:left="0" w:right="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生产车间</w:t>
                  </w:r>
                </w:p>
              </w:tc>
              <w:tc>
                <w:tcPr>
                  <w:tcW w:w="1189" w:type="dxa"/>
                  <w:tcBorders>
                    <w:tl2br w:val="nil"/>
                    <w:tr2bl w:val="nil"/>
                  </w:tcBorders>
                  <w:noWrap w:val="0"/>
                  <w:vAlign w:val="center"/>
                </w:tcPr>
                <w:p w14:paraId="0EBAA5E8">
                  <w:pPr>
                    <w:pStyle w:val="128"/>
                    <w:keepNext w:val="0"/>
                    <w:keepLines w:val="0"/>
                    <w:suppressLineNumbers w:val="0"/>
                    <w:kinsoku w:val="0"/>
                    <w:overflowPunct w:val="0"/>
                    <w:spacing w:before="0" w:beforeAutospacing="0" w:after="0" w:afterAutospacing="0"/>
                    <w:ind w:left="0" w:right="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室内、</w:t>
                  </w:r>
                  <w:r>
                    <w:rPr>
                      <w:rFonts w:hint="default" w:ascii="Times New Roman" w:hAnsi="Times New Roman" w:cs="Times New Roman"/>
                      <w:color w:val="auto"/>
                      <w:sz w:val="21"/>
                      <w:szCs w:val="21"/>
                    </w:rPr>
                    <w:t>间歇</w:t>
                  </w:r>
                </w:p>
              </w:tc>
            </w:tr>
            <w:tr w14:paraId="184556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15" w:type="dxa"/>
                  <w:gridSpan w:val="2"/>
                  <w:tcBorders>
                    <w:tl2br w:val="nil"/>
                    <w:tr2bl w:val="nil"/>
                  </w:tcBorders>
                  <w:noWrap w:val="0"/>
                  <w:vAlign w:val="center"/>
                </w:tcPr>
                <w:p w14:paraId="670FF351">
                  <w:pPr>
                    <w:pStyle w:val="128"/>
                    <w:keepNext w:val="0"/>
                    <w:keepLines w:val="0"/>
                    <w:suppressLineNumbers w:val="0"/>
                    <w:kinsoku w:val="0"/>
                    <w:overflowPunct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1479" w:type="dxa"/>
                  <w:tcBorders>
                    <w:tl2br w:val="nil"/>
                    <w:tr2bl w:val="nil"/>
                  </w:tcBorders>
                  <w:noWrap w:val="0"/>
                  <w:vAlign w:val="center"/>
                </w:tcPr>
                <w:p w14:paraId="1A9500BA">
                  <w:pPr>
                    <w:pStyle w:val="128"/>
                    <w:keepNext w:val="0"/>
                    <w:keepLines w:val="0"/>
                    <w:suppressLineNumbers w:val="0"/>
                    <w:kinsoku w:val="0"/>
                    <w:overflowPunct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设备运转</w:t>
                  </w:r>
                </w:p>
              </w:tc>
              <w:tc>
                <w:tcPr>
                  <w:tcW w:w="2362" w:type="dxa"/>
                  <w:tcBorders>
                    <w:tl2br w:val="nil"/>
                    <w:tr2bl w:val="nil"/>
                  </w:tcBorders>
                  <w:noWrap w:val="0"/>
                  <w:vAlign w:val="center"/>
                </w:tcPr>
                <w:p w14:paraId="1D60C850">
                  <w:pPr>
                    <w:pStyle w:val="128"/>
                    <w:keepNext w:val="0"/>
                    <w:keepLines w:val="0"/>
                    <w:suppressLineNumbers w:val="0"/>
                    <w:kinsoku w:val="0"/>
                    <w:overflowPunct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设备噪声</w:t>
                  </w:r>
                </w:p>
              </w:tc>
              <w:tc>
                <w:tcPr>
                  <w:tcW w:w="1227" w:type="dxa"/>
                  <w:tcBorders>
                    <w:tl2br w:val="nil"/>
                    <w:tr2bl w:val="nil"/>
                  </w:tcBorders>
                  <w:noWrap w:val="0"/>
                  <w:vAlign w:val="center"/>
                </w:tcPr>
                <w:p w14:paraId="3210E0D0">
                  <w:pPr>
                    <w:pStyle w:val="128"/>
                    <w:keepNext w:val="0"/>
                    <w:keepLines w:val="0"/>
                    <w:suppressLineNumbers w:val="0"/>
                    <w:kinsoku w:val="0"/>
                    <w:overflowPunct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生产车间</w:t>
                  </w:r>
                </w:p>
              </w:tc>
              <w:tc>
                <w:tcPr>
                  <w:tcW w:w="1189" w:type="dxa"/>
                  <w:tcBorders>
                    <w:tl2br w:val="nil"/>
                    <w:tr2bl w:val="nil"/>
                  </w:tcBorders>
                  <w:noWrap w:val="0"/>
                  <w:vAlign w:val="center"/>
                </w:tcPr>
                <w:p w14:paraId="0296A3B5">
                  <w:pPr>
                    <w:pStyle w:val="128"/>
                    <w:keepNext w:val="0"/>
                    <w:keepLines w:val="0"/>
                    <w:suppressLineNumbers w:val="0"/>
                    <w:kinsoku w:val="0"/>
                    <w:overflowPunct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室内、</w:t>
                  </w:r>
                  <w:r>
                    <w:rPr>
                      <w:rFonts w:hint="default" w:ascii="Times New Roman" w:hAnsi="Times New Roman" w:cs="Times New Roman"/>
                      <w:color w:val="auto"/>
                      <w:sz w:val="21"/>
                      <w:szCs w:val="21"/>
                    </w:rPr>
                    <w:t>间歇</w:t>
                  </w:r>
                </w:p>
              </w:tc>
            </w:tr>
          </w:tbl>
          <w:p w14:paraId="2E00C49A">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Cs/>
                <w:color w:val="auto"/>
                <w:szCs w:val="21"/>
              </w:rPr>
            </w:pPr>
          </w:p>
        </w:tc>
      </w:tr>
      <w:tr w14:paraId="48246D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39" w:hRule="atLeast"/>
          <w:jc w:val="center"/>
        </w:trPr>
        <w:tc>
          <w:tcPr>
            <w:tcW w:w="647" w:type="dxa"/>
            <w:noWrap w:val="0"/>
            <w:vAlign w:val="center"/>
          </w:tcPr>
          <w:p w14:paraId="1798AB60">
            <w:pPr>
              <w:pStyle w:val="27"/>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bCs/>
                <w:color w:val="auto"/>
                <w:kern w:val="2"/>
                <w:sz w:val="21"/>
                <w:szCs w:val="21"/>
              </w:rPr>
              <w:t>与项目有关的原有环境污染问题</w:t>
            </w:r>
          </w:p>
        </w:tc>
        <w:tc>
          <w:tcPr>
            <w:tcW w:w="8730" w:type="dxa"/>
            <w:tcBorders>
              <w:bottom w:val="single" w:color="auto" w:sz="4" w:space="0"/>
            </w:tcBorders>
            <w:noWrap w:val="0"/>
            <w:vAlign w:val="center"/>
          </w:tcPr>
          <w:p w14:paraId="6B8D1553">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本项目租赁宝鸡百融晟企业管理咨询有限公司标准化厂房中跨区域进行生产。根据调查，项目地原为</w:t>
            </w:r>
            <w:r>
              <w:rPr>
                <w:rFonts w:hint="eastAsia" w:cs="Times New Roman"/>
                <w:bCs/>
                <w:color w:val="auto"/>
                <w:sz w:val="24"/>
                <w:lang w:val="en-US" w:eastAsia="zh-CN"/>
              </w:rPr>
              <w:t>库房</w:t>
            </w:r>
            <w:r>
              <w:rPr>
                <w:rFonts w:hint="default" w:ascii="Times New Roman" w:hAnsi="Times New Roman" w:eastAsia="宋体" w:cs="Times New Roman"/>
                <w:bCs/>
                <w:color w:val="auto"/>
                <w:sz w:val="24"/>
                <w:lang w:val="en-US" w:eastAsia="zh-CN"/>
              </w:rPr>
              <w:t>。根据现场踏勘，项目</w:t>
            </w:r>
            <w:r>
              <w:rPr>
                <w:rFonts w:hint="eastAsia" w:cs="Times New Roman"/>
                <w:bCs/>
                <w:color w:val="auto"/>
                <w:sz w:val="24"/>
                <w:lang w:val="en-US" w:eastAsia="zh-CN"/>
              </w:rPr>
              <w:t>厂房内存放部分全新未拆封的电器设备</w:t>
            </w:r>
            <w:r>
              <w:rPr>
                <w:rFonts w:hint="default" w:ascii="Times New Roman" w:hAnsi="Times New Roman" w:eastAsia="宋体" w:cs="Times New Roman"/>
                <w:bCs/>
                <w:color w:val="auto"/>
                <w:sz w:val="24"/>
                <w:lang w:val="en-US" w:eastAsia="zh-CN"/>
              </w:rPr>
              <w:t>，不存在与项目有关的原有环境污染问题。</w:t>
            </w:r>
          </w:p>
          <w:p w14:paraId="5D85C488">
            <w:pPr>
              <w:keepNext w:val="0"/>
              <w:keepLines w:val="0"/>
              <w:suppressLineNumbers w:val="0"/>
              <w:spacing w:before="0" w:beforeAutospacing="0" w:after="0" w:afterAutospacing="0"/>
              <w:ind w:left="0" w:right="0"/>
              <w:jc w:val="both"/>
              <w:rPr>
                <w:rFonts w:hint="default" w:ascii="Times New Roman" w:hAnsi="Times New Roman" w:cs="Times New Roman"/>
                <w:color w:val="auto"/>
                <w:lang w:val="en-US" w:eastAsia="zh-CN"/>
              </w:rPr>
            </w:pPr>
          </w:p>
          <w:p w14:paraId="238D599F">
            <w:pPr>
              <w:pStyle w:val="24"/>
              <w:keepNext w:val="0"/>
              <w:keepLines w:val="0"/>
              <w:suppressLineNumbers w:val="0"/>
              <w:ind w:left="0" w:right="0"/>
              <w:rPr>
                <w:rFonts w:hint="default" w:ascii="Times New Roman" w:hAnsi="Times New Roman" w:cs="Times New Roman"/>
                <w:color w:val="auto"/>
                <w:lang w:val="en-US" w:eastAsia="zh-CN"/>
              </w:rPr>
            </w:pPr>
          </w:p>
        </w:tc>
      </w:tr>
    </w:tbl>
    <w:p w14:paraId="6DBB43BF">
      <w:pPr>
        <w:pStyle w:val="27"/>
        <w:jc w:val="center"/>
        <w:rPr>
          <w:rFonts w:hint="default" w:ascii="Times New Roman" w:hAnsi="Times New Roman" w:eastAsia="黑体" w:cs="Times New Roman"/>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0A9C2ABF">
      <w:pPr>
        <w:pStyle w:val="27"/>
        <w:adjustRightInd w:val="0"/>
        <w:snapToGrid w:val="0"/>
        <w:spacing w:before="0" w:beforeAutospacing="0" w:after="0" w:afterAutospacing="0" w:line="14" w:lineRule="auto"/>
        <w:jc w:val="center"/>
        <w:outlineLvl w:val="0"/>
        <w:rPr>
          <w:rFonts w:hint="default" w:ascii="Times New Roman" w:hAnsi="Times New Roman" w:eastAsia="黑体" w:cs="Times New Roman"/>
          <w:snapToGrid w:val="0"/>
          <w:color w:val="auto"/>
          <w:sz w:val="30"/>
          <w:szCs w:val="30"/>
        </w:rPr>
      </w:pPr>
    </w:p>
    <w:p w14:paraId="471D1221">
      <w:pPr>
        <w:pStyle w:val="27"/>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三、区域环境质量现状、环境保护目标及评价标准</w:t>
      </w:r>
    </w:p>
    <w:tbl>
      <w:tblPr>
        <w:tblStyle w:val="33"/>
        <w:tblW w:w="936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40"/>
        <w:gridCol w:w="8723"/>
      </w:tblGrid>
      <w:tr w14:paraId="50683D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74" w:hRule="atLeast"/>
          <w:jc w:val="center"/>
        </w:trPr>
        <w:tc>
          <w:tcPr>
            <w:tcW w:w="640" w:type="dxa"/>
            <w:noWrap w:val="0"/>
            <w:vAlign w:val="center"/>
          </w:tcPr>
          <w:p w14:paraId="0886A2D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区域</w:t>
            </w:r>
          </w:p>
          <w:p w14:paraId="1616876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环境</w:t>
            </w:r>
          </w:p>
          <w:p w14:paraId="4D6C2B3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质量</w:t>
            </w:r>
          </w:p>
          <w:p w14:paraId="2B99375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现状</w:t>
            </w:r>
          </w:p>
        </w:tc>
        <w:tc>
          <w:tcPr>
            <w:tcW w:w="8723" w:type="dxa"/>
            <w:noWrap w:val="0"/>
            <w:vAlign w:val="center"/>
          </w:tcPr>
          <w:p w14:paraId="133E61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一、区域环境质量现状</w:t>
            </w:r>
          </w:p>
          <w:p w14:paraId="601B88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1.环境空气质量现状</w:t>
            </w:r>
          </w:p>
          <w:p w14:paraId="03A747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val="en-US" w:eastAsia="zh-CN"/>
              </w:rPr>
              <w:t>①</w:t>
            </w:r>
            <w:r>
              <w:rPr>
                <w:rFonts w:hint="default" w:ascii="Times New Roman" w:hAnsi="Times New Roman" w:cs="Times New Roman"/>
                <w:color w:val="auto"/>
                <w:sz w:val="24"/>
                <w:szCs w:val="24"/>
                <w:lang w:eastAsia="zh-CN"/>
              </w:rPr>
              <w:t>基本污染物</w:t>
            </w:r>
          </w:p>
          <w:p w14:paraId="1E199A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w:t>
            </w:r>
            <w:r>
              <w:rPr>
                <w:rFonts w:hint="default" w:ascii="Times New Roman" w:hAnsi="Times New Roman" w:eastAsia="宋体" w:cs="Times New Roman"/>
                <w:color w:val="auto"/>
                <w:sz w:val="24"/>
                <w:szCs w:val="24"/>
                <w:lang w:eastAsia="zh-CN"/>
              </w:rPr>
              <w:t>环境影响评价技术导则 大气环境</w:t>
            </w:r>
            <w:r>
              <w:rPr>
                <w:rFonts w:hint="default" w:ascii="Times New Roman" w:hAnsi="Times New Roman" w:eastAsia="宋体" w:cs="Times New Roman"/>
                <w:color w:val="auto"/>
                <w:sz w:val="24"/>
                <w:szCs w:val="24"/>
              </w:rPr>
              <w:t>》（HJ2.2-2018）6.2.1.2“采用评价范围内国家或地方环境空气质量监测网中评价基准年连续1年的监测数据，或采用生态环境主管部门公开发布的环境空气质量现状数据”。项目所在区域</w:t>
            </w:r>
            <w:r>
              <w:rPr>
                <w:rFonts w:hint="default" w:ascii="Times New Roman" w:hAnsi="Times New Roman" w:cs="Times New Roman"/>
                <w:color w:val="auto"/>
                <w:sz w:val="24"/>
                <w:szCs w:val="24"/>
                <w:lang w:eastAsia="zh-CN"/>
              </w:rPr>
              <w:t>属于</w:t>
            </w:r>
            <w:r>
              <w:rPr>
                <w:rFonts w:hint="default" w:ascii="Times New Roman" w:hAnsi="Times New Roman" w:eastAsia="宋体" w:cs="Times New Roman"/>
                <w:color w:val="auto"/>
                <w:sz w:val="24"/>
                <w:szCs w:val="24"/>
              </w:rPr>
              <w:t>环境空气质量二类功能区。</w:t>
            </w:r>
          </w:p>
          <w:p w14:paraId="4C6E5530">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为查明项目所在地大气环境质量，本次评价基本污染物环境质量现状采用宝鸡市生态环境局办公室发布的《2025年1~12月份各县（区）空气质量状况统计》中陈仓区的统计数据，来分析项目所在地的大气环境质量现状，监测结果整理后见下表。</w:t>
            </w:r>
          </w:p>
          <w:p w14:paraId="6D14A73E">
            <w:pPr>
              <w:keepNext/>
              <w:keepLines/>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表3-1  区域空气质量现状评价表</w:t>
            </w:r>
          </w:p>
          <w:tbl>
            <w:tblPr>
              <w:tblStyle w:val="33"/>
              <w:tblW w:w="83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53"/>
              <w:gridCol w:w="3161"/>
              <w:gridCol w:w="1139"/>
              <w:gridCol w:w="1123"/>
              <w:gridCol w:w="981"/>
              <w:gridCol w:w="1119"/>
            </w:tblGrid>
            <w:tr w14:paraId="429063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4" w:hRule="atLeast"/>
                <w:jc w:val="center"/>
              </w:trPr>
              <w:tc>
                <w:tcPr>
                  <w:tcW w:w="509" w:type="pct"/>
                  <w:tcBorders>
                    <w:top w:val="single" w:color="auto" w:sz="8" w:space="0"/>
                    <w:left w:val="single" w:color="auto" w:sz="8" w:space="0"/>
                    <w:bottom w:val="single" w:color="auto" w:sz="4" w:space="0"/>
                    <w:right w:val="single" w:color="auto" w:sz="4" w:space="0"/>
                  </w:tcBorders>
                  <w:shd w:val="clear" w:color="auto" w:fill="FFFFFF"/>
                  <w:vAlign w:val="center"/>
                </w:tcPr>
                <w:p w14:paraId="3819D47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2"/>
                      <w:sz w:val="21"/>
                      <w:szCs w:val="21"/>
                      <w:lang w:val="en-US" w:eastAsia="zh-CN" w:bidi="ar"/>
                    </w:rPr>
                    <w:t>污染物</w:t>
                  </w:r>
                </w:p>
              </w:tc>
              <w:tc>
                <w:tcPr>
                  <w:tcW w:w="1885" w:type="pct"/>
                  <w:tcBorders>
                    <w:top w:val="single" w:color="auto" w:sz="8" w:space="0"/>
                    <w:left w:val="single" w:color="auto" w:sz="4" w:space="0"/>
                    <w:bottom w:val="single" w:color="auto" w:sz="4" w:space="0"/>
                    <w:right w:val="single" w:color="auto" w:sz="4" w:space="0"/>
                  </w:tcBorders>
                  <w:shd w:val="clear" w:color="auto" w:fill="FFFFFF"/>
                  <w:vAlign w:val="center"/>
                </w:tcPr>
                <w:p w14:paraId="2F38463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2"/>
                      <w:sz w:val="21"/>
                      <w:szCs w:val="21"/>
                      <w:lang w:val="en-US" w:eastAsia="zh-CN" w:bidi="ar"/>
                    </w:rPr>
                    <w:t>年评价指标</w:t>
                  </w:r>
                </w:p>
              </w:tc>
              <w:tc>
                <w:tcPr>
                  <w:tcW w:w="679" w:type="pct"/>
                  <w:tcBorders>
                    <w:top w:val="single" w:color="auto" w:sz="8" w:space="0"/>
                    <w:left w:val="single" w:color="auto" w:sz="4" w:space="0"/>
                    <w:bottom w:val="single" w:color="auto" w:sz="4" w:space="0"/>
                    <w:right w:val="single" w:color="auto" w:sz="4" w:space="0"/>
                  </w:tcBorders>
                  <w:shd w:val="clear" w:color="auto" w:fill="FFFFFF"/>
                  <w:vAlign w:val="center"/>
                </w:tcPr>
                <w:p w14:paraId="3FB0DB6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2"/>
                      <w:sz w:val="21"/>
                      <w:szCs w:val="21"/>
                      <w:lang w:val="en-US" w:eastAsia="zh-CN" w:bidi="ar"/>
                    </w:rPr>
                    <w:t>现状浓度（</w:t>
                  </w:r>
                  <w:r>
                    <w:rPr>
                      <w:rFonts w:hint="default" w:ascii="Times New Roman" w:hAnsi="Times New Roman" w:eastAsia="宋体" w:cs="Times New Roman"/>
                      <w:b/>
                      <w:bCs/>
                      <w:color w:val="auto"/>
                      <w:kern w:val="2"/>
                      <w:sz w:val="21"/>
                      <w:szCs w:val="21"/>
                      <w:lang w:val="en-US" w:eastAsia="zh-CN" w:bidi="ar"/>
                    </w:rPr>
                    <w:t>μg/m</w:t>
                  </w:r>
                  <w:r>
                    <w:rPr>
                      <w:rFonts w:hint="default" w:ascii="Times New Roman" w:hAnsi="Times New Roman" w:eastAsia="宋体" w:cs="Times New Roman"/>
                      <w:b/>
                      <w:bCs/>
                      <w:color w:val="auto"/>
                      <w:kern w:val="2"/>
                      <w:sz w:val="21"/>
                      <w:szCs w:val="21"/>
                      <w:vertAlign w:val="superscript"/>
                      <w:lang w:val="en-US" w:eastAsia="zh-CN" w:bidi="ar"/>
                    </w:rPr>
                    <w:t>3</w:t>
                  </w:r>
                  <w:r>
                    <w:rPr>
                      <w:rFonts w:hint="eastAsia" w:ascii="宋体" w:hAnsi="宋体" w:eastAsia="宋体" w:cs="宋体"/>
                      <w:b/>
                      <w:bCs/>
                      <w:color w:val="auto"/>
                      <w:kern w:val="2"/>
                      <w:sz w:val="21"/>
                      <w:szCs w:val="21"/>
                      <w:lang w:val="en-US" w:eastAsia="zh-CN" w:bidi="ar"/>
                    </w:rPr>
                    <w:t>）</w:t>
                  </w:r>
                </w:p>
              </w:tc>
              <w:tc>
                <w:tcPr>
                  <w:tcW w:w="670" w:type="pct"/>
                  <w:tcBorders>
                    <w:top w:val="single" w:color="auto" w:sz="8" w:space="0"/>
                    <w:left w:val="single" w:color="auto" w:sz="4" w:space="0"/>
                    <w:bottom w:val="single" w:color="auto" w:sz="4" w:space="0"/>
                    <w:right w:val="single" w:color="auto" w:sz="4" w:space="0"/>
                  </w:tcBorders>
                  <w:shd w:val="clear" w:color="auto" w:fill="FFFFFF"/>
                  <w:vAlign w:val="center"/>
                </w:tcPr>
                <w:p w14:paraId="5270507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2"/>
                      <w:sz w:val="21"/>
                      <w:szCs w:val="21"/>
                      <w:lang w:val="en-US" w:eastAsia="zh-CN" w:bidi="ar"/>
                    </w:rPr>
                    <w:t>标准值（</w:t>
                  </w:r>
                  <w:r>
                    <w:rPr>
                      <w:rFonts w:hint="default" w:ascii="Times New Roman" w:hAnsi="Times New Roman" w:eastAsia="宋体" w:cs="Times New Roman"/>
                      <w:b/>
                      <w:bCs/>
                      <w:color w:val="auto"/>
                      <w:kern w:val="2"/>
                      <w:sz w:val="21"/>
                      <w:szCs w:val="21"/>
                      <w:lang w:val="en-US" w:eastAsia="zh-CN" w:bidi="ar"/>
                    </w:rPr>
                    <w:t>μg/m</w:t>
                  </w:r>
                  <w:r>
                    <w:rPr>
                      <w:rFonts w:hint="default" w:ascii="Times New Roman" w:hAnsi="Times New Roman" w:eastAsia="宋体" w:cs="Times New Roman"/>
                      <w:b/>
                      <w:bCs/>
                      <w:color w:val="auto"/>
                      <w:kern w:val="2"/>
                      <w:sz w:val="21"/>
                      <w:szCs w:val="21"/>
                      <w:vertAlign w:val="superscript"/>
                      <w:lang w:val="en-US" w:eastAsia="zh-CN" w:bidi="ar"/>
                    </w:rPr>
                    <w:t>3</w:t>
                  </w:r>
                  <w:r>
                    <w:rPr>
                      <w:rFonts w:hint="eastAsia" w:ascii="宋体" w:hAnsi="宋体" w:eastAsia="宋体" w:cs="宋体"/>
                      <w:b/>
                      <w:bCs/>
                      <w:color w:val="auto"/>
                      <w:kern w:val="2"/>
                      <w:sz w:val="21"/>
                      <w:szCs w:val="21"/>
                      <w:lang w:val="en-US" w:eastAsia="zh-CN" w:bidi="ar"/>
                    </w:rPr>
                    <w:t>）</w:t>
                  </w:r>
                </w:p>
              </w:tc>
              <w:tc>
                <w:tcPr>
                  <w:tcW w:w="585" w:type="pct"/>
                  <w:tcBorders>
                    <w:top w:val="single" w:color="auto" w:sz="8" w:space="0"/>
                    <w:left w:val="single" w:color="auto" w:sz="4" w:space="0"/>
                    <w:bottom w:val="single" w:color="auto" w:sz="4" w:space="0"/>
                    <w:right w:val="single" w:color="auto" w:sz="4" w:space="0"/>
                  </w:tcBorders>
                  <w:shd w:val="clear" w:color="auto" w:fill="FFFFFF"/>
                  <w:vAlign w:val="center"/>
                </w:tcPr>
                <w:p w14:paraId="757D4F1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2"/>
                      <w:sz w:val="21"/>
                      <w:szCs w:val="21"/>
                      <w:lang w:val="en-US" w:eastAsia="zh-CN" w:bidi="ar"/>
                    </w:rPr>
                    <w:t>占标率（</w:t>
                  </w:r>
                  <w:r>
                    <w:rPr>
                      <w:rFonts w:hint="default" w:ascii="Times New Roman" w:hAnsi="Times New Roman" w:eastAsia="宋体" w:cs="Times New Roman"/>
                      <w:b/>
                      <w:bCs/>
                      <w:color w:val="auto"/>
                      <w:kern w:val="2"/>
                      <w:sz w:val="21"/>
                      <w:szCs w:val="21"/>
                      <w:lang w:val="en-US" w:eastAsia="zh-CN" w:bidi="ar"/>
                    </w:rPr>
                    <w:t>%</w:t>
                  </w:r>
                  <w:r>
                    <w:rPr>
                      <w:rFonts w:hint="eastAsia" w:ascii="宋体" w:hAnsi="宋体" w:eastAsia="宋体" w:cs="宋体"/>
                      <w:b/>
                      <w:bCs/>
                      <w:color w:val="auto"/>
                      <w:kern w:val="2"/>
                      <w:sz w:val="21"/>
                      <w:szCs w:val="21"/>
                      <w:lang w:val="en-US" w:eastAsia="zh-CN" w:bidi="ar"/>
                    </w:rPr>
                    <w:t>）</w:t>
                  </w:r>
                </w:p>
              </w:tc>
              <w:tc>
                <w:tcPr>
                  <w:tcW w:w="667" w:type="pct"/>
                  <w:tcBorders>
                    <w:top w:val="single" w:color="auto" w:sz="8" w:space="0"/>
                    <w:left w:val="single" w:color="auto" w:sz="4" w:space="0"/>
                    <w:bottom w:val="single" w:color="auto" w:sz="4" w:space="0"/>
                    <w:right w:val="single" w:color="auto" w:sz="8" w:space="0"/>
                  </w:tcBorders>
                  <w:shd w:val="clear" w:color="auto" w:fill="FFFFFF"/>
                  <w:vAlign w:val="center"/>
                </w:tcPr>
                <w:p w14:paraId="06E7528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2"/>
                      <w:sz w:val="21"/>
                      <w:szCs w:val="21"/>
                      <w:lang w:val="en-US" w:eastAsia="zh-CN" w:bidi="ar"/>
                    </w:rPr>
                    <w:t>达标情况</w:t>
                  </w:r>
                </w:p>
              </w:tc>
            </w:tr>
            <w:tr w14:paraId="59122E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509" w:type="pct"/>
                  <w:tcBorders>
                    <w:top w:val="single" w:color="auto" w:sz="4" w:space="0"/>
                    <w:left w:val="single" w:color="auto" w:sz="8" w:space="0"/>
                    <w:bottom w:val="single" w:color="auto" w:sz="4" w:space="0"/>
                    <w:right w:val="single" w:color="auto" w:sz="4" w:space="0"/>
                  </w:tcBorders>
                  <w:shd w:val="clear" w:color="auto" w:fill="FFFFFF"/>
                  <w:vAlign w:val="center"/>
                </w:tcPr>
                <w:p w14:paraId="02C63CD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PM</w:t>
                  </w:r>
                  <w:r>
                    <w:rPr>
                      <w:rFonts w:hint="default" w:ascii="Times New Roman" w:hAnsi="Times New Roman" w:eastAsia="宋体" w:cs="Times New Roman"/>
                      <w:color w:val="auto"/>
                      <w:kern w:val="2"/>
                      <w:sz w:val="21"/>
                      <w:szCs w:val="21"/>
                      <w:vertAlign w:val="subscript"/>
                      <w:lang w:val="en-US" w:eastAsia="zh-CN" w:bidi="ar"/>
                    </w:rPr>
                    <w:t>10</w:t>
                  </w:r>
                </w:p>
              </w:tc>
              <w:tc>
                <w:tcPr>
                  <w:tcW w:w="1885" w:type="pct"/>
                  <w:tcBorders>
                    <w:top w:val="single" w:color="auto" w:sz="4" w:space="0"/>
                    <w:left w:val="single" w:color="auto" w:sz="4" w:space="0"/>
                    <w:bottom w:val="single" w:color="auto" w:sz="4" w:space="0"/>
                    <w:right w:val="single" w:color="auto" w:sz="4" w:space="0"/>
                  </w:tcBorders>
                  <w:shd w:val="clear" w:color="auto" w:fill="FFFFFF"/>
                  <w:vAlign w:val="center"/>
                </w:tcPr>
                <w:p w14:paraId="2C6A87A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年平均浓度</w:t>
                  </w:r>
                </w:p>
              </w:tc>
              <w:tc>
                <w:tcPr>
                  <w:tcW w:w="679" w:type="pct"/>
                  <w:tcBorders>
                    <w:top w:val="single" w:color="auto" w:sz="4" w:space="0"/>
                    <w:left w:val="single" w:color="auto" w:sz="4" w:space="0"/>
                    <w:bottom w:val="single" w:color="auto" w:sz="4" w:space="0"/>
                    <w:right w:val="single" w:color="auto" w:sz="4" w:space="0"/>
                  </w:tcBorders>
                  <w:shd w:val="clear" w:color="auto" w:fill="FFFFFF"/>
                  <w:vAlign w:val="center"/>
                </w:tcPr>
                <w:p w14:paraId="6C909FA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61</w:t>
                  </w:r>
                </w:p>
              </w:tc>
              <w:tc>
                <w:tcPr>
                  <w:tcW w:w="670" w:type="pct"/>
                  <w:tcBorders>
                    <w:top w:val="single" w:color="auto" w:sz="4" w:space="0"/>
                    <w:left w:val="single" w:color="auto" w:sz="4" w:space="0"/>
                    <w:bottom w:val="single" w:color="auto" w:sz="4" w:space="0"/>
                    <w:right w:val="single" w:color="auto" w:sz="4" w:space="0"/>
                  </w:tcBorders>
                  <w:shd w:val="clear" w:color="auto" w:fill="FFFFFF"/>
                  <w:vAlign w:val="center"/>
                </w:tcPr>
                <w:p w14:paraId="6F92844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70</w:t>
                  </w:r>
                </w:p>
              </w:tc>
              <w:tc>
                <w:tcPr>
                  <w:tcW w:w="585" w:type="pct"/>
                  <w:tcBorders>
                    <w:top w:val="single" w:color="auto" w:sz="4" w:space="0"/>
                    <w:left w:val="single" w:color="auto" w:sz="4" w:space="0"/>
                    <w:bottom w:val="single" w:color="auto" w:sz="4" w:space="0"/>
                    <w:right w:val="single" w:color="auto" w:sz="4" w:space="0"/>
                  </w:tcBorders>
                  <w:shd w:val="clear" w:color="auto" w:fill="FFFFFF"/>
                  <w:vAlign w:val="center"/>
                </w:tcPr>
                <w:p w14:paraId="7A5F71B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87</w:t>
                  </w:r>
                </w:p>
              </w:tc>
              <w:tc>
                <w:tcPr>
                  <w:tcW w:w="667" w:type="pct"/>
                  <w:tcBorders>
                    <w:top w:val="single" w:color="auto" w:sz="4" w:space="0"/>
                    <w:left w:val="single" w:color="auto" w:sz="4" w:space="0"/>
                    <w:bottom w:val="single" w:color="auto" w:sz="4" w:space="0"/>
                    <w:right w:val="single" w:color="auto" w:sz="8" w:space="0"/>
                  </w:tcBorders>
                  <w:shd w:val="clear" w:color="auto" w:fill="FFFFFF"/>
                  <w:vAlign w:val="center"/>
                </w:tcPr>
                <w:p w14:paraId="114E99E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达标</w:t>
                  </w:r>
                </w:p>
              </w:tc>
            </w:tr>
            <w:tr w14:paraId="0CF2B2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509" w:type="pct"/>
                  <w:tcBorders>
                    <w:top w:val="single" w:color="auto" w:sz="4" w:space="0"/>
                    <w:left w:val="single" w:color="auto" w:sz="8" w:space="0"/>
                    <w:bottom w:val="single" w:color="auto" w:sz="4" w:space="0"/>
                    <w:right w:val="single" w:color="auto" w:sz="4" w:space="0"/>
                  </w:tcBorders>
                  <w:shd w:val="clear" w:color="auto" w:fill="FFFFFF"/>
                  <w:vAlign w:val="center"/>
                </w:tcPr>
                <w:p w14:paraId="484B0B1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PM</w:t>
                  </w:r>
                  <w:r>
                    <w:rPr>
                      <w:rFonts w:hint="default" w:ascii="Times New Roman" w:hAnsi="Times New Roman" w:eastAsia="宋体" w:cs="Times New Roman"/>
                      <w:color w:val="auto"/>
                      <w:kern w:val="2"/>
                      <w:sz w:val="21"/>
                      <w:szCs w:val="21"/>
                      <w:vertAlign w:val="subscript"/>
                      <w:lang w:val="en-US" w:eastAsia="zh-CN" w:bidi="ar"/>
                    </w:rPr>
                    <w:t>2.5</w:t>
                  </w:r>
                </w:p>
              </w:tc>
              <w:tc>
                <w:tcPr>
                  <w:tcW w:w="1885" w:type="pct"/>
                  <w:tcBorders>
                    <w:top w:val="single" w:color="auto" w:sz="4" w:space="0"/>
                    <w:left w:val="single" w:color="auto" w:sz="4" w:space="0"/>
                    <w:bottom w:val="single" w:color="auto" w:sz="4" w:space="0"/>
                    <w:right w:val="single" w:color="auto" w:sz="4" w:space="0"/>
                  </w:tcBorders>
                  <w:shd w:val="clear" w:color="auto" w:fill="FFFFFF"/>
                  <w:vAlign w:val="center"/>
                </w:tcPr>
                <w:p w14:paraId="0EE97A4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年平均浓度</w:t>
                  </w:r>
                </w:p>
              </w:tc>
              <w:tc>
                <w:tcPr>
                  <w:tcW w:w="679" w:type="pct"/>
                  <w:tcBorders>
                    <w:top w:val="single" w:color="auto" w:sz="4" w:space="0"/>
                    <w:left w:val="single" w:color="auto" w:sz="4" w:space="0"/>
                    <w:bottom w:val="single" w:color="auto" w:sz="4" w:space="0"/>
                    <w:right w:val="single" w:color="auto" w:sz="4" w:space="0"/>
                  </w:tcBorders>
                  <w:shd w:val="clear" w:color="auto" w:fill="FFFFFF"/>
                  <w:vAlign w:val="center"/>
                </w:tcPr>
                <w:p w14:paraId="5EF55C8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35.2</w:t>
                  </w:r>
                </w:p>
              </w:tc>
              <w:tc>
                <w:tcPr>
                  <w:tcW w:w="670" w:type="pct"/>
                  <w:tcBorders>
                    <w:top w:val="single" w:color="auto" w:sz="4" w:space="0"/>
                    <w:left w:val="single" w:color="auto" w:sz="4" w:space="0"/>
                    <w:bottom w:val="single" w:color="auto" w:sz="4" w:space="0"/>
                    <w:right w:val="single" w:color="auto" w:sz="4" w:space="0"/>
                  </w:tcBorders>
                  <w:shd w:val="clear" w:color="auto" w:fill="FFFFFF"/>
                  <w:vAlign w:val="center"/>
                </w:tcPr>
                <w:p w14:paraId="05F12CF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rPr>
                  </w:pPr>
                  <w:r>
                    <w:rPr>
                      <w:rFonts w:hint="eastAsia" w:cs="Times New Roman"/>
                      <w:color w:val="auto"/>
                      <w:kern w:val="2"/>
                      <w:sz w:val="21"/>
                      <w:szCs w:val="21"/>
                      <w:lang w:val="en-US" w:eastAsia="zh-CN" w:bidi="ar"/>
                    </w:rPr>
                    <w:t>35</w:t>
                  </w:r>
                </w:p>
              </w:tc>
              <w:tc>
                <w:tcPr>
                  <w:tcW w:w="585" w:type="pct"/>
                  <w:tcBorders>
                    <w:top w:val="single" w:color="auto" w:sz="4" w:space="0"/>
                    <w:left w:val="single" w:color="auto" w:sz="4" w:space="0"/>
                    <w:bottom w:val="single" w:color="auto" w:sz="4" w:space="0"/>
                    <w:right w:val="single" w:color="auto" w:sz="4" w:space="0"/>
                  </w:tcBorders>
                  <w:shd w:val="clear" w:color="auto" w:fill="FFFFFF"/>
                  <w:vAlign w:val="center"/>
                </w:tcPr>
                <w:p w14:paraId="1B3CD89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rPr>
                  </w:pPr>
                  <w:r>
                    <w:rPr>
                      <w:rFonts w:hint="eastAsia" w:cs="Times New Roman"/>
                      <w:color w:val="auto"/>
                      <w:kern w:val="2"/>
                      <w:sz w:val="21"/>
                      <w:szCs w:val="21"/>
                      <w:lang w:val="en-US" w:eastAsia="zh-CN" w:bidi="ar"/>
                    </w:rPr>
                    <w:t>101</w:t>
                  </w:r>
                </w:p>
              </w:tc>
              <w:tc>
                <w:tcPr>
                  <w:tcW w:w="667" w:type="pct"/>
                  <w:tcBorders>
                    <w:top w:val="single" w:color="auto" w:sz="4" w:space="0"/>
                    <w:left w:val="single" w:color="auto" w:sz="4" w:space="0"/>
                    <w:bottom w:val="single" w:color="auto" w:sz="4" w:space="0"/>
                    <w:right w:val="single" w:color="auto" w:sz="8" w:space="0"/>
                  </w:tcBorders>
                  <w:shd w:val="clear" w:color="auto" w:fill="FFFFFF"/>
                  <w:vAlign w:val="center"/>
                </w:tcPr>
                <w:p w14:paraId="2C3928C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不达标</w:t>
                  </w:r>
                </w:p>
              </w:tc>
            </w:tr>
            <w:tr w14:paraId="1DBC7B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509" w:type="pct"/>
                  <w:tcBorders>
                    <w:top w:val="single" w:color="auto" w:sz="4" w:space="0"/>
                    <w:left w:val="single" w:color="auto" w:sz="8" w:space="0"/>
                    <w:bottom w:val="single" w:color="auto" w:sz="4" w:space="0"/>
                    <w:right w:val="single" w:color="auto" w:sz="4" w:space="0"/>
                  </w:tcBorders>
                  <w:shd w:val="clear" w:color="auto" w:fill="FFFFFF"/>
                  <w:vAlign w:val="center"/>
                </w:tcPr>
                <w:p w14:paraId="266B5B6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SO</w:t>
                  </w:r>
                  <w:r>
                    <w:rPr>
                      <w:rFonts w:hint="default" w:ascii="Times New Roman" w:hAnsi="Times New Roman" w:eastAsia="宋体" w:cs="Times New Roman"/>
                      <w:color w:val="auto"/>
                      <w:kern w:val="2"/>
                      <w:sz w:val="21"/>
                      <w:szCs w:val="21"/>
                      <w:vertAlign w:val="subscript"/>
                      <w:lang w:val="en-US" w:eastAsia="zh-CN" w:bidi="ar"/>
                    </w:rPr>
                    <w:t>2</w:t>
                  </w:r>
                </w:p>
              </w:tc>
              <w:tc>
                <w:tcPr>
                  <w:tcW w:w="1885" w:type="pct"/>
                  <w:tcBorders>
                    <w:top w:val="single" w:color="auto" w:sz="4" w:space="0"/>
                    <w:left w:val="single" w:color="auto" w:sz="4" w:space="0"/>
                    <w:bottom w:val="single" w:color="auto" w:sz="4" w:space="0"/>
                    <w:right w:val="single" w:color="auto" w:sz="4" w:space="0"/>
                  </w:tcBorders>
                  <w:shd w:val="clear" w:color="auto" w:fill="FFFFFF"/>
                  <w:vAlign w:val="center"/>
                </w:tcPr>
                <w:p w14:paraId="6DA83A3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年平均浓度</w:t>
                  </w:r>
                </w:p>
              </w:tc>
              <w:tc>
                <w:tcPr>
                  <w:tcW w:w="679" w:type="pct"/>
                  <w:tcBorders>
                    <w:top w:val="single" w:color="auto" w:sz="4" w:space="0"/>
                    <w:left w:val="single" w:color="auto" w:sz="4" w:space="0"/>
                    <w:bottom w:val="single" w:color="auto" w:sz="4" w:space="0"/>
                    <w:right w:val="single" w:color="auto" w:sz="4" w:space="0"/>
                  </w:tcBorders>
                  <w:shd w:val="clear" w:color="auto" w:fill="FFFFFF"/>
                  <w:vAlign w:val="center"/>
                </w:tcPr>
                <w:p w14:paraId="08BBF67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17</w:t>
                  </w:r>
                </w:p>
              </w:tc>
              <w:tc>
                <w:tcPr>
                  <w:tcW w:w="670" w:type="pct"/>
                  <w:tcBorders>
                    <w:top w:val="single" w:color="auto" w:sz="4" w:space="0"/>
                    <w:left w:val="single" w:color="auto" w:sz="4" w:space="0"/>
                    <w:bottom w:val="single" w:color="auto" w:sz="4" w:space="0"/>
                    <w:right w:val="single" w:color="auto" w:sz="4" w:space="0"/>
                  </w:tcBorders>
                  <w:shd w:val="clear" w:color="auto" w:fill="FFFFFF"/>
                  <w:vAlign w:val="center"/>
                </w:tcPr>
                <w:p w14:paraId="7402D05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60</w:t>
                  </w:r>
                </w:p>
              </w:tc>
              <w:tc>
                <w:tcPr>
                  <w:tcW w:w="585" w:type="pct"/>
                  <w:tcBorders>
                    <w:top w:val="single" w:color="auto" w:sz="4" w:space="0"/>
                    <w:left w:val="single" w:color="auto" w:sz="4" w:space="0"/>
                    <w:bottom w:val="single" w:color="auto" w:sz="4" w:space="0"/>
                    <w:right w:val="single" w:color="auto" w:sz="4" w:space="0"/>
                  </w:tcBorders>
                  <w:shd w:val="clear" w:color="auto" w:fill="FFFFFF"/>
                  <w:vAlign w:val="center"/>
                </w:tcPr>
                <w:p w14:paraId="20BEFEF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28.3</w:t>
                  </w:r>
                </w:p>
              </w:tc>
              <w:tc>
                <w:tcPr>
                  <w:tcW w:w="667" w:type="pct"/>
                  <w:tcBorders>
                    <w:top w:val="single" w:color="auto" w:sz="4" w:space="0"/>
                    <w:left w:val="single" w:color="auto" w:sz="4" w:space="0"/>
                    <w:bottom w:val="single" w:color="auto" w:sz="4" w:space="0"/>
                    <w:right w:val="single" w:color="auto" w:sz="8" w:space="0"/>
                  </w:tcBorders>
                  <w:shd w:val="clear" w:color="auto" w:fill="FFFFFF"/>
                  <w:vAlign w:val="center"/>
                </w:tcPr>
                <w:p w14:paraId="15D99E6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达标</w:t>
                  </w:r>
                </w:p>
              </w:tc>
            </w:tr>
            <w:tr w14:paraId="430EC8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509" w:type="pct"/>
                  <w:tcBorders>
                    <w:top w:val="single" w:color="auto" w:sz="4" w:space="0"/>
                    <w:left w:val="single" w:color="auto" w:sz="8" w:space="0"/>
                    <w:bottom w:val="single" w:color="auto" w:sz="4" w:space="0"/>
                    <w:right w:val="single" w:color="auto" w:sz="4" w:space="0"/>
                  </w:tcBorders>
                  <w:shd w:val="clear" w:color="auto" w:fill="FFFFFF"/>
                  <w:vAlign w:val="center"/>
                </w:tcPr>
                <w:p w14:paraId="679B470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NO</w:t>
                  </w:r>
                  <w:r>
                    <w:rPr>
                      <w:rFonts w:hint="default" w:ascii="Times New Roman" w:hAnsi="Times New Roman" w:eastAsia="宋体" w:cs="Times New Roman"/>
                      <w:color w:val="auto"/>
                      <w:kern w:val="2"/>
                      <w:sz w:val="21"/>
                      <w:szCs w:val="21"/>
                      <w:vertAlign w:val="subscript"/>
                      <w:lang w:val="en-US" w:eastAsia="zh-CN" w:bidi="ar"/>
                    </w:rPr>
                    <w:t>2</w:t>
                  </w:r>
                </w:p>
              </w:tc>
              <w:tc>
                <w:tcPr>
                  <w:tcW w:w="1885" w:type="pct"/>
                  <w:tcBorders>
                    <w:top w:val="single" w:color="auto" w:sz="4" w:space="0"/>
                    <w:left w:val="single" w:color="auto" w:sz="4" w:space="0"/>
                    <w:bottom w:val="single" w:color="auto" w:sz="4" w:space="0"/>
                    <w:right w:val="single" w:color="auto" w:sz="4" w:space="0"/>
                  </w:tcBorders>
                  <w:shd w:val="clear" w:color="auto" w:fill="FFFFFF"/>
                  <w:vAlign w:val="center"/>
                </w:tcPr>
                <w:p w14:paraId="435888A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年平均浓度</w:t>
                  </w:r>
                </w:p>
              </w:tc>
              <w:tc>
                <w:tcPr>
                  <w:tcW w:w="679" w:type="pct"/>
                  <w:tcBorders>
                    <w:top w:val="single" w:color="auto" w:sz="4" w:space="0"/>
                    <w:left w:val="single" w:color="auto" w:sz="4" w:space="0"/>
                    <w:bottom w:val="single" w:color="auto" w:sz="4" w:space="0"/>
                    <w:right w:val="single" w:color="auto" w:sz="4" w:space="0"/>
                  </w:tcBorders>
                  <w:shd w:val="clear" w:color="auto" w:fill="FFFFFF"/>
                  <w:vAlign w:val="center"/>
                </w:tcPr>
                <w:p w14:paraId="3B56943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27</w:t>
                  </w:r>
                </w:p>
              </w:tc>
              <w:tc>
                <w:tcPr>
                  <w:tcW w:w="670" w:type="pct"/>
                  <w:tcBorders>
                    <w:top w:val="single" w:color="auto" w:sz="4" w:space="0"/>
                    <w:left w:val="single" w:color="auto" w:sz="4" w:space="0"/>
                    <w:bottom w:val="single" w:color="auto" w:sz="4" w:space="0"/>
                    <w:right w:val="single" w:color="auto" w:sz="4" w:space="0"/>
                  </w:tcBorders>
                  <w:shd w:val="clear" w:color="auto" w:fill="FFFFFF"/>
                  <w:vAlign w:val="center"/>
                </w:tcPr>
                <w:p w14:paraId="3DB872C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40</w:t>
                  </w:r>
                </w:p>
              </w:tc>
              <w:tc>
                <w:tcPr>
                  <w:tcW w:w="585" w:type="pct"/>
                  <w:tcBorders>
                    <w:top w:val="single" w:color="auto" w:sz="4" w:space="0"/>
                    <w:left w:val="single" w:color="auto" w:sz="4" w:space="0"/>
                    <w:bottom w:val="single" w:color="auto" w:sz="4" w:space="0"/>
                    <w:right w:val="single" w:color="auto" w:sz="4" w:space="0"/>
                  </w:tcBorders>
                  <w:shd w:val="clear" w:color="auto" w:fill="FFFFFF"/>
                  <w:vAlign w:val="center"/>
                </w:tcPr>
                <w:p w14:paraId="74BC88E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67.5</w:t>
                  </w:r>
                </w:p>
              </w:tc>
              <w:tc>
                <w:tcPr>
                  <w:tcW w:w="667" w:type="pct"/>
                  <w:tcBorders>
                    <w:top w:val="single" w:color="auto" w:sz="4" w:space="0"/>
                    <w:left w:val="single" w:color="auto" w:sz="4" w:space="0"/>
                    <w:bottom w:val="single" w:color="auto" w:sz="4" w:space="0"/>
                    <w:right w:val="single" w:color="auto" w:sz="8" w:space="0"/>
                  </w:tcBorders>
                  <w:shd w:val="clear" w:color="auto" w:fill="FFFFFF"/>
                  <w:vAlign w:val="center"/>
                </w:tcPr>
                <w:p w14:paraId="1C86FD1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达标</w:t>
                  </w:r>
                </w:p>
              </w:tc>
            </w:tr>
            <w:tr w14:paraId="70A24F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509" w:type="pct"/>
                  <w:tcBorders>
                    <w:top w:val="single" w:color="auto" w:sz="4" w:space="0"/>
                    <w:left w:val="single" w:color="auto" w:sz="8" w:space="0"/>
                    <w:bottom w:val="single" w:color="auto" w:sz="4" w:space="0"/>
                    <w:right w:val="single" w:color="auto" w:sz="4" w:space="0"/>
                  </w:tcBorders>
                  <w:shd w:val="clear" w:color="auto" w:fill="FFFFFF"/>
                  <w:vAlign w:val="center"/>
                </w:tcPr>
                <w:p w14:paraId="6A587BC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CO</w:t>
                  </w:r>
                </w:p>
              </w:tc>
              <w:tc>
                <w:tcPr>
                  <w:tcW w:w="1885" w:type="pct"/>
                  <w:tcBorders>
                    <w:top w:val="single" w:color="auto" w:sz="4" w:space="0"/>
                    <w:left w:val="single" w:color="auto" w:sz="4" w:space="0"/>
                    <w:bottom w:val="single" w:color="auto" w:sz="4" w:space="0"/>
                    <w:right w:val="single" w:color="auto" w:sz="4" w:space="0"/>
                  </w:tcBorders>
                  <w:shd w:val="clear" w:color="auto" w:fill="FFFFFF"/>
                  <w:vAlign w:val="center"/>
                </w:tcPr>
                <w:p w14:paraId="593A616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24</w:t>
                  </w:r>
                  <w:r>
                    <w:rPr>
                      <w:rFonts w:hint="eastAsia" w:ascii="宋体" w:hAnsi="宋体" w:eastAsia="宋体" w:cs="宋体"/>
                      <w:color w:val="auto"/>
                      <w:kern w:val="2"/>
                      <w:sz w:val="21"/>
                      <w:szCs w:val="21"/>
                      <w:lang w:val="en-US" w:eastAsia="zh-CN" w:bidi="ar"/>
                    </w:rPr>
                    <w:t>小时平均第</w:t>
                  </w:r>
                  <w:r>
                    <w:rPr>
                      <w:rFonts w:hint="default" w:ascii="Times New Roman" w:hAnsi="Times New Roman" w:eastAsia="宋体" w:cs="Times New Roman"/>
                      <w:color w:val="auto"/>
                      <w:kern w:val="2"/>
                      <w:sz w:val="21"/>
                      <w:szCs w:val="21"/>
                      <w:lang w:val="en-US" w:eastAsia="zh-CN" w:bidi="ar"/>
                    </w:rPr>
                    <w:t>95</w:t>
                  </w:r>
                  <w:r>
                    <w:rPr>
                      <w:rFonts w:hint="eastAsia" w:ascii="宋体" w:hAnsi="宋体" w:eastAsia="宋体" w:cs="宋体"/>
                      <w:color w:val="auto"/>
                      <w:kern w:val="2"/>
                      <w:sz w:val="21"/>
                      <w:szCs w:val="21"/>
                      <w:lang w:val="en-US" w:eastAsia="zh-CN" w:bidi="ar"/>
                    </w:rPr>
                    <w:t>百分位数</w:t>
                  </w:r>
                </w:p>
              </w:tc>
              <w:tc>
                <w:tcPr>
                  <w:tcW w:w="679" w:type="pct"/>
                  <w:tcBorders>
                    <w:top w:val="single" w:color="auto" w:sz="4" w:space="0"/>
                    <w:left w:val="single" w:color="auto" w:sz="4" w:space="0"/>
                    <w:bottom w:val="single" w:color="auto" w:sz="4" w:space="0"/>
                    <w:right w:val="single" w:color="auto" w:sz="4" w:space="0"/>
                  </w:tcBorders>
                  <w:shd w:val="clear" w:color="auto" w:fill="FFFFFF"/>
                  <w:vAlign w:val="center"/>
                </w:tcPr>
                <w:p w14:paraId="3432C9A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1000</w:t>
                  </w:r>
                </w:p>
              </w:tc>
              <w:tc>
                <w:tcPr>
                  <w:tcW w:w="670" w:type="pct"/>
                  <w:tcBorders>
                    <w:top w:val="single" w:color="auto" w:sz="4" w:space="0"/>
                    <w:left w:val="single" w:color="auto" w:sz="4" w:space="0"/>
                    <w:bottom w:val="single" w:color="auto" w:sz="4" w:space="0"/>
                    <w:right w:val="single" w:color="auto" w:sz="4" w:space="0"/>
                  </w:tcBorders>
                  <w:shd w:val="clear" w:color="auto" w:fill="FFFFFF"/>
                  <w:vAlign w:val="center"/>
                </w:tcPr>
                <w:p w14:paraId="6A0C79C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4000</w:t>
                  </w:r>
                </w:p>
              </w:tc>
              <w:tc>
                <w:tcPr>
                  <w:tcW w:w="585" w:type="pct"/>
                  <w:tcBorders>
                    <w:top w:val="single" w:color="auto" w:sz="4" w:space="0"/>
                    <w:left w:val="single" w:color="auto" w:sz="4" w:space="0"/>
                    <w:bottom w:val="single" w:color="auto" w:sz="4" w:space="0"/>
                    <w:right w:val="single" w:color="auto" w:sz="4" w:space="0"/>
                  </w:tcBorders>
                  <w:shd w:val="clear" w:color="auto" w:fill="FFFFFF"/>
                  <w:vAlign w:val="center"/>
                </w:tcPr>
                <w:p w14:paraId="1CC51F3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25</w:t>
                  </w:r>
                </w:p>
              </w:tc>
              <w:tc>
                <w:tcPr>
                  <w:tcW w:w="667" w:type="pct"/>
                  <w:tcBorders>
                    <w:top w:val="single" w:color="auto" w:sz="4" w:space="0"/>
                    <w:left w:val="single" w:color="auto" w:sz="4" w:space="0"/>
                    <w:bottom w:val="single" w:color="auto" w:sz="4" w:space="0"/>
                    <w:right w:val="single" w:color="auto" w:sz="8" w:space="0"/>
                  </w:tcBorders>
                  <w:shd w:val="clear" w:color="auto" w:fill="FFFFFF"/>
                  <w:vAlign w:val="center"/>
                </w:tcPr>
                <w:p w14:paraId="4566D54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达标</w:t>
                  </w:r>
                </w:p>
              </w:tc>
            </w:tr>
            <w:tr w14:paraId="447EA6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509" w:type="pct"/>
                  <w:tcBorders>
                    <w:top w:val="single" w:color="auto" w:sz="4" w:space="0"/>
                    <w:left w:val="single" w:color="auto" w:sz="8" w:space="0"/>
                    <w:bottom w:val="single" w:color="auto" w:sz="8" w:space="0"/>
                    <w:right w:val="single" w:color="auto" w:sz="4" w:space="0"/>
                  </w:tcBorders>
                  <w:shd w:val="clear" w:color="auto" w:fill="FFFFFF"/>
                  <w:vAlign w:val="center"/>
                </w:tcPr>
                <w:p w14:paraId="675D236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O3</w:t>
                  </w:r>
                </w:p>
              </w:tc>
              <w:tc>
                <w:tcPr>
                  <w:tcW w:w="1885" w:type="pct"/>
                  <w:tcBorders>
                    <w:top w:val="single" w:color="auto" w:sz="4" w:space="0"/>
                    <w:left w:val="single" w:color="auto" w:sz="4" w:space="0"/>
                    <w:bottom w:val="single" w:color="auto" w:sz="8" w:space="0"/>
                    <w:right w:val="single" w:color="auto" w:sz="4" w:space="0"/>
                  </w:tcBorders>
                  <w:shd w:val="clear" w:color="auto" w:fill="FFFFFF"/>
                  <w:vAlign w:val="center"/>
                </w:tcPr>
                <w:p w14:paraId="73ED868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日最大</w:t>
                  </w:r>
                  <w:r>
                    <w:rPr>
                      <w:rFonts w:hint="default" w:ascii="Times New Roman" w:hAnsi="Times New Roman" w:eastAsia="宋体" w:cs="Times New Roman"/>
                      <w:color w:val="auto"/>
                      <w:kern w:val="2"/>
                      <w:sz w:val="21"/>
                      <w:szCs w:val="21"/>
                      <w:lang w:val="en-US" w:eastAsia="zh-CN" w:bidi="ar"/>
                    </w:rPr>
                    <w:t>8</w:t>
                  </w:r>
                  <w:r>
                    <w:rPr>
                      <w:rFonts w:hint="eastAsia" w:ascii="宋体" w:hAnsi="宋体" w:eastAsia="宋体" w:cs="宋体"/>
                      <w:color w:val="auto"/>
                      <w:kern w:val="2"/>
                      <w:sz w:val="21"/>
                      <w:szCs w:val="21"/>
                      <w:lang w:val="en-US" w:eastAsia="zh-CN" w:bidi="ar"/>
                    </w:rPr>
                    <w:t>小时平均第</w:t>
                  </w:r>
                  <w:r>
                    <w:rPr>
                      <w:rFonts w:hint="default" w:ascii="Times New Roman" w:hAnsi="Times New Roman" w:eastAsia="宋体" w:cs="Times New Roman"/>
                      <w:color w:val="auto"/>
                      <w:kern w:val="2"/>
                      <w:sz w:val="21"/>
                      <w:szCs w:val="21"/>
                      <w:lang w:val="en-US" w:eastAsia="zh-CN" w:bidi="ar"/>
                    </w:rPr>
                    <w:t>90</w:t>
                  </w:r>
                  <w:r>
                    <w:rPr>
                      <w:rFonts w:hint="eastAsia" w:ascii="宋体" w:hAnsi="宋体" w:eastAsia="宋体" w:cs="宋体"/>
                      <w:color w:val="auto"/>
                      <w:kern w:val="2"/>
                      <w:sz w:val="21"/>
                      <w:szCs w:val="21"/>
                      <w:lang w:val="en-US" w:eastAsia="zh-CN" w:bidi="ar"/>
                    </w:rPr>
                    <w:t>百分位数</w:t>
                  </w:r>
                </w:p>
              </w:tc>
              <w:tc>
                <w:tcPr>
                  <w:tcW w:w="679" w:type="pct"/>
                  <w:tcBorders>
                    <w:top w:val="single" w:color="auto" w:sz="4" w:space="0"/>
                    <w:left w:val="single" w:color="auto" w:sz="4" w:space="0"/>
                    <w:bottom w:val="single" w:color="auto" w:sz="8" w:space="0"/>
                    <w:right w:val="single" w:color="auto" w:sz="4" w:space="0"/>
                  </w:tcBorders>
                  <w:shd w:val="clear" w:color="auto" w:fill="FFFFFF"/>
                  <w:vAlign w:val="center"/>
                </w:tcPr>
                <w:p w14:paraId="7E9A499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148</w:t>
                  </w:r>
                </w:p>
              </w:tc>
              <w:tc>
                <w:tcPr>
                  <w:tcW w:w="670" w:type="pct"/>
                  <w:tcBorders>
                    <w:top w:val="single" w:color="auto" w:sz="4" w:space="0"/>
                    <w:left w:val="single" w:color="auto" w:sz="4" w:space="0"/>
                    <w:bottom w:val="single" w:color="auto" w:sz="8" w:space="0"/>
                    <w:right w:val="single" w:color="auto" w:sz="4" w:space="0"/>
                  </w:tcBorders>
                  <w:shd w:val="clear" w:color="auto" w:fill="FFFFFF"/>
                  <w:vAlign w:val="center"/>
                </w:tcPr>
                <w:p w14:paraId="7811D6A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160</w:t>
                  </w:r>
                </w:p>
              </w:tc>
              <w:tc>
                <w:tcPr>
                  <w:tcW w:w="585" w:type="pct"/>
                  <w:tcBorders>
                    <w:top w:val="single" w:color="auto" w:sz="4" w:space="0"/>
                    <w:left w:val="single" w:color="auto" w:sz="4" w:space="0"/>
                    <w:bottom w:val="single" w:color="auto" w:sz="8" w:space="0"/>
                    <w:right w:val="single" w:color="auto" w:sz="4" w:space="0"/>
                  </w:tcBorders>
                  <w:shd w:val="clear" w:color="auto" w:fill="FFFFFF"/>
                  <w:vAlign w:val="center"/>
                </w:tcPr>
                <w:p w14:paraId="2F0C833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92.5</w:t>
                  </w:r>
                </w:p>
              </w:tc>
              <w:tc>
                <w:tcPr>
                  <w:tcW w:w="667" w:type="pct"/>
                  <w:tcBorders>
                    <w:top w:val="single" w:color="auto" w:sz="4" w:space="0"/>
                    <w:left w:val="single" w:color="auto" w:sz="4" w:space="0"/>
                    <w:bottom w:val="single" w:color="auto" w:sz="8" w:space="0"/>
                    <w:right w:val="single" w:color="auto" w:sz="8" w:space="0"/>
                  </w:tcBorders>
                  <w:shd w:val="clear" w:color="auto" w:fill="FFFFFF"/>
                  <w:vAlign w:val="center"/>
                </w:tcPr>
                <w:p w14:paraId="7FF0457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达标</w:t>
                  </w:r>
                </w:p>
              </w:tc>
            </w:tr>
          </w:tbl>
          <w:p w14:paraId="4B0C78B3">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由上述统计结果可知，202</w:t>
            </w:r>
            <w:r>
              <w:rPr>
                <w:rFonts w:hint="default"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rPr>
              <w:t>年陈仓区环境空气中的PM</w:t>
            </w:r>
            <w:r>
              <w:rPr>
                <w:rFonts w:hint="default" w:ascii="Times New Roman" w:hAnsi="Times New Roman" w:eastAsia="宋体" w:cs="Times New Roman"/>
                <w:color w:val="auto"/>
                <w:sz w:val="24"/>
                <w:szCs w:val="24"/>
                <w:vertAlign w:val="subscript"/>
              </w:rPr>
              <w:t>10</w:t>
            </w:r>
            <w:r>
              <w:rPr>
                <w:rFonts w:hint="default" w:ascii="Times New Roman" w:hAnsi="Times New Roman" w:eastAsia="宋体" w:cs="Times New Roman"/>
                <w:color w:val="auto"/>
                <w:sz w:val="24"/>
                <w:szCs w:val="24"/>
              </w:rPr>
              <w:t>、SO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、CO、O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和NO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均达到《环境空气质量标准》（GB 3095—2012）二级标准限值要求，PM</w:t>
            </w:r>
            <w:r>
              <w:rPr>
                <w:rFonts w:hint="default" w:ascii="Times New Roman" w:hAnsi="Times New Roman" w:eastAsia="宋体" w:cs="Times New Roman"/>
                <w:color w:val="auto"/>
                <w:sz w:val="24"/>
                <w:szCs w:val="24"/>
                <w:vertAlign w:val="subscript"/>
              </w:rPr>
              <w:t>2.5</w:t>
            </w:r>
            <w:r>
              <w:rPr>
                <w:rFonts w:hint="default" w:ascii="Times New Roman" w:hAnsi="Times New Roman" w:eastAsia="宋体" w:cs="Times New Roman"/>
                <w:color w:val="auto"/>
                <w:sz w:val="24"/>
                <w:szCs w:val="24"/>
              </w:rPr>
              <w:t>超过《环境空气质量标准》（GB 3095—2012）二级标准限值要求。因此，项目所在地区域为不达标区。</w:t>
            </w:r>
          </w:p>
          <w:p w14:paraId="3AB01695">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②特征污染物</w:t>
            </w:r>
          </w:p>
          <w:p w14:paraId="6A15BF30">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为了调查本项目所在地环境空气中特征污染物TSP，本次环评</w:t>
            </w:r>
            <w:r>
              <w:rPr>
                <w:rFonts w:hint="eastAsia" w:cs="Times New Roman"/>
                <w:color w:val="auto"/>
                <w:sz w:val="24"/>
                <w:szCs w:val="24"/>
                <w:lang w:eastAsia="zh-CN"/>
              </w:rPr>
              <w:t>中</w:t>
            </w:r>
            <w:r>
              <w:rPr>
                <w:rFonts w:hint="default" w:ascii="Times New Roman" w:hAnsi="Times New Roman" w:cs="Times New Roman"/>
                <w:color w:val="auto"/>
                <w:sz w:val="24"/>
                <w:szCs w:val="32"/>
              </w:rPr>
              <w:t>引用</w:t>
            </w:r>
            <w:r>
              <w:rPr>
                <w:rFonts w:hint="default" w:ascii="Times New Roman" w:hAnsi="Times New Roman" w:eastAsia="宋体" w:cs="Times New Roman"/>
                <w:color w:val="auto"/>
                <w:sz w:val="24"/>
                <w:highlight w:val="none"/>
                <w:lang w:eastAsia="zh-CN"/>
              </w:rPr>
              <w:t>陕西</w:t>
            </w:r>
            <w:r>
              <w:rPr>
                <w:rFonts w:hint="default" w:ascii="Times New Roman" w:hAnsi="Times New Roman" w:eastAsia="宋体" w:cs="Times New Roman"/>
                <w:color w:val="auto"/>
                <w:sz w:val="24"/>
                <w:highlight w:val="none"/>
                <w:lang w:val="en-US" w:eastAsia="zh-CN"/>
              </w:rPr>
              <w:t>明铖检测技术有限公司</w:t>
            </w:r>
            <w:r>
              <w:rPr>
                <w:rFonts w:hint="default" w:ascii="Times New Roman" w:hAnsi="Times New Roman" w:eastAsia="宋体" w:cs="Times New Roman"/>
                <w:color w:val="auto"/>
                <w:sz w:val="24"/>
                <w:highlight w:val="none"/>
                <w:lang w:eastAsia="zh-CN"/>
              </w:rPr>
              <w:t>于202</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lang w:eastAsia="zh-CN"/>
              </w:rPr>
              <w:t>年</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lang w:eastAsia="zh-CN"/>
              </w:rPr>
              <w:t>月</w:t>
            </w:r>
            <w:r>
              <w:rPr>
                <w:rFonts w:hint="default" w:ascii="Times New Roman" w:hAnsi="Times New Roman" w:eastAsia="宋体" w:cs="Times New Roman"/>
                <w:color w:val="auto"/>
                <w:sz w:val="24"/>
                <w:highlight w:val="none"/>
                <w:lang w:val="en-US" w:eastAsia="zh-CN"/>
              </w:rPr>
              <w:t>27</w:t>
            </w:r>
            <w:r>
              <w:rPr>
                <w:rFonts w:hint="default" w:ascii="Times New Roman" w:hAnsi="Times New Roman" w:eastAsia="宋体" w:cs="Times New Roman"/>
                <w:color w:val="auto"/>
                <w:sz w:val="24"/>
                <w:highlight w:val="none"/>
                <w:lang w:eastAsia="zh-CN"/>
              </w:rPr>
              <w:t>日—</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lang w:eastAsia="zh-CN"/>
              </w:rPr>
              <w:t>月</w:t>
            </w:r>
            <w:r>
              <w:rPr>
                <w:rFonts w:hint="default" w:ascii="Times New Roman" w:hAnsi="Times New Roman" w:eastAsia="宋体" w:cs="Times New Roman"/>
                <w:color w:val="auto"/>
                <w:sz w:val="24"/>
                <w:highlight w:val="none"/>
                <w:lang w:val="en-US" w:eastAsia="zh-CN"/>
              </w:rPr>
              <w:t>29</w:t>
            </w:r>
            <w:r>
              <w:rPr>
                <w:rFonts w:hint="default" w:ascii="Times New Roman" w:hAnsi="Times New Roman" w:eastAsia="宋体" w:cs="Times New Roman"/>
                <w:color w:val="auto"/>
                <w:sz w:val="24"/>
                <w:highlight w:val="none"/>
                <w:lang w:eastAsia="zh-CN"/>
              </w:rPr>
              <w:t>日对《</w:t>
            </w:r>
            <w:r>
              <w:rPr>
                <w:rFonts w:hint="default" w:ascii="Times New Roman" w:hAnsi="Times New Roman" w:eastAsia="宋体" w:cs="Times New Roman"/>
                <w:color w:val="auto"/>
                <w:sz w:val="24"/>
                <w:lang w:val="en-US" w:eastAsia="zh-CN"/>
              </w:rPr>
              <w:t>陕西盛安恒固环保建材有限公司路基水稳层及商品混凝土生产线建设项目环境影响报告表</w:t>
            </w:r>
            <w:r>
              <w:rPr>
                <w:rFonts w:hint="default" w:ascii="Times New Roman" w:hAnsi="Times New Roman" w:eastAsia="宋体" w:cs="Times New Roman"/>
                <w:color w:val="auto"/>
                <w:sz w:val="24"/>
                <w:highlight w:val="none"/>
                <w:lang w:eastAsia="zh-CN"/>
              </w:rPr>
              <w:t>》中TSP</w:t>
            </w:r>
            <w:r>
              <w:rPr>
                <w:rFonts w:hint="eastAsia" w:cs="Times New Roman"/>
                <w:color w:val="auto"/>
                <w:sz w:val="24"/>
                <w:highlight w:val="none"/>
                <w:lang w:eastAsia="zh-CN"/>
              </w:rPr>
              <w:t>的监测数据</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该项目地位于本项目东</w:t>
            </w:r>
            <w:r>
              <w:rPr>
                <w:rFonts w:hint="eastAsia" w:cs="Times New Roman"/>
                <w:color w:val="auto"/>
                <w:sz w:val="24"/>
                <w:highlight w:val="none"/>
                <w:lang w:val="en-US" w:eastAsia="zh-CN"/>
              </w:rPr>
              <w:t>北</w:t>
            </w:r>
            <w:r>
              <w:rPr>
                <w:rFonts w:hint="default" w:ascii="Times New Roman" w:hAnsi="Times New Roman" w:eastAsia="宋体" w:cs="Times New Roman"/>
                <w:color w:val="auto"/>
                <w:sz w:val="24"/>
                <w:szCs w:val="32"/>
                <w:lang w:val="en-US" w:eastAsia="zh-CN"/>
              </w:rPr>
              <w:t>侧</w:t>
            </w:r>
            <w:r>
              <w:rPr>
                <w:rFonts w:hint="eastAsia" w:cs="Times New Roman"/>
                <w:color w:val="auto"/>
                <w:sz w:val="24"/>
                <w:szCs w:val="32"/>
                <w:lang w:val="en-US" w:eastAsia="zh-CN"/>
              </w:rPr>
              <w:t>0.494</w:t>
            </w:r>
            <w:r>
              <w:rPr>
                <w:rFonts w:hint="default" w:ascii="Times New Roman" w:hAnsi="Times New Roman" w:cs="Times New Roman"/>
                <w:color w:val="auto"/>
                <w:sz w:val="24"/>
                <w:szCs w:val="32"/>
              </w:rPr>
              <w:t>km</w:t>
            </w:r>
            <w:r>
              <w:rPr>
                <w:rFonts w:hint="default" w:ascii="Times New Roman" w:hAnsi="Times New Roman" w:cs="Times New Roman"/>
                <w:color w:val="auto"/>
                <w:sz w:val="24"/>
                <w:szCs w:val="24"/>
                <w:lang w:eastAsia="zh-CN"/>
              </w:rPr>
              <w:t>处</w:t>
            </w:r>
            <w:r>
              <w:rPr>
                <w:rFonts w:hint="eastAsia" w:cs="Times New Roman"/>
                <w:color w:val="auto"/>
                <w:sz w:val="24"/>
                <w:szCs w:val="24"/>
                <w:lang w:eastAsia="zh-CN"/>
              </w:rPr>
              <w:t>，</w:t>
            </w:r>
            <w:r>
              <w:rPr>
                <w:rFonts w:hint="default" w:ascii="Times New Roman" w:hAnsi="Times New Roman" w:cs="Times New Roman"/>
                <w:color w:val="auto"/>
                <w:sz w:val="24"/>
                <w:szCs w:val="32"/>
                <w:lang w:eastAsia="zh-CN"/>
              </w:rPr>
              <w:t>监测点位</w:t>
            </w:r>
            <w:r>
              <w:rPr>
                <w:rFonts w:hint="eastAsia" w:cs="Times New Roman"/>
                <w:color w:val="auto"/>
                <w:sz w:val="24"/>
                <w:szCs w:val="32"/>
                <w:lang w:eastAsia="zh-CN"/>
              </w:rPr>
              <w:t>的监测数据均</w:t>
            </w:r>
            <w:r>
              <w:rPr>
                <w:rFonts w:hint="default" w:ascii="Times New Roman" w:hAnsi="Times New Roman" w:cs="Times New Roman"/>
                <w:color w:val="auto"/>
                <w:sz w:val="24"/>
                <w:szCs w:val="24"/>
                <w:lang w:eastAsia="zh-CN"/>
              </w:rPr>
              <w:t>为项目周边</w:t>
            </w:r>
            <w:r>
              <w:rPr>
                <w:rFonts w:hint="default" w:ascii="Times New Roman" w:hAnsi="Times New Roman" w:cs="Times New Roman"/>
                <w:color w:val="auto"/>
                <w:sz w:val="24"/>
                <w:szCs w:val="24"/>
                <w:lang w:val="en-US" w:eastAsia="zh-CN"/>
              </w:rPr>
              <w:t>5km范围内近3年的现有检测数据，符合要求。</w:t>
            </w:r>
            <w:r>
              <w:rPr>
                <w:rFonts w:hint="default" w:ascii="Times New Roman" w:hAnsi="Times New Roman" w:cs="Times New Roman"/>
                <w:color w:val="auto"/>
                <w:sz w:val="24"/>
                <w:szCs w:val="24"/>
                <w:lang w:eastAsia="zh-CN"/>
              </w:rPr>
              <w:t>监测结果见下表3-2：</w:t>
            </w:r>
          </w:p>
          <w:p w14:paraId="7ECA91FD">
            <w:pPr>
              <w:keepNext/>
              <w:keepLines/>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w:t>
            </w:r>
            <w:r>
              <w:rPr>
                <w:rFonts w:hint="eastAsia" w:cs="Times New Roman"/>
                <w:b/>
                <w:bCs/>
                <w:color w:val="auto"/>
                <w:sz w:val="21"/>
                <w:szCs w:val="21"/>
                <w:lang w:val="en-US" w:eastAsia="zh-CN"/>
              </w:rPr>
              <w:t>3-3</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cs="Times New Roman"/>
                <w:b/>
                <w:bCs/>
                <w:color w:val="auto"/>
                <w:sz w:val="21"/>
                <w:szCs w:val="21"/>
                <w:lang w:val="en-US" w:eastAsia="zh-CN"/>
              </w:rPr>
              <w:t>TSP</w:t>
            </w:r>
            <w:r>
              <w:rPr>
                <w:rFonts w:hint="default" w:ascii="Times New Roman" w:hAnsi="Times New Roman" w:eastAsia="宋体" w:cs="Times New Roman"/>
                <w:b/>
                <w:bCs/>
                <w:color w:val="auto"/>
                <w:sz w:val="21"/>
                <w:szCs w:val="21"/>
                <w:lang w:val="en-US" w:eastAsia="zh-CN"/>
              </w:rPr>
              <w:t>环境质量现状监测结果     单位：mg/m³</w:t>
            </w:r>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1081"/>
              <w:gridCol w:w="2000"/>
              <w:gridCol w:w="1226"/>
              <w:gridCol w:w="1164"/>
              <w:gridCol w:w="1091"/>
              <w:gridCol w:w="732"/>
            </w:tblGrid>
            <w:tr w14:paraId="0607D2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1" w:hRule="atLeast"/>
                <w:tblHeader/>
                <w:jc w:val="center"/>
              </w:trPr>
              <w:tc>
                <w:tcPr>
                  <w:tcW w:w="2263" w:type="dxa"/>
                  <w:gridSpan w:val="2"/>
                  <w:tcBorders>
                    <w:tl2br w:val="nil"/>
                    <w:tr2bl w:val="nil"/>
                  </w:tcBorders>
                  <w:noWrap w:val="0"/>
                  <w:vAlign w:val="center"/>
                </w:tcPr>
                <w:p w14:paraId="17A4A23A">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评价因子</w:t>
                  </w:r>
                </w:p>
              </w:tc>
              <w:tc>
                <w:tcPr>
                  <w:tcW w:w="2000" w:type="dxa"/>
                  <w:tcBorders>
                    <w:tl2br w:val="nil"/>
                    <w:tr2bl w:val="nil"/>
                  </w:tcBorders>
                  <w:noWrap w:val="0"/>
                  <w:vAlign w:val="center"/>
                </w:tcPr>
                <w:p w14:paraId="4DAEE1FB">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监测日期</w:t>
                  </w:r>
                </w:p>
              </w:tc>
              <w:tc>
                <w:tcPr>
                  <w:tcW w:w="1226" w:type="dxa"/>
                  <w:tcBorders>
                    <w:tl2br w:val="nil"/>
                    <w:tr2bl w:val="nil"/>
                  </w:tcBorders>
                  <w:noWrap w:val="0"/>
                  <w:vAlign w:val="center"/>
                </w:tcPr>
                <w:p w14:paraId="2EB59F5F">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监测值</w:t>
                  </w:r>
                  <w:r>
                    <w:rPr>
                      <w:rFonts w:hint="default" w:ascii="Times New Roman" w:hAnsi="Times New Roman" w:cs="Times New Roman"/>
                      <w:bCs/>
                      <w:color w:val="auto"/>
                      <w:sz w:val="21"/>
                      <w:szCs w:val="21"/>
                      <w:lang w:val="en-US" w:eastAsia="zh-CN"/>
                    </w:rPr>
                    <w:t>范围</w:t>
                  </w:r>
                  <w:r>
                    <w:rPr>
                      <w:rFonts w:hint="default" w:ascii="Times New Roman" w:hAnsi="Times New Roman" w:cs="Times New Roman"/>
                      <w:color w:val="auto"/>
                      <w:sz w:val="21"/>
                      <w:szCs w:val="21"/>
                    </w:rPr>
                    <w:t>（μg/</w:t>
                  </w:r>
                  <w:r>
                    <w:rPr>
                      <w:rFonts w:hint="default" w:ascii="Times New Roman" w:hAnsi="Times New Roman" w:cs="Times New Roman"/>
                      <w:color w:val="auto"/>
                      <w:sz w:val="21"/>
                      <w:szCs w:val="21"/>
                      <w:lang w:eastAsia="zh-CN"/>
                    </w:rPr>
                    <w:t>m³</w:t>
                  </w:r>
                  <w:r>
                    <w:rPr>
                      <w:rFonts w:hint="default" w:ascii="Times New Roman" w:hAnsi="Times New Roman" w:cs="Times New Roman"/>
                      <w:color w:val="auto"/>
                      <w:sz w:val="21"/>
                      <w:szCs w:val="21"/>
                    </w:rPr>
                    <w:t>）</w:t>
                  </w:r>
                </w:p>
              </w:tc>
              <w:tc>
                <w:tcPr>
                  <w:tcW w:w="1164" w:type="dxa"/>
                  <w:tcBorders>
                    <w:tl2br w:val="nil"/>
                    <w:tr2bl w:val="nil"/>
                  </w:tcBorders>
                  <w:noWrap w:val="0"/>
                  <w:vAlign w:val="center"/>
                </w:tcPr>
                <w:p w14:paraId="6B93B3F3">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标准值（μg/</w:t>
                  </w:r>
                  <w:r>
                    <w:rPr>
                      <w:rFonts w:hint="default" w:ascii="Times New Roman" w:hAnsi="Times New Roman" w:cs="Times New Roman"/>
                      <w:color w:val="auto"/>
                      <w:sz w:val="21"/>
                      <w:szCs w:val="21"/>
                      <w:lang w:eastAsia="zh-CN"/>
                    </w:rPr>
                    <w:t>m³</w:t>
                  </w:r>
                  <w:r>
                    <w:rPr>
                      <w:rFonts w:hint="default" w:ascii="Times New Roman" w:hAnsi="Times New Roman" w:cs="Times New Roman"/>
                      <w:color w:val="auto"/>
                      <w:sz w:val="21"/>
                      <w:szCs w:val="21"/>
                    </w:rPr>
                    <w:t>）</w:t>
                  </w:r>
                </w:p>
              </w:tc>
              <w:tc>
                <w:tcPr>
                  <w:tcW w:w="1091" w:type="dxa"/>
                  <w:tcBorders>
                    <w:tl2br w:val="nil"/>
                    <w:tr2bl w:val="nil"/>
                  </w:tcBorders>
                  <w:noWrap w:val="0"/>
                  <w:vAlign w:val="center"/>
                </w:tcPr>
                <w:p w14:paraId="0E286FB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最大占标率（%）</w:t>
                  </w:r>
                </w:p>
              </w:tc>
              <w:tc>
                <w:tcPr>
                  <w:tcW w:w="732" w:type="dxa"/>
                  <w:tcBorders>
                    <w:tl2br w:val="nil"/>
                    <w:tr2bl w:val="nil"/>
                  </w:tcBorders>
                  <w:noWrap w:val="0"/>
                  <w:vAlign w:val="center"/>
                </w:tcPr>
                <w:p w14:paraId="5FBBED9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达标情况</w:t>
                  </w:r>
                </w:p>
              </w:tc>
            </w:tr>
            <w:tr w14:paraId="2BF26A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182" w:type="dxa"/>
                  <w:tcBorders>
                    <w:tl2br w:val="nil"/>
                    <w:tr2bl w:val="nil"/>
                  </w:tcBorders>
                  <w:noWrap w:val="0"/>
                  <w:vAlign w:val="center"/>
                </w:tcPr>
                <w:p w14:paraId="7512C21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TSP</w:t>
                  </w:r>
                </w:p>
              </w:tc>
              <w:tc>
                <w:tcPr>
                  <w:tcW w:w="1081" w:type="dxa"/>
                  <w:tcBorders>
                    <w:tl2br w:val="nil"/>
                    <w:tr2bl w:val="nil"/>
                  </w:tcBorders>
                  <w:noWrap w:val="0"/>
                  <w:vAlign w:val="center"/>
                </w:tcPr>
                <w:p w14:paraId="237EE19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24h平均值</w:t>
                  </w:r>
                </w:p>
              </w:tc>
              <w:tc>
                <w:tcPr>
                  <w:tcW w:w="2000" w:type="dxa"/>
                  <w:tcBorders>
                    <w:tl2br w:val="nil"/>
                    <w:tr2bl w:val="nil"/>
                  </w:tcBorders>
                  <w:noWrap w:val="0"/>
                  <w:vAlign w:val="center"/>
                </w:tcPr>
                <w:p w14:paraId="7B6F249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5.5.24-2025.5.29</w:t>
                  </w:r>
                </w:p>
              </w:tc>
              <w:tc>
                <w:tcPr>
                  <w:tcW w:w="1226" w:type="dxa"/>
                  <w:tcBorders>
                    <w:tl2br w:val="nil"/>
                    <w:tr2bl w:val="nil"/>
                  </w:tcBorders>
                  <w:noWrap w:val="0"/>
                  <w:vAlign w:val="center"/>
                </w:tcPr>
                <w:p w14:paraId="32407903">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val="en-US"/>
                    </w:rPr>
                  </w:pPr>
                  <w:r>
                    <w:rPr>
                      <w:rFonts w:hint="default" w:ascii="Times New Roman" w:hAnsi="Times New Roman" w:eastAsia="宋体" w:cs="Times New Roman"/>
                      <w:b w:val="0"/>
                      <w:bCs w:val="0"/>
                      <w:color w:val="auto"/>
                      <w:sz w:val="21"/>
                      <w:szCs w:val="21"/>
                      <w:lang w:val="en-US" w:eastAsia="zh-CN"/>
                    </w:rPr>
                    <w:t>59-75</w:t>
                  </w:r>
                </w:p>
              </w:tc>
              <w:tc>
                <w:tcPr>
                  <w:tcW w:w="1164" w:type="dxa"/>
                  <w:tcBorders>
                    <w:tl2br w:val="nil"/>
                    <w:tr2bl w:val="nil"/>
                  </w:tcBorders>
                  <w:noWrap w:val="0"/>
                  <w:vAlign w:val="center"/>
                </w:tcPr>
                <w:p w14:paraId="64A22164">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300</w:t>
                  </w:r>
                </w:p>
              </w:tc>
              <w:tc>
                <w:tcPr>
                  <w:tcW w:w="1091" w:type="dxa"/>
                  <w:tcBorders>
                    <w:tl2br w:val="nil"/>
                    <w:tr2bl w:val="nil"/>
                  </w:tcBorders>
                  <w:noWrap w:val="0"/>
                  <w:vAlign w:val="center"/>
                </w:tcPr>
                <w:p w14:paraId="214ABA56">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25.0</w:t>
                  </w:r>
                </w:p>
              </w:tc>
              <w:tc>
                <w:tcPr>
                  <w:tcW w:w="732" w:type="dxa"/>
                  <w:tcBorders>
                    <w:tl2br w:val="nil"/>
                    <w:tr2bl w:val="nil"/>
                  </w:tcBorders>
                  <w:noWrap w:val="0"/>
                  <w:vAlign w:val="center"/>
                </w:tcPr>
                <w:p w14:paraId="27DCFC62">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达标</w:t>
                  </w:r>
                </w:p>
              </w:tc>
            </w:tr>
          </w:tbl>
          <w:p w14:paraId="34C6FF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根据监测结果，监测期间该区域环境空气</w:t>
            </w:r>
            <w:r>
              <w:rPr>
                <w:rFonts w:hint="eastAsia" w:cs="Times New Roman"/>
                <w:color w:val="auto"/>
                <w:sz w:val="24"/>
                <w:szCs w:val="24"/>
                <w:lang w:val="en-US" w:eastAsia="zh-CN"/>
              </w:rPr>
              <w:t>TSP 24</w:t>
            </w:r>
            <w:r>
              <w:rPr>
                <w:rFonts w:hint="default" w:ascii="Times New Roman" w:hAnsi="Times New Roman" w:cs="Times New Roman"/>
                <w:color w:val="auto"/>
                <w:sz w:val="24"/>
                <w:szCs w:val="24"/>
                <w:lang w:val="en-US" w:eastAsia="zh-CN"/>
              </w:rPr>
              <w:t>小时平均值满足《环境空气质量标准》（</w:t>
            </w:r>
            <w:r>
              <w:rPr>
                <w:rFonts w:hint="eastAsia" w:cs="Times New Roman"/>
                <w:color w:val="auto"/>
                <w:sz w:val="24"/>
                <w:szCs w:val="24"/>
                <w:lang w:val="en-US" w:eastAsia="zh-CN"/>
              </w:rPr>
              <w:t>GB 3095—</w:t>
            </w:r>
            <w:r>
              <w:rPr>
                <w:rFonts w:hint="default" w:ascii="Times New Roman" w:hAnsi="Times New Roman" w:cs="Times New Roman"/>
                <w:color w:val="auto"/>
                <w:sz w:val="24"/>
                <w:szCs w:val="24"/>
                <w:lang w:val="en-US" w:eastAsia="zh-CN"/>
              </w:rPr>
              <w:t>2012）二级标准限值要求。</w:t>
            </w:r>
          </w:p>
          <w:p w14:paraId="4CF878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eastAsia="宋体" w:cs="Times New Roman"/>
                <w:bCs/>
                <w:color w:val="auto"/>
                <w:sz w:val="24"/>
                <w:szCs w:val="28"/>
                <w:lang w:val="en-US" w:eastAsia="zh-CN"/>
              </w:rPr>
            </w:pPr>
            <w:r>
              <w:rPr>
                <w:rFonts w:hint="eastAsia" w:ascii="Times New Roman" w:hAnsi="Times New Roman" w:eastAsia="宋体" w:cs="Times New Roman"/>
                <w:bCs/>
                <w:color w:val="auto"/>
                <w:sz w:val="24"/>
                <w:szCs w:val="28"/>
                <w:lang w:val="en-US" w:eastAsia="zh-CN"/>
              </w:rPr>
              <w:drawing>
                <wp:anchor distT="0" distB="0" distL="114300" distR="114300" simplePos="0" relativeHeight="251665408" behindDoc="0" locked="0" layoutInCell="1" allowOverlap="1">
                  <wp:simplePos x="0" y="0"/>
                  <wp:positionH relativeFrom="column">
                    <wp:posOffset>9525</wp:posOffset>
                  </wp:positionH>
                  <wp:positionV relativeFrom="paragraph">
                    <wp:posOffset>9525</wp:posOffset>
                  </wp:positionV>
                  <wp:extent cx="409575" cy="419100"/>
                  <wp:effectExtent l="0" t="0" r="9525" b="0"/>
                  <wp:wrapNone/>
                  <wp:docPr id="9" name="图片 9" descr="005a5450-9486-4270-9e64-dba39c236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05a5450-9486-4270-9e64-dba39c236479"/>
                          <pic:cNvPicPr>
                            <a:picLocks noChangeAspect="1"/>
                          </pic:cNvPicPr>
                        </pic:nvPicPr>
                        <pic:blipFill>
                          <a:blip r:embed="rId14"/>
                          <a:stretch>
                            <a:fillRect/>
                          </a:stretch>
                        </pic:blipFill>
                        <pic:spPr>
                          <a:xfrm>
                            <a:off x="0" y="0"/>
                            <a:ext cx="409575" cy="419100"/>
                          </a:xfrm>
                          <a:prstGeom prst="rect">
                            <a:avLst/>
                          </a:prstGeom>
                        </pic:spPr>
                      </pic:pic>
                    </a:graphicData>
                  </a:graphic>
                </wp:anchor>
              </w:drawing>
            </w:r>
            <w:r>
              <w:rPr>
                <w:rFonts w:hint="default"/>
                <w:color w:val="auto"/>
              </w:rPr>
              <w:drawing>
                <wp:inline distT="0" distB="0" distL="114300" distR="114300">
                  <wp:extent cx="5400040" cy="3540760"/>
                  <wp:effectExtent l="9525" t="9525" r="19685" b="1206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5"/>
                          <a:stretch>
                            <a:fillRect/>
                          </a:stretch>
                        </pic:blipFill>
                        <pic:spPr>
                          <a:xfrm>
                            <a:off x="0" y="0"/>
                            <a:ext cx="5400040" cy="3540760"/>
                          </a:xfrm>
                          <a:prstGeom prst="rect">
                            <a:avLst/>
                          </a:prstGeom>
                          <a:noFill/>
                          <a:ln>
                            <a:solidFill>
                              <a:schemeClr val="tx1"/>
                            </a:solidFill>
                          </a:ln>
                        </pic:spPr>
                      </pic:pic>
                    </a:graphicData>
                  </a:graphic>
                </wp:inline>
              </w:drawing>
            </w:r>
          </w:p>
          <w:p w14:paraId="39982F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图3-1  现状监测数据引用位置图</w:t>
            </w:r>
          </w:p>
          <w:p w14:paraId="76F2EF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b/>
                <w:bCs/>
                <w:color w:val="auto"/>
                <w:kern w:val="2"/>
                <w:sz w:val="24"/>
                <w:szCs w:val="24"/>
                <w:lang w:val="en-US" w:eastAsia="zh-CN" w:bidi="ar-SA"/>
              </w:rPr>
              <w:t>2.</w:t>
            </w:r>
            <w:r>
              <w:rPr>
                <w:rFonts w:hint="default" w:ascii="Times New Roman" w:hAnsi="Times New Roman" w:eastAsia="宋体" w:cs="Times New Roman"/>
                <w:b/>
                <w:bCs/>
                <w:color w:val="auto"/>
                <w:kern w:val="0"/>
                <w:sz w:val="24"/>
                <w:szCs w:val="24"/>
                <w:vertAlign w:val="baseline"/>
                <w:lang w:val="en-US" w:eastAsia="zh-CN" w:bidi="ar"/>
              </w:rPr>
              <w:t>地表水环境</w:t>
            </w:r>
          </w:p>
          <w:p w14:paraId="539962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kern w:val="0"/>
                <w:sz w:val="24"/>
                <w:szCs w:val="24"/>
                <w:vertAlign w:val="baseline"/>
                <w:lang w:val="en-US" w:eastAsia="zh-CN" w:bidi="ar"/>
              </w:rPr>
            </w:pPr>
            <w:r>
              <w:rPr>
                <w:rFonts w:hint="default" w:ascii="Times New Roman" w:hAnsi="Times New Roman" w:eastAsia="宋体" w:cs="Times New Roman"/>
                <w:b w:val="0"/>
                <w:bCs w:val="0"/>
                <w:color w:val="auto"/>
                <w:kern w:val="0"/>
                <w:sz w:val="24"/>
                <w:szCs w:val="24"/>
                <w:vertAlign w:val="baseline"/>
                <w:lang w:val="en-US" w:eastAsia="zh-CN" w:bidi="ar"/>
              </w:rPr>
              <w:t>本项目地表水环境现状评价引用</w:t>
            </w:r>
            <w:r>
              <w:rPr>
                <w:rFonts w:hint="default" w:ascii="Times New Roman" w:hAnsi="Times New Roman" w:eastAsia="宋体" w:cs="Times New Roman"/>
                <w:color w:val="auto"/>
                <w:kern w:val="0"/>
                <w:sz w:val="24"/>
                <w:szCs w:val="24"/>
                <w:lang w:val="en-US" w:eastAsia="zh-CN" w:bidi="ar"/>
              </w:rPr>
              <w:t>《宝鸡市生态环境质量报告书》（2024年）中距离项目较近的</w:t>
            </w:r>
            <w:r>
              <w:rPr>
                <w:rFonts w:hint="default" w:ascii="Times New Roman" w:hAnsi="Times New Roman" w:eastAsia="宋体" w:cs="Times New Roman"/>
                <w:b w:val="0"/>
                <w:bCs w:val="0"/>
                <w:color w:val="auto"/>
                <w:kern w:val="0"/>
                <w:sz w:val="24"/>
                <w:szCs w:val="24"/>
                <w:vertAlign w:val="baseline"/>
                <w:lang w:val="en-US" w:eastAsia="zh-CN" w:bidi="ar"/>
              </w:rPr>
              <w:t>千河入渭口断面</w:t>
            </w:r>
            <w:r>
              <w:rPr>
                <w:rFonts w:hint="default" w:ascii="Times New Roman" w:hAnsi="Times New Roman" w:eastAsia="宋体" w:cs="Times New Roman"/>
                <w:color w:val="auto"/>
                <w:kern w:val="0"/>
                <w:sz w:val="24"/>
                <w:szCs w:val="24"/>
                <w:lang w:val="en-US" w:eastAsia="zh-CN" w:bidi="ar"/>
              </w:rPr>
              <w:t>质量数据。</w:t>
            </w:r>
          </w:p>
          <w:p w14:paraId="26A157B6">
            <w:pPr>
              <w:keepNext/>
              <w:keepLines/>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w:t>
            </w:r>
            <w:r>
              <w:rPr>
                <w:rFonts w:hint="eastAsia" w:cs="Times New Roman"/>
                <w:b/>
                <w:bCs/>
                <w:color w:val="auto"/>
                <w:sz w:val="21"/>
                <w:szCs w:val="21"/>
                <w:lang w:val="en-US" w:eastAsia="zh-CN"/>
              </w:rPr>
              <w:t>3-4</w:t>
            </w:r>
            <w:r>
              <w:rPr>
                <w:rFonts w:hint="default" w:ascii="Times New Roman" w:hAnsi="Times New Roman" w:eastAsia="宋体" w:cs="Times New Roman"/>
                <w:b/>
                <w:bCs/>
                <w:color w:val="auto"/>
                <w:sz w:val="21"/>
                <w:szCs w:val="21"/>
                <w:lang w:val="en-US" w:eastAsia="zh-CN"/>
              </w:rPr>
              <w:t xml:space="preserve">   地表水环境现状情况</w:t>
            </w:r>
          </w:p>
          <w:tbl>
            <w:tblPr>
              <w:tblStyle w:val="34"/>
              <w:tblW w:w="8499" w:type="dxa"/>
              <w:tblInd w:w="-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888"/>
              <w:gridCol w:w="849"/>
              <w:gridCol w:w="668"/>
              <w:gridCol w:w="794"/>
              <w:gridCol w:w="947"/>
              <w:gridCol w:w="648"/>
              <w:gridCol w:w="711"/>
              <w:gridCol w:w="820"/>
              <w:gridCol w:w="818"/>
            </w:tblGrid>
            <w:tr w14:paraId="3C96F6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356" w:type="dxa"/>
                  <w:vMerge w:val="restart"/>
                  <w:tcBorders>
                    <w:tl2br w:val="nil"/>
                    <w:tr2bl w:val="nil"/>
                  </w:tcBorders>
                  <w:vAlign w:val="center"/>
                </w:tcPr>
                <w:p w14:paraId="780E54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断面名称</w:t>
                  </w:r>
                </w:p>
              </w:tc>
              <w:tc>
                <w:tcPr>
                  <w:tcW w:w="888" w:type="dxa"/>
                  <w:vMerge w:val="restart"/>
                  <w:tcBorders>
                    <w:tl2br w:val="nil"/>
                    <w:tr2bl w:val="nil"/>
                  </w:tcBorders>
                  <w:vAlign w:val="center"/>
                </w:tcPr>
                <w:p w14:paraId="556275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断面</w:t>
                  </w:r>
                </w:p>
                <w:p w14:paraId="76354F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类别</w:t>
                  </w:r>
                </w:p>
              </w:tc>
              <w:tc>
                <w:tcPr>
                  <w:tcW w:w="6255" w:type="dxa"/>
                  <w:gridSpan w:val="8"/>
                  <w:tcBorders>
                    <w:tl2br w:val="nil"/>
                    <w:tr2bl w:val="nil"/>
                  </w:tcBorders>
                  <w:vAlign w:val="center"/>
                </w:tcPr>
                <w:p w14:paraId="28CDA6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指标年均值（mg/L）</w:t>
                  </w:r>
                </w:p>
              </w:tc>
            </w:tr>
            <w:tr w14:paraId="2ECF50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1356" w:type="dxa"/>
                  <w:vMerge w:val="continue"/>
                  <w:tcBorders>
                    <w:tl2br w:val="nil"/>
                    <w:tr2bl w:val="nil"/>
                  </w:tcBorders>
                  <w:vAlign w:val="center"/>
                </w:tcPr>
                <w:p w14:paraId="5BB06C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p>
              </w:tc>
              <w:tc>
                <w:tcPr>
                  <w:tcW w:w="888" w:type="dxa"/>
                  <w:vMerge w:val="continue"/>
                  <w:tcBorders>
                    <w:tl2br w:val="nil"/>
                    <w:tr2bl w:val="nil"/>
                  </w:tcBorders>
                  <w:vAlign w:val="center"/>
                </w:tcPr>
                <w:p w14:paraId="6DED23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p>
              </w:tc>
              <w:tc>
                <w:tcPr>
                  <w:tcW w:w="849" w:type="dxa"/>
                  <w:tcBorders>
                    <w:tl2br w:val="nil"/>
                    <w:tr2bl w:val="nil"/>
                  </w:tcBorders>
                  <w:vAlign w:val="center"/>
                </w:tcPr>
                <w:p w14:paraId="021416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pH</w:t>
                  </w:r>
                </w:p>
              </w:tc>
              <w:tc>
                <w:tcPr>
                  <w:tcW w:w="668" w:type="dxa"/>
                  <w:tcBorders>
                    <w:tl2br w:val="nil"/>
                    <w:tr2bl w:val="nil"/>
                  </w:tcBorders>
                  <w:vAlign w:val="center"/>
                </w:tcPr>
                <w:p w14:paraId="7F1079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溶解氧</w:t>
                  </w:r>
                </w:p>
              </w:tc>
              <w:tc>
                <w:tcPr>
                  <w:tcW w:w="794" w:type="dxa"/>
                  <w:tcBorders>
                    <w:tl2br w:val="nil"/>
                    <w:tr2bl w:val="nil"/>
                  </w:tcBorders>
                  <w:vAlign w:val="center"/>
                </w:tcPr>
                <w:p w14:paraId="656E78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高锰酸盐指数</w:t>
                  </w:r>
                </w:p>
              </w:tc>
              <w:tc>
                <w:tcPr>
                  <w:tcW w:w="947" w:type="dxa"/>
                  <w:tcBorders>
                    <w:tl2br w:val="nil"/>
                    <w:tr2bl w:val="nil"/>
                  </w:tcBorders>
                  <w:vAlign w:val="center"/>
                </w:tcPr>
                <w:p w14:paraId="28DDDF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五日生化需氧量</w:t>
                  </w:r>
                </w:p>
              </w:tc>
              <w:tc>
                <w:tcPr>
                  <w:tcW w:w="648" w:type="dxa"/>
                  <w:tcBorders>
                    <w:tl2br w:val="nil"/>
                    <w:tr2bl w:val="nil"/>
                  </w:tcBorders>
                  <w:vAlign w:val="center"/>
                </w:tcPr>
                <w:p w14:paraId="6376A6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氨氮</w:t>
                  </w:r>
                </w:p>
              </w:tc>
              <w:tc>
                <w:tcPr>
                  <w:tcW w:w="711" w:type="dxa"/>
                  <w:tcBorders>
                    <w:tl2br w:val="nil"/>
                    <w:tr2bl w:val="nil"/>
                  </w:tcBorders>
                  <w:vAlign w:val="center"/>
                </w:tcPr>
                <w:p w14:paraId="04F1F2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化学需氧量</w:t>
                  </w:r>
                </w:p>
              </w:tc>
              <w:tc>
                <w:tcPr>
                  <w:tcW w:w="820" w:type="dxa"/>
                  <w:tcBorders>
                    <w:tl2br w:val="nil"/>
                    <w:tr2bl w:val="nil"/>
                  </w:tcBorders>
                  <w:vAlign w:val="center"/>
                </w:tcPr>
                <w:p w14:paraId="156BEB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总磷</w:t>
                  </w:r>
                </w:p>
              </w:tc>
              <w:tc>
                <w:tcPr>
                  <w:tcW w:w="818" w:type="dxa"/>
                  <w:tcBorders>
                    <w:tl2br w:val="nil"/>
                    <w:tr2bl w:val="nil"/>
                  </w:tcBorders>
                  <w:vAlign w:val="center"/>
                </w:tcPr>
                <w:p w14:paraId="1757B4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氟化物</w:t>
                  </w:r>
                </w:p>
              </w:tc>
            </w:tr>
            <w:tr w14:paraId="7B704B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356" w:type="dxa"/>
                  <w:tcBorders>
                    <w:tl2br w:val="nil"/>
                    <w:tr2bl w:val="nil"/>
                  </w:tcBorders>
                  <w:vAlign w:val="center"/>
                </w:tcPr>
                <w:p w14:paraId="322984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千河入渭口</w:t>
                  </w:r>
                </w:p>
              </w:tc>
              <w:tc>
                <w:tcPr>
                  <w:tcW w:w="888" w:type="dxa"/>
                  <w:tcBorders>
                    <w:tl2br w:val="nil"/>
                    <w:tr2bl w:val="nil"/>
                  </w:tcBorders>
                  <w:vAlign w:val="center"/>
                </w:tcPr>
                <w:p w14:paraId="71B666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Ⅳ类</w:t>
                  </w:r>
                </w:p>
              </w:tc>
              <w:tc>
                <w:tcPr>
                  <w:tcW w:w="849" w:type="dxa"/>
                  <w:tcBorders>
                    <w:tl2br w:val="nil"/>
                    <w:tr2bl w:val="nil"/>
                  </w:tcBorders>
                  <w:vAlign w:val="center"/>
                </w:tcPr>
                <w:p w14:paraId="2D6CCB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8.3</w:t>
                  </w:r>
                </w:p>
              </w:tc>
              <w:tc>
                <w:tcPr>
                  <w:tcW w:w="668" w:type="dxa"/>
                  <w:tcBorders>
                    <w:tl2br w:val="nil"/>
                    <w:tr2bl w:val="nil"/>
                  </w:tcBorders>
                  <w:vAlign w:val="center"/>
                </w:tcPr>
                <w:p w14:paraId="273A44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9.0</w:t>
                  </w:r>
                </w:p>
              </w:tc>
              <w:tc>
                <w:tcPr>
                  <w:tcW w:w="794" w:type="dxa"/>
                  <w:tcBorders>
                    <w:tl2br w:val="nil"/>
                    <w:tr2bl w:val="nil"/>
                  </w:tcBorders>
                  <w:vAlign w:val="center"/>
                </w:tcPr>
                <w:p w14:paraId="32F5A8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2.0</w:t>
                  </w:r>
                </w:p>
              </w:tc>
              <w:tc>
                <w:tcPr>
                  <w:tcW w:w="947" w:type="dxa"/>
                  <w:tcBorders>
                    <w:tl2br w:val="nil"/>
                    <w:tr2bl w:val="nil"/>
                  </w:tcBorders>
                  <w:vAlign w:val="center"/>
                </w:tcPr>
                <w:p w14:paraId="14A156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1.8</w:t>
                  </w:r>
                </w:p>
              </w:tc>
              <w:tc>
                <w:tcPr>
                  <w:tcW w:w="648" w:type="dxa"/>
                  <w:tcBorders>
                    <w:tl2br w:val="nil"/>
                    <w:tr2bl w:val="nil"/>
                  </w:tcBorders>
                  <w:vAlign w:val="center"/>
                </w:tcPr>
                <w:p w14:paraId="1366FB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0.35</w:t>
                  </w:r>
                </w:p>
              </w:tc>
              <w:tc>
                <w:tcPr>
                  <w:tcW w:w="711" w:type="dxa"/>
                  <w:tcBorders>
                    <w:tl2br w:val="nil"/>
                    <w:tr2bl w:val="nil"/>
                  </w:tcBorders>
                  <w:vAlign w:val="center"/>
                </w:tcPr>
                <w:p w14:paraId="2B2F70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12.2</w:t>
                  </w:r>
                </w:p>
              </w:tc>
              <w:tc>
                <w:tcPr>
                  <w:tcW w:w="820" w:type="dxa"/>
                  <w:tcBorders>
                    <w:tl2br w:val="nil"/>
                    <w:tr2bl w:val="nil"/>
                  </w:tcBorders>
                  <w:vAlign w:val="center"/>
                </w:tcPr>
                <w:p w14:paraId="28B881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0.064</w:t>
                  </w:r>
                </w:p>
              </w:tc>
              <w:tc>
                <w:tcPr>
                  <w:tcW w:w="818" w:type="dxa"/>
                  <w:tcBorders>
                    <w:tl2br w:val="nil"/>
                    <w:tr2bl w:val="nil"/>
                  </w:tcBorders>
                  <w:vAlign w:val="center"/>
                </w:tcPr>
                <w:p w14:paraId="1C56AB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0.3</w:t>
                  </w:r>
                </w:p>
              </w:tc>
            </w:tr>
            <w:tr w14:paraId="703D02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tcBorders>
                    <w:tl2br w:val="nil"/>
                    <w:tr2bl w:val="nil"/>
                  </w:tcBorders>
                  <w:vAlign w:val="center"/>
                </w:tcPr>
                <w:p w14:paraId="2F0EC2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GB3838-2002标准限值</w:t>
                  </w:r>
                </w:p>
              </w:tc>
              <w:tc>
                <w:tcPr>
                  <w:tcW w:w="888" w:type="dxa"/>
                  <w:tcBorders>
                    <w:tl2br w:val="nil"/>
                    <w:tr2bl w:val="nil"/>
                  </w:tcBorders>
                  <w:vAlign w:val="center"/>
                </w:tcPr>
                <w:p w14:paraId="2F9123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Ⅳ类</w:t>
                  </w:r>
                </w:p>
              </w:tc>
              <w:tc>
                <w:tcPr>
                  <w:tcW w:w="849" w:type="dxa"/>
                  <w:tcBorders>
                    <w:tl2br w:val="nil"/>
                    <w:tr2bl w:val="nil"/>
                  </w:tcBorders>
                  <w:vAlign w:val="center"/>
                </w:tcPr>
                <w:p w14:paraId="66FE7C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6~9</w:t>
                  </w:r>
                </w:p>
              </w:tc>
              <w:tc>
                <w:tcPr>
                  <w:tcW w:w="668" w:type="dxa"/>
                  <w:tcBorders>
                    <w:tl2br w:val="nil"/>
                    <w:tr2bl w:val="nil"/>
                  </w:tcBorders>
                  <w:vAlign w:val="center"/>
                </w:tcPr>
                <w:p w14:paraId="2AD0E9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≥3</w:t>
                  </w:r>
                </w:p>
              </w:tc>
              <w:tc>
                <w:tcPr>
                  <w:tcW w:w="794" w:type="dxa"/>
                  <w:tcBorders>
                    <w:tl2br w:val="nil"/>
                    <w:tr2bl w:val="nil"/>
                  </w:tcBorders>
                  <w:vAlign w:val="center"/>
                </w:tcPr>
                <w:p w14:paraId="23F85E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cs="Times New Roman"/>
                      <w:b w:val="0"/>
                      <w:bCs w:val="0"/>
                      <w:color w:val="auto"/>
                      <w:kern w:val="0"/>
                      <w:sz w:val="21"/>
                      <w:szCs w:val="21"/>
                      <w:vertAlign w:val="baseline"/>
                      <w:lang w:val="en-US" w:eastAsia="zh-CN" w:bidi="ar"/>
                    </w:rPr>
                    <w:t>≤</w:t>
                  </w:r>
                  <w:r>
                    <w:rPr>
                      <w:rFonts w:hint="default" w:ascii="Times New Roman" w:hAnsi="Times New Roman" w:eastAsia="宋体" w:cs="Times New Roman"/>
                      <w:b w:val="0"/>
                      <w:bCs w:val="0"/>
                      <w:color w:val="auto"/>
                      <w:kern w:val="0"/>
                      <w:sz w:val="21"/>
                      <w:szCs w:val="21"/>
                      <w:vertAlign w:val="baseline"/>
                      <w:lang w:val="en-US" w:eastAsia="zh-CN" w:bidi="ar"/>
                    </w:rPr>
                    <w:t>10</w:t>
                  </w:r>
                </w:p>
              </w:tc>
              <w:tc>
                <w:tcPr>
                  <w:tcW w:w="947" w:type="dxa"/>
                  <w:tcBorders>
                    <w:tl2br w:val="nil"/>
                    <w:tr2bl w:val="nil"/>
                  </w:tcBorders>
                  <w:vAlign w:val="center"/>
                </w:tcPr>
                <w:p w14:paraId="43457D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cs="Times New Roman"/>
                      <w:b w:val="0"/>
                      <w:bCs w:val="0"/>
                      <w:color w:val="auto"/>
                      <w:kern w:val="0"/>
                      <w:sz w:val="21"/>
                      <w:szCs w:val="21"/>
                      <w:vertAlign w:val="baseline"/>
                      <w:lang w:val="en-US" w:eastAsia="zh-CN" w:bidi="ar"/>
                    </w:rPr>
                    <w:t>≤</w:t>
                  </w:r>
                  <w:r>
                    <w:rPr>
                      <w:rFonts w:hint="default" w:ascii="Times New Roman" w:hAnsi="Times New Roman" w:eastAsia="宋体" w:cs="Times New Roman"/>
                      <w:b w:val="0"/>
                      <w:bCs w:val="0"/>
                      <w:color w:val="auto"/>
                      <w:kern w:val="0"/>
                      <w:sz w:val="21"/>
                      <w:szCs w:val="21"/>
                      <w:vertAlign w:val="baseline"/>
                      <w:lang w:val="en-US" w:eastAsia="zh-CN" w:bidi="ar"/>
                    </w:rPr>
                    <w:t>6</w:t>
                  </w:r>
                </w:p>
              </w:tc>
              <w:tc>
                <w:tcPr>
                  <w:tcW w:w="648" w:type="dxa"/>
                  <w:tcBorders>
                    <w:tl2br w:val="nil"/>
                    <w:tr2bl w:val="nil"/>
                  </w:tcBorders>
                  <w:vAlign w:val="center"/>
                </w:tcPr>
                <w:p w14:paraId="491C12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cs="Times New Roman"/>
                      <w:b w:val="0"/>
                      <w:bCs w:val="0"/>
                      <w:color w:val="auto"/>
                      <w:kern w:val="0"/>
                      <w:sz w:val="21"/>
                      <w:szCs w:val="21"/>
                      <w:vertAlign w:val="baseline"/>
                      <w:lang w:val="en-US" w:eastAsia="zh-CN" w:bidi="ar"/>
                    </w:rPr>
                    <w:t>≤</w:t>
                  </w:r>
                  <w:r>
                    <w:rPr>
                      <w:rFonts w:hint="default" w:ascii="Times New Roman" w:hAnsi="Times New Roman" w:eastAsia="宋体" w:cs="Times New Roman"/>
                      <w:b w:val="0"/>
                      <w:bCs w:val="0"/>
                      <w:color w:val="auto"/>
                      <w:kern w:val="0"/>
                      <w:sz w:val="21"/>
                      <w:szCs w:val="21"/>
                      <w:vertAlign w:val="baseline"/>
                      <w:lang w:val="en-US" w:eastAsia="zh-CN" w:bidi="ar"/>
                    </w:rPr>
                    <w:t>1.5</w:t>
                  </w:r>
                </w:p>
              </w:tc>
              <w:tc>
                <w:tcPr>
                  <w:tcW w:w="711" w:type="dxa"/>
                  <w:tcBorders>
                    <w:tl2br w:val="nil"/>
                    <w:tr2bl w:val="nil"/>
                  </w:tcBorders>
                  <w:vAlign w:val="center"/>
                </w:tcPr>
                <w:p w14:paraId="04882E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cs="Times New Roman"/>
                      <w:b w:val="0"/>
                      <w:bCs w:val="0"/>
                      <w:color w:val="auto"/>
                      <w:kern w:val="0"/>
                      <w:sz w:val="21"/>
                      <w:szCs w:val="21"/>
                      <w:vertAlign w:val="baseline"/>
                      <w:lang w:val="en-US" w:eastAsia="zh-CN" w:bidi="ar"/>
                    </w:rPr>
                    <w:t>≤</w:t>
                  </w:r>
                  <w:r>
                    <w:rPr>
                      <w:rFonts w:hint="default" w:ascii="Times New Roman" w:hAnsi="Times New Roman" w:eastAsia="宋体" w:cs="Times New Roman"/>
                      <w:b w:val="0"/>
                      <w:bCs w:val="0"/>
                      <w:color w:val="auto"/>
                      <w:kern w:val="0"/>
                      <w:sz w:val="21"/>
                      <w:szCs w:val="21"/>
                      <w:vertAlign w:val="baseline"/>
                      <w:lang w:val="en-US" w:eastAsia="zh-CN" w:bidi="ar"/>
                    </w:rPr>
                    <w:t>30</w:t>
                  </w:r>
                </w:p>
              </w:tc>
              <w:tc>
                <w:tcPr>
                  <w:tcW w:w="820" w:type="dxa"/>
                  <w:tcBorders>
                    <w:tl2br w:val="nil"/>
                    <w:tr2bl w:val="nil"/>
                  </w:tcBorders>
                  <w:vAlign w:val="center"/>
                </w:tcPr>
                <w:p w14:paraId="253C4D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cs="Times New Roman"/>
                      <w:b w:val="0"/>
                      <w:bCs w:val="0"/>
                      <w:color w:val="auto"/>
                      <w:kern w:val="0"/>
                      <w:sz w:val="21"/>
                      <w:szCs w:val="21"/>
                      <w:vertAlign w:val="baseline"/>
                      <w:lang w:val="en-US" w:eastAsia="zh-CN" w:bidi="ar"/>
                    </w:rPr>
                    <w:t>≤</w:t>
                  </w:r>
                  <w:r>
                    <w:rPr>
                      <w:rFonts w:hint="default" w:ascii="Times New Roman" w:hAnsi="Times New Roman" w:eastAsia="宋体" w:cs="Times New Roman"/>
                      <w:b w:val="0"/>
                      <w:bCs w:val="0"/>
                      <w:color w:val="auto"/>
                      <w:kern w:val="0"/>
                      <w:sz w:val="21"/>
                      <w:szCs w:val="21"/>
                      <w:vertAlign w:val="baseline"/>
                      <w:lang w:val="en-US" w:eastAsia="zh-CN" w:bidi="ar"/>
                    </w:rPr>
                    <w:t>0.3</w:t>
                  </w:r>
                </w:p>
              </w:tc>
              <w:tc>
                <w:tcPr>
                  <w:tcW w:w="818" w:type="dxa"/>
                  <w:tcBorders>
                    <w:tl2br w:val="nil"/>
                    <w:tr2bl w:val="nil"/>
                  </w:tcBorders>
                  <w:vAlign w:val="center"/>
                </w:tcPr>
                <w:p w14:paraId="4BB74D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cs="Times New Roman"/>
                      <w:b w:val="0"/>
                      <w:bCs w:val="0"/>
                      <w:color w:val="auto"/>
                      <w:kern w:val="0"/>
                      <w:sz w:val="21"/>
                      <w:szCs w:val="21"/>
                      <w:vertAlign w:val="baseline"/>
                      <w:lang w:val="en-US" w:eastAsia="zh-CN" w:bidi="ar"/>
                    </w:rPr>
                    <w:t>≤</w:t>
                  </w:r>
                  <w:r>
                    <w:rPr>
                      <w:rFonts w:hint="default" w:ascii="Times New Roman" w:hAnsi="Times New Roman" w:eastAsia="宋体" w:cs="Times New Roman"/>
                      <w:b w:val="0"/>
                      <w:bCs w:val="0"/>
                      <w:color w:val="auto"/>
                      <w:kern w:val="0"/>
                      <w:sz w:val="21"/>
                      <w:szCs w:val="21"/>
                      <w:vertAlign w:val="baseline"/>
                      <w:lang w:val="en-US" w:eastAsia="zh-CN" w:bidi="ar"/>
                    </w:rPr>
                    <w:t>1.5</w:t>
                  </w:r>
                </w:p>
              </w:tc>
            </w:tr>
            <w:tr w14:paraId="396919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2244" w:type="dxa"/>
                  <w:gridSpan w:val="2"/>
                  <w:tcBorders>
                    <w:tl2br w:val="nil"/>
                    <w:tr2bl w:val="nil"/>
                  </w:tcBorders>
                  <w:vAlign w:val="center"/>
                </w:tcPr>
                <w:p w14:paraId="16E3E5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达标情况</w:t>
                  </w:r>
                </w:p>
              </w:tc>
              <w:tc>
                <w:tcPr>
                  <w:tcW w:w="849" w:type="dxa"/>
                  <w:tcBorders>
                    <w:tl2br w:val="nil"/>
                    <w:tr2bl w:val="nil"/>
                  </w:tcBorders>
                  <w:vAlign w:val="center"/>
                </w:tcPr>
                <w:p w14:paraId="0E5A38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达标</w:t>
                  </w:r>
                </w:p>
              </w:tc>
              <w:tc>
                <w:tcPr>
                  <w:tcW w:w="668" w:type="dxa"/>
                  <w:tcBorders>
                    <w:tl2br w:val="nil"/>
                    <w:tr2bl w:val="nil"/>
                  </w:tcBorders>
                  <w:vAlign w:val="center"/>
                </w:tcPr>
                <w:p w14:paraId="08B523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达标</w:t>
                  </w:r>
                </w:p>
              </w:tc>
              <w:tc>
                <w:tcPr>
                  <w:tcW w:w="794" w:type="dxa"/>
                  <w:tcBorders>
                    <w:tl2br w:val="nil"/>
                    <w:tr2bl w:val="nil"/>
                  </w:tcBorders>
                  <w:vAlign w:val="center"/>
                </w:tcPr>
                <w:p w14:paraId="68DA1F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达标</w:t>
                  </w:r>
                </w:p>
              </w:tc>
              <w:tc>
                <w:tcPr>
                  <w:tcW w:w="947" w:type="dxa"/>
                  <w:tcBorders>
                    <w:tl2br w:val="nil"/>
                    <w:tr2bl w:val="nil"/>
                  </w:tcBorders>
                  <w:vAlign w:val="center"/>
                </w:tcPr>
                <w:p w14:paraId="750CFB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达标</w:t>
                  </w:r>
                </w:p>
              </w:tc>
              <w:tc>
                <w:tcPr>
                  <w:tcW w:w="648" w:type="dxa"/>
                  <w:tcBorders>
                    <w:tl2br w:val="nil"/>
                    <w:tr2bl w:val="nil"/>
                  </w:tcBorders>
                  <w:vAlign w:val="center"/>
                </w:tcPr>
                <w:p w14:paraId="44FE0D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达标</w:t>
                  </w:r>
                </w:p>
              </w:tc>
              <w:tc>
                <w:tcPr>
                  <w:tcW w:w="711" w:type="dxa"/>
                  <w:tcBorders>
                    <w:tl2br w:val="nil"/>
                    <w:tr2bl w:val="nil"/>
                  </w:tcBorders>
                  <w:vAlign w:val="center"/>
                </w:tcPr>
                <w:p w14:paraId="183386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达标</w:t>
                  </w:r>
                </w:p>
              </w:tc>
              <w:tc>
                <w:tcPr>
                  <w:tcW w:w="820" w:type="dxa"/>
                  <w:tcBorders>
                    <w:tl2br w:val="nil"/>
                    <w:tr2bl w:val="nil"/>
                  </w:tcBorders>
                  <w:vAlign w:val="center"/>
                </w:tcPr>
                <w:p w14:paraId="4880C5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达标</w:t>
                  </w:r>
                </w:p>
              </w:tc>
              <w:tc>
                <w:tcPr>
                  <w:tcW w:w="818" w:type="dxa"/>
                  <w:tcBorders>
                    <w:tl2br w:val="nil"/>
                    <w:tr2bl w:val="nil"/>
                  </w:tcBorders>
                  <w:vAlign w:val="center"/>
                </w:tcPr>
                <w:p w14:paraId="1E386B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达标</w:t>
                  </w:r>
                </w:p>
              </w:tc>
            </w:tr>
          </w:tbl>
          <w:p w14:paraId="632600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107" w:leftChars="-51" w:right="-107" w:rightChars="-51" w:firstLine="480" w:firstLineChars="200"/>
              <w:jc w:val="both"/>
              <w:textAlignment w:val="auto"/>
              <w:rPr>
                <w:rFonts w:hint="default" w:ascii="Times New Roman" w:hAnsi="Times New Roman" w:eastAsia="宋体" w:cs="Times New Roman"/>
                <w:b w:val="0"/>
                <w:bCs w:val="0"/>
                <w:color w:val="auto"/>
                <w:kern w:val="0"/>
                <w:sz w:val="24"/>
                <w:szCs w:val="24"/>
                <w:vertAlign w:val="baseline"/>
                <w:lang w:val="en-US" w:eastAsia="zh-CN" w:bidi="ar"/>
              </w:rPr>
            </w:pPr>
            <w:r>
              <w:rPr>
                <w:rFonts w:hint="default" w:ascii="Times New Roman" w:hAnsi="Times New Roman" w:eastAsia="宋体" w:cs="Times New Roman"/>
                <w:b w:val="0"/>
                <w:bCs w:val="0"/>
                <w:color w:val="auto"/>
                <w:kern w:val="0"/>
                <w:sz w:val="24"/>
                <w:szCs w:val="24"/>
                <w:vertAlign w:val="baseline"/>
                <w:lang w:val="en-US" w:eastAsia="zh-CN" w:bidi="ar"/>
              </w:rPr>
              <w:t>由表3-</w:t>
            </w:r>
            <w:r>
              <w:rPr>
                <w:rFonts w:hint="eastAsia" w:cs="Times New Roman"/>
                <w:b w:val="0"/>
                <w:bCs w:val="0"/>
                <w:color w:val="auto"/>
                <w:kern w:val="0"/>
                <w:sz w:val="24"/>
                <w:szCs w:val="24"/>
                <w:vertAlign w:val="baseline"/>
                <w:lang w:val="en-US" w:eastAsia="zh-CN" w:bidi="ar"/>
              </w:rPr>
              <w:t>4</w:t>
            </w:r>
            <w:r>
              <w:rPr>
                <w:rFonts w:hint="default" w:ascii="Times New Roman" w:hAnsi="Times New Roman" w:eastAsia="宋体" w:cs="Times New Roman"/>
                <w:b w:val="0"/>
                <w:bCs w:val="0"/>
                <w:color w:val="auto"/>
                <w:kern w:val="0"/>
                <w:sz w:val="24"/>
                <w:szCs w:val="24"/>
                <w:vertAlign w:val="baseline"/>
                <w:lang w:val="en-US" w:eastAsia="zh-CN" w:bidi="ar"/>
              </w:rPr>
              <w:t>可知，千河入渭口断面水质满足</w:t>
            </w:r>
            <w:r>
              <w:rPr>
                <w:rFonts w:hint="default" w:ascii="Times New Roman" w:hAnsi="Times New Roman" w:eastAsia="宋体" w:cs="Times New Roman"/>
                <w:color w:val="auto"/>
                <w:kern w:val="0"/>
                <w:sz w:val="24"/>
                <w:szCs w:val="24"/>
                <w:lang w:val="en-US" w:eastAsia="zh-CN"/>
              </w:rPr>
              <w:t>《地表水环境质量标准》（GB3838-2002）</w:t>
            </w:r>
            <w:r>
              <w:rPr>
                <w:rFonts w:hint="default" w:ascii="Times New Roman" w:hAnsi="Times New Roman" w:eastAsia="宋体" w:cs="Times New Roman"/>
                <w:b w:val="0"/>
                <w:bCs w:val="0"/>
                <w:color w:val="auto"/>
                <w:kern w:val="0"/>
                <w:sz w:val="24"/>
                <w:szCs w:val="24"/>
                <w:vertAlign w:val="baseline"/>
                <w:lang w:val="en-US" w:eastAsia="zh-CN" w:bidi="ar"/>
              </w:rPr>
              <w:t>Ⅳ类标准要求。</w:t>
            </w:r>
          </w:p>
          <w:p w14:paraId="63623B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cs="Times New Roman"/>
                <w:b/>
                <w:bCs/>
                <w:color w:val="auto"/>
                <w:kern w:val="2"/>
                <w:sz w:val="24"/>
                <w:szCs w:val="24"/>
                <w:lang w:val="en-US" w:eastAsia="zh-CN" w:bidi="ar-SA"/>
              </w:rPr>
              <w:t>3.</w:t>
            </w:r>
            <w:r>
              <w:rPr>
                <w:rFonts w:hint="default" w:ascii="Times New Roman" w:hAnsi="Times New Roman" w:eastAsia="宋体" w:cs="Times New Roman"/>
                <w:b/>
                <w:bCs/>
                <w:color w:val="auto"/>
                <w:kern w:val="2"/>
                <w:sz w:val="24"/>
                <w:szCs w:val="24"/>
                <w:lang w:val="en-US" w:eastAsia="zh-CN" w:bidi="ar-SA"/>
              </w:rPr>
              <w:t>声环境</w:t>
            </w:r>
          </w:p>
          <w:p w14:paraId="1B3B2D81">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360" w:lineRule="auto"/>
              <w:ind w:left="0" w:right="0" w:right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本项目厂界外50m范围无声环境保护目标，无需开展声环境质量现状调查。</w:t>
            </w:r>
          </w:p>
          <w:p w14:paraId="44C56EB7">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360" w:lineRule="auto"/>
              <w:ind w:left="0" w:right="0" w:rightChars="0"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cs="Times New Roman"/>
                <w:b/>
                <w:bCs/>
                <w:color w:val="auto"/>
                <w:kern w:val="2"/>
                <w:sz w:val="24"/>
                <w:szCs w:val="24"/>
                <w:lang w:val="en-US" w:eastAsia="zh-CN" w:bidi="ar-SA"/>
              </w:rPr>
              <w:t>4</w:t>
            </w:r>
            <w:r>
              <w:rPr>
                <w:rFonts w:hint="default" w:ascii="Times New Roman" w:hAnsi="Times New Roman" w:eastAsia="宋体" w:cs="Times New Roman"/>
                <w:b/>
                <w:bCs/>
                <w:color w:val="auto"/>
                <w:kern w:val="2"/>
                <w:sz w:val="24"/>
                <w:szCs w:val="24"/>
                <w:lang w:val="en-US" w:eastAsia="zh-CN" w:bidi="ar-SA"/>
              </w:rPr>
              <w:t>地下水</w:t>
            </w:r>
            <w:r>
              <w:rPr>
                <w:rFonts w:hint="eastAsia" w:cs="Times New Roman"/>
                <w:b/>
                <w:bCs/>
                <w:color w:val="auto"/>
                <w:kern w:val="2"/>
                <w:sz w:val="24"/>
                <w:szCs w:val="24"/>
                <w:lang w:val="en-US" w:eastAsia="zh-CN" w:bidi="ar-SA"/>
              </w:rPr>
              <w:t>、土壤环境</w:t>
            </w:r>
          </w:p>
          <w:p w14:paraId="131422DF">
            <w:pPr>
              <w:keepNext/>
              <w:keepLines/>
              <w:suppressLineNumbers w:val="0"/>
              <w:spacing w:before="0" w:beforeAutospacing="0" w:after="0" w:afterAutospacing="0" w:line="360" w:lineRule="auto"/>
              <w:ind w:left="0" w:right="0" w:firstLine="480" w:firstLineChars="200"/>
              <w:jc w:val="left"/>
              <w:outlineLvl w:val="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设项目环境影响报告表编制技术指南（污染影响类）（试行）》，地下水、土壤环境原则上不开展环境质量现状调查。建设项目存在土壤、地下水环境污染途径的，应结合污染源、保护目标分布情况开展现状调查以留作背景值。</w:t>
            </w:r>
          </w:p>
          <w:p w14:paraId="757C4CC8">
            <w:pPr>
              <w:keepNext/>
              <w:keepLines/>
              <w:suppressLineNumbers w:val="0"/>
              <w:spacing w:before="0" w:beforeAutospacing="0" w:after="0" w:afterAutospacing="0" w:line="360" w:lineRule="auto"/>
              <w:ind w:left="0" w:right="0" w:firstLine="480" w:firstLineChars="200"/>
              <w:jc w:val="both"/>
              <w:outlineLvl w:val="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本项目属于非金属废料和碎屑的加工处理项目，项目运营期生产废水为冷却废水，循环使用不外排</w:t>
            </w:r>
            <w:r>
              <w:rPr>
                <w:rFonts w:hint="eastAsia" w:cs="Times New Roman"/>
                <w:color w:val="auto"/>
                <w:sz w:val="24"/>
                <w:szCs w:val="24"/>
                <w:lang w:val="en-US" w:eastAsia="zh-CN"/>
              </w:rPr>
              <w:t>；同时，项目土壤污染途径为大气沉降、垂直入渗。项目大气沉降主要污染物为颗粒物及非甲烷总烃，项目大气污染物大多会沉降在车间内，</w:t>
            </w:r>
            <w:r>
              <w:rPr>
                <w:rFonts w:hint="default" w:ascii="Times New Roman" w:hAnsi="Times New Roman" w:eastAsia="宋体" w:cs="Times New Roman"/>
                <w:color w:val="auto"/>
                <w:sz w:val="24"/>
                <w:szCs w:val="24"/>
                <w:lang w:val="en-US" w:eastAsia="zh-CN"/>
              </w:rPr>
              <w:t>项目四周均为工业用地，距离土壤环境敏感目标较远。</w:t>
            </w:r>
            <w:r>
              <w:rPr>
                <w:rFonts w:hint="eastAsia" w:cs="Times New Roman"/>
                <w:color w:val="auto"/>
                <w:sz w:val="24"/>
                <w:szCs w:val="24"/>
                <w:lang w:val="en-US" w:eastAsia="zh-CN"/>
              </w:rPr>
              <w:t>项目对地下水及土壤环境的影响主要为</w:t>
            </w:r>
            <w:r>
              <w:rPr>
                <w:rFonts w:hint="default" w:ascii="Times New Roman" w:hAnsi="Times New Roman" w:eastAsia="宋体" w:cs="Times New Roman"/>
                <w:color w:val="auto"/>
                <w:sz w:val="24"/>
                <w:szCs w:val="24"/>
                <w:lang w:val="en-US" w:eastAsia="zh-CN"/>
              </w:rPr>
              <w:t>危险废物垂直入渗</w:t>
            </w:r>
            <w:r>
              <w:rPr>
                <w:rFonts w:hint="eastAsia" w:cs="Times New Roman"/>
                <w:color w:val="auto"/>
                <w:sz w:val="24"/>
                <w:szCs w:val="24"/>
                <w:lang w:val="en-US" w:eastAsia="zh-CN"/>
              </w:rPr>
              <w:t>。本项</w:t>
            </w:r>
            <w:r>
              <w:rPr>
                <w:rFonts w:hint="default" w:ascii="Times New Roman" w:hAnsi="Times New Roman" w:eastAsia="宋体" w:cs="Times New Roman"/>
                <w:color w:val="auto"/>
                <w:sz w:val="24"/>
                <w:szCs w:val="24"/>
                <w:lang w:val="en-US" w:eastAsia="zh-CN"/>
              </w:rPr>
              <w:t>目租赁已建成厂房进行建设，生产车间地面已进行</w:t>
            </w:r>
            <w:r>
              <w:rPr>
                <w:rFonts w:hint="eastAsia" w:cs="Times New Roman"/>
                <w:color w:val="auto"/>
                <w:sz w:val="24"/>
                <w:szCs w:val="24"/>
                <w:lang w:val="en-US" w:eastAsia="zh-CN"/>
              </w:rPr>
              <w:t>水泥</w:t>
            </w:r>
            <w:r>
              <w:rPr>
                <w:rFonts w:hint="default" w:ascii="Times New Roman" w:hAnsi="Times New Roman" w:eastAsia="宋体" w:cs="Times New Roman"/>
                <w:color w:val="auto"/>
                <w:sz w:val="24"/>
                <w:szCs w:val="24"/>
                <w:lang w:val="en-US" w:eastAsia="zh-CN"/>
              </w:rPr>
              <w:t>硬化处理</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不存在地下水环境污染途径</w:t>
            </w:r>
            <w:r>
              <w:rPr>
                <w:rFonts w:hint="eastAsia" w:cs="Times New Roman"/>
                <w:color w:val="auto"/>
                <w:sz w:val="24"/>
                <w:szCs w:val="24"/>
                <w:lang w:val="en-US" w:eastAsia="zh-CN"/>
              </w:rPr>
              <w:t>；项目新建危险废物贮存设施，危险废物分类暂存于各自容器内，对危险废物贮存设施地面进行防渗处理，可以有效保证污染物不进入土壤环境。</w:t>
            </w:r>
            <w:r>
              <w:rPr>
                <w:rFonts w:hint="default" w:ascii="Times New Roman" w:hAnsi="Times New Roman" w:eastAsia="宋体" w:cs="Times New Roman"/>
                <w:color w:val="auto"/>
                <w:sz w:val="24"/>
                <w:szCs w:val="24"/>
                <w:lang w:val="en-US" w:eastAsia="zh-CN"/>
              </w:rPr>
              <w:t>不存在地下水</w:t>
            </w:r>
            <w:r>
              <w:rPr>
                <w:rFonts w:hint="eastAsia" w:cs="Times New Roman"/>
                <w:color w:val="auto"/>
                <w:sz w:val="24"/>
                <w:szCs w:val="24"/>
                <w:lang w:val="en-US" w:eastAsia="zh-CN"/>
              </w:rPr>
              <w:t>、土壤</w:t>
            </w:r>
            <w:r>
              <w:rPr>
                <w:rFonts w:hint="default" w:ascii="Times New Roman" w:hAnsi="Times New Roman" w:eastAsia="宋体" w:cs="Times New Roman"/>
                <w:color w:val="auto"/>
                <w:sz w:val="24"/>
                <w:szCs w:val="24"/>
                <w:lang w:val="en-US" w:eastAsia="zh-CN"/>
              </w:rPr>
              <w:t>环境污染途径，不会对周边地下水</w:t>
            </w:r>
            <w:r>
              <w:rPr>
                <w:rFonts w:hint="eastAsia" w:cs="Times New Roman"/>
                <w:color w:val="auto"/>
                <w:sz w:val="24"/>
                <w:szCs w:val="24"/>
                <w:lang w:val="en-US" w:eastAsia="zh-CN"/>
              </w:rPr>
              <w:t>、土壤</w:t>
            </w:r>
            <w:r>
              <w:rPr>
                <w:rFonts w:hint="default" w:ascii="Times New Roman" w:hAnsi="Times New Roman" w:eastAsia="宋体" w:cs="Times New Roman"/>
                <w:color w:val="auto"/>
                <w:sz w:val="24"/>
                <w:szCs w:val="24"/>
                <w:lang w:val="en-US" w:eastAsia="zh-CN"/>
              </w:rPr>
              <w:t>造成严重影响，因此，本项目不进行地下水</w:t>
            </w:r>
            <w:r>
              <w:rPr>
                <w:rFonts w:hint="eastAsia" w:cs="Times New Roman"/>
                <w:color w:val="auto"/>
                <w:sz w:val="24"/>
                <w:szCs w:val="24"/>
                <w:lang w:val="en-US" w:eastAsia="zh-CN"/>
              </w:rPr>
              <w:t>、土壤</w:t>
            </w:r>
            <w:r>
              <w:rPr>
                <w:rFonts w:hint="default" w:ascii="Times New Roman" w:hAnsi="Times New Roman" w:eastAsia="宋体" w:cs="Times New Roman"/>
                <w:color w:val="auto"/>
                <w:sz w:val="24"/>
                <w:szCs w:val="24"/>
                <w:lang w:val="en-US" w:eastAsia="zh-CN"/>
              </w:rPr>
              <w:t>环境质量现状分析。</w:t>
            </w:r>
          </w:p>
          <w:p w14:paraId="30D9D074">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360" w:lineRule="auto"/>
              <w:ind w:left="0" w:right="0" w:rightChars="0" w:firstLine="482" w:firstLineChars="200"/>
              <w:textAlignment w:val="auto"/>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5.生态环境</w:t>
            </w:r>
          </w:p>
          <w:p w14:paraId="3A6DE9E1">
            <w:pPr>
              <w:keepNext/>
              <w:keepLines/>
              <w:suppressLineNumbers w:val="0"/>
              <w:spacing w:before="0" w:beforeAutospacing="0" w:after="0" w:afterAutospacing="0" w:line="360" w:lineRule="auto"/>
              <w:ind w:left="0" w:right="0" w:firstLine="480" w:firstLineChars="200"/>
              <w:jc w:val="left"/>
              <w:outlineLvl w:val="0"/>
              <w:rPr>
                <w:rFonts w:hint="default" w:ascii="Times New Roman" w:hAnsi="Times New Roman" w:cs="Times New Roman"/>
                <w:color w:val="auto"/>
                <w:sz w:val="24"/>
                <w:szCs w:val="24"/>
                <w:lang w:val="en-US" w:eastAsia="zh-CN"/>
              </w:rPr>
            </w:pPr>
            <w:r>
              <w:rPr>
                <w:rFonts w:hint="eastAsia" w:ascii="Times New Roman" w:hAnsi="Times New Roman" w:eastAsia="宋体" w:cs="Times New Roman"/>
                <w:color w:val="auto"/>
                <w:sz w:val="24"/>
                <w:szCs w:val="22"/>
                <w:highlight w:val="none"/>
                <w:lang w:eastAsia="zh-CN"/>
              </w:rPr>
              <w:t>本项目所在区域周围植被以人工植</w:t>
            </w:r>
            <w:r>
              <w:rPr>
                <w:rFonts w:hint="default" w:ascii="宋体" w:hAnsi="宋体" w:eastAsia="宋体" w:cs="宋体"/>
                <w:color w:val="auto"/>
                <w:sz w:val="24"/>
                <w:szCs w:val="24"/>
                <w:highlight w:val="none"/>
              </w:rPr>
              <w:t>被为主，不含有生态环境保护目标。本次环评不进行生态环境调查。</w:t>
            </w:r>
          </w:p>
        </w:tc>
      </w:tr>
      <w:tr w14:paraId="59C21A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0" w:type="dxa"/>
            <w:noWrap w:val="0"/>
            <w:vAlign w:val="center"/>
          </w:tcPr>
          <w:p w14:paraId="781C315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环境</w:t>
            </w:r>
          </w:p>
          <w:p w14:paraId="7CC4F09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保护</w:t>
            </w:r>
          </w:p>
          <w:p w14:paraId="15FA5E3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目标</w:t>
            </w:r>
          </w:p>
        </w:tc>
        <w:tc>
          <w:tcPr>
            <w:tcW w:w="8723" w:type="dxa"/>
            <w:noWrap w:val="0"/>
            <w:vAlign w:val="center"/>
          </w:tcPr>
          <w:p w14:paraId="4306AA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主要环境保护目标（列出名单及保护级别）</w:t>
            </w:r>
          </w:p>
          <w:p w14:paraId="2A9A24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eastAsia="zh-CN"/>
              </w:rPr>
              <w:t>1.</w:t>
            </w:r>
            <w:r>
              <w:rPr>
                <w:rFonts w:hint="default" w:ascii="Times New Roman" w:hAnsi="Times New Roman" w:eastAsia="宋体" w:cs="Times New Roman"/>
                <w:color w:val="auto"/>
                <w:sz w:val="24"/>
                <w:szCs w:val="24"/>
              </w:rPr>
              <w:t>大气环境：</w:t>
            </w: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rPr>
              <w:t>厂界外500米范围内</w:t>
            </w:r>
            <w:r>
              <w:rPr>
                <w:rFonts w:hint="eastAsia" w:cs="Times New Roman"/>
                <w:color w:val="auto"/>
                <w:sz w:val="24"/>
                <w:szCs w:val="24"/>
                <w:lang w:eastAsia="zh-CN"/>
              </w:rPr>
              <w:t>不</w:t>
            </w:r>
            <w:r>
              <w:rPr>
                <w:rFonts w:hint="default" w:ascii="Times New Roman" w:hAnsi="Times New Roman" w:eastAsia="宋体" w:cs="Times New Roman"/>
                <w:color w:val="auto"/>
                <w:sz w:val="24"/>
                <w:szCs w:val="24"/>
              </w:rPr>
              <w:t>存在居住区</w:t>
            </w:r>
            <w:r>
              <w:rPr>
                <w:rFonts w:hint="default" w:ascii="Times New Roman" w:hAnsi="Times New Roman" w:eastAsia="宋体" w:cs="Times New Roman"/>
                <w:color w:val="auto"/>
                <w:sz w:val="24"/>
                <w:szCs w:val="24"/>
                <w:lang w:eastAsia="zh-CN"/>
              </w:rPr>
              <w:t>、学校</w:t>
            </w:r>
            <w:r>
              <w:rPr>
                <w:rFonts w:hint="default" w:ascii="Times New Roman" w:hAnsi="Times New Roman" w:eastAsia="宋体" w:cs="Times New Roman"/>
                <w:color w:val="auto"/>
                <w:sz w:val="24"/>
                <w:szCs w:val="24"/>
              </w:rPr>
              <w:t>等保护目标。</w:t>
            </w:r>
          </w:p>
          <w:p w14:paraId="6C2F20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eastAsia="zh-CN"/>
              </w:rPr>
              <w:t>2.</w:t>
            </w:r>
            <w:r>
              <w:rPr>
                <w:rFonts w:hint="default" w:ascii="Times New Roman" w:hAnsi="Times New Roman" w:eastAsia="宋体" w:cs="Times New Roman"/>
                <w:color w:val="auto"/>
                <w:sz w:val="24"/>
                <w:szCs w:val="24"/>
              </w:rPr>
              <w:t>声环境：</w:t>
            </w: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rPr>
              <w:t>厂界外50m范围内</w:t>
            </w:r>
            <w:r>
              <w:rPr>
                <w:rFonts w:hint="default" w:ascii="Times New Roman" w:hAnsi="Times New Roman" w:cs="Times New Roman"/>
                <w:color w:val="auto"/>
                <w:sz w:val="24"/>
                <w:szCs w:val="24"/>
                <w:lang w:val="en-US" w:eastAsia="zh-CN"/>
              </w:rPr>
              <w:t>无</w:t>
            </w:r>
            <w:r>
              <w:rPr>
                <w:rFonts w:hint="default" w:ascii="Times New Roman" w:hAnsi="Times New Roman" w:eastAsia="宋体" w:cs="Times New Roman"/>
                <w:color w:val="auto"/>
                <w:sz w:val="24"/>
                <w:szCs w:val="24"/>
              </w:rPr>
              <w:t>声环境保护目标。</w:t>
            </w:r>
          </w:p>
          <w:p w14:paraId="4393E0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lang w:eastAsia="zh-CN"/>
              </w:rPr>
            </w:pPr>
            <w:r>
              <w:rPr>
                <w:rFonts w:hint="eastAsia" w:cs="Times New Roman"/>
                <w:color w:val="auto"/>
                <w:sz w:val="24"/>
                <w:szCs w:val="24"/>
                <w:lang w:val="en-US" w:eastAsia="zh-CN"/>
              </w:rPr>
              <w:t>3</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rPr>
              <w:t>地下水环境：</w:t>
            </w:r>
            <w:r>
              <w:rPr>
                <w:rFonts w:hint="default" w:ascii="Times New Roman" w:hAnsi="Times New Roman" w:eastAsia="宋体" w:cs="Times New Roman"/>
                <w:color w:val="auto"/>
                <w:sz w:val="24"/>
                <w:szCs w:val="24"/>
                <w:lang w:eastAsia="zh-CN"/>
              </w:rPr>
              <w:t>经现场勘查，项目厂界外500米范围内无地下水集中式饮用水水源和热水、矿泉水、温泉等特殊地下水资源。</w:t>
            </w:r>
          </w:p>
          <w:p w14:paraId="5497EC65">
            <w:pPr>
              <w:pStyle w:val="32"/>
              <w:keepNext w:val="0"/>
              <w:keepLines w:val="0"/>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eastAsia="宋体" w:cs="Times New Roman"/>
                <w:bCs/>
                <w:color w:val="auto"/>
                <w:kern w:val="2"/>
                <w:sz w:val="24"/>
                <w:szCs w:val="24"/>
                <w:highlight w:val="none"/>
                <w:lang w:val="en-US" w:eastAsia="zh-CN" w:bidi="ar-SA"/>
              </w:rPr>
              <w:t>4</w:t>
            </w:r>
            <w:r>
              <w:rPr>
                <w:rFonts w:hint="eastAsia" w:ascii="Times New Roman" w:hAnsi="Times New Roman" w:cs="Times New Roman"/>
                <w:bCs/>
                <w:color w:val="auto"/>
                <w:kern w:val="2"/>
                <w:sz w:val="24"/>
                <w:szCs w:val="24"/>
                <w:highlight w:val="none"/>
                <w:lang w:val="en-US" w:eastAsia="zh-CN" w:bidi="ar-SA"/>
              </w:rPr>
              <w:t>.</w:t>
            </w:r>
            <w:r>
              <w:rPr>
                <w:rFonts w:hint="default" w:ascii="Times New Roman" w:hAnsi="Times New Roman" w:eastAsia="宋体" w:cs="Times New Roman"/>
                <w:bCs/>
                <w:color w:val="auto"/>
                <w:kern w:val="2"/>
                <w:sz w:val="24"/>
                <w:szCs w:val="24"/>
                <w:highlight w:val="none"/>
                <w:lang w:val="en-US" w:eastAsia="zh-CN" w:bidi="ar-SA"/>
              </w:rPr>
              <w:t>生态环境：经现场踏勘，项目用地范围内无生态环境保护目标。</w:t>
            </w:r>
          </w:p>
        </w:tc>
      </w:tr>
      <w:tr w14:paraId="32DA31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24" w:hRule="atLeast"/>
          <w:jc w:val="center"/>
        </w:trPr>
        <w:tc>
          <w:tcPr>
            <w:tcW w:w="640" w:type="dxa"/>
            <w:noWrap w:val="0"/>
            <w:tcMar>
              <w:left w:w="28" w:type="dxa"/>
              <w:right w:w="28" w:type="dxa"/>
            </w:tcMar>
            <w:vAlign w:val="center"/>
          </w:tcPr>
          <w:p w14:paraId="60C9ED6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污染</w:t>
            </w:r>
          </w:p>
          <w:p w14:paraId="5054595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物排</w:t>
            </w:r>
          </w:p>
          <w:p w14:paraId="0AEBEF6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放控</w:t>
            </w:r>
          </w:p>
          <w:p w14:paraId="4C42B9C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制标</w:t>
            </w:r>
          </w:p>
          <w:p w14:paraId="0EDEE03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准</w:t>
            </w:r>
          </w:p>
        </w:tc>
        <w:tc>
          <w:tcPr>
            <w:tcW w:w="8723" w:type="dxa"/>
            <w:noWrap w:val="0"/>
            <w:vAlign w:val="center"/>
          </w:tcPr>
          <w:p w14:paraId="1E068A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cs="Times New Roman"/>
                <w:b/>
                <w:bCs/>
                <w:color w:val="auto"/>
                <w:kern w:val="2"/>
                <w:sz w:val="24"/>
                <w:szCs w:val="24"/>
                <w:lang w:val="en-US" w:eastAsia="zh-CN" w:bidi="ar-SA"/>
              </w:rPr>
              <w:t>1</w:t>
            </w:r>
            <w:r>
              <w:rPr>
                <w:rFonts w:hint="default" w:ascii="Times New Roman" w:hAnsi="Times New Roman" w:eastAsia="宋体" w:cs="Times New Roman"/>
                <w:b/>
                <w:bCs/>
                <w:color w:val="auto"/>
                <w:kern w:val="2"/>
                <w:sz w:val="24"/>
                <w:szCs w:val="24"/>
                <w:lang w:val="en-US" w:eastAsia="zh-CN" w:bidi="ar-SA"/>
              </w:rPr>
              <w:t>.大气排放标准</w:t>
            </w:r>
          </w:p>
          <w:p w14:paraId="360F84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lang w:val="en-US" w:eastAsia="zh-CN"/>
              </w:rPr>
              <w:t>本项目运营期生产过程中产生的颗粒物、非甲烷总烃均执行《合成树脂工业污染物排放标准》（GB31572-2015）（含2024年修改单）中表5及表9中相关限值；</w:t>
            </w:r>
            <w:r>
              <w:rPr>
                <w:rFonts w:hint="default" w:ascii="Times New Roman" w:hAnsi="Times New Roman" w:cs="Times New Roman"/>
                <w:color w:val="auto"/>
                <w:sz w:val="24"/>
                <w:szCs w:val="24"/>
                <w:lang w:val="en-US" w:eastAsia="zh-CN"/>
              </w:rPr>
              <w:t>厂区内监控点无组织非甲烷总烃排放执行《挥发性有机物无组织排放控制标准》（GB37822-2019）附录A中厂区内无组织特别排放限值</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lang w:val="en-US" w:eastAsia="zh-CN"/>
              </w:rPr>
              <w:t>具体见表3-</w:t>
            </w:r>
            <w:r>
              <w:rPr>
                <w:rFonts w:hint="default" w:ascii="Times New Roman" w:hAnsi="Times New Roman" w:cs="Times New Roman"/>
                <w:color w:val="auto"/>
                <w:sz w:val="24"/>
                <w:szCs w:val="24"/>
                <w:lang w:val="en-US" w:eastAsia="zh-CN"/>
              </w:rPr>
              <w:t>5、3-6</w:t>
            </w:r>
            <w:r>
              <w:rPr>
                <w:rFonts w:hint="default" w:ascii="Times New Roman" w:hAnsi="Times New Roman" w:eastAsia="宋体" w:cs="Times New Roman"/>
                <w:color w:val="auto"/>
                <w:sz w:val="24"/>
                <w:szCs w:val="24"/>
                <w:lang w:val="en-US" w:eastAsia="zh-CN"/>
              </w:rPr>
              <w:t>：</w:t>
            </w:r>
          </w:p>
          <w:p w14:paraId="039E5E3A">
            <w:pPr>
              <w:keepNext/>
              <w:keepLines/>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w:t>
            </w:r>
            <w:r>
              <w:rPr>
                <w:rFonts w:hint="eastAsia" w:cs="Times New Roman"/>
                <w:b/>
                <w:bCs/>
                <w:color w:val="auto"/>
                <w:sz w:val="21"/>
                <w:szCs w:val="21"/>
                <w:lang w:val="en-US" w:eastAsia="zh-CN"/>
              </w:rPr>
              <w:t>3-5</w:t>
            </w:r>
            <w:r>
              <w:rPr>
                <w:rFonts w:hint="default" w:ascii="Times New Roman" w:hAnsi="Times New Roman" w:eastAsia="宋体" w:cs="Times New Roman"/>
                <w:b/>
                <w:bCs/>
                <w:color w:val="auto"/>
                <w:sz w:val="21"/>
                <w:szCs w:val="21"/>
                <w:lang w:val="en-US" w:eastAsia="zh-CN"/>
              </w:rPr>
              <w:t xml:space="preserve">  有组织废气污染物执行标准</w:t>
            </w:r>
          </w:p>
          <w:tbl>
            <w:tblPr>
              <w:tblStyle w:val="33"/>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Layout w:type="fixed"/>
              <w:tblCellMar>
                <w:top w:w="0" w:type="dxa"/>
                <w:left w:w="0" w:type="dxa"/>
                <w:bottom w:w="0" w:type="dxa"/>
                <w:right w:w="0" w:type="dxa"/>
              </w:tblCellMar>
            </w:tblPr>
            <w:tblGrid>
              <w:gridCol w:w="1026"/>
              <w:gridCol w:w="1352"/>
              <w:gridCol w:w="1058"/>
              <w:gridCol w:w="1312"/>
              <w:gridCol w:w="1352"/>
              <w:gridCol w:w="2383"/>
            </w:tblGrid>
            <w:tr w14:paraId="59D7356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0" w:type="dxa"/>
                  <w:left w:w="0" w:type="dxa"/>
                  <w:bottom w:w="0" w:type="dxa"/>
                  <w:right w:w="0" w:type="dxa"/>
                </w:tblCellMar>
              </w:tblPrEx>
              <w:trPr>
                <w:trHeight w:val="340" w:hRule="atLeast"/>
                <w:jc w:val="center"/>
              </w:trPr>
              <w:tc>
                <w:tcPr>
                  <w:tcW w:w="604" w:type="pct"/>
                  <w:vMerge w:val="restart"/>
                  <w:tcBorders>
                    <w:tl2br w:val="nil"/>
                    <w:tr2bl w:val="nil"/>
                  </w:tcBorders>
                  <w:shd w:val="clear" w:color="auto" w:fill="auto"/>
                  <w:noWrap w:val="0"/>
                  <w:vAlign w:val="center"/>
                </w:tcPr>
                <w:p w14:paraId="0E0D4835">
                  <w:pPr>
                    <w:pStyle w:val="27"/>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废气类别</w:t>
                  </w:r>
                </w:p>
              </w:tc>
              <w:tc>
                <w:tcPr>
                  <w:tcW w:w="796" w:type="pct"/>
                  <w:vMerge w:val="restart"/>
                  <w:tcBorders>
                    <w:tl2br w:val="nil"/>
                    <w:tr2bl w:val="nil"/>
                  </w:tcBorders>
                  <w:shd w:val="clear" w:color="auto" w:fill="auto"/>
                  <w:noWrap w:val="0"/>
                  <w:vAlign w:val="center"/>
                </w:tcPr>
                <w:p w14:paraId="78915B6E">
                  <w:pPr>
                    <w:pStyle w:val="27"/>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623" w:type="pct"/>
                  <w:vMerge w:val="restart"/>
                  <w:tcBorders>
                    <w:tl2br w:val="nil"/>
                    <w:tr2bl w:val="nil"/>
                  </w:tcBorders>
                  <w:shd w:val="clear" w:color="auto" w:fill="auto"/>
                  <w:noWrap w:val="0"/>
                  <w:vAlign w:val="center"/>
                </w:tcPr>
                <w:p w14:paraId="5691EC7D">
                  <w:pPr>
                    <w:pStyle w:val="27"/>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最高允许排放浓度</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mg/</w:t>
                  </w:r>
                  <w:r>
                    <w:rPr>
                      <w:rFonts w:hint="default" w:ascii="Times New Roman" w:hAnsi="Times New Roman" w:cs="Times New Roman"/>
                      <w:b/>
                      <w:bCs/>
                      <w:color w:val="auto"/>
                      <w:sz w:val="21"/>
                      <w:szCs w:val="21"/>
                      <w:lang w:eastAsia="zh-CN"/>
                    </w:rPr>
                    <w:t>m³</w:t>
                  </w:r>
                  <w:r>
                    <w:rPr>
                      <w:rFonts w:hint="default" w:ascii="Times New Roman" w:hAnsi="Times New Roman" w:eastAsia="宋体" w:cs="Times New Roman"/>
                      <w:b/>
                      <w:bCs/>
                      <w:color w:val="auto"/>
                      <w:sz w:val="21"/>
                      <w:szCs w:val="21"/>
                      <w:lang w:eastAsia="zh-CN"/>
                    </w:rPr>
                    <w:t>）</w:t>
                  </w:r>
                </w:p>
              </w:tc>
              <w:tc>
                <w:tcPr>
                  <w:tcW w:w="1569" w:type="pct"/>
                  <w:gridSpan w:val="2"/>
                  <w:tcBorders>
                    <w:tl2br w:val="nil"/>
                    <w:tr2bl w:val="nil"/>
                  </w:tcBorders>
                  <w:shd w:val="clear" w:color="auto" w:fill="auto"/>
                  <w:noWrap w:val="0"/>
                  <w:vAlign w:val="center"/>
                </w:tcPr>
                <w:p w14:paraId="4827209E">
                  <w:pPr>
                    <w:pStyle w:val="27"/>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最高允许排放速率</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kg/h</w:t>
                  </w:r>
                  <w:r>
                    <w:rPr>
                      <w:rFonts w:hint="default" w:ascii="Times New Roman" w:hAnsi="Times New Roman" w:eastAsia="宋体" w:cs="Times New Roman"/>
                      <w:b/>
                      <w:bCs/>
                      <w:color w:val="auto"/>
                      <w:sz w:val="21"/>
                      <w:szCs w:val="21"/>
                      <w:lang w:eastAsia="zh-CN"/>
                    </w:rPr>
                    <w:t>）</w:t>
                  </w:r>
                </w:p>
              </w:tc>
              <w:tc>
                <w:tcPr>
                  <w:tcW w:w="1404" w:type="pct"/>
                  <w:vMerge w:val="restart"/>
                  <w:tcBorders>
                    <w:tl2br w:val="nil"/>
                    <w:tr2bl w:val="nil"/>
                  </w:tcBorders>
                  <w:shd w:val="clear" w:color="auto" w:fill="auto"/>
                  <w:noWrap w:val="0"/>
                  <w:vAlign w:val="center"/>
                </w:tcPr>
                <w:p w14:paraId="0258FE05">
                  <w:pPr>
                    <w:pStyle w:val="27"/>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执行标准</w:t>
                  </w:r>
                </w:p>
              </w:tc>
            </w:tr>
            <w:tr w14:paraId="3A21C5B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604" w:type="pct"/>
                  <w:vMerge w:val="continue"/>
                  <w:tcBorders>
                    <w:tl2br w:val="nil"/>
                    <w:tr2bl w:val="nil"/>
                  </w:tcBorders>
                  <w:shd w:val="clear" w:color="auto" w:fill="auto"/>
                  <w:noWrap w:val="0"/>
                  <w:vAlign w:val="center"/>
                </w:tcPr>
                <w:p w14:paraId="122EDC64">
                  <w:pPr>
                    <w:pStyle w:val="27"/>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p>
              </w:tc>
              <w:tc>
                <w:tcPr>
                  <w:tcW w:w="796" w:type="pct"/>
                  <w:vMerge w:val="continue"/>
                  <w:tcBorders>
                    <w:tl2br w:val="nil"/>
                    <w:tr2bl w:val="nil"/>
                  </w:tcBorders>
                  <w:shd w:val="clear" w:color="auto" w:fill="auto"/>
                  <w:noWrap w:val="0"/>
                  <w:vAlign w:val="center"/>
                </w:tcPr>
                <w:p w14:paraId="01656211">
                  <w:pPr>
                    <w:pStyle w:val="27"/>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p>
              </w:tc>
              <w:tc>
                <w:tcPr>
                  <w:tcW w:w="623" w:type="pct"/>
                  <w:vMerge w:val="continue"/>
                  <w:tcBorders>
                    <w:tl2br w:val="nil"/>
                    <w:tr2bl w:val="nil"/>
                  </w:tcBorders>
                  <w:shd w:val="clear" w:color="auto" w:fill="auto"/>
                  <w:noWrap w:val="0"/>
                  <w:vAlign w:val="center"/>
                </w:tcPr>
                <w:p w14:paraId="4F966C8E">
                  <w:pPr>
                    <w:pStyle w:val="27"/>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p>
              </w:tc>
              <w:tc>
                <w:tcPr>
                  <w:tcW w:w="773" w:type="pct"/>
                  <w:tcBorders>
                    <w:tl2br w:val="nil"/>
                    <w:tr2bl w:val="nil"/>
                  </w:tcBorders>
                  <w:shd w:val="clear" w:color="auto" w:fill="auto"/>
                  <w:noWrap w:val="0"/>
                  <w:vAlign w:val="center"/>
                </w:tcPr>
                <w:p w14:paraId="720125E9">
                  <w:pPr>
                    <w:pStyle w:val="27"/>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排气筒高度</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m</w:t>
                  </w:r>
                  <w:r>
                    <w:rPr>
                      <w:rFonts w:hint="default" w:ascii="Times New Roman" w:hAnsi="Times New Roman" w:eastAsia="宋体" w:cs="Times New Roman"/>
                      <w:b/>
                      <w:bCs/>
                      <w:color w:val="auto"/>
                      <w:sz w:val="21"/>
                      <w:szCs w:val="21"/>
                      <w:lang w:eastAsia="zh-CN"/>
                    </w:rPr>
                    <w:t>）</w:t>
                  </w:r>
                </w:p>
              </w:tc>
              <w:tc>
                <w:tcPr>
                  <w:tcW w:w="796" w:type="pct"/>
                  <w:tcBorders>
                    <w:tl2br w:val="nil"/>
                    <w:tr2bl w:val="nil"/>
                  </w:tcBorders>
                  <w:shd w:val="clear" w:color="auto" w:fill="auto"/>
                  <w:noWrap w:val="0"/>
                  <w:vAlign w:val="center"/>
                </w:tcPr>
                <w:p w14:paraId="11A290DC">
                  <w:pPr>
                    <w:pStyle w:val="27"/>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二级</w:t>
                  </w:r>
                </w:p>
              </w:tc>
              <w:tc>
                <w:tcPr>
                  <w:tcW w:w="1404" w:type="pct"/>
                  <w:vMerge w:val="continue"/>
                  <w:tcBorders>
                    <w:tl2br w:val="nil"/>
                    <w:tr2bl w:val="nil"/>
                  </w:tcBorders>
                  <w:shd w:val="clear" w:color="auto" w:fill="auto"/>
                  <w:noWrap w:val="0"/>
                  <w:vAlign w:val="center"/>
                </w:tcPr>
                <w:p w14:paraId="55B197F0">
                  <w:pPr>
                    <w:pStyle w:val="27"/>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p>
              </w:tc>
            </w:tr>
            <w:tr w14:paraId="56985E8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604" w:type="pct"/>
                  <w:tcBorders>
                    <w:tl2br w:val="nil"/>
                    <w:tr2bl w:val="nil"/>
                  </w:tcBorders>
                  <w:shd w:val="clear" w:color="auto" w:fill="auto"/>
                  <w:noWrap w:val="0"/>
                  <w:vAlign w:val="center"/>
                </w:tcPr>
                <w:p w14:paraId="5C94A43E">
                  <w:pPr>
                    <w:pStyle w:val="27"/>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破碎</w:t>
                  </w:r>
                </w:p>
              </w:tc>
              <w:tc>
                <w:tcPr>
                  <w:tcW w:w="796" w:type="pct"/>
                  <w:tcBorders>
                    <w:tl2br w:val="nil"/>
                    <w:tr2bl w:val="nil"/>
                  </w:tcBorders>
                  <w:shd w:val="clear" w:color="auto" w:fill="auto"/>
                  <w:noWrap w:val="0"/>
                  <w:vAlign w:val="center"/>
                </w:tcPr>
                <w:p w14:paraId="3C44E4C3">
                  <w:pPr>
                    <w:pStyle w:val="27"/>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623" w:type="pct"/>
                  <w:tcBorders>
                    <w:tl2br w:val="nil"/>
                    <w:tr2bl w:val="nil"/>
                  </w:tcBorders>
                  <w:shd w:val="clear" w:color="auto" w:fill="auto"/>
                  <w:noWrap w:val="0"/>
                  <w:vAlign w:val="center"/>
                </w:tcPr>
                <w:p w14:paraId="0095FA84">
                  <w:pPr>
                    <w:pStyle w:val="27"/>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tc>
              <w:tc>
                <w:tcPr>
                  <w:tcW w:w="773" w:type="pct"/>
                  <w:tcBorders>
                    <w:tl2br w:val="nil"/>
                    <w:tr2bl w:val="nil"/>
                  </w:tcBorders>
                  <w:shd w:val="clear" w:color="auto" w:fill="auto"/>
                  <w:noWrap w:val="0"/>
                  <w:vAlign w:val="center"/>
                </w:tcPr>
                <w:p w14:paraId="32BFC89F">
                  <w:pPr>
                    <w:pStyle w:val="27"/>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15</w:t>
                  </w:r>
                </w:p>
              </w:tc>
              <w:tc>
                <w:tcPr>
                  <w:tcW w:w="796" w:type="pct"/>
                  <w:tcBorders>
                    <w:tl2br w:val="nil"/>
                    <w:tr2bl w:val="nil"/>
                  </w:tcBorders>
                  <w:shd w:val="clear" w:color="auto" w:fill="auto"/>
                  <w:noWrap w:val="0"/>
                  <w:vAlign w:val="center"/>
                </w:tcPr>
                <w:p w14:paraId="31FC0059">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1404" w:type="pct"/>
                  <w:vMerge w:val="restart"/>
                  <w:tcBorders>
                    <w:tl2br w:val="nil"/>
                    <w:tr2bl w:val="nil"/>
                  </w:tcBorders>
                  <w:shd w:val="clear" w:color="auto" w:fill="auto"/>
                  <w:noWrap w:val="0"/>
                  <w:vAlign w:val="center"/>
                </w:tcPr>
                <w:p w14:paraId="6B29AD78">
                  <w:pPr>
                    <w:pStyle w:val="27"/>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b w:val="0"/>
                      <w:bCs w:val="0"/>
                      <w:color w:val="auto"/>
                      <w:sz w:val="21"/>
                      <w:szCs w:val="21"/>
                      <w:lang w:val="en-US" w:eastAsia="zh-CN"/>
                    </w:rPr>
                    <w:t>《合成树脂工业污染物排放标准》（GB31572-2015）及其修改单</w:t>
                  </w:r>
                </w:p>
              </w:tc>
            </w:tr>
            <w:tr w14:paraId="18B6794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604" w:type="pct"/>
                  <w:vMerge w:val="restart"/>
                  <w:tcBorders>
                    <w:tl2br w:val="nil"/>
                    <w:tr2bl w:val="nil"/>
                  </w:tcBorders>
                  <w:shd w:val="clear" w:color="auto" w:fill="auto"/>
                  <w:noWrap w:val="0"/>
                  <w:vAlign w:val="center"/>
                </w:tcPr>
                <w:p w14:paraId="6051EE0F">
                  <w:pPr>
                    <w:pStyle w:val="27"/>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热熔</w:t>
                  </w:r>
                </w:p>
              </w:tc>
              <w:tc>
                <w:tcPr>
                  <w:tcW w:w="796" w:type="pct"/>
                  <w:tcBorders>
                    <w:tl2br w:val="nil"/>
                    <w:tr2bl w:val="nil"/>
                  </w:tcBorders>
                  <w:shd w:val="clear" w:color="auto" w:fill="auto"/>
                  <w:noWrap w:val="0"/>
                  <w:vAlign w:val="center"/>
                </w:tcPr>
                <w:p w14:paraId="52D71EA2">
                  <w:pPr>
                    <w:pStyle w:val="27"/>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w:t>
                  </w:r>
                </w:p>
              </w:tc>
              <w:tc>
                <w:tcPr>
                  <w:tcW w:w="623" w:type="pct"/>
                  <w:tcBorders>
                    <w:tl2br w:val="nil"/>
                    <w:tr2bl w:val="nil"/>
                  </w:tcBorders>
                  <w:shd w:val="clear" w:color="auto" w:fill="auto"/>
                  <w:noWrap w:val="0"/>
                  <w:vAlign w:val="center"/>
                </w:tcPr>
                <w:p w14:paraId="08913A59">
                  <w:pPr>
                    <w:pStyle w:val="27"/>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60</w:t>
                  </w:r>
                </w:p>
              </w:tc>
              <w:tc>
                <w:tcPr>
                  <w:tcW w:w="773" w:type="pct"/>
                  <w:tcBorders>
                    <w:tl2br w:val="nil"/>
                    <w:tr2bl w:val="nil"/>
                  </w:tcBorders>
                  <w:shd w:val="clear" w:color="auto" w:fill="auto"/>
                  <w:noWrap w:val="0"/>
                  <w:vAlign w:val="center"/>
                </w:tcPr>
                <w:p w14:paraId="223C1C69">
                  <w:pPr>
                    <w:pStyle w:val="27"/>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15</w:t>
                  </w:r>
                </w:p>
              </w:tc>
              <w:tc>
                <w:tcPr>
                  <w:tcW w:w="796" w:type="pct"/>
                  <w:tcBorders>
                    <w:tl2br w:val="nil"/>
                    <w:tr2bl w:val="nil"/>
                  </w:tcBorders>
                  <w:shd w:val="clear" w:color="auto" w:fill="auto"/>
                  <w:noWrap w:val="0"/>
                  <w:vAlign w:val="center"/>
                </w:tcPr>
                <w:p w14:paraId="395B1512">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w:t>
                  </w:r>
                </w:p>
              </w:tc>
              <w:tc>
                <w:tcPr>
                  <w:tcW w:w="1404" w:type="pct"/>
                  <w:vMerge w:val="continue"/>
                  <w:tcBorders>
                    <w:tl2br w:val="nil"/>
                    <w:tr2bl w:val="nil"/>
                  </w:tcBorders>
                  <w:shd w:val="clear" w:color="auto" w:fill="auto"/>
                  <w:noWrap w:val="0"/>
                  <w:vAlign w:val="center"/>
                </w:tcPr>
                <w:p w14:paraId="6492B9CE">
                  <w:pPr>
                    <w:pStyle w:val="27"/>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7E1EAA7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604" w:type="pct"/>
                  <w:vMerge w:val="continue"/>
                  <w:tcBorders>
                    <w:tl2br w:val="nil"/>
                    <w:tr2bl w:val="nil"/>
                  </w:tcBorders>
                  <w:shd w:val="clear" w:color="auto" w:fill="auto"/>
                  <w:noWrap w:val="0"/>
                  <w:vAlign w:val="center"/>
                </w:tcPr>
                <w:p w14:paraId="2A2E344C">
                  <w:pPr>
                    <w:pStyle w:val="27"/>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sz w:val="21"/>
                      <w:szCs w:val="21"/>
                      <w:lang w:val="en-US" w:eastAsia="zh-CN"/>
                    </w:rPr>
                  </w:pPr>
                </w:p>
              </w:tc>
              <w:tc>
                <w:tcPr>
                  <w:tcW w:w="796" w:type="pct"/>
                  <w:tcBorders>
                    <w:tl2br w:val="nil"/>
                    <w:tr2bl w:val="nil"/>
                  </w:tcBorders>
                  <w:shd w:val="clear" w:color="auto" w:fill="auto"/>
                  <w:noWrap w:val="0"/>
                  <w:vAlign w:val="center"/>
                </w:tcPr>
                <w:p w14:paraId="68410806">
                  <w:pPr>
                    <w:pStyle w:val="27"/>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单位产品非甲烷总烃排放量</w:t>
                  </w:r>
                </w:p>
              </w:tc>
              <w:tc>
                <w:tcPr>
                  <w:tcW w:w="623" w:type="pct"/>
                  <w:tcBorders>
                    <w:tl2br w:val="nil"/>
                    <w:tr2bl w:val="nil"/>
                  </w:tcBorders>
                  <w:shd w:val="clear" w:color="auto" w:fill="auto"/>
                  <w:noWrap w:val="0"/>
                  <w:vAlign w:val="center"/>
                </w:tcPr>
                <w:p w14:paraId="19CE9479">
                  <w:pPr>
                    <w:pStyle w:val="27"/>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0.3kg/t-产品</w:t>
                  </w:r>
                </w:p>
              </w:tc>
              <w:tc>
                <w:tcPr>
                  <w:tcW w:w="773" w:type="pct"/>
                  <w:tcBorders>
                    <w:tl2br w:val="nil"/>
                    <w:tr2bl w:val="nil"/>
                  </w:tcBorders>
                  <w:shd w:val="clear" w:color="auto" w:fill="auto"/>
                  <w:noWrap w:val="0"/>
                  <w:vAlign w:val="center"/>
                </w:tcPr>
                <w:p w14:paraId="6AB40323">
                  <w:pPr>
                    <w:pStyle w:val="27"/>
                    <w:keepNext w:val="0"/>
                    <w:keepLines w:val="0"/>
                    <w:suppressLineNumbers w:val="0"/>
                    <w:autoSpaceDE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96" w:type="pct"/>
                  <w:tcBorders>
                    <w:tl2br w:val="nil"/>
                    <w:tr2bl w:val="nil"/>
                  </w:tcBorders>
                  <w:shd w:val="clear" w:color="auto" w:fill="auto"/>
                  <w:noWrap w:val="0"/>
                  <w:vAlign w:val="center"/>
                </w:tcPr>
                <w:p w14:paraId="7759F7C5">
                  <w:pPr>
                    <w:pStyle w:val="27"/>
                    <w:keepNext w:val="0"/>
                    <w:keepLines w:val="0"/>
                    <w:suppressLineNumbers w:val="0"/>
                    <w:autoSpaceDE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404" w:type="pct"/>
                  <w:tcBorders>
                    <w:tl2br w:val="nil"/>
                    <w:tr2bl w:val="nil"/>
                  </w:tcBorders>
                  <w:shd w:val="clear" w:color="auto" w:fill="auto"/>
                  <w:noWrap w:val="0"/>
                  <w:vAlign w:val="center"/>
                </w:tcPr>
                <w:p w14:paraId="1F3B4AD0">
                  <w:pPr>
                    <w:pStyle w:val="27"/>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bl>
          <w:p w14:paraId="52EFD803">
            <w:pPr>
              <w:keepNext/>
              <w:keepLines/>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w:t>
            </w:r>
            <w:r>
              <w:rPr>
                <w:rFonts w:hint="eastAsia" w:cs="Times New Roman"/>
                <w:b/>
                <w:bCs/>
                <w:color w:val="auto"/>
                <w:sz w:val="21"/>
                <w:szCs w:val="21"/>
                <w:lang w:val="en-US" w:eastAsia="zh-CN"/>
              </w:rPr>
              <w:t>3-6</w:t>
            </w:r>
            <w:r>
              <w:rPr>
                <w:rFonts w:hint="default" w:ascii="Times New Roman" w:hAnsi="Times New Roman" w:eastAsia="宋体" w:cs="Times New Roman"/>
                <w:b/>
                <w:bCs/>
                <w:color w:val="auto"/>
                <w:sz w:val="21"/>
                <w:szCs w:val="21"/>
                <w:lang w:val="en-US" w:eastAsia="zh-CN"/>
              </w:rPr>
              <w:t xml:space="preserve">  无组织废气污染物执行标准</w:t>
            </w:r>
          </w:p>
          <w:tbl>
            <w:tblPr>
              <w:tblStyle w:val="33"/>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
            <w:tblGrid>
              <w:gridCol w:w="1543"/>
              <w:gridCol w:w="2807"/>
              <w:gridCol w:w="1362"/>
              <w:gridCol w:w="1083"/>
              <w:gridCol w:w="1689"/>
            </w:tblGrid>
            <w:tr w14:paraId="4C94FB0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cantSplit/>
                <w:trHeight w:val="340" w:hRule="atLeast"/>
                <w:jc w:val="center"/>
              </w:trPr>
              <w:tc>
                <w:tcPr>
                  <w:tcW w:w="909" w:type="pct"/>
                  <w:tcBorders>
                    <w:tl2br w:val="nil"/>
                    <w:tr2bl w:val="nil"/>
                  </w:tcBorders>
                  <w:noWrap w:val="0"/>
                  <w:vAlign w:val="center"/>
                </w:tcPr>
                <w:p w14:paraId="44C9A064">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无组织废气</w:t>
                  </w:r>
                </w:p>
              </w:tc>
              <w:tc>
                <w:tcPr>
                  <w:tcW w:w="1654" w:type="pct"/>
                  <w:tcBorders>
                    <w:tl2br w:val="nil"/>
                    <w:tr2bl w:val="nil"/>
                  </w:tcBorders>
                  <w:noWrap w:val="0"/>
                  <w:vAlign w:val="center"/>
                </w:tcPr>
                <w:p w14:paraId="459061AF">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标准名称</w:t>
                  </w:r>
                </w:p>
              </w:tc>
              <w:tc>
                <w:tcPr>
                  <w:tcW w:w="802" w:type="pct"/>
                  <w:tcBorders>
                    <w:tl2br w:val="nil"/>
                    <w:tr2bl w:val="nil"/>
                  </w:tcBorders>
                  <w:noWrap w:val="0"/>
                  <w:vAlign w:val="center"/>
                </w:tcPr>
                <w:p w14:paraId="577B3ABE">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污染物</w:t>
                  </w:r>
                </w:p>
              </w:tc>
              <w:tc>
                <w:tcPr>
                  <w:tcW w:w="638" w:type="pct"/>
                  <w:tcBorders>
                    <w:tl2br w:val="nil"/>
                    <w:tr2bl w:val="nil"/>
                  </w:tcBorders>
                  <w:noWrap w:val="0"/>
                  <w:vAlign w:val="center"/>
                </w:tcPr>
                <w:p w14:paraId="6B7A5263">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监控点</w:t>
                  </w:r>
                </w:p>
              </w:tc>
              <w:tc>
                <w:tcPr>
                  <w:tcW w:w="995" w:type="pct"/>
                  <w:tcBorders>
                    <w:tl2br w:val="nil"/>
                    <w:tr2bl w:val="nil"/>
                  </w:tcBorders>
                  <w:noWrap w:val="0"/>
                  <w:vAlign w:val="center"/>
                </w:tcPr>
                <w:p w14:paraId="45CF277C">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无组织排放监控浓度限值（</w:t>
                  </w:r>
                  <w:r>
                    <w:rPr>
                      <w:rFonts w:hint="default" w:ascii="Times New Roman" w:hAnsi="Times New Roman" w:eastAsia="宋体" w:cs="Times New Roman"/>
                      <w:b/>
                      <w:bCs/>
                      <w:color w:val="auto"/>
                      <w:sz w:val="18"/>
                      <w:szCs w:val="18"/>
                      <w:lang w:val="en-US" w:eastAsia="zh-CN"/>
                    </w:rPr>
                    <w:t>mg/m³</w:t>
                  </w:r>
                  <w:r>
                    <w:rPr>
                      <w:rFonts w:hint="default" w:ascii="Times New Roman" w:hAnsi="Times New Roman" w:eastAsia="宋体" w:cs="Times New Roman"/>
                      <w:b/>
                      <w:bCs/>
                      <w:color w:val="auto"/>
                      <w:lang w:val="en-US" w:eastAsia="zh-CN"/>
                    </w:rPr>
                    <w:t>）</w:t>
                  </w:r>
                </w:p>
              </w:tc>
            </w:tr>
            <w:tr w14:paraId="4154803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cantSplit/>
                <w:trHeight w:val="340" w:hRule="atLeast"/>
                <w:jc w:val="center"/>
              </w:trPr>
              <w:tc>
                <w:tcPr>
                  <w:tcW w:w="909" w:type="pct"/>
                  <w:vMerge w:val="restart"/>
                  <w:tcBorders>
                    <w:tl2br w:val="nil"/>
                    <w:tr2bl w:val="nil"/>
                  </w:tcBorders>
                  <w:noWrap w:val="0"/>
                  <w:vAlign w:val="center"/>
                </w:tcPr>
                <w:p w14:paraId="7A61454C">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厂界无组织</w:t>
                  </w:r>
                </w:p>
              </w:tc>
              <w:tc>
                <w:tcPr>
                  <w:tcW w:w="1654" w:type="pct"/>
                  <w:vMerge w:val="restart"/>
                  <w:tcBorders>
                    <w:tl2br w:val="nil"/>
                    <w:tr2bl w:val="nil"/>
                  </w:tcBorders>
                  <w:noWrap w:val="0"/>
                  <w:vAlign w:val="center"/>
                </w:tcPr>
                <w:p w14:paraId="787E2960">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rPr>
                    <w:t>《合成树脂工业污染物排放标准》（GB31572-2015）及其修改单</w:t>
                  </w:r>
                </w:p>
              </w:tc>
              <w:tc>
                <w:tcPr>
                  <w:tcW w:w="802" w:type="pct"/>
                  <w:tcBorders>
                    <w:tl2br w:val="nil"/>
                    <w:tr2bl w:val="nil"/>
                  </w:tcBorders>
                  <w:noWrap w:val="0"/>
                  <w:vAlign w:val="center"/>
                </w:tcPr>
                <w:p w14:paraId="356BFFAC">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颗粒物</w:t>
                  </w:r>
                </w:p>
              </w:tc>
              <w:tc>
                <w:tcPr>
                  <w:tcW w:w="638" w:type="pct"/>
                  <w:vMerge w:val="restart"/>
                  <w:tcBorders>
                    <w:tl2br w:val="nil"/>
                    <w:tr2bl w:val="nil"/>
                  </w:tcBorders>
                  <w:noWrap w:val="0"/>
                  <w:vAlign w:val="center"/>
                </w:tcPr>
                <w:p w14:paraId="6845B4A8">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b w:val="0"/>
                      <w:color w:val="auto"/>
                      <w:kern w:val="0"/>
                      <w:sz w:val="21"/>
                      <w:szCs w:val="20"/>
                      <w:lang w:val="en-US" w:eastAsia="zh-CN" w:bidi="ar-SA"/>
                    </w:rPr>
                  </w:pPr>
                  <w:r>
                    <w:rPr>
                      <w:rFonts w:hint="default" w:ascii="Times New Roman" w:hAnsi="Times New Roman" w:eastAsia="宋体" w:cs="Times New Roman"/>
                      <w:color w:val="auto"/>
                      <w:lang w:val="en-US" w:eastAsia="zh-CN"/>
                    </w:rPr>
                    <w:t>周界外浓度最高点</w:t>
                  </w:r>
                </w:p>
              </w:tc>
              <w:tc>
                <w:tcPr>
                  <w:tcW w:w="995" w:type="pct"/>
                  <w:tcBorders>
                    <w:tl2br w:val="nil"/>
                    <w:tr2bl w:val="nil"/>
                  </w:tcBorders>
                  <w:noWrap w:val="0"/>
                  <w:vAlign w:val="center"/>
                </w:tcPr>
                <w:p w14:paraId="258B9459">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b w:val="0"/>
                      <w:color w:val="auto"/>
                      <w:kern w:val="0"/>
                      <w:sz w:val="21"/>
                      <w:szCs w:val="20"/>
                      <w:lang w:val="en-US" w:eastAsia="zh-CN" w:bidi="ar-SA"/>
                    </w:rPr>
                  </w:pPr>
                  <w:r>
                    <w:rPr>
                      <w:rFonts w:hint="eastAsia" w:cs="Times New Roman"/>
                      <w:color w:val="auto"/>
                      <w:lang w:val="en-US" w:eastAsia="zh-CN"/>
                    </w:rPr>
                    <w:t>1.0</w:t>
                  </w:r>
                </w:p>
              </w:tc>
            </w:tr>
            <w:tr w14:paraId="763E297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cantSplit/>
                <w:trHeight w:val="340" w:hRule="atLeast"/>
                <w:jc w:val="center"/>
              </w:trPr>
              <w:tc>
                <w:tcPr>
                  <w:tcW w:w="909" w:type="pct"/>
                  <w:vMerge w:val="continue"/>
                  <w:tcBorders>
                    <w:tl2br w:val="nil"/>
                    <w:tr2bl w:val="nil"/>
                  </w:tcBorders>
                  <w:noWrap w:val="0"/>
                  <w:vAlign w:val="center"/>
                </w:tcPr>
                <w:p w14:paraId="18A6506C">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lang w:val="en-US" w:eastAsia="zh-CN"/>
                    </w:rPr>
                  </w:pPr>
                </w:p>
              </w:tc>
              <w:tc>
                <w:tcPr>
                  <w:tcW w:w="1654" w:type="pct"/>
                  <w:vMerge w:val="continue"/>
                  <w:tcBorders>
                    <w:tl2br w:val="nil"/>
                    <w:tr2bl w:val="nil"/>
                  </w:tcBorders>
                  <w:noWrap w:val="0"/>
                  <w:vAlign w:val="center"/>
                </w:tcPr>
                <w:p w14:paraId="73FF6B4B">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lang w:val="en-US" w:eastAsia="zh-CN"/>
                    </w:rPr>
                  </w:pPr>
                </w:p>
              </w:tc>
              <w:tc>
                <w:tcPr>
                  <w:tcW w:w="802" w:type="pct"/>
                  <w:tcBorders>
                    <w:tl2br w:val="nil"/>
                    <w:tr2bl w:val="nil"/>
                  </w:tcBorders>
                  <w:noWrap w:val="0"/>
                  <w:vAlign w:val="center"/>
                </w:tcPr>
                <w:p w14:paraId="51BDBB2E">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非甲烷总烃</w:t>
                  </w:r>
                </w:p>
              </w:tc>
              <w:tc>
                <w:tcPr>
                  <w:tcW w:w="638" w:type="pct"/>
                  <w:vMerge w:val="continue"/>
                  <w:tcBorders>
                    <w:tl2br w:val="nil"/>
                    <w:tr2bl w:val="nil"/>
                  </w:tcBorders>
                  <w:noWrap w:val="0"/>
                  <w:vAlign w:val="center"/>
                </w:tcPr>
                <w:p w14:paraId="236F68E6">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b w:val="0"/>
                      <w:color w:val="auto"/>
                      <w:kern w:val="0"/>
                      <w:sz w:val="21"/>
                      <w:szCs w:val="20"/>
                      <w:lang w:val="en-US" w:eastAsia="zh-CN" w:bidi="ar-SA"/>
                    </w:rPr>
                  </w:pPr>
                </w:p>
              </w:tc>
              <w:tc>
                <w:tcPr>
                  <w:tcW w:w="995" w:type="pct"/>
                  <w:tcBorders>
                    <w:tl2br w:val="nil"/>
                    <w:tr2bl w:val="nil"/>
                  </w:tcBorders>
                  <w:noWrap w:val="0"/>
                  <w:vAlign w:val="center"/>
                </w:tcPr>
                <w:p w14:paraId="4E828B62">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4.0</w:t>
                  </w:r>
                </w:p>
              </w:tc>
            </w:tr>
            <w:tr w14:paraId="52D08C6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cantSplit/>
                <w:trHeight w:val="340" w:hRule="atLeast"/>
                <w:jc w:val="center"/>
              </w:trPr>
              <w:tc>
                <w:tcPr>
                  <w:tcW w:w="909" w:type="pct"/>
                  <w:vMerge w:val="restart"/>
                  <w:tcBorders>
                    <w:tl2br w:val="nil"/>
                    <w:tr2bl w:val="nil"/>
                  </w:tcBorders>
                  <w:noWrap w:val="0"/>
                  <w:vAlign w:val="center"/>
                </w:tcPr>
                <w:p w14:paraId="4A202210">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厂内无组织</w:t>
                  </w:r>
                </w:p>
              </w:tc>
              <w:tc>
                <w:tcPr>
                  <w:tcW w:w="1654" w:type="pct"/>
                  <w:vMerge w:val="restart"/>
                  <w:tcBorders>
                    <w:tl2br w:val="nil"/>
                    <w:tr2bl w:val="nil"/>
                  </w:tcBorders>
                  <w:noWrap w:val="0"/>
                  <w:vAlign w:val="center"/>
                </w:tcPr>
                <w:p w14:paraId="106E6BAD">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《挥发性有机物无组织排放控制标准》GB37822-2019</w:t>
                  </w:r>
                </w:p>
              </w:tc>
              <w:tc>
                <w:tcPr>
                  <w:tcW w:w="802" w:type="pct"/>
                  <w:vMerge w:val="restart"/>
                  <w:tcBorders>
                    <w:tl2br w:val="nil"/>
                    <w:tr2bl w:val="nil"/>
                  </w:tcBorders>
                  <w:noWrap w:val="0"/>
                  <w:vAlign w:val="center"/>
                </w:tcPr>
                <w:p w14:paraId="74A39381">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非甲烷总烃</w:t>
                  </w:r>
                </w:p>
              </w:tc>
              <w:tc>
                <w:tcPr>
                  <w:tcW w:w="638" w:type="pct"/>
                  <w:vMerge w:val="restart"/>
                  <w:tcBorders>
                    <w:tl2br w:val="nil"/>
                    <w:tr2bl w:val="nil"/>
                  </w:tcBorders>
                  <w:noWrap w:val="0"/>
                  <w:vAlign w:val="center"/>
                </w:tcPr>
                <w:p w14:paraId="6507D938">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b w:val="0"/>
                      <w:color w:val="auto"/>
                      <w:kern w:val="0"/>
                      <w:sz w:val="21"/>
                      <w:szCs w:val="20"/>
                      <w:lang w:val="en-US" w:eastAsia="zh-CN" w:bidi="ar-SA"/>
                    </w:rPr>
                  </w:pPr>
                  <w:r>
                    <w:rPr>
                      <w:rFonts w:hint="default" w:ascii="Times New Roman" w:hAnsi="Times New Roman" w:eastAsia="宋体" w:cs="Times New Roman"/>
                      <w:b w:val="0"/>
                      <w:color w:val="auto"/>
                      <w:kern w:val="0"/>
                      <w:sz w:val="21"/>
                      <w:szCs w:val="20"/>
                      <w:lang w:val="en-US" w:eastAsia="zh-CN" w:bidi="ar-SA"/>
                    </w:rPr>
                    <w:t>厂房外设置监控点</w:t>
                  </w:r>
                </w:p>
              </w:tc>
              <w:tc>
                <w:tcPr>
                  <w:tcW w:w="995" w:type="pct"/>
                  <w:tcBorders>
                    <w:tl2br w:val="nil"/>
                    <w:tr2bl w:val="nil"/>
                  </w:tcBorders>
                  <w:noWrap w:val="0"/>
                  <w:vAlign w:val="center"/>
                </w:tcPr>
                <w:p w14:paraId="34AA80A8">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w:t>
                  </w:r>
                </w:p>
                <w:p w14:paraId="7DEB20C6">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（监控点处1h平均浓度值）</w:t>
                  </w:r>
                </w:p>
              </w:tc>
            </w:tr>
            <w:tr w14:paraId="0D1101A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cantSplit/>
                <w:trHeight w:val="340" w:hRule="atLeast"/>
                <w:jc w:val="center"/>
              </w:trPr>
              <w:tc>
                <w:tcPr>
                  <w:tcW w:w="909" w:type="pct"/>
                  <w:vMerge w:val="continue"/>
                  <w:tcBorders>
                    <w:tl2br w:val="nil"/>
                    <w:tr2bl w:val="nil"/>
                  </w:tcBorders>
                  <w:noWrap w:val="0"/>
                  <w:vAlign w:val="center"/>
                </w:tcPr>
                <w:p w14:paraId="1F10343C">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lang w:val="en-US" w:eastAsia="zh-CN"/>
                    </w:rPr>
                  </w:pPr>
                </w:p>
              </w:tc>
              <w:tc>
                <w:tcPr>
                  <w:tcW w:w="1654" w:type="pct"/>
                  <w:vMerge w:val="continue"/>
                  <w:tcBorders>
                    <w:tl2br w:val="nil"/>
                    <w:tr2bl w:val="nil"/>
                  </w:tcBorders>
                  <w:noWrap w:val="0"/>
                  <w:vAlign w:val="center"/>
                </w:tcPr>
                <w:p w14:paraId="7B8183C1">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lang w:val="en-US" w:eastAsia="zh-CN"/>
                    </w:rPr>
                  </w:pPr>
                </w:p>
              </w:tc>
              <w:tc>
                <w:tcPr>
                  <w:tcW w:w="802" w:type="pct"/>
                  <w:vMerge w:val="continue"/>
                  <w:tcBorders>
                    <w:tl2br w:val="nil"/>
                    <w:tr2bl w:val="nil"/>
                  </w:tcBorders>
                  <w:noWrap w:val="0"/>
                  <w:vAlign w:val="center"/>
                </w:tcPr>
                <w:p w14:paraId="7AF9DECD">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lang w:val="en-US" w:eastAsia="zh-CN"/>
                    </w:rPr>
                  </w:pPr>
                </w:p>
              </w:tc>
              <w:tc>
                <w:tcPr>
                  <w:tcW w:w="638" w:type="pct"/>
                  <w:vMerge w:val="continue"/>
                  <w:tcBorders>
                    <w:tl2br w:val="nil"/>
                    <w:tr2bl w:val="nil"/>
                  </w:tcBorders>
                  <w:noWrap w:val="0"/>
                  <w:vAlign w:val="center"/>
                </w:tcPr>
                <w:p w14:paraId="1A8868D3">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b w:val="0"/>
                      <w:color w:val="auto"/>
                      <w:kern w:val="0"/>
                      <w:sz w:val="21"/>
                      <w:szCs w:val="20"/>
                      <w:lang w:val="en-US" w:eastAsia="zh-CN" w:bidi="ar-SA"/>
                    </w:rPr>
                  </w:pPr>
                </w:p>
              </w:tc>
              <w:tc>
                <w:tcPr>
                  <w:tcW w:w="995" w:type="pct"/>
                  <w:tcBorders>
                    <w:tl2br w:val="nil"/>
                    <w:tr2bl w:val="nil"/>
                  </w:tcBorders>
                  <w:noWrap w:val="0"/>
                  <w:vAlign w:val="center"/>
                </w:tcPr>
                <w:p w14:paraId="53C45AF6">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Times New Roman" w:cs="Times New Roman"/>
                      <w:color w:val="auto"/>
                      <w:spacing w:val="2"/>
                      <w:sz w:val="20"/>
                      <w:szCs w:val="20"/>
                    </w:rPr>
                  </w:pPr>
                  <w:r>
                    <w:rPr>
                      <w:rFonts w:hint="default" w:ascii="Times New Roman" w:hAnsi="Times New Roman" w:eastAsia="Times New Roman" w:cs="Times New Roman"/>
                      <w:color w:val="auto"/>
                      <w:spacing w:val="2"/>
                      <w:sz w:val="20"/>
                      <w:szCs w:val="20"/>
                    </w:rPr>
                    <w:t>20</w:t>
                  </w:r>
                </w:p>
                <w:p w14:paraId="70EFABAC">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（监控点处任意一次浓度值）</w:t>
                  </w:r>
                </w:p>
              </w:tc>
            </w:tr>
          </w:tbl>
          <w:p w14:paraId="0E39DA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2.</w:t>
            </w:r>
            <w:r>
              <w:rPr>
                <w:rFonts w:hint="eastAsia" w:cs="Times New Roman"/>
                <w:b/>
                <w:bCs/>
                <w:color w:val="auto"/>
                <w:kern w:val="2"/>
                <w:sz w:val="24"/>
                <w:szCs w:val="24"/>
                <w:lang w:val="en-US" w:eastAsia="zh-CN" w:bidi="ar-SA"/>
              </w:rPr>
              <w:t>废水排放标准</w:t>
            </w:r>
          </w:p>
          <w:p w14:paraId="0CFDBC6F">
            <w:pPr>
              <w:pStyle w:val="184"/>
              <w:keepNext w:val="0"/>
              <w:keepLines w:val="0"/>
              <w:suppressLineNumbers w:val="0"/>
              <w:spacing w:before="155" w:beforeAutospacing="0" w:after="0" w:afterAutospacing="0" w:line="338" w:lineRule="auto"/>
              <w:ind w:left="107" w:right="102" w:firstLine="481"/>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本项目生活污水经厂区内化粪池预处理后通过市政污水管网排至</w:t>
            </w:r>
            <w:r>
              <w:rPr>
                <w:rFonts w:hint="eastAsia" w:ascii="Times New Roman" w:hAnsi="Times New Roman" w:cs="Times New Roman"/>
                <w:color w:val="auto"/>
                <w:kern w:val="2"/>
                <w:sz w:val="24"/>
                <w:szCs w:val="24"/>
                <w:lang w:val="en-US" w:eastAsia="zh-CN" w:bidi="ar-SA"/>
              </w:rPr>
              <w:t>污水处理厂处理</w:t>
            </w:r>
            <w:r>
              <w:rPr>
                <w:rFonts w:hint="default" w:ascii="Times New Roman" w:hAnsi="Times New Roman" w:eastAsia="宋体" w:cs="Times New Roman"/>
                <w:color w:val="auto"/>
                <w:kern w:val="2"/>
                <w:sz w:val="24"/>
                <w:szCs w:val="24"/>
                <w:lang w:val="en-US" w:eastAsia="zh-CN" w:bidi="ar-SA"/>
              </w:rPr>
              <w:t xml:space="preserve"> ，</w:t>
            </w:r>
            <w:r>
              <w:rPr>
                <w:rFonts w:hint="eastAsia" w:ascii="Times New Roman" w:hAnsi="Times New Roman" w:cs="Times New Roman"/>
                <w:color w:val="auto"/>
                <w:kern w:val="2"/>
                <w:sz w:val="24"/>
                <w:szCs w:val="24"/>
                <w:lang w:val="en-US" w:eastAsia="zh-CN" w:bidi="ar-SA"/>
              </w:rPr>
              <w:t>进入市政</w:t>
            </w:r>
            <w:r>
              <w:rPr>
                <w:rFonts w:hint="default" w:ascii="Times New Roman" w:hAnsi="Times New Roman" w:eastAsia="宋体" w:cs="Times New Roman"/>
                <w:color w:val="auto"/>
                <w:kern w:val="2"/>
                <w:sz w:val="24"/>
                <w:szCs w:val="24"/>
                <w:lang w:val="en-US" w:eastAsia="zh-CN" w:bidi="ar-SA"/>
              </w:rPr>
              <w:t>管网 的</w:t>
            </w:r>
            <w:r>
              <w:rPr>
                <w:rFonts w:hint="eastAsia" w:ascii="Times New Roman" w:hAnsi="Times New Roman" w:cs="Times New Roman"/>
                <w:color w:val="auto"/>
                <w:kern w:val="2"/>
                <w:sz w:val="24"/>
                <w:szCs w:val="24"/>
                <w:lang w:val="en-US" w:eastAsia="zh-CN" w:bidi="ar-SA"/>
              </w:rPr>
              <w:t>污水水质执行</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cs="Times New Roman"/>
                <w:color w:val="auto"/>
                <w:kern w:val="2"/>
                <w:sz w:val="24"/>
                <w:szCs w:val="24"/>
                <w:lang w:val="en-US" w:eastAsia="zh-CN" w:bidi="ar-SA"/>
              </w:rPr>
              <w:t>污水综合排放标准</w:t>
            </w:r>
            <w:r>
              <w:rPr>
                <w:rFonts w:hint="default" w:ascii="Times New Roman" w:hAnsi="Times New Roman" w:eastAsia="宋体" w:cs="Times New Roman"/>
                <w:color w:val="auto"/>
                <w:kern w:val="2"/>
                <w:sz w:val="24"/>
                <w:szCs w:val="24"/>
                <w:lang w:val="en-US" w:eastAsia="zh-CN" w:bidi="ar-SA"/>
              </w:rPr>
              <w:t>》 （GB8978- 1996）表4中的三级标准，氨氮、TN、TP参照《污水排入城镇下水道水质标准》（GB/T31962-2015）B 等级标准，标准值见下表。</w:t>
            </w:r>
          </w:p>
          <w:p w14:paraId="7F004DDA">
            <w:pPr>
              <w:keepNext/>
              <w:keepLines/>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 3-7    污水排放标准（摘录）  单位：mg/L（pH 除外）</w:t>
            </w:r>
          </w:p>
          <w:p w14:paraId="3D6D6328">
            <w:pPr>
              <w:keepNext w:val="0"/>
              <w:keepLines w:val="0"/>
              <w:suppressLineNumbers w:val="0"/>
              <w:spacing w:before="0" w:beforeAutospacing="0" w:after="0" w:afterAutospacing="0" w:line="18" w:lineRule="exact"/>
              <w:ind w:left="0" w:right="0"/>
              <w:rPr>
                <w:rFonts w:hint="default"/>
                <w:color w:val="auto"/>
              </w:rPr>
            </w:pPr>
          </w:p>
          <w:tbl>
            <w:tblPr>
              <w:tblStyle w:val="185"/>
              <w:tblW w:w="0" w:type="auto"/>
              <w:tblInd w:w="1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14"/>
              <w:gridCol w:w="971"/>
              <w:gridCol w:w="1018"/>
              <w:gridCol w:w="861"/>
              <w:gridCol w:w="876"/>
            </w:tblGrid>
            <w:tr w14:paraId="069DC1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4614" w:type="dxa"/>
                  <w:tcBorders>
                    <w:top w:val="single" w:color="000000" w:sz="10" w:space="0"/>
                    <w:left w:val="single" w:color="000000" w:sz="10" w:space="0"/>
                  </w:tcBorders>
                  <w:noWrap w:val="0"/>
                  <w:vAlign w:val="center"/>
                </w:tcPr>
                <w:p w14:paraId="512CE749">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污染物</w:t>
                  </w:r>
                </w:p>
              </w:tc>
              <w:tc>
                <w:tcPr>
                  <w:tcW w:w="971" w:type="dxa"/>
                  <w:tcBorders>
                    <w:top w:val="single" w:color="000000" w:sz="10" w:space="0"/>
                  </w:tcBorders>
                  <w:noWrap w:val="0"/>
                  <w:vAlign w:val="center"/>
                </w:tcPr>
                <w:p w14:paraId="7402B42B">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pH</w:t>
                  </w:r>
                </w:p>
              </w:tc>
              <w:tc>
                <w:tcPr>
                  <w:tcW w:w="1018" w:type="dxa"/>
                  <w:tcBorders>
                    <w:top w:val="single" w:color="000000" w:sz="10" w:space="0"/>
                  </w:tcBorders>
                  <w:noWrap w:val="0"/>
                  <w:vAlign w:val="center"/>
                </w:tcPr>
                <w:p w14:paraId="1A131E40">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BOD</w:t>
                  </w:r>
                  <w:r>
                    <w:rPr>
                      <w:rFonts w:hint="default" w:ascii="Times New Roman" w:hAnsi="Times New Roman" w:eastAsia="宋体" w:cs="Times New Roman"/>
                      <w:b/>
                      <w:bCs/>
                      <w:color w:val="auto"/>
                      <w:vertAlign w:val="subscript"/>
                      <w:lang w:val="en-US" w:eastAsia="zh-CN"/>
                    </w:rPr>
                    <w:t>5</w:t>
                  </w:r>
                </w:p>
              </w:tc>
              <w:tc>
                <w:tcPr>
                  <w:tcW w:w="861" w:type="dxa"/>
                  <w:tcBorders>
                    <w:top w:val="single" w:color="000000" w:sz="10" w:space="0"/>
                  </w:tcBorders>
                  <w:noWrap w:val="0"/>
                  <w:vAlign w:val="center"/>
                </w:tcPr>
                <w:p w14:paraId="35075015">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SS</w:t>
                  </w:r>
                </w:p>
              </w:tc>
              <w:tc>
                <w:tcPr>
                  <w:tcW w:w="876" w:type="dxa"/>
                  <w:tcBorders>
                    <w:top w:val="single" w:color="000000" w:sz="10" w:space="0"/>
                    <w:right w:val="single" w:color="000000" w:sz="10" w:space="0"/>
                  </w:tcBorders>
                  <w:noWrap w:val="0"/>
                  <w:vAlign w:val="center"/>
                </w:tcPr>
                <w:p w14:paraId="57EC4CA1">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COD</w:t>
                  </w:r>
                </w:p>
              </w:tc>
            </w:tr>
            <w:tr w14:paraId="51733F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4614" w:type="dxa"/>
                  <w:tcBorders>
                    <w:left w:val="single" w:color="000000" w:sz="10" w:space="0"/>
                    <w:bottom w:val="single" w:color="000000" w:sz="10" w:space="0"/>
                  </w:tcBorders>
                  <w:noWrap w:val="0"/>
                  <w:vAlign w:val="center"/>
                </w:tcPr>
                <w:p w14:paraId="2B7B6BE7">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《污水综合排放标准》（GB8978- 1996）中的三级标准</w:t>
                  </w:r>
                </w:p>
              </w:tc>
              <w:tc>
                <w:tcPr>
                  <w:tcW w:w="971" w:type="dxa"/>
                  <w:tcBorders>
                    <w:bottom w:val="single" w:color="000000" w:sz="10" w:space="0"/>
                  </w:tcBorders>
                  <w:noWrap w:val="0"/>
                  <w:vAlign w:val="center"/>
                </w:tcPr>
                <w:p w14:paraId="0341AABF">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w:t>
                  </w:r>
                  <w:r>
                    <w:rPr>
                      <w:rFonts w:hint="eastAsia" w:cs="Times New Roman"/>
                      <w:color w:val="auto"/>
                      <w:lang w:val="en-US" w:eastAsia="zh-CN"/>
                    </w:rPr>
                    <w:t>~</w:t>
                  </w:r>
                  <w:r>
                    <w:rPr>
                      <w:rFonts w:hint="default" w:ascii="Times New Roman" w:hAnsi="Times New Roman" w:eastAsia="宋体" w:cs="Times New Roman"/>
                      <w:color w:val="auto"/>
                      <w:lang w:val="en-US" w:eastAsia="zh-CN"/>
                    </w:rPr>
                    <w:t>9</w:t>
                  </w:r>
                </w:p>
              </w:tc>
              <w:tc>
                <w:tcPr>
                  <w:tcW w:w="1018" w:type="dxa"/>
                  <w:tcBorders>
                    <w:bottom w:val="single" w:color="000000" w:sz="10" w:space="0"/>
                  </w:tcBorders>
                  <w:noWrap w:val="0"/>
                  <w:vAlign w:val="center"/>
                </w:tcPr>
                <w:p w14:paraId="374B7A78">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300</w:t>
                  </w:r>
                </w:p>
              </w:tc>
              <w:tc>
                <w:tcPr>
                  <w:tcW w:w="861" w:type="dxa"/>
                  <w:tcBorders>
                    <w:bottom w:val="single" w:color="000000" w:sz="10" w:space="0"/>
                  </w:tcBorders>
                  <w:noWrap w:val="0"/>
                  <w:vAlign w:val="center"/>
                </w:tcPr>
                <w:p w14:paraId="5A1BF051">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400</w:t>
                  </w:r>
                </w:p>
              </w:tc>
              <w:tc>
                <w:tcPr>
                  <w:tcW w:w="876" w:type="dxa"/>
                  <w:tcBorders>
                    <w:bottom w:val="single" w:color="000000" w:sz="10" w:space="0"/>
                    <w:right w:val="single" w:color="000000" w:sz="10" w:space="0"/>
                  </w:tcBorders>
                  <w:noWrap w:val="0"/>
                  <w:vAlign w:val="center"/>
                </w:tcPr>
                <w:p w14:paraId="56033A6E">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500</w:t>
                  </w:r>
                </w:p>
              </w:tc>
            </w:tr>
          </w:tbl>
          <w:p w14:paraId="5A3A652A">
            <w:pPr>
              <w:keepNext/>
              <w:keepLines/>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 3-8    污水排放标准（摘录）  单位：mg/L</w:t>
            </w:r>
          </w:p>
          <w:tbl>
            <w:tblPr>
              <w:tblStyle w:val="185"/>
              <w:tblW w:w="8340" w:type="dxa"/>
              <w:tblInd w:w="1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42"/>
              <w:gridCol w:w="1630"/>
              <w:gridCol w:w="1643"/>
              <w:gridCol w:w="1525"/>
            </w:tblGrid>
            <w:tr w14:paraId="51FFA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542" w:type="dxa"/>
                  <w:tcBorders>
                    <w:top w:val="single" w:color="000000" w:sz="10" w:space="0"/>
                    <w:left w:val="single" w:color="000000" w:sz="10" w:space="0"/>
                  </w:tcBorders>
                  <w:noWrap w:val="0"/>
                  <w:vAlign w:val="center"/>
                </w:tcPr>
                <w:p w14:paraId="08EF293D">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污染物</w:t>
                  </w:r>
                </w:p>
              </w:tc>
              <w:tc>
                <w:tcPr>
                  <w:tcW w:w="1630" w:type="dxa"/>
                  <w:tcBorders>
                    <w:top w:val="single" w:color="000000" w:sz="10" w:space="0"/>
                  </w:tcBorders>
                  <w:noWrap w:val="0"/>
                  <w:vAlign w:val="center"/>
                </w:tcPr>
                <w:p w14:paraId="06CC17BE">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氨氮</w:t>
                  </w:r>
                </w:p>
              </w:tc>
              <w:tc>
                <w:tcPr>
                  <w:tcW w:w="1643" w:type="dxa"/>
                  <w:tcBorders>
                    <w:top w:val="single" w:color="000000" w:sz="10" w:space="0"/>
                  </w:tcBorders>
                  <w:noWrap w:val="0"/>
                  <w:vAlign w:val="center"/>
                </w:tcPr>
                <w:p w14:paraId="6AACBF0A">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TN</w:t>
                  </w:r>
                </w:p>
              </w:tc>
              <w:tc>
                <w:tcPr>
                  <w:tcW w:w="1525" w:type="dxa"/>
                  <w:tcBorders>
                    <w:top w:val="single" w:color="000000" w:sz="10" w:space="0"/>
                    <w:right w:val="single" w:color="000000" w:sz="10" w:space="0"/>
                  </w:tcBorders>
                  <w:noWrap w:val="0"/>
                  <w:vAlign w:val="center"/>
                </w:tcPr>
                <w:p w14:paraId="40A8F6C8">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TP</w:t>
                  </w:r>
                </w:p>
              </w:tc>
            </w:tr>
            <w:tr w14:paraId="2AE412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542" w:type="dxa"/>
                  <w:tcBorders>
                    <w:left w:val="single" w:color="000000" w:sz="10" w:space="0"/>
                    <w:bottom w:val="single" w:color="000000" w:sz="10" w:space="0"/>
                  </w:tcBorders>
                  <w:noWrap w:val="0"/>
                  <w:vAlign w:val="center"/>
                </w:tcPr>
                <w:p w14:paraId="4AD8EA7C">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《污水排入城镇下水道水质标准》（GB/T31962-2015）B等级标准</w:t>
                  </w:r>
                </w:p>
              </w:tc>
              <w:tc>
                <w:tcPr>
                  <w:tcW w:w="1630" w:type="dxa"/>
                  <w:tcBorders>
                    <w:bottom w:val="single" w:color="000000" w:sz="10" w:space="0"/>
                  </w:tcBorders>
                  <w:noWrap w:val="0"/>
                  <w:vAlign w:val="center"/>
                </w:tcPr>
                <w:p w14:paraId="169A8A78">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45</w:t>
                  </w:r>
                </w:p>
              </w:tc>
              <w:tc>
                <w:tcPr>
                  <w:tcW w:w="1643" w:type="dxa"/>
                  <w:tcBorders>
                    <w:bottom w:val="single" w:color="000000" w:sz="10" w:space="0"/>
                  </w:tcBorders>
                  <w:noWrap w:val="0"/>
                  <w:vAlign w:val="center"/>
                </w:tcPr>
                <w:p w14:paraId="1181BB39">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70</w:t>
                  </w:r>
                </w:p>
              </w:tc>
              <w:tc>
                <w:tcPr>
                  <w:tcW w:w="1525" w:type="dxa"/>
                  <w:tcBorders>
                    <w:bottom w:val="single" w:color="000000" w:sz="10" w:space="0"/>
                    <w:right w:val="single" w:color="000000" w:sz="10" w:space="0"/>
                  </w:tcBorders>
                  <w:noWrap w:val="0"/>
                  <w:vAlign w:val="center"/>
                </w:tcPr>
                <w:p w14:paraId="166F96B7">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8</w:t>
                  </w:r>
                </w:p>
              </w:tc>
            </w:tr>
          </w:tbl>
          <w:p w14:paraId="38F6E3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eastAsia" w:cs="Times New Roman"/>
                <w:b/>
                <w:bCs/>
                <w:color w:val="auto"/>
                <w:kern w:val="2"/>
                <w:sz w:val="24"/>
                <w:szCs w:val="24"/>
                <w:lang w:val="en-US" w:eastAsia="zh-CN" w:bidi="ar-SA"/>
              </w:rPr>
              <w:t>3.</w:t>
            </w:r>
            <w:r>
              <w:rPr>
                <w:rFonts w:hint="default" w:ascii="Times New Roman" w:hAnsi="Times New Roman" w:eastAsia="宋体" w:cs="Times New Roman"/>
                <w:b/>
                <w:bCs/>
                <w:color w:val="auto"/>
                <w:kern w:val="2"/>
                <w:sz w:val="24"/>
                <w:szCs w:val="24"/>
                <w:lang w:val="en-US" w:eastAsia="zh-CN" w:bidi="ar-SA"/>
              </w:rPr>
              <w:t>噪声排放标准</w:t>
            </w:r>
          </w:p>
          <w:p w14:paraId="69C017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rPr>
            </w:pPr>
            <w:bookmarkStart w:id="1" w:name="_Hlk41382489"/>
            <w:r>
              <w:rPr>
                <w:rFonts w:hint="default" w:ascii="Times New Roman" w:hAnsi="Times New Roman" w:eastAsia="宋体" w:cs="Times New Roman"/>
                <w:color w:val="auto"/>
                <w:sz w:val="24"/>
                <w:lang w:val="en-US" w:eastAsia="zh-CN"/>
              </w:rPr>
              <w:t>本项目运</w:t>
            </w:r>
            <w:r>
              <w:rPr>
                <w:rFonts w:hint="default" w:ascii="Times New Roman" w:hAnsi="Times New Roman" w:cs="Times New Roman"/>
                <w:color w:val="auto"/>
                <w:sz w:val="24"/>
              </w:rPr>
              <w:t>营期</w:t>
            </w:r>
            <w:r>
              <w:rPr>
                <w:rFonts w:hint="default" w:ascii="Times New Roman" w:hAnsi="Times New Roman" w:cs="Times New Roman"/>
                <w:color w:val="auto"/>
                <w:sz w:val="24"/>
                <w:lang w:val="en-US" w:eastAsia="zh-CN"/>
              </w:rPr>
              <w:t>厂界</w:t>
            </w:r>
            <w:r>
              <w:rPr>
                <w:rFonts w:hint="default" w:ascii="Times New Roman" w:hAnsi="Times New Roman" w:cs="Times New Roman"/>
                <w:color w:val="auto"/>
                <w:sz w:val="24"/>
              </w:rPr>
              <w:t>噪声排放限值执行《工业企业厂界环境噪声排放标准》（GB12348-2008）</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类标准限值</w:t>
            </w:r>
            <w:bookmarkEnd w:id="1"/>
            <w:r>
              <w:rPr>
                <w:rFonts w:hint="default" w:ascii="Times New Roman" w:hAnsi="Times New Roman" w:cs="Times New Roman"/>
                <w:color w:val="auto"/>
                <w:sz w:val="24"/>
                <w:lang w:eastAsia="zh-CN"/>
              </w:rPr>
              <w:t>，</w:t>
            </w:r>
            <w:r>
              <w:rPr>
                <w:rFonts w:hint="default" w:ascii="Times New Roman" w:hAnsi="Times New Roman" w:cs="Times New Roman"/>
                <w:color w:val="auto"/>
                <w:sz w:val="24"/>
              </w:rPr>
              <w:t>详见表3-</w:t>
            </w:r>
            <w:r>
              <w:rPr>
                <w:rFonts w:hint="eastAsia" w:cs="Times New Roman"/>
                <w:color w:val="auto"/>
                <w:sz w:val="24"/>
                <w:lang w:val="en-US" w:eastAsia="zh-CN"/>
              </w:rPr>
              <w:t>9</w:t>
            </w:r>
            <w:r>
              <w:rPr>
                <w:rFonts w:hint="default" w:ascii="Times New Roman" w:hAnsi="Times New Roman" w:cs="Times New Roman"/>
                <w:color w:val="auto"/>
                <w:sz w:val="24"/>
              </w:rPr>
              <w:t>。</w:t>
            </w:r>
          </w:p>
          <w:p w14:paraId="75063BFC">
            <w:pPr>
              <w:keepNext/>
              <w:keepLines/>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Times New Roman" w:hAnsi="Times New Roman" w:cs="Times New Roman"/>
                <w:b/>
                <w:color w:val="auto"/>
                <w:sz w:val="24"/>
              </w:rPr>
            </w:pPr>
            <w:bookmarkStart w:id="2" w:name="_Hlk41382497"/>
            <w:r>
              <w:rPr>
                <w:rFonts w:hint="default" w:ascii="Times New Roman" w:hAnsi="Times New Roman" w:eastAsia="宋体" w:cs="Times New Roman"/>
                <w:b/>
                <w:bCs/>
                <w:color w:val="auto"/>
                <w:sz w:val="21"/>
                <w:szCs w:val="21"/>
                <w:lang w:val="en-US" w:eastAsia="zh-CN"/>
              </w:rPr>
              <w:t>表</w:t>
            </w:r>
            <w:r>
              <w:rPr>
                <w:rFonts w:hint="eastAsia" w:cs="Times New Roman"/>
                <w:b/>
                <w:bCs/>
                <w:color w:val="auto"/>
                <w:sz w:val="21"/>
                <w:szCs w:val="21"/>
                <w:lang w:val="en-US" w:eastAsia="zh-CN"/>
              </w:rPr>
              <w:t>3-9</w:t>
            </w:r>
            <w:r>
              <w:rPr>
                <w:rFonts w:hint="default" w:ascii="Times New Roman" w:hAnsi="Times New Roman" w:eastAsia="宋体" w:cs="Times New Roman"/>
                <w:b/>
                <w:bCs/>
                <w:color w:val="auto"/>
                <w:sz w:val="21"/>
                <w:szCs w:val="21"/>
                <w:lang w:val="en-US" w:eastAsia="zh-CN"/>
              </w:rPr>
              <w:t xml:space="preserve"> 《工业企业厂界环境噪声排放标准》（GB12348-2008）单位dB（A）</w:t>
            </w:r>
          </w:p>
          <w:tbl>
            <w:tblPr>
              <w:tblStyle w:val="33"/>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24"/>
              <w:gridCol w:w="4060"/>
            </w:tblGrid>
            <w:tr w14:paraId="61AEB6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7" w:type="pct"/>
                  <w:tcBorders>
                    <w:tl2br w:val="nil"/>
                    <w:tr2bl w:val="nil"/>
                  </w:tcBorders>
                  <w:noWrap w:val="0"/>
                  <w:vAlign w:val="center"/>
                </w:tcPr>
                <w:p w14:paraId="7EDDD892">
                  <w:pPr>
                    <w:keepNext w:val="0"/>
                    <w:keepLines w:val="0"/>
                    <w:widowControl/>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声环境功能区类别</w:t>
                  </w:r>
                </w:p>
              </w:tc>
              <w:tc>
                <w:tcPr>
                  <w:tcW w:w="2392" w:type="pct"/>
                  <w:tcBorders>
                    <w:tl2br w:val="nil"/>
                    <w:tr2bl w:val="nil"/>
                  </w:tcBorders>
                  <w:noWrap w:val="0"/>
                  <w:vAlign w:val="center"/>
                </w:tcPr>
                <w:p w14:paraId="3A3479C7">
                  <w:pPr>
                    <w:keepNext w:val="0"/>
                    <w:keepLines w:val="0"/>
                    <w:widowControl/>
                    <w:suppressLineNumbers w:val="0"/>
                    <w:autoSpaceDE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昼间</w:t>
                  </w:r>
                </w:p>
              </w:tc>
            </w:tr>
            <w:tr w14:paraId="5BE894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7" w:type="pct"/>
                  <w:tcBorders>
                    <w:tl2br w:val="nil"/>
                    <w:tr2bl w:val="nil"/>
                  </w:tcBorders>
                  <w:noWrap w:val="0"/>
                  <w:vAlign w:val="center"/>
                </w:tcPr>
                <w:p w14:paraId="3E09C625">
                  <w:pPr>
                    <w:keepNext w:val="0"/>
                    <w:keepLines w:val="0"/>
                    <w:widowControl/>
                    <w:suppressLineNumbers w:val="0"/>
                    <w:autoSpaceDE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2</w:t>
                  </w:r>
                  <w:r>
                    <w:rPr>
                      <w:rFonts w:hint="default" w:ascii="Times New Roman" w:hAnsi="Times New Roman" w:cs="Times New Roman"/>
                      <w:color w:val="auto"/>
                      <w:kern w:val="0"/>
                      <w:szCs w:val="21"/>
                    </w:rPr>
                    <w:t>类</w:t>
                  </w:r>
                </w:p>
              </w:tc>
              <w:tc>
                <w:tcPr>
                  <w:tcW w:w="2392" w:type="pct"/>
                  <w:tcBorders>
                    <w:tl2br w:val="nil"/>
                    <w:tr2bl w:val="nil"/>
                  </w:tcBorders>
                  <w:noWrap w:val="0"/>
                  <w:vAlign w:val="center"/>
                </w:tcPr>
                <w:p w14:paraId="2567426F">
                  <w:pPr>
                    <w:keepNext w:val="0"/>
                    <w:keepLines w:val="0"/>
                    <w:widowControl/>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60</w:t>
                  </w:r>
                </w:p>
              </w:tc>
            </w:tr>
            <w:bookmarkEnd w:id="2"/>
          </w:tbl>
          <w:p w14:paraId="45F321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eastAsia" w:cs="Times New Roman"/>
                <w:b/>
                <w:bCs/>
                <w:color w:val="auto"/>
                <w:kern w:val="2"/>
                <w:sz w:val="24"/>
                <w:szCs w:val="24"/>
                <w:lang w:val="en-US" w:eastAsia="zh-CN" w:bidi="ar-SA"/>
              </w:rPr>
              <w:t>4</w:t>
            </w:r>
            <w:r>
              <w:rPr>
                <w:rFonts w:hint="default" w:ascii="Times New Roman" w:hAnsi="Times New Roman" w:eastAsia="宋体" w:cs="Times New Roman"/>
                <w:b/>
                <w:bCs/>
                <w:color w:val="auto"/>
                <w:kern w:val="2"/>
                <w:sz w:val="24"/>
                <w:szCs w:val="24"/>
                <w:lang w:val="en-US" w:eastAsia="zh-CN" w:bidi="ar-SA"/>
              </w:rPr>
              <w:t>.固体废物</w:t>
            </w:r>
          </w:p>
          <w:p w14:paraId="78C14463">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本项目固体废物的处理、处置均应满足《中华人民共和国固体废物污染环境防治法</w:t>
            </w:r>
            <w:r>
              <w:rPr>
                <w:rFonts w:hint="eastAsia" w:cs="Times New Roman"/>
                <w:color w:val="auto"/>
                <w:sz w:val="24"/>
                <w:lang w:eastAsia="zh-CN"/>
              </w:rPr>
              <w:t>》</w:t>
            </w:r>
            <w:r>
              <w:rPr>
                <w:rFonts w:hint="default" w:ascii="Times New Roman" w:hAnsi="Times New Roman" w:cs="Times New Roman"/>
                <w:color w:val="auto"/>
                <w:sz w:val="24"/>
              </w:rPr>
              <w:t>的有关</w:t>
            </w:r>
            <w:r>
              <w:rPr>
                <w:rFonts w:hint="eastAsia" w:cs="Times New Roman"/>
                <w:color w:val="auto"/>
                <w:sz w:val="24"/>
                <w:lang w:eastAsia="zh-CN"/>
              </w:rPr>
              <w:t>规定</w:t>
            </w:r>
            <w:r>
              <w:rPr>
                <w:rFonts w:hint="default" w:ascii="Times New Roman" w:hAnsi="Times New Roman" w:cs="Times New Roman"/>
                <w:color w:val="auto"/>
                <w:sz w:val="24"/>
              </w:rPr>
              <w:t>。采用库房、包装工具（罐、桶、包装袋等）贮存一般工业固体废物过程的污染控制，其贮存过程应满足相应防渗漏、防雨淋、防扬尘等环境保护要求。</w:t>
            </w:r>
          </w:p>
          <w:p w14:paraId="3FDBDB35">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sz w:val="24"/>
              </w:rPr>
              <w:t>危险废物执行《危险废物贮存污染控制标准》（GB18597-2023）。</w:t>
            </w:r>
          </w:p>
        </w:tc>
      </w:tr>
      <w:tr w14:paraId="07A3CA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25" w:hRule="atLeast"/>
          <w:jc w:val="center"/>
        </w:trPr>
        <w:tc>
          <w:tcPr>
            <w:tcW w:w="640" w:type="dxa"/>
            <w:noWrap w:val="0"/>
            <w:vAlign w:val="center"/>
          </w:tcPr>
          <w:p w14:paraId="586AB41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总量</w:t>
            </w:r>
          </w:p>
          <w:p w14:paraId="581F391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控制</w:t>
            </w:r>
          </w:p>
          <w:p w14:paraId="25B897C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指标</w:t>
            </w:r>
          </w:p>
        </w:tc>
        <w:tc>
          <w:tcPr>
            <w:tcW w:w="8723" w:type="dxa"/>
            <w:noWrap w:val="0"/>
            <w:vAlign w:val="center"/>
          </w:tcPr>
          <w:p w14:paraId="211CBBB3">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根据《陕西省“十四五”生态环境保护规划》（陕政办发</w:t>
            </w:r>
            <w:r>
              <w:rPr>
                <w:rFonts w:hint="default" w:ascii="Times New Roman" w:hAnsi="Times New Roman" w:cs="Times New Roman"/>
                <w:color w:val="auto"/>
                <w:sz w:val="24"/>
                <w:lang w:eastAsia="zh-CN"/>
              </w:rPr>
              <w:t>〔2021〕25号</w:t>
            </w:r>
            <w:r>
              <w:rPr>
                <w:rFonts w:hint="eastAsia" w:cs="Times New Roman"/>
                <w:color w:val="auto"/>
                <w:sz w:val="24"/>
                <w:lang w:eastAsia="zh-CN"/>
              </w:rPr>
              <w:t>）</w:t>
            </w:r>
            <w:r>
              <w:rPr>
                <w:rFonts w:hint="default" w:ascii="Times New Roman" w:hAnsi="Times New Roman" w:cs="Times New Roman"/>
                <w:color w:val="auto"/>
                <w:sz w:val="24"/>
              </w:rPr>
              <w:t>，对NO</w:t>
            </w:r>
            <w:r>
              <w:rPr>
                <w:rFonts w:hint="default" w:ascii="Times New Roman" w:hAnsi="Times New Roman" w:cs="Times New Roman"/>
                <w:color w:val="auto"/>
                <w:sz w:val="24"/>
                <w:vertAlign w:val="subscript"/>
              </w:rPr>
              <w:t>X</w:t>
            </w:r>
            <w:r>
              <w:rPr>
                <w:rFonts w:hint="default" w:ascii="Times New Roman" w:hAnsi="Times New Roman" w:cs="Times New Roman"/>
                <w:color w:val="auto"/>
                <w:sz w:val="24"/>
              </w:rPr>
              <w:t>、VOC</w:t>
            </w:r>
            <w:r>
              <w:rPr>
                <w:rFonts w:hint="default" w:ascii="Times New Roman" w:hAnsi="Times New Roman" w:cs="Times New Roman"/>
                <w:color w:val="auto"/>
                <w:sz w:val="24"/>
                <w:vertAlign w:val="subscript"/>
                <w:lang w:val="en-US" w:eastAsia="zh-CN"/>
              </w:rPr>
              <w:t>S</w:t>
            </w:r>
            <w:r>
              <w:rPr>
                <w:rFonts w:hint="default" w:ascii="Times New Roman" w:hAnsi="Times New Roman" w:cs="Times New Roman"/>
                <w:color w:val="auto"/>
                <w:sz w:val="24"/>
              </w:rPr>
              <w:t>、COD和NH</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-N污染物排放实行总量控制和计划</w:t>
            </w:r>
            <w:r>
              <w:rPr>
                <w:rFonts w:hint="eastAsia" w:cs="Times New Roman"/>
                <w:color w:val="auto"/>
                <w:sz w:val="24"/>
                <w:lang w:eastAsia="zh-CN"/>
              </w:rPr>
              <w:t>管理</w:t>
            </w:r>
            <w:r>
              <w:rPr>
                <w:rFonts w:hint="default" w:ascii="Times New Roman" w:hAnsi="Times New Roman" w:cs="Times New Roman"/>
                <w:color w:val="auto"/>
                <w:sz w:val="24"/>
              </w:rPr>
              <w:t>。本项目建成后涉及废气因子主要为颗粒物、二氧化硫、氮氧化物和非甲烷总烃。</w:t>
            </w:r>
          </w:p>
          <w:p w14:paraId="4A0E35AF">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根据本项目特点，本项目主要涉及的总量控制指标为 VOCs：0.855t/a。本项目总量通过排污权交易获得。</w:t>
            </w:r>
          </w:p>
          <w:p w14:paraId="52B00E5A">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sz w:val="24"/>
              </w:rPr>
            </w:pPr>
          </w:p>
        </w:tc>
      </w:tr>
    </w:tbl>
    <w:p w14:paraId="46E85670">
      <w:pPr>
        <w:pStyle w:val="27"/>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6"/>
          <w:szCs w:val="36"/>
        </w:rPr>
        <w:br w:type="page"/>
      </w:r>
      <w:r>
        <w:rPr>
          <w:rFonts w:hint="default" w:ascii="Times New Roman" w:hAnsi="Times New Roman" w:eastAsia="黑体" w:cs="Times New Roman"/>
          <w:snapToGrid w:val="0"/>
          <w:color w:val="auto"/>
          <w:sz w:val="30"/>
          <w:szCs w:val="30"/>
        </w:rPr>
        <w:t>四、主要环境影响和保护措施</w:t>
      </w:r>
    </w:p>
    <w:tbl>
      <w:tblPr>
        <w:tblStyle w:val="33"/>
        <w:tblW w:w="933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70"/>
        <w:gridCol w:w="8767"/>
      </w:tblGrid>
      <w:tr w14:paraId="52E478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0" w:type="dxa"/>
            <w:noWrap w:val="0"/>
            <w:tcMar>
              <w:left w:w="28" w:type="dxa"/>
              <w:right w:w="28" w:type="dxa"/>
            </w:tcMar>
            <w:vAlign w:val="center"/>
          </w:tcPr>
          <w:p w14:paraId="154DB0D1">
            <w:pPr>
              <w:pStyle w:val="27"/>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施工</w:t>
            </w:r>
          </w:p>
          <w:p w14:paraId="4EB324BD">
            <w:pPr>
              <w:pStyle w:val="27"/>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期环</w:t>
            </w:r>
          </w:p>
          <w:p w14:paraId="5C883C51">
            <w:pPr>
              <w:pStyle w:val="27"/>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境保</w:t>
            </w:r>
          </w:p>
          <w:p w14:paraId="3A2B8848">
            <w:pPr>
              <w:pStyle w:val="27"/>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护措</w:t>
            </w:r>
          </w:p>
          <w:p w14:paraId="3EA47BED">
            <w:pPr>
              <w:pStyle w:val="27"/>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施</w:t>
            </w:r>
          </w:p>
        </w:tc>
        <w:tc>
          <w:tcPr>
            <w:tcW w:w="8767" w:type="dxa"/>
            <w:noWrap w:val="0"/>
            <w:vAlign w:val="center"/>
          </w:tcPr>
          <w:p w14:paraId="43BCE6A1">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kern w:val="0"/>
                <w:sz w:val="24"/>
                <w:szCs w:val="24"/>
              </w:rPr>
            </w:pPr>
            <w:r>
              <w:rPr>
                <w:rFonts w:hint="default" w:ascii="Times New Roman" w:hAnsi="Times New Roman" w:cs="Times New Roman"/>
                <w:bCs/>
                <w:color w:val="auto"/>
                <w:kern w:val="0"/>
                <w:sz w:val="24"/>
                <w:szCs w:val="24"/>
              </w:rPr>
              <w:t>项目生产厂房已建成，施工过程主要是在已建好的标准厂房内布局调整、设备安装，项目施工期较短，施工过程污染物主要有施工废气、施工废水、噪声及固体废物。</w:t>
            </w:r>
          </w:p>
          <w:p w14:paraId="4995F874">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val="0"/>
                <w:color w:val="auto"/>
                <w:kern w:val="0"/>
                <w:sz w:val="24"/>
                <w:szCs w:val="24"/>
              </w:rPr>
            </w:pPr>
            <w:r>
              <w:rPr>
                <w:rFonts w:hint="eastAsia" w:cs="Times New Roman"/>
                <w:b/>
                <w:bCs w:val="0"/>
                <w:color w:val="auto"/>
                <w:kern w:val="0"/>
                <w:sz w:val="24"/>
                <w:szCs w:val="24"/>
                <w:lang w:eastAsia="zh-CN"/>
              </w:rPr>
              <w:t>1.</w:t>
            </w:r>
            <w:r>
              <w:rPr>
                <w:rFonts w:hint="default" w:ascii="Times New Roman" w:hAnsi="Times New Roman" w:cs="Times New Roman"/>
                <w:b/>
                <w:bCs w:val="0"/>
                <w:color w:val="auto"/>
                <w:kern w:val="0"/>
                <w:sz w:val="24"/>
                <w:szCs w:val="24"/>
              </w:rPr>
              <w:t>大气污染防治措施</w:t>
            </w:r>
          </w:p>
          <w:p w14:paraId="332D3B17">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kern w:val="0"/>
                <w:sz w:val="24"/>
                <w:szCs w:val="24"/>
              </w:rPr>
            </w:pPr>
            <w:r>
              <w:rPr>
                <w:rFonts w:hint="default" w:ascii="Times New Roman" w:hAnsi="Times New Roman" w:cs="Times New Roman"/>
                <w:bCs/>
                <w:color w:val="auto"/>
                <w:kern w:val="0"/>
                <w:sz w:val="24"/>
                <w:szCs w:val="24"/>
              </w:rPr>
              <w:t>施工期间施工单位严格按照《陕西省大气污染防治条例》和《宝鸡市大气污染防治条例》等要求加强管理，限制设备及材料运输车辆车速，保持本项目及周边道路路面清洁，对沿线道路常洒水降尘。</w:t>
            </w:r>
          </w:p>
          <w:p w14:paraId="1D0958F1">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kern w:val="0"/>
                <w:sz w:val="24"/>
                <w:szCs w:val="24"/>
              </w:rPr>
            </w:pPr>
            <w:r>
              <w:rPr>
                <w:rFonts w:hint="default" w:ascii="Times New Roman" w:hAnsi="Times New Roman" w:cs="Times New Roman"/>
                <w:bCs/>
                <w:color w:val="auto"/>
                <w:kern w:val="0"/>
                <w:sz w:val="24"/>
                <w:szCs w:val="24"/>
              </w:rPr>
              <w:t>施工期间，禁止使用国Ⅲ以下标准的叉车、吊车等非道路移动机械。同时加强施工车辆运行管理与维护保养，减少尾气排放对环境的污染。</w:t>
            </w:r>
          </w:p>
          <w:p w14:paraId="46D23CC6">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val="0"/>
                <w:color w:val="auto"/>
                <w:kern w:val="0"/>
                <w:sz w:val="24"/>
                <w:szCs w:val="24"/>
              </w:rPr>
            </w:pPr>
            <w:r>
              <w:rPr>
                <w:rFonts w:hint="eastAsia" w:cs="Times New Roman"/>
                <w:b/>
                <w:bCs w:val="0"/>
                <w:color w:val="auto"/>
                <w:kern w:val="0"/>
                <w:sz w:val="24"/>
                <w:szCs w:val="24"/>
                <w:lang w:eastAsia="zh-CN"/>
              </w:rPr>
              <w:t>2.</w:t>
            </w:r>
            <w:r>
              <w:rPr>
                <w:rFonts w:hint="default" w:ascii="Times New Roman" w:hAnsi="Times New Roman" w:cs="Times New Roman"/>
                <w:b/>
                <w:bCs w:val="0"/>
                <w:color w:val="auto"/>
                <w:kern w:val="0"/>
                <w:sz w:val="24"/>
                <w:szCs w:val="24"/>
              </w:rPr>
              <w:t>废水污染防治措施</w:t>
            </w:r>
          </w:p>
          <w:p w14:paraId="1C834E31">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kern w:val="0"/>
                <w:sz w:val="24"/>
                <w:szCs w:val="24"/>
              </w:rPr>
            </w:pPr>
            <w:r>
              <w:rPr>
                <w:rFonts w:hint="default" w:ascii="Times New Roman" w:hAnsi="Times New Roman" w:cs="Times New Roman"/>
                <w:bCs/>
                <w:color w:val="auto"/>
                <w:kern w:val="0"/>
                <w:sz w:val="24"/>
                <w:szCs w:val="24"/>
              </w:rPr>
              <w:t>施工期产生的废水主要为设备安装人员产生的盥洗废水，项目设备安装约10人，用水量按25L/人</w:t>
            </w:r>
            <w:r>
              <w:rPr>
                <w:rFonts w:hint="eastAsia" w:cs="Times New Roman"/>
                <w:bCs/>
                <w:color w:val="auto"/>
                <w:kern w:val="0"/>
                <w:sz w:val="24"/>
                <w:szCs w:val="24"/>
                <w:lang w:eastAsia="zh-CN"/>
              </w:rPr>
              <w:t>·</w:t>
            </w:r>
            <w:r>
              <w:rPr>
                <w:rFonts w:hint="default" w:ascii="Times New Roman" w:hAnsi="Times New Roman" w:cs="Times New Roman"/>
                <w:bCs/>
                <w:color w:val="auto"/>
                <w:kern w:val="0"/>
                <w:sz w:val="24"/>
                <w:szCs w:val="24"/>
              </w:rPr>
              <w:t>d计，废水产生量按用水量的80%</w:t>
            </w:r>
            <w:r>
              <w:rPr>
                <w:rFonts w:hint="eastAsia" w:cs="Times New Roman"/>
                <w:bCs/>
                <w:color w:val="auto"/>
                <w:kern w:val="0"/>
                <w:sz w:val="24"/>
                <w:szCs w:val="24"/>
                <w:lang w:eastAsia="zh-CN"/>
              </w:rPr>
              <w:t>计算，</w:t>
            </w:r>
            <w:r>
              <w:rPr>
                <w:rFonts w:hint="default" w:ascii="Times New Roman" w:hAnsi="Times New Roman" w:cs="Times New Roman"/>
                <w:bCs/>
                <w:color w:val="auto"/>
                <w:kern w:val="0"/>
                <w:sz w:val="24"/>
                <w:szCs w:val="24"/>
              </w:rPr>
              <w:t>项目施工期生活污水产生量为0.2</w:t>
            </w:r>
            <w:r>
              <w:rPr>
                <w:rFonts w:hint="default" w:ascii="Times New Roman" w:hAnsi="Times New Roman" w:cs="Times New Roman"/>
                <w:bCs/>
                <w:color w:val="auto"/>
                <w:kern w:val="0"/>
                <w:sz w:val="24"/>
                <w:szCs w:val="24"/>
                <w:lang w:eastAsia="zh-CN"/>
              </w:rPr>
              <w:t>m³</w:t>
            </w:r>
            <w:r>
              <w:rPr>
                <w:rFonts w:hint="default" w:ascii="Times New Roman" w:hAnsi="Times New Roman" w:cs="Times New Roman"/>
                <w:bCs/>
                <w:color w:val="auto"/>
                <w:kern w:val="0"/>
                <w:sz w:val="24"/>
                <w:szCs w:val="24"/>
              </w:rPr>
              <w:t>/d，生活污水利用租赁厂内处理设施</w:t>
            </w:r>
            <w:r>
              <w:rPr>
                <w:rFonts w:hint="eastAsia" w:cs="Times New Roman"/>
                <w:bCs/>
                <w:color w:val="auto"/>
                <w:kern w:val="0"/>
                <w:sz w:val="24"/>
                <w:szCs w:val="24"/>
                <w:lang w:eastAsia="zh-CN"/>
              </w:rPr>
              <w:t>处理。</w:t>
            </w:r>
          </w:p>
          <w:p w14:paraId="70E63C37">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val="0"/>
                <w:color w:val="auto"/>
                <w:kern w:val="0"/>
                <w:sz w:val="24"/>
                <w:szCs w:val="24"/>
              </w:rPr>
            </w:pPr>
            <w:r>
              <w:rPr>
                <w:rFonts w:hint="eastAsia" w:cs="Times New Roman"/>
                <w:b/>
                <w:bCs w:val="0"/>
                <w:color w:val="auto"/>
                <w:kern w:val="0"/>
                <w:sz w:val="24"/>
                <w:szCs w:val="24"/>
                <w:lang w:eastAsia="zh-CN"/>
              </w:rPr>
              <w:t>3.</w:t>
            </w:r>
            <w:r>
              <w:rPr>
                <w:rFonts w:hint="default" w:ascii="Times New Roman" w:hAnsi="Times New Roman" w:cs="Times New Roman"/>
                <w:b/>
                <w:bCs w:val="0"/>
                <w:color w:val="auto"/>
                <w:kern w:val="0"/>
                <w:sz w:val="24"/>
                <w:szCs w:val="24"/>
              </w:rPr>
              <w:t>噪声污染防治措施</w:t>
            </w:r>
          </w:p>
          <w:p w14:paraId="1576D4ED">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kern w:val="0"/>
                <w:sz w:val="24"/>
                <w:szCs w:val="24"/>
              </w:rPr>
            </w:pPr>
            <w:r>
              <w:rPr>
                <w:rFonts w:hint="default" w:ascii="Times New Roman" w:hAnsi="Times New Roman" w:cs="Times New Roman"/>
                <w:bCs/>
                <w:color w:val="auto"/>
                <w:kern w:val="0"/>
                <w:sz w:val="24"/>
                <w:szCs w:val="24"/>
              </w:rPr>
              <w:t>（1）降低施工设备噪声：尽量采用低噪声设备；对动力机械、设备加强定期检修养护。</w:t>
            </w:r>
          </w:p>
          <w:p w14:paraId="6ECD9891">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kern w:val="0"/>
                <w:sz w:val="24"/>
                <w:szCs w:val="24"/>
              </w:rPr>
            </w:pPr>
            <w:r>
              <w:rPr>
                <w:rFonts w:hint="default" w:ascii="Times New Roman" w:hAnsi="Times New Roman" w:cs="Times New Roman"/>
                <w:bCs/>
                <w:color w:val="auto"/>
                <w:kern w:val="0"/>
                <w:sz w:val="24"/>
                <w:szCs w:val="24"/>
              </w:rPr>
              <w:t>（2）降低人为噪声：按规定操作机械设备，尽量减少碰撞声音。</w:t>
            </w:r>
          </w:p>
          <w:p w14:paraId="7EF134F5">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kern w:val="0"/>
                <w:sz w:val="24"/>
                <w:szCs w:val="24"/>
              </w:rPr>
            </w:pPr>
            <w:r>
              <w:rPr>
                <w:rFonts w:hint="default" w:ascii="Times New Roman" w:hAnsi="Times New Roman" w:cs="Times New Roman"/>
                <w:bCs/>
                <w:color w:val="auto"/>
                <w:kern w:val="0"/>
                <w:sz w:val="24"/>
                <w:szCs w:val="24"/>
              </w:rPr>
              <w:t>（3）控制汽车鸣笛，设置限速、禁鸣标志。</w:t>
            </w:r>
          </w:p>
          <w:p w14:paraId="49F5F563">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kern w:val="0"/>
                <w:sz w:val="24"/>
                <w:szCs w:val="24"/>
              </w:rPr>
            </w:pPr>
            <w:r>
              <w:rPr>
                <w:rFonts w:hint="default" w:ascii="Times New Roman" w:hAnsi="Times New Roman" w:cs="Times New Roman"/>
                <w:bCs/>
                <w:color w:val="auto"/>
                <w:kern w:val="0"/>
                <w:sz w:val="24"/>
                <w:szCs w:val="24"/>
              </w:rPr>
              <w:t>（4）施工中严格按照《建筑施工场界环境噪声排放标准》（GB12523-20</w:t>
            </w:r>
            <w:r>
              <w:rPr>
                <w:rFonts w:hint="eastAsia" w:cs="Times New Roman"/>
                <w:bCs/>
                <w:color w:val="auto"/>
                <w:kern w:val="0"/>
                <w:sz w:val="24"/>
                <w:szCs w:val="24"/>
                <w:lang w:val="en-US" w:eastAsia="zh-CN"/>
              </w:rPr>
              <w:t>25</w:t>
            </w:r>
            <w:r>
              <w:rPr>
                <w:rFonts w:hint="default" w:ascii="Times New Roman" w:hAnsi="Times New Roman" w:cs="Times New Roman"/>
                <w:bCs/>
                <w:color w:val="auto"/>
                <w:kern w:val="0"/>
                <w:sz w:val="24"/>
                <w:szCs w:val="24"/>
              </w:rPr>
              <w:t>）要求施工，合理安排施工时间，合理安排施工进度（白天12</w:t>
            </w:r>
            <w:r>
              <w:rPr>
                <w:rFonts w:hint="default" w:ascii="Times New Roman" w:hAnsi="Times New Roman" w:cs="Times New Roman"/>
                <w:bCs/>
                <w:color w:val="auto"/>
                <w:kern w:val="0"/>
                <w:sz w:val="24"/>
                <w:szCs w:val="24"/>
                <w:lang w:eastAsia="zh-CN"/>
              </w:rPr>
              <w:t>:</w:t>
            </w:r>
            <w:r>
              <w:rPr>
                <w:rFonts w:hint="default" w:ascii="Times New Roman" w:hAnsi="Times New Roman" w:cs="Times New Roman"/>
                <w:bCs/>
                <w:color w:val="auto"/>
                <w:kern w:val="0"/>
                <w:sz w:val="24"/>
                <w:szCs w:val="24"/>
              </w:rPr>
              <w:t>00至14</w:t>
            </w:r>
            <w:r>
              <w:rPr>
                <w:rFonts w:hint="default" w:ascii="Times New Roman" w:hAnsi="Times New Roman" w:cs="Times New Roman"/>
                <w:bCs/>
                <w:color w:val="auto"/>
                <w:kern w:val="0"/>
                <w:sz w:val="24"/>
                <w:szCs w:val="24"/>
                <w:lang w:eastAsia="zh-CN"/>
              </w:rPr>
              <w:t>:</w:t>
            </w:r>
            <w:r>
              <w:rPr>
                <w:rFonts w:hint="default" w:ascii="Times New Roman" w:hAnsi="Times New Roman" w:cs="Times New Roman"/>
                <w:bCs/>
                <w:color w:val="auto"/>
                <w:kern w:val="0"/>
                <w:sz w:val="24"/>
                <w:szCs w:val="24"/>
              </w:rPr>
              <w:t>00，夜间22</w:t>
            </w:r>
            <w:r>
              <w:rPr>
                <w:rFonts w:hint="default" w:ascii="Times New Roman" w:hAnsi="Times New Roman" w:cs="Times New Roman"/>
                <w:bCs/>
                <w:color w:val="auto"/>
                <w:kern w:val="0"/>
                <w:sz w:val="24"/>
                <w:szCs w:val="24"/>
                <w:lang w:eastAsia="zh-CN"/>
              </w:rPr>
              <w:t>:</w:t>
            </w:r>
            <w:r>
              <w:rPr>
                <w:rFonts w:hint="default" w:ascii="Times New Roman" w:hAnsi="Times New Roman" w:cs="Times New Roman"/>
                <w:bCs/>
                <w:color w:val="auto"/>
                <w:kern w:val="0"/>
                <w:sz w:val="24"/>
                <w:szCs w:val="24"/>
              </w:rPr>
              <w:t>00至次日6</w:t>
            </w:r>
            <w:r>
              <w:rPr>
                <w:rFonts w:hint="default" w:ascii="Times New Roman" w:hAnsi="Times New Roman" w:cs="Times New Roman"/>
                <w:bCs/>
                <w:color w:val="auto"/>
                <w:kern w:val="0"/>
                <w:sz w:val="24"/>
                <w:szCs w:val="24"/>
                <w:lang w:eastAsia="zh-CN"/>
              </w:rPr>
              <w:t>:</w:t>
            </w:r>
            <w:r>
              <w:rPr>
                <w:rFonts w:hint="default" w:ascii="Times New Roman" w:hAnsi="Times New Roman" w:cs="Times New Roman"/>
                <w:bCs/>
                <w:color w:val="auto"/>
                <w:kern w:val="0"/>
                <w:sz w:val="24"/>
                <w:szCs w:val="24"/>
              </w:rPr>
              <w:t>00禁止施工），尽量缩短高噪声施</w:t>
            </w:r>
            <w:r>
              <w:rPr>
                <w:rFonts w:hint="default" w:ascii="Times New Roman" w:hAnsi="Times New Roman" w:cs="Times New Roman"/>
                <w:bCs/>
                <w:color w:val="auto"/>
                <w:kern w:val="0"/>
                <w:sz w:val="24"/>
                <w:szCs w:val="24"/>
                <w:lang w:eastAsia="zh-CN"/>
              </w:rPr>
              <w:t>工时</w:t>
            </w:r>
            <w:r>
              <w:rPr>
                <w:rFonts w:hint="default" w:ascii="Times New Roman" w:hAnsi="Times New Roman" w:cs="Times New Roman"/>
                <w:bCs/>
                <w:color w:val="auto"/>
                <w:kern w:val="0"/>
                <w:sz w:val="24"/>
                <w:szCs w:val="24"/>
              </w:rPr>
              <w:t>段。</w:t>
            </w:r>
          </w:p>
          <w:p w14:paraId="4DD102C2">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val="0"/>
                <w:color w:val="auto"/>
                <w:kern w:val="0"/>
                <w:sz w:val="24"/>
                <w:szCs w:val="24"/>
              </w:rPr>
            </w:pPr>
            <w:r>
              <w:rPr>
                <w:rFonts w:hint="eastAsia" w:cs="Times New Roman"/>
                <w:b/>
                <w:bCs w:val="0"/>
                <w:color w:val="auto"/>
                <w:kern w:val="0"/>
                <w:sz w:val="24"/>
                <w:szCs w:val="24"/>
                <w:lang w:eastAsia="zh-CN"/>
              </w:rPr>
              <w:t>4.</w:t>
            </w:r>
            <w:r>
              <w:rPr>
                <w:rFonts w:hint="default" w:ascii="Times New Roman" w:hAnsi="Times New Roman" w:cs="Times New Roman"/>
                <w:b/>
                <w:bCs w:val="0"/>
                <w:color w:val="auto"/>
                <w:kern w:val="0"/>
                <w:sz w:val="24"/>
                <w:szCs w:val="24"/>
              </w:rPr>
              <w:t>固废污染防治措施</w:t>
            </w:r>
          </w:p>
          <w:p w14:paraId="77B2107A">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rPr>
            </w:pPr>
            <w:r>
              <w:rPr>
                <w:rFonts w:hint="default" w:ascii="Times New Roman" w:hAnsi="Times New Roman" w:cs="Times New Roman"/>
                <w:bCs/>
                <w:color w:val="auto"/>
                <w:kern w:val="0"/>
                <w:sz w:val="24"/>
                <w:szCs w:val="24"/>
              </w:rPr>
              <w:t>设备安装阶段会有固废产生，部分安装</w:t>
            </w:r>
            <w:r>
              <w:rPr>
                <w:rFonts w:hint="eastAsia" w:cs="Times New Roman"/>
                <w:bCs/>
                <w:color w:val="auto"/>
                <w:kern w:val="0"/>
                <w:sz w:val="24"/>
                <w:szCs w:val="24"/>
                <w:lang w:eastAsia="zh-CN"/>
              </w:rPr>
              <w:t>材料</w:t>
            </w:r>
            <w:r>
              <w:rPr>
                <w:rFonts w:hint="default" w:ascii="Times New Roman" w:hAnsi="Times New Roman" w:cs="Times New Roman"/>
                <w:bCs/>
                <w:color w:val="auto"/>
                <w:kern w:val="0"/>
                <w:sz w:val="24"/>
                <w:szCs w:val="24"/>
              </w:rPr>
              <w:t>有外包装，如木箱、纸箱、塑膜等，此类</w:t>
            </w:r>
            <w:r>
              <w:rPr>
                <w:rFonts w:hint="eastAsia" w:cs="Times New Roman"/>
                <w:bCs/>
                <w:color w:val="auto"/>
                <w:kern w:val="0"/>
                <w:sz w:val="24"/>
                <w:szCs w:val="24"/>
                <w:lang w:eastAsia="zh-CN"/>
              </w:rPr>
              <w:t>固废</w:t>
            </w:r>
            <w:r>
              <w:rPr>
                <w:rFonts w:hint="default" w:ascii="Times New Roman" w:hAnsi="Times New Roman" w:cs="Times New Roman"/>
                <w:bCs/>
                <w:color w:val="auto"/>
                <w:kern w:val="0"/>
                <w:sz w:val="24"/>
                <w:szCs w:val="24"/>
              </w:rPr>
              <w:t>集中收集后外售给废品回收单位。施工人员生活垃圾按人均产生量0.5kg/d计算，施工期人数以10人计，则生活垃圾产生量为5kg/d，垃圾收集桶分类收集后，交由环卫部门处置。不会对周边环境产生影响。</w:t>
            </w:r>
          </w:p>
        </w:tc>
      </w:tr>
      <w:tr w14:paraId="0BE60F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4" w:hRule="atLeast"/>
          <w:jc w:val="center"/>
        </w:trPr>
        <w:tc>
          <w:tcPr>
            <w:tcW w:w="570" w:type="dxa"/>
            <w:noWrap w:val="0"/>
            <w:tcMar>
              <w:left w:w="28" w:type="dxa"/>
              <w:right w:w="28" w:type="dxa"/>
            </w:tcMar>
            <w:vAlign w:val="center"/>
          </w:tcPr>
          <w:p w14:paraId="4874A1B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运营</w:t>
            </w:r>
          </w:p>
          <w:p w14:paraId="5F88A26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期环</w:t>
            </w:r>
          </w:p>
          <w:p w14:paraId="436F2EA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境影</w:t>
            </w:r>
          </w:p>
          <w:p w14:paraId="2EC4A8B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响和</w:t>
            </w:r>
          </w:p>
          <w:p w14:paraId="3714B37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保护</w:t>
            </w:r>
          </w:p>
          <w:p w14:paraId="6D438957">
            <w:pPr>
              <w:pStyle w:val="27"/>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bCs/>
                <w:color w:val="auto"/>
                <w:szCs w:val="21"/>
              </w:rPr>
              <w:t>措施</w:t>
            </w:r>
          </w:p>
        </w:tc>
        <w:tc>
          <w:tcPr>
            <w:tcW w:w="8767" w:type="dxa"/>
            <w:noWrap w:val="0"/>
            <w:vAlign w:val="center"/>
          </w:tcPr>
          <w:p w14:paraId="487837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8"/>
                <w:szCs w:val="28"/>
                <w:lang w:val="en-US" w:eastAsia="zh-CN" w:bidi="ar-SA"/>
              </w:rPr>
              <w:t>一、运营期大气环境影响和保护措施</w:t>
            </w:r>
          </w:p>
          <w:p w14:paraId="7FC50E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1.大气环境污染工序及源强分析</w:t>
            </w:r>
          </w:p>
          <w:p w14:paraId="35BA9B78">
            <w:pPr>
              <w:keepNext/>
              <w:keepLines/>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lang w:eastAsia="zh-CN"/>
              </w:rPr>
              <w:t>）废气产排情况一览表</w:t>
            </w:r>
          </w:p>
          <w:p w14:paraId="6E83ACB2">
            <w:pPr>
              <w:pStyle w:val="18"/>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cs="Times New Roman"/>
                <w:color w:val="auto"/>
                <w:kern w:val="0"/>
                <w:sz w:val="24"/>
                <w:lang w:val="zh-CN"/>
              </w:rPr>
            </w:pPr>
            <w:r>
              <w:rPr>
                <w:rFonts w:hint="default" w:ascii="Times New Roman" w:hAnsi="Times New Roman" w:cs="Times New Roman"/>
                <w:color w:val="auto"/>
                <w:kern w:val="0"/>
                <w:sz w:val="24"/>
              </w:rPr>
              <w:t>本项目运营过程中涉及的废气主要为</w:t>
            </w:r>
            <w:r>
              <w:rPr>
                <w:rFonts w:hint="eastAsia" w:cs="Times New Roman"/>
                <w:color w:val="auto"/>
                <w:kern w:val="0"/>
                <w:sz w:val="24"/>
                <w:lang w:eastAsia="zh-CN"/>
              </w:rPr>
              <w:t>粉碎、热熔挤出</w:t>
            </w:r>
            <w:r>
              <w:rPr>
                <w:rFonts w:hint="default" w:ascii="Times New Roman" w:hAnsi="Times New Roman" w:cs="Times New Roman"/>
                <w:color w:val="auto"/>
                <w:kern w:val="0"/>
                <w:sz w:val="24"/>
              </w:rPr>
              <w:t>工序</w:t>
            </w:r>
            <w:r>
              <w:rPr>
                <w:rFonts w:hint="default" w:ascii="Times New Roman" w:hAnsi="Times New Roman" w:cs="Times New Roman"/>
                <w:color w:val="auto"/>
                <w:kern w:val="0"/>
                <w:sz w:val="24"/>
                <w:lang w:val="en-US" w:eastAsia="zh-CN"/>
              </w:rPr>
              <w:t>废气</w:t>
            </w:r>
            <w:r>
              <w:rPr>
                <w:rFonts w:hint="default" w:ascii="Times New Roman" w:hAnsi="Times New Roman" w:cs="Times New Roman"/>
                <w:color w:val="auto"/>
                <w:kern w:val="0"/>
                <w:sz w:val="24"/>
                <w:lang w:val="zh-CN"/>
              </w:rPr>
              <w:t>，废气污染物排放见表4-1。</w:t>
            </w:r>
          </w:p>
          <w:p w14:paraId="6AF0F695">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表4-1</w:t>
            </w:r>
            <w:r>
              <w:rPr>
                <w:rFonts w:hint="default" w:ascii="Times New Roman" w:hAnsi="Times New Roman"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项目废气产排情况一览表</w:t>
            </w:r>
          </w:p>
          <w:tbl>
            <w:tblPr>
              <w:tblStyle w:val="33"/>
              <w:tblW w:w="5033"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72"/>
              <w:gridCol w:w="1958"/>
              <w:gridCol w:w="1446"/>
              <w:gridCol w:w="1"/>
              <w:gridCol w:w="1450"/>
              <w:gridCol w:w="1480"/>
              <w:gridCol w:w="1482"/>
            </w:tblGrid>
            <w:tr w14:paraId="206CBA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69" w:hRule="atLeast"/>
                <w:jc w:val="center"/>
              </w:trPr>
              <w:tc>
                <w:tcPr>
                  <w:tcW w:w="1589" w:type="pct"/>
                  <w:gridSpan w:val="2"/>
                  <w:tcBorders>
                    <w:tl2br w:val="nil"/>
                    <w:tr2bl w:val="nil"/>
                  </w:tcBorders>
                  <w:noWrap w:val="0"/>
                  <w:vAlign w:val="center"/>
                </w:tcPr>
                <w:p w14:paraId="6967BCC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产污环节</w:t>
                  </w:r>
                </w:p>
              </w:tc>
              <w:tc>
                <w:tcPr>
                  <w:tcW w:w="1686" w:type="pct"/>
                  <w:gridSpan w:val="3"/>
                  <w:tcBorders>
                    <w:tl2br w:val="nil"/>
                    <w:tr2bl w:val="nil"/>
                  </w:tcBorders>
                  <w:noWrap w:val="0"/>
                  <w:vAlign w:val="center"/>
                </w:tcPr>
                <w:p w14:paraId="5F0E16F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粉碎</w:t>
                  </w:r>
                </w:p>
              </w:tc>
              <w:tc>
                <w:tcPr>
                  <w:tcW w:w="1724" w:type="pct"/>
                  <w:gridSpan w:val="2"/>
                  <w:tcBorders>
                    <w:tl2br w:val="nil"/>
                    <w:tr2bl w:val="nil"/>
                  </w:tcBorders>
                  <w:noWrap w:val="0"/>
                  <w:vAlign w:val="center"/>
                </w:tcPr>
                <w:p w14:paraId="556C7EB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热熔挤出</w:t>
                  </w:r>
                </w:p>
              </w:tc>
            </w:tr>
            <w:tr w14:paraId="2E8A8C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1589" w:type="pct"/>
                  <w:gridSpan w:val="2"/>
                  <w:tcBorders>
                    <w:tl2br w:val="nil"/>
                    <w:tr2bl w:val="nil"/>
                  </w:tcBorders>
                  <w:noWrap w:val="0"/>
                  <w:vAlign w:val="center"/>
                </w:tcPr>
                <w:p w14:paraId="1CC1BC7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污染物种类</w:t>
                  </w:r>
                </w:p>
              </w:tc>
              <w:tc>
                <w:tcPr>
                  <w:tcW w:w="1686" w:type="pct"/>
                  <w:gridSpan w:val="3"/>
                  <w:tcBorders>
                    <w:tl2br w:val="nil"/>
                    <w:tr2bl w:val="nil"/>
                  </w:tcBorders>
                  <w:noWrap w:val="0"/>
                  <w:vAlign w:val="center"/>
                </w:tcPr>
                <w:p w14:paraId="5B9F9AD4">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颗粒物</w:t>
                  </w:r>
                </w:p>
              </w:tc>
              <w:tc>
                <w:tcPr>
                  <w:tcW w:w="1724" w:type="pct"/>
                  <w:gridSpan w:val="2"/>
                  <w:tcBorders>
                    <w:tl2br w:val="nil"/>
                    <w:tr2bl w:val="nil"/>
                  </w:tcBorders>
                  <w:noWrap w:val="0"/>
                  <w:vAlign w:val="center"/>
                </w:tcPr>
                <w:p w14:paraId="5FE3EC92">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非甲烷总烃</w:t>
                  </w:r>
                </w:p>
              </w:tc>
            </w:tr>
            <w:tr w14:paraId="139708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1589" w:type="pct"/>
                  <w:gridSpan w:val="2"/>
                  <w:tcBorders>
                    <w:tl2br w:val="nil"/>
                    <w:tr2bl w:val="nil"/>
                  </w:tcBorders>
                  <w:noWrap w:val="0"/>
                  <w:vAlign w:val="center"/>
                </w:tcPr>
                <w:p w14:paraId="3E7C1CE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污染物产生量（t/a）</w:t>
                  </w:r>
                </w:p>
              </w:tc>
              <w:tc>
                <w:tcPr>
                  <w:tcW w:w="1686" w:type="pct"/>
                  <w:gridSpan w:val="3"/>
                  <w:tcBorders>
                    <w:tl2br w:val="nil"/>
                    <w:tr2bl w:val="nil"/>
                  </w:tcBorders>
                  <w:noWrap w:val="0"/>
                  <w:vAlign w:val="center"/>
                </w:tcPr>
                <w:p w14:paraId="0A8D6837">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2.127</w:t>
                  </w:r>
                </w:p>
              </w:tc>
              <w:tc>
                <w:tcPr>
                  <w:tcW w:w="1724" w:type="pct"/>
                  <w:gridSpan w:val="2"/>
                  <w:tcBorders>
                    <w:tl2br w:val="nil"/>
                    <w:tr2bl w:val="nil"/>
                  </w:tcBorders>
                  <w:noWrap w:val="0"/>
                  <w:vAlign w:val="center"/>
                </w:tcPr>
                <w:p w14:paraId="215451D0">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4.79</w:t>
                  </w:r>
                </w:p>
              </w:tc>
            </w:tr>
            <w:tr w14:paraId="73DCA4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1589" w:type="pct"/>
                  <w:gridSpan w:val="2"/>
                  <w:tcBorders>
                    <w:tl2br w:val="nil"/>
                    <w:tr2bl w:val="nil"/>
                  </w:tcBorders>
                  <w:noWrap w:val="0"/>
                  <w:vAlign w:val="center"/>
                </w:tcPr>
                <w:p w14:paraId="1390DC9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bCs/>
                      <w:color w:val="auto"/>
                      <w:sz w:val="21"/>
                      <w:szCs w:val="21"/>
                    </w:rPr>
                    <w:t>污染物</w:t>
                  </w:r>
                  <w:r>
                    <w:rPr>
                      <w:rFonts w:hint="eastAsia" w:cs="Times New Roman"/>
                      <w:b/>
                      <w:bCs/>
                      <w:color w:val="auto"/>
                      <w:sz w:val="21"/>
                      <w:szCs w:val="21"/>
                      <w:lang w:eastAsia="zh-CN"/>
                    </w:rPr>
                    <w:t>产生</w:t>
                  </w:r>
                  <w:r>
                    <w:rPr>
                      <w:rFonts w:hint="default" w:ascii="Times New Roman" w:hAnsi="Times New Roman" w:eastAsia="宋体" w:cs="Times New Roman"/>
                      <w:b/>
                      <w:bCs/>
                      <w:color w:val="auto"/>
                      <w:sz w:val="21"/>
                      <w:szCs w:val="21"/>
                    </w:rPr>
                    <w:t>速率（kg/h）</w:t>
                  </w:r>
                </w:p>
              </w:tc>
              <w:tc>
                <w:tcPr>
                  <w:tcW w:w="1686" w:type="pct"/>
                  <w:gridSpan w:val="3"/>
                  <w:tcBorders>
                    <w:tl2br w:val="nil"/>
                    <w:tr2bl w:val="nil"/>
                  </w:tcBorders>
                  <w:noWrap w:val="0"/>
                  <w:vAlign w:val="center"/>
                </w:tcPr>
                <w:p w14:paraId="6A9F4F83">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0.709</w:t>
                  </w:r>
                </w:p>
              </w:tc>
              <w:tc>
                <w:tcPr>
                  <w:tcW w:w="1724" w:type="pct"/>
                  <w:gridSpan w:val="2"/>
                  <w:tcBorders>
                    <w:tl2br w:val="nil"/>
                    <w:tr2bl w:val="nil"/>
                  </w:tcBorders>
                  <w:noWrap w:val="0"/>
                  <w:vAlign w:val="center"/>
                </w:tcPr>
                <w:p w14:paraId="72329A40">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1.331</w:t>
                  </w:r>
                </w:p>
              </w:tc>
            </w:tr>
            <w:tr w14:paraId="31502BE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1589" w:type="pct"/>
                  <w:gridSpan w:val="2"/>
                  <w:tcBorders>
                    <w:tl2br w:val="nil"/>
                    <w:tr2bl w:val="nil"/>
                  </w:tcBorders>
                  <w:noWrap w:val="0"/>
                  <w:vAlign w:val="center"/>
                </w:tcPr>
                <w:p w14:paraId="78AC2C6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r>
                    <w:rPr>
                      <w:rFonts w:hint="eastAsia" w:cs="Times New Roman"/>
                      <w:b/>
                      <w:bCs/>
                      <w:color w:val="auto"/>
                      <w:sz w:val="21"/>
                      <w:szCs w:val="21"/>
                      <w:lang w:eastAsia="zh-CN"/>
                    </w:rPr>
                    <w:t>产生</w:t>
                  </w:r>
                  <w:r>
                    <w:rPr>
                      <w:rFonts w:hint="default" w:ascii="Times New Roman" w:hAnsi="Times New Roman" w:eastAsia="宋体" w:cs="Times New Roman"/>
                      <w:b/>
                      <w:bCs/>
                      <w:color w:val="auto"/>
                      <w:sz w:val="21"/>
                      <w:szCs w:val="21"/>
                    </w:rPr>
                    <w:t>浓度（mg/</w:t>
                  </w:r>
                  <w:r>
                    <w:rPr>
                      <w:rFonts w:hint="default" w:ascii="Times New Roman" w:hAnsi="Times New Roman" w:cs="Times New Roman"/>
                      <w:b/>
                      <w:bCs/>
                      <w:color w:val="auto"/>
                      <w:sz w:val="21"/>
                      <w:szCs w:val="21"/>
                      <w:lang w:eastAsia="zh-CN"/>
                    </w:rPr>
                    <w:t>m³</w:t>
                  </w:r>
                  <w:r>
                    <w:rPr>
                      <w:rFonts w:hint="default" w:ascii="Times New Roman" w:hAnsi="Times New Roman" w:eastAsia="宋体" w:cs="Times New Roman"/>
                      <w:b/>
                      <w:bCs/>
                      <w:color w:val="auto"/>
                      <w:sz w:val="21"/>
                      <w:szCs w:val="21"/>
                    </w:rPr>
                    <w:t>）</w:t>
                  </w:r>
                </w:p>
              </w:tc>
              <w:tc>
                <w:tcPr>
                  <w:tcW w:w="1686" w:type="pct"/>
                  <w:gridSpan w:val="3"/>
                  <w:tcBorders>
                    <w:tl2br w:val="nil"/>
                    <w:tr2bl w:val="nil"/>
                  </w:tcBorders>
                  <w:noWrap w:val="0"/>
                  <w:vAlign w:val="center"/>
                </w:tcPr>
                <w:p w14:paraId="1D4C7EC5">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60.27</w:t>
                  </w:r>
                </w:p>
              </w:tc>
              <w:tc>
                <w:tcPr>
                  <w:tcW w:w="1724" w:type="pct"/>
                  <w:gridSpan w:val="2"/>
                  <w:tcBorders>
                    <w:tl2br w:val="nil"/>
                    <w:tr2bl w:val="nil"/>
                  </w:tcBorders>
                  <w:noWrap w:val="0"/>
                  <w:vAlign w:val="center"/>
                </w:tcPr>
                <w:p w14:paraId="617FF61B">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266.11</w:t>
                  </w:r>
                </w:p>
              </w:tc>
            </w:tr>
            <w:tr w14:paraId="7ED83EC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1589" w:type="pct"/>
                  <w:gridSpan w:val="2"/>
                  <w:tcBorders>
                    <w:tl2br w:val="nil"/>
                    <w:tr2bl w:val="nil"/>
                  </w:tcBorders>
                  <w:noWrap w:val="0"/>
                  <w:vAlign w:val="center"/>
                </w:tcPr>
                <w:p w14:paraId="5DF3F77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排放形式</w:t>
                  </w:r>
                </w:p>
              </w:tc>
              <w:tc>
                <w:tcPr>
                  <w:tcW w:w="841" w:type="pct"/>
                  <w:tcBorders>
                    <w:tl2br w:val="nil"/>
                    <w:tr2bl w:val="nil"/>
                  </w:tcBorders>
                  <w:noWrap w:val="0"/>
                  <w:vAlign w:val="center"/>
                </w:tcPr>
                <w:p w14:paraId="31EC0635">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有组织</w:t>
                  </w:r>
                </w:p>
              </w:tc>
              <w:tc>
                <w:tcPr>
                  <w:tcW w:w="844" w:type="pct"/>
                  <w:gridSpan w:val="2"/>
                  <w:tcBorders>
                    <w:tl2br w:val="nil"/>
                    <w:tr2bl w:val="nil"/>
                  </w:tcBorders>
                  <w:noWrap w:val="0"/>
                  <w:vAlign w:val="center"/>
                </w:tcPr>
                <w:p w14:paraId="3A517D9F">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无组织</w:t>
                  </w:r>
                </w:p>
              </w:tc>
              <w:tc>
                <w:tcPr>
                  <w:tcW w:w="861" w:type="pct"/>
                  <w:tcBorders>
                    <w:tl2br w:val="nil"/>
                    <w:tr2bl w:val="nil"/>
                  </w:tcBorders>
                  <w:noWrap w:val="0"/>
                  <w:vAlign w:val="center"/>
                </w:tcPr>
                <w:p w14:paraId="4FC8ABF5">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有组织</w:t>
                  </w:r>
                </w:p>
              </w:tc>
              <w:tc>
                <w:tcPr>
                  <w:tcW w:w="862" w:type="pct"/>
                  <w:tcBorders>
                    <w:tl2br w:val="nil"/>
                    <w:tr2bl w:val="nil"/>
                  </w:tcBorders>
                  <w:noWrap w:val="0"/>
                  <w:vAlign w:val="center"/>
                </w:tcPr>
                <w:p w14:paraId="0C6CCDC4">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无组织</w:t>
                  </w:r>
                </w:p>
              </w:tc>
            </w:tr>
            <w:tr w14:paraId="79C6AD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49" w:type="pct"/>
                  <w:vMerge w:val="restart"/>
                  <w:tcBorders>
                    <w:tl2br w:val="nil"/>
                    <w:tr2bl w:val="nil"/>
                  </w:tcBorders>
                  <w:noWrap w:val="0"/>
                  <w:vAlign w:val="center"/>
                </w:tcPr>
                <w:p w14:paraId="4859110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治理设施</w:t>
                  </w:r>
                </w:p>
              </w:tc>
              <w:tc>
                <w:tcPr>
                  <w:tcW w:w="1140" w:type="pct"/>
                  <w:tcBorders>
                    <w:tl2br w:val="nil"/>
                    <w:tr2bl w:val="nil"/>
                  </w:tcBorders>
                  <w:noWrap w:val="0"/>
                  <w:vAlign w:val="center"/>
                </w:tcPr>
                <w:p w14:paraId="2ABFA4E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处理设施</w:t>
                  </w:r>
                </w:p>
              </w:tc>
              <w:tc>
                <w:tcPr>
                  <w:tcW w:w="841" w:type="pct"/>
                  <w:tcBorders>
                    <w:tl2br w:val="nil"/>
                    <w:tr2bl w:val="nil"/>
                  </w:tcBorders>
                  <w:noWrap w:val="0"/>
                  <w:vAlign w:val="center"/>
                </w:tcPr>
                <w:p w14:paraId="6223BDC3">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布袋除尘器</w:t>
                  </w:r>
                </w:p>
              </w:tc>
              <w:tc>
                <w:tcPr>
                  <w:tcW w:w="844" w:type="pct"/>
                  <w:gridSpan w:val="2"/>
                  <w:tcBorders>
                    <w:tl2br w:val="nil"/>
                    <w:tr2bl w:val="nil"/>
                  </w:tcBorders>
                  <w:noWrap w:val="0"/>
                  <w:vAlign w:val="center"/>
                </w:tcPr>
                <w:p w14:paraId="13FECC49">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厂房阻隔</w:t>
                  </w:r>
                </w:p>
              </w:tc>
              <w:tc>
                <w:tcPr>
                  <w:tcW w:w="861" w:type="pct"/>
                  <w:tcBorders>
                    <w:tl2br w:val="nil"/>
                    <w:tr2bl w:val="nil"/>
                  </w:tcBorders>
                  <w:noWrap w:val="0"/>
                  <w:vAlign w:val="center"/>
                </w:tcPr>
                <w:p w14:paraId="2FBF489F">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二级活性炭吸附</w:t>
                  </w:r>
                </w:p>
              </w:tc>
              <w:tc>
                <w:tcPr>
                  <w:tcW w:w="862" w:type="pct"/>
                  <w:tcBorders>
                    <w:tl2br w:val="nil"/>
                    <w:tr2bl w:val="nil"/>
                  </w:tcBorders>
                  <w:noWrap w:val="0"/>
                  <w:vAlign w:val="center"/>
                </w:tcPr>
                <w:p w14:paraId="2DB8437B">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r>
            <w:tr w14:paraId="01AB7A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49" w:type="pct"/>
                  <w:vMerge w:val="continue"/>
                  <w:tcBorders>
                    <w:tl2br w:val="nil"/>
                    <w:tr2bl w:val="nil"/>
                  </w:tcBorders>
                  <w:noWrap w:val="0"/>
                  <w:vAlign w:val="center"/>
                </w:tcPr>
                <w:p w14:paraId="08DF5CF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p>
              </w:tc>
              <w:tc>
                <w:tcPr>
                  <w:tcW w:w="1140" w:type="pct"/>
                  <w:tcBorders>
                    <w:tl2br w:val="nil"/>
                    <w:tr2bl w:val="nil"/>
                  </w:tcBorders>
                  <w:noWrap w:val="0"/>
                  <w:vAlign w:val="center"/>
                </w:tcPr>
                <w:p w14:paraId="7E39C01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收集效率%</w:t>
                  </w:r>
                </w:p>
              </w:tc>
              <w:tc>
                <w:tcPr>
                  <w:tcW w:w="1686" w:type="pct"/>
                  <w:gridSpan w:val="3"/>
                  <w:tcBorders>
                    <w:tl2br w:val="nil"/>
                    <w:tr2bl w:val="nil"/>
                  </w:tcBorders>
                  <w:noWrap w:val="0"/>
                  <w:vAlign w:val="center"/>
                </w:tcPr>
                <w:p w14:paraId="3238EB46">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85%</w:t>
                  </w:r>
                </w:p>
              </w:tc>
              <w:tc>
                <w:tcPr>
                  <w:tcW w:w="1724" w:type="pct"/>
                  <w:gridSpan w:val="2"/>
                  <w:tcBorders>
                    <w:tl2br w:val="nil"/>
                    <w:tr2bl w:val="nil"/>
                  </w:tcBorders>
                  <w:noWrap w:val="0"/>
                  <w:vAlign w:val="center"/>
                </w:tcPr>
                <w:p w14:paraId="08D102E7">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85</w:t>
                  </w:r>
                  <w:r>
                    <w:rPr>
                      <w:rFonts w:hint="default" w:ascii="Times New Roman" w:hAnsi="Times New Roman" w:eastAsia="宋体" w:cs="Times New Roman"/>
                      <w:color w:val="auto"/>
                      <w:lang w:val="en-US" w:eastAsia="zh-CN"/>
                    </w:rPr>
                    <w:t>%</w:t>
                  </w:r>
                </w:p>
              </w:tc>
            </w:tr>
            <w:tr w14:paraId="7BE0696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49" w:type="pct"/>
                  <w:vMerge w:val="continue"/>
                  <w:tcBorders>
                    <w:tl2br w:val="nil"/>
                    <w:tr2bl w:val="nil"/>
                  </w:tcBorders>
                  <w:noWrap w:val="0"/>
                  <w:vAlign w:val="center"/>
                </w:tcPr>
                <w:p w14:paraId="43E64A5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p>
              </w:tc>
              <w:tc>
                <w:tcPr>
                  <w:tcW w:w="1140" w:type="pct"/>
                  <w:tcBorders>
                    <w:tl2br w:val="nil"/>
                    <w:tr2bl w:val="nil"/>
                  </w:tcBorders>
                  <w:noWrap w:val="0"/>
                  <w:vAlign w:val="center"/>
                </w:tcPr>
                <w:p w14:paraId="1DF5A0B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治理工艺去除率%</w:t>
                  </w:r>
                </w:p>
              </w:tc>
              <w:tc>
                <w:tcPr>
                  <w:tcW w:w="842" w:type="pct"/>
                  <w:gridSpan w:val="2"/>
                  <w:tcBorders>
                    <w:tl2br w:val="nil"/>
                    <w:tr2bl w:val="nil"/>
                  </w:tcBorders>
                  <w:noWrap w:val="0"/>
                  <w:vAlign w:val="center"/>
                </w:tcPr>
                <w:p w14:paraId="4C17A181">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95%</w:t>
                  </w:r>
                </w:p>
              </w:tc>
              <w:tc>
                <w:tcPr>
                  <w:tcW w:w="844" w:type="pct"/>
                  <w:tcBorders>
                    <w:tl2br w:val="nil"/>
                    <w:tr2bl w:val="nil"/>
                  </w:tcBorders>
                  <w:noWrap w:val="0"/>
                  <w:vAlign w:val="center"/>
                </w:tcPr>
                <w:p w14:paraId="39748F85">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861" w:type="pct"/>
                  <w:tcBorders>
                    <w:tl2br w:val="nil"/>
                    <w:tr2bl w:val="nil"/>
                  </w:tcBorders>
                  <w:noWrap w:val="0"/>
                  <w:vAlign w:val="center"/>
                </w:tcPr>
                <w:p w14:paraId="1CE12C23">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79</w:t>
                  </w:r>
                  <w:r>
                    <w:rPr>
                      <w:rFonts w:hint="default" w:ascii="Times New Roman" w:hAnsi="Times New Roman" w:eastAsia="宋体" w:cs="Times New Roman"/>
                      <w:color w:val="auto"/>
                      <w:lang w:val="en-US" w:eastAsia="zh-CN"/>
                    </w:rPr>
                    <w:t>%</w:t>
                  </w:r>
                </w:p>
              </w:tc>
              <w:tc>
                <w:tcPr>
                  <w:tcW w:w="862" w:type="pct"/>
                  <w:tcBorders>
                    <w:tl2br w:val="nil"/>
                    <w:tr2bl w:val="nil"/>
                  </w:tcBorders>
                  <w:noWrap w:val="0"/>
                  <w:vAlign w:val="center"/>
                </w:tcPr>
                <w:p w14:paraId="0EAC9016">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r>
            <w:tr w14:paraId="56E8F81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49" w:type="pct"/>
                  <w:vMerge w:val="continue"/>
                  <w:tcBorders>
                    <w:tl2br w:val="nil"/>
                    <w:tr2bl w:val="nil"/>
                  </w:tcBorders>
                  <w:noWrap w:val="0"/>
                  <w:vAlign w:val="center"/>
                </w:tcPr>
                <w:p w14:paraId="0E3722D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p>
              </w:tc>
              <w:tc>
                <w:tcPr>
                  <w:tcW w:w="1140" w:type="pct"/>
                  <w:tcBorders>
                    <w:tl2br w:val="nil"/>
                    <w:tr2bl w:val="nil"/>
                  </w:tcBorders>
                  <w:noWrap w:val="0"/>
                  <w:vAlign w:val="center"/>
                </w:tcPr>
                <w:p w14:paraId="571D7F0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是否为可行技术</w:t>
                  </w:r>
                </w:p>
              </w:tc>
              <w:tc>
                <w:tcPr>
                  <w:tcW w:w="842" w:type="pct"/>
                  <w:gridSpan w:val="2"/>
                  <w:tcBorders>
                    <w:tl2br w:val="nil"/>
                    <w:tr2bl w:val="nil"/>
                  </w:tcBorders>
                  <w:noWrap w:val="0"/>
                  <w:vAlign w:val="center"/>
                </w:tcPr>
                <w:p w14:paraId="11BF8271">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是</w:t>
                  </w:r>
                </w:p>
              </w:tc>
              <w:tc>
                <w:tcPr>
                  <w:tcW w:w="844" w:type="pct"/>
                  <w:tcBorders>
                    <w:tl2br w:val="nil"/>
                    <w:tr2bl w:val="nil"/>
                  </w:tcBorders>
                  <w:noWrap w:val="0"/>
                  <w:vAlign w:val="center"/>
                </w:tcPr>
                <w:p w14:paraId="351742FF">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861" w:type="pct"/>
                  <w:tcBorders>
                    <w:tl2br w:val="nil"/>
                    <w:tr2bl w:val="nil"/>
                  </w:tcBorders>
                  <w:noWrap w:val="0"/>
                  <w:vAlign w:val="center"/>
                </w:tcPr>
                <w:p w14:paraId="1C605F94">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是</w:t>
                  </w:r>
                </w:p>
              </w:tc>
              <w:tc>
                <w:tcPr>
                  <w:tcW w:w="862" w:type="pct"/>
                  <w:tcBorders>
                    <w:tl2br w:val="nil"/>
                    <w:tr2bl w:val="nil"/>
                  </w:tcBorders>
                  <w:noWrap w:val="0"/>
                  <w:vAlign w:val="center"/>
                </w:tcPr>
                <w:p w14:paraId="1EDB14D8">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r>
            <w:tr w14:paraId="67F411D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1589" w:type="pct"/>
                  <w:gridSpan w:val="2"/>
                  <w:tcBorders>
                    <w:tl2br w:val="nil"/>
                    <w:tr2bl w:val="nil"/>
                  </w:tcBorders>
                  <w:noWrap w:val="0"/>
                  <w:vAlign w:val="center"/>
                </w:tcPr>
                <w:p w14:paraId="4B8470D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污染物排放浓度（mg/</w:t>
                  </w:r>
                  <w:r>
                    <w:rPr>
                      <w:rFonts w:hint="default" w:ascii="Times New Roman" w:hAnsi="Times New Roman" w:cs="Times New Roman"/>
                      <w:b/>
                      <w:bCs/>
                      <w:color w:val="auto"/>
                      <w:sz w:val="21"/>
                      <w:szCs w:val="21"/>
                      <w:lang w:eastAsia="zh-CN"/>
                    </w:rPr>
                    <w:t>m³</w:t>
                  </w:r>
                  <w:r>
                    <w:rPr>
                      <w:rFonts w:hint="default" w:ascii="Times New Roman" w:hAnsi="Times New Roman" w:eastAsia="宋体" w:cs="Times New Roman"/>
                      <w:b/>
                      <w:bCs/>
                      <w:color w:val="auto"/>
                      <w:sz w:val="21"/>
                      <w:szCs w:val="21"/>
                    </w:rPr>
                    <w:t>）</w:t>
                  </w:r>
                </w:p>
              </w:tc>
              <w:tc>
                <w:tcPr>
                  <w:tcW w:w="842" w:type="pct"/>
                  <w:gridSpan w:val="2"/>
                  <w:tcBorders>
                    <w:tl2br w:val="nil"/>
                    <w:tr2bl w:val="nil"/>
                  </w:tcBorders>
                  <w:noWrap w:val="0"/>
                  <w:vAlign w:val="center"/>
                </w:tcPr>
                <w:p w14:paraId="110277AB">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3.0</w:t>
                  </w:r>
                </w:p>
              </w:tc>
              <w:tc>
                <w:tcPr>
                  <w:tcW w:w="844" w:type="pct"/>
                  <w:tcBorders>
                    <w:tl2br w:val="nil"/>
                    <w:tr2bl w:val="nil"/>
                  </w:tcBorders>
                  <w:noWrap w:val="0"/>
                  <w:vAlign w:val="center"/>
                </w:tcPr>
                <w:p w14:paraId="06743775">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861" w:type="pct"/>
                  <w:tcBorders>
                    <w:tl2br w:val="nil"/>
                    <w:tr2bl w:val="nil"/>
                  </w:tcBorders>
                  <w:noWrap w:val="0"/>
                  <w:vAlign w:val="center"/>
                </w:tcPr>
                <w:p w14:paraId="07050C52">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29.28</w:t>
                  </w:r>
                </w:p>
              </w:tc>
              <w:tc>
                <w:tcPr>
                  <w:tcW w:w="862" w:type="pct"/>
                  <w:tcBorders>
                    <w:tl2br w:val="nil"/>
                    <w:tr2bl w:val="nil"/>
                  </w:tcBorders>
                  <w:noWrap w:val="0"/>
                  <w:vAlign w:val="center"/>
                </w:tcPr>
                <w:p w14:paraId="231ADDE2">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r>
            <w:tr w14:paraId="1357CBA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1589" w:type="pct"/>
                  <w:gridSpan w:val="2"/>
                  <w:tcBorders>
                    <w:tl2br w:val="nil"/>
                    <w:tr2bl w:val="nil"/>
                  </w:tcBorders>
                  <w:noWrap w:val="0"/>
                  <w:vAlign w:val="center"/>
                </w:tcPr>
                <w:p w14:paraId="0F45A36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污染物排放速率（kg/h）</w:t>
                  </w:r>
                </w:p>
              </w:tc>
              <w:tc>
                <w:tcPr>
                  <w:tcW w:w="842" w:type="pct"/>
                  <w:gridSpan w:val="2"/>
                  <w:tcBorders>
                    <w:tl2br w:val="nil"/>
                    <w:tr2bl w:val="nil"/>
                  </w:tcBorders>
                  <w:noWrap w:val="0"/>
                  <w:vAlign w:val="center"/>
                </w:tcPr>
                <w:p w14:paraId="7A0C7CF7">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w:t>
                  </w:r>
                  <w:r>
                    <w:rPr>
                      <w:rFonts w:hint="eastAsia" w:cs="Times New Roman"/>
                      <w:color w:val="auto"/>
                      <w:lang w:val="en-US" w:eastAsia="zh-CN"/>
                    </w:rPr>
                    <w:t>3</w:t>
                  </w:r>
                </w:p>
              </w:tc>
              <w:tc>
                <w:tcPr>
                  <w:tcW w:w="844" w:type="pct"/>
                  <w:tcBorders>
                    <w:tl2br w:val="nil"/>
                    <w:tr2bl w:val="nil"/>
                  </w:tcBorders>
                  <w:noWrap w:val="0"/>
                  <w:vAlign w:val="center"/>
                </w:tcPr>
                <w:p w14:paraId="3A33C64C">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0.107</w:t>
                  </w:r>
                </w:p>
              </w:tc>
              <w:tc>
                <w:tcPr>
                  <w:tcW w:w="861" w:type="pct"/>
                  <w:tcBorders>
                    <w:tl2br w:val="nil"/>
                    <w:tr2bl w:val="nil"/>
                  </w:tcBorders>
                  <w:noWrap w:val="0"/>
                  <w:vAlign w:val="center"/>
                </w:tcPr>
                <w:p w14:paraId="76B78756">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0.205</w:t>
                  </w:r>
                </w:p>
              </w:tc>
              <w:tc>
                <w:tcPr>
                  <w:tcW w:w="862" w:type="pct"/>
                  <w:tcBorders>
                    <w:tl2br w:val="nil"/>
                    <w:tr2bl w:val="nil"/>
                  </w:tcBorders>
                  <w:noWrap w:val="0"/>
                  <w:vAlign w:val="center"/>
                </w:tcPr>
                <w:p w14:paraId="62528709">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0.172</w:t>
                  </w:r>
                </w:p>
              </w:tc>
            </w:tr>
            <w:tr w14:paraId="594E28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1589" w:type="pct"/>
                  <w:gridSpan w:val="2"/>
                  <w:tcBorders>
                    <w:tl2br w:val="nil"/>
                    <w:tr2bl w:val="nil"/>
                  </w:tcBorders>
                  <w:noWrap w:val="0"/>
                  <w:vAlign w:val="center"/>
                </w:tcPr>
                <w:p w14:paraId="67AE370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污染物排放量（t/a）</w:t>
                  </w:r>
                </w:p>
              </w:tc>
              <w:tc>
                <w:tcPr>
                  <w:tcW w:w="842" w:type="pct"/>
                  <w:gridSpan w:val="2"/>
                  <w:tcBorders>
                    <w:tl2br w:val="nil"/>
                    <w:tr2bl w:val="nil"/>
                  </w:tcBorders>
                  <w:noWrap w:val="0"/>
                  <w:vAlign w:val="center"/>
                </w:tcPr>
                <w:p w14:paraId="3A99E8DC">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0.09</w:t>
                  </w:r>
                </w:p>
              </w:tc>
              <w:tc>
                <w:tcPr>
                  <w:tcW w:w="844" w:type="pct"/>
                  <w:tcBorders>
                    <w:tl2br w:val="nil"/>
                    <w:tr2bl w:val="nil"/>
                  </w:tcBorders>
                  <w:noWrap w:val="0"/>
                  <w:vAlign w:val="center"/>
                </w:tcPr>
                <w:p w14:paraId="0623D9F6">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0.32</w:t>
                  </w:r>
                </w:p>
              </w:tc>
              <w:tc>
                <w:tcPr>
                  <w:tcW w:w="861" w:type="pct"/>
                  <w:tcBorders>
                    <w:tl2br w:val="nil"/>
                    <w:tr2bl w:val="nil"/>
                  </w:tcBorders>
                  <w:noWrap w:val="0"/>
                  <w:vAlign w:val="center"/>
                </w:tcPr>
                <w:p w14:paraId="3372A665">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0.855</w:t>
                  </w:r>
                </w:p>
              </w:tc>
              <w:tc>
                <w:tcPr>
                  <w:tcW w:w="862" w:type="pct"/>
                  <w:tcBorders>
                    <w:tl2br w:val="nil"/>
                    <w:tr2bl w:val="nil"/>
                  </w:tcBorders>
                  <w:noWrap w:val="0"/>
                  <w:vAlign w:val="center"/>
                </w:tcPr>
                <w:p w14:paraId="45E1D6B0">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0.718</w:t>
                  </w:r>
                </w:p>
              </w:tc>
            </w:tr>
            <w:tr w14:paraId="04D216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49" w:type="pct"/>
                  <w:vMerge w:val="restart"/>
                  <w:tcBorders>
                    <w:tl2br w:val="nil"/>
                    <w:tr2bl w:val="nil"/>
                  </w:tcBorders>
                  <w:noWrap w:val="0"/>
                  <w:vAlign w:val="center"/>
                </w:tcPr>
                <w:p w14:paraId="5EC573F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排放口基本信息</w:t>
                  </w:r>
                </w:p>
              </w:tc>
              <w:tc>
                <w:tcPr>
                  <w:tcW w:w="1140" w:type="pct"/>
                  <w:tcBorders>
                    <w:tl2br w:val="nil"/>
                    <w:tr2bl w:val="nil"/>
                  </w:tcBorders>
                  <w:noWrap w:val="0"/>
                  <w:vAlign w:val="center"/>
                </w:tcPr>
                <w:p w14:paraId="1FEC140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高度（m）</w:t>
                  </w:r>
                </w:p>
              </w:tc>
              <w:tc>
                <w:tcPr>
                  <w:tcW w:w="842" w:type="pct"/>
                  <w:gridSpan w:val="2"/>
                  <w:tcBorders>
                    <w:tl2br w:val="nil"/>
                    <w:tr2bl w:val="nil"/>
                  </w:tcBorders>
                  <w:noWrap w:val="0"/>
                  <w:vAlign w:val="center"/>
                </w:tcPr>
                <w:p w14:paraId="021EF4F5">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15</w:t>
                  </w:r>
                </w:p>
              </w:tc>
              <w:tc>
                <w:tcPr>
                  <w:tcW w:w="844" w:type="pct"/>
                  <w:tcBorders>
                    <w:tl2br w:val="nil"/>
                    <w:tr2bl w:val="nil"/>
                  </w:tcBorders>
                  <w:noWrap w:val="0"/>
                  <w:vAlign w:val="center"/>
                </w:tcPr>
                <w:p w14:paraId="0ACDEE19">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861" w:type="pct"/>
                  <w:tcBorders>
                    <w:tl2br w:val="nil"/>
                    <w:tr2bl w:val="nil"/>
                  </w:tcBorders>
                  <w:noWrap w:val="0"/>
                  <w:vAlign w:val="center"/>
                </w:tcPr>
                <w:p w14:paraId="16E7A353">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15</w:t>
                  </w:r>
                </w:p>
              </w:tc>
              <w:tc>
                <w:tcPr>
                  <w:tcW w:w="862" w:type="pct"/>
                  <w:tcBorders>
                    <w:tl2br w:val="nil"/>
                    <w:tr2bl w:val="nil"/>
                  </w:tcBorders>
                  <w:noWrap w:val="0"/>
                  <w:vAlign w:val="center"/>
                </w:tcPr>
                <w:p w14:paraId="31A5F244">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r>
            <w:tr w14:paraId="0D4D8C0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49" w:type="pct"/>
                  <w:vMerge w:val="continue"/>
                  <w:tcBorders>
                    <w:tl2br w:val="nil"/>
                    <w:tr2bl w:val="nil"/>
                  </w:tcBorders>
                  <w:noWrap w:val="0"/>
                  <w:vAlign w:val="center"/>
                </w:tcPr>
                <w:p w14:paraId="5107257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p>
              </w:tc>
              <w:tc>
                <w:tcPr>
                  <w:tcW w:w="1140" w:type="pct"/>
                  <w:tcBorders>
                    <w:tl2br w:val="nil"/>
                    <w:tr2bl w:val="nil"/>
                  </w:tcBorders>
                  <w:noWrap w:val="0"/>
                  <w:vAlign w:val="center"/>
                </w:tcPr>
                <w:p w14:paraId="6E2CF7D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排气筒内径（m）</w:t>
                  </w:r>
                </w:p>
              </w:tc>
              <w:tc>
                <w:tcPr>
                  <w:tcW w:w="842" w:type="pct"/>
                  <w:gridSpan w:val="2"/>
                  <w:tcBorders>
                    <w:tl2br w:val="nil"/>
                    <w:tr2bl w:val="nil"/>
                  </w:tcBorders>
                  <w:noWrap w:val="0"/>
                  <w:vAlign w:val="center"/>
                </w:tcPr>
                <w:p w14:paraId="77E5F322">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0.4</w:t>
                  </w:r>
                </w:p>
              </w:tc>
              <w:tc>
                <w:tcPr>
                  <w:tcW w:w="844" w:type="pct"/>
                  <w:tcBorders>
                    <w:tl2br w:val="nil"/>
                    <w:tr2bl w:val="nil"/>
                  </w:tcBorders>
                  <w:noWrap w:val="0"/>
                  <w:vAlign w:val="center"/>
                </w:tcPr>
                <w:p w14:paraId="2EBFD99E">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861" w:type="pct"/>
                  <w:tcBorders>
                    <w:tl2br w:val="nil"/>
                    <w:tr2bl w:val="nil"/>
                  </w:tcBorders>
                  <w:noWrap w:val="0"/>
                  <w:vAlign w:val="center"/>
                </w:tcPr>
                <w:p w14:paraId="370471BB">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0.4</w:t>
                  </w:r>
                </w:p>
              </w:tc>
              <w:tc>
                <w:tcPr>
                  <w:tcW w:w="862" w:type="pct"/>
                  <w:tcBorders>
                    <w:tl2br w:val="nil"/>
                    <w:tr2bl w:val="nil"/>
                  </w:tcBorders>
                  <w:noWrap w:val="0"/>
                  <w:vAlign w:val="center"/>
                </w:tcPr>
                <w:p w14:paraId="2A9F313C">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r>
            <w:tr w14:paraId="540935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49" w:type="pct"/>
                  <w:vMerge w:val="continue"/>
                  <w:tcBorders>
                    <w:tl2br w:val="nil"/>
                    <w:tr2bl w:val="nil"/>
                  </w:tcBorders>
                  <w:noWrap w:val="0"/>
                  <w:vAlign w:val="center"/>
                </w:tcPr>
                <w:p w14:paraId="35B92B6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p>
              </w:tc>
              <w:tc>
                <w:tcPr>
                  <w:tcW w:w="1140" w:type="pct"/>
                  <w:tcBorders>
                    <w:tl2br w:val="nil"/>
                    <w:tr2bl w:val="nil"/>
                  </w:tcBorders>
                  <w:noWrap w:val="0"/>
                  <w:vAlign w:val="center"/>
                </w:tcPr>
                <w:p w14:paraId="1B9614B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温度（℃）</w:t>
                  </w:r>
                </w:p>
              </w:tc>
              <w:tc>
                <w:tcPr>
                  <w:tcW w:w="842" w:type="pct"/>
                  <w:gridSpan w:val="2"/>
                  <w:tcBorders>
                    <w:tl2br w:val="nil"/>
                    <w:tr2bl w:val="nil"/>
                  </w:tcBorders>
                  <w:noWrap w:val="0"/>
                  <w:vAlign w:val="center"/>
                </w:tcPr>
                <w:p w14:paraId="70D9E793">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常温</w:t>
                  </w:r>
                </w:p>
              </w:tc>
              <w:tc>
                <w:tcPr>
                  <w:tcW w:w="844" w:type="pct"/>
                  <w:tcBorders>
                    <w:tl2br w:val="nil"/>
                    <w:tr2bl w:val="nil"/>
                  </w:tcBorders>
                  <w:noWrap w:val="0"/>
                  <w:vAlign w:val="center"/>
                </w:tcPr>
                <w:p w14:paraId="2449BA4E">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861" w:type="pct"/>
                  <w:tcBorders>
                    <w:tl2br w:val="nil"/>
                    <w:tr2bl w:val="nil"/>
                  </w:tcBorders>
                  <w:noWrap w:val="0"/>
                  <w:vAlign w:val="center"/>
                </w:tcPr>
                <w:p w14:paraId="00D65BC6">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常温</w:t>
                  </w:r>
                </w:p>
              </w:tc>
              <w:tc>
                <w:tcPr>
                  <w:tcW w:w="862" w:type="pct"/>
                  <w:tcBorders>
                    <w:tl2br w:val="nil"/>
                    <w:tr2bl w:val="nil"/>
                  </w:tcBorders>
                  <w:noWrap w:val="0"/>
                  <w:vAlign w:val="center"/>
                </w:tcPr>
                <w:p w14:paraId="18F78E39">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r>
            <w:tr w14:paraId="4CDA6E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49" w:type="pct"/>
                  <w:vMerge w:val="continue"/>
                  <w:tcBorders>
                    <w:tl2br w:val="nil"/>
                    <w:tr2bl w:val="nil"/>
                  </w:tcBorders>
                  <w:noWrap w:val="0"/>
                  <w:vAlign w:val="center"/>
                </w:tcPr>
                <w:p w14:paraId="22174E8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p>
              </w:tc>
              <w:tc>
                <w:tcPr>
                  <w:tcW w:w="1140" w:type="pct"/>
                  <w:tcBorders>
                    <w:tl2br w:val="nil"/>
                    <w:tr2bl w:val="nil"/>
                  </w:tcBorders>
                  <w:noWrap w:val="0"/>
                  <w:vAlign w:val="center"/>
                </w:tcPr>
                <w:p w14:paraId="127F6C6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编号</w:t>
                  </w:r>
                </w:p>
              </w:tc>
              <w:tc>
                <w:tcPr>
                  <w:tcW w:w="842" w:type="pct"/>
                  <w:gridSpan w:val="2"/>
                  <w:tcBorders>
                    <w:tl2br w:val="nil"/>
                    <w:tr2bl w:val="nil"/>
                  </w:tcBorders>
                  <w:noWrap w:val="0"/>
                  <w:vAlign w:val="center"/>
                </w:tcPr>
                <w:p w14:paraId="0FAFC691">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DA001</w:t>
                  </w:r>
                </w:p>
              </w:tc>
              <w:tc>
                <w:tcPr>
                  <w:tcW w:w="844" w:type="pct"/>
                  <w:tcBorders>
                    <w:tl2br w:val="nil"/>
                    <w:tr2bl w:val="nil"/>
                  </w:tcBorders>
                  <w:noWrap w:val="0"/>
                  <w:vAlign w:val="center"/>
                </w:tcPr>
                <w:p w14:paraId="4D98DF20">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861" w:type="pct"/>
                  <w:tcBorders>
                    <w:tl2br w:val="nil"/>
                    <w:tr2bl w:val="nil"/>
                  </w:tcBorders>
                  <w:noWrap w:val="0"/>
                  <w:vAlign w:val="center"/>
                </w:tcPr>
                <w:p w14:paraId="798C18E8">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DA00</w:t>
                  </w:r>
                  <w:r>
                    <w:rPr>
                      <w:rFonts w:hint="eastAsia" w:cs="Times New Roman"/>
                      <w:color w:val="auto"/>
                      <w:lang w:val="en-US" w:eastAsia="zh-CN"/>
                    </w:rPr>
                    <w:t>2</w:t>
                  </w:r>
                </w:p>
              </w:tc>
              <w:tc>
                <w:tcPr>
                  <w:tcW w:w="862" w:type="pct"/>
                  <w:tcBorders>
                    <w:tl2br w:val="nil"/>
                    <w:tr2bl w:val="nil"/>
                  </w:tcBorders>
                  <w:noWrap w:val="0"/>
                  <w:vAlign w:val="center"/>
                </w:tcPr>
                <w:p w14:paraId="620672B0">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r>
            <w:tr w14:paraId="46AB785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49" w:type="pct"/>
                  <w:vMerge w:val="continue"/>
                  <w:tcBorders>
                    <w:tl2br w:val="nil"/>
                    <w:tr2bl w:val="nil"/>
                  </w:tcBorders>
                  <w:noWrap w:val="0"/>
                  <w:vAlign w:val="center"/>
                </w:tcPr>
                <w:p w14:paraId="08E87AB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p>
              </w:tc>
              <w:tc>
                <w:tcPr>
                  <w:tcW w:w="1140" w:type="pct"/>
                  <w:tcBorders>
                    <w:tl2br w:val="nil"/>
                    <w:tr2bl w:val="nil"/>
                  </w:tcBorders>
                  <w:noWrap w:val="0"/>
                  <w:vAlign w:val="center"/>
                </w:tcPr>
                <w:p w14:paraId="43A25E0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highlight w:val="none"/>
                    </w:rPr>
                    <w:t>类型</w:t>
                  </w:r>
                </w:p>
              </w:tc>
              <w:tc>
                <w:tcPr>
                  <w:tcW w:w="842" w:type="pct"/>
                  <w:gridSpan w:val="2"/>
                  <w:tcBorders>
                    <w:tl2br w:val="nil"/>
                    <w:tr2bl w:val="nil"/>
                  </w:tcBorders>
                  <w:noWrap w:val="0"/>
                  <w:vAlign w:val="center"/>
                </w:tcPr>
                <w:p w14:paraId="05034863">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一般排放口</w:t>
                  </w:r>
                </w:p>
              </w:tc>
              <w:tc>
                <w:tcPr>
                  <w:tcW w:w="844" w:type="pct"/>
                  <w:tcBorders>
                    <w:tl2br w:val="nil"/>
                    <w:tr2bl w:val="nil"/>
                  </w:tcBorders>
                  <w:noWrap w:val="0"/>
                  <w:vAlign w:val="center"/>
                </w:tcPr>
                <w:p w14:paraId="774C5995">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861" w:type="pct"/>
                  <w:tcBorders>
                    <w:tl2br w:val="nil"/>
                    <w:tr2bl w:val="nil"/>
                  </w:tcBorders>
                  <w:noWrap w:val="0"/>
                  <w:vAlign w:val="center"/>
                </w:tcPr>
                <w:p w14:paraId="08D17E25">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一般排放口</w:t>
                  </w:r>
                </w:p>
              </w:tc>
              <w:tc>
                <w:tcPr>
                  <w:tcW w:w="862" w:type="pct"/>
                  <w:tcBorders>
                    <w:tl2br w:val="nil"/>
                    <w:tr2bl w:val="nil"/>
                  </w:tcBorders>
                  <w:noWrap w:val="0"/>
                  <w:vAlign w:val="center"/>
                </w:tcPr>
                <w:p w14:paraId="04B970CF">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r>
            <w:tr w14:paraId="4FDC5B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49" w:type="pct"/>
                  <w:vMerge w:val="restart"/>
                  <w:tcBorders>
                    <w:tl2br w:val="nil"/>
                    <w:tr2bl w:val="nil"/>
                  </w:tcBorders>
                  <w:noWrap w:val="0"/>
                  <w:vAlign w:val="center"/>
                </w:tcPr>
                <w:p w14:paraId="6EACFCD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排放标准</w:t>
                  </w:r>
                </w:p>
              </w:tc>
              <w:tc>
                <w:tcPr>
                  <w:tcW w:w="1140" w:type="pct"/>
                  <w:tcBorders>
                    <w:tl2br w:val="nil"/>
                    <w:tr2bl w:val="nil"/>
                  </w:tcBorders>
                  <w:noWrap w:val="0"/>
                  <w:vAlign w:val="center"/>
                </w:tcPr>
                <w:p w14:paraId="18B9151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highlight w:val="none"/>
                    </w:rPr>
                    <w:t>标准名称</w:t>
                  </w:r>
                </w:p>
              </w:tc>
              <w:tc>
                <w:tcPr>
                  <w:tcW w:w="3410" w:type="pct"/>
                  <w:gridSpan w:val="5"/>
                  <w:tcBorders>
                    <w:tl2br w:val="nil"/>
                    <w:tr2bl w:val="nil"/>
                  </w:tcBorders>
                  <w:noWrap w:val="0"/>
                  <w:vAlign w:val="center"/>
                </w:tcPr>
                <w:p w14:paraId="5DFEF81D">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《合成树脂工业污染物排放标准》（GB31572-2015）及其修改单</w:t>
                  </w:r>
                </w:p>
              </w:tc>
            </w:tr>
            <w:tr w14:paraId="330B5B1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49" w:type="pct"/>
                  <w:vMerge w:val="continue"/>
                  <w:tcBorders>
                    <w:tl2br w:val="nil"/>
                    <w:tr2bl w:val="nil"/>
                  </w:tcBorders>
                  <w:noWrap w:val="0"/>
                  <w:vAlign w:val="center"/>
                </w:tcPr>
                <w:p w14:paraId="27086F1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tc>
              <w:tc>
                <w:tcPr>
                  <w:tcW w:w="1140" w:type="pct"/>
                  <w:tcBorders>
                    <w:tl2br w:val="nil"/>
                    <w:tr2bl w:val="nil"/>
                  </w:tcBorders>
                  <w:noWrap w:val="0"/>
                  <w:vAlign w:val="center"/>
                </w:tcPr>
                <w:p w14:paraId="6D63782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highlight w:val="none"/>
                    </w:rPr>
                    <w:t>浓度限值（mg/m³）</w:t>
                  </w:r>
                </w:p>
              </w:tc>
              <w:tc>
                <w:tcPr>
                  <w:tcW w:w="841" w:type="pct"/>
                  <w:tcBorders>
                    <w:tl2br w:val="nil"/>
                    <w:tr2bl w:val="nil"/>
                  </w:tcBorders>
                  <w:noWrap w:val="0"/>
                  <w:vAlign w:val="center"/>
                </w:tcPr>
                <w:p w14:paraId="66759BD4">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20</w:t>
                  </w:r>
                </w:p>
              </w:tc>
              <w:tc>
                <w:tcPr>
                  <w:tcW w:w="844" w:type="pct"/>
                  <w:gridSpan w:val="2"/>
                  <w:tcBorders>
                    <w:tl2br w:val="nil"/>
                    <w:tr2bl w:val="nil"/>
                  </w:tcBorders>
                  <w:noWrap w:val="0"/>
                  <w:vAlign w:val="center"/>
                </w:tcPr>
                <w:p w14:paraId="49798E5C">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w:t>
                  </w:r>
                </w:p>
              </w:tc>
              <w:tc>
                <w:tcPr>
                  <w:tcW w:w="861" w:type="pct"/>
                  <w:tcBorders>
                    <w:tl2br w:val="nil"/>
                    <w:tr2bl w:val="nil"/>
                  </w:tcBorders>
                  <w:noWrap w:val="0"/>
                  <w:vAlign w:val="center"/>
                </w:tcPr>
                <w:p w14:paraId="1CA8AE76">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60</w:t>
                  </w:r>
                </w:p>
              </w:tc>
              <w:tc>
                <w:tcPr>
                  <w:tcW w:w="862" w:type="pct"/>
                  <w:tcBorders>
                    <w:tl2br w:val="nil"/>
                    <w:tr2bl w:val="nil"/>
                  </w:tcBorders>
                  <w:noWrap w:val="0"/>
                  <w:vAlign w:val="center"/>
                </w:tcPr>
                <w:p w14:paraId="4EC081A7">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厂界</w:t>
                  </w:r>
                  <w:r>
                    <w:rPr>
                      <w:rFonts w:hint="eastAsia" w:ascii="Times New Roman" w:hAnsi="Times New Roman" w:eastAsia="宋体" w:cs="Times New Roman"/>
                      <w:color w:val="auto"/>
                      <w:lang w:val="en-US" w:eastAsia="zh-CN"/>
                    </w:rPr>
                    <w:t>4.0</w:t>
                  </w:r>
                  <w:r>
                    <w:rPr>
                      <w:rFonts w:hint="eastAsia" w:cs="Times New Roman"/>
                      <w:color w:val="auto"/>
                      <w:lang w:val="en-US" w:eastAsia="zh-CN"/>
                    </w:rPr>
                    <w:t>；厂区内6</w:t>
                  </w:r>
                </w:p>
              </w:tc>
            </w:tr>
            <w:tr w14:paraId="09A66B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449" w:type="pct"/>
                  <w:vMerge w:val="continue"/>
                  <w:tcBorders>
                    <w:tl2br w:val="nil"/>
                    <w:tr2bl w:val="nil"/>
                  </w:tcBorders>
                  <w:noWrap w:val="0"/>
                  <w:vAlign w:val="center"/>
                </w:tcPr>
                <w:p w14:paraId="0778863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p>
              </w:tc>
              <w:tc>
                <w:tcPr>
                  <w:tcW w:w="1140" w:type="pct"/>
                  <w:tcBorders>
                    <w:tl2br w:val="nil"/>
                    <w:tr2bl w:val="nil"/>
                  </w:tcBorders>
                  <w:noWrap w:val="0"/>
                  <w:vAlign w:val="center"/>
                </w:tcPr>
                <w:p w14:paraId="7133AD8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eastAsia"/>
                      <w:b/>
                      <w:bCs/>
                      <w:color w:val="auto"/>
                    </w:rPr>
                    <w:t>是否达标</w:t>
                  </w:r>
                </w:p>
              </w:tc>
              <w:tc>
                <w:tcPr>
                  <w:tcW w:w="841" w:type="pct"/>
                  <w:tcBorders>
                    <w:tl2br w:val="nil"/>
                    <w:tr2bl w:val="nil"/>
                  </w:tcBorders>
                  <w:noWrap w:val="0"/>
                  <w:vAlign w:val="center"/>
                </w:tcPr>
                <w:p w14:paraId="598C3788">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是</w:t>
                  </w:r>
                </w:p>
              </w:tc>
              <w:tc>
                <w:tcPr>
                  <w:tcW w:w="844" w:type="pct"/>
                  <w:gridSpan w:val="2"/>
                  <w:tcBorders>
                    <w:tl2br w:val="nil"/>
                    <w:tr2bl w:val="nil"/>
                  </w:tcBorders>
                  <w:noWrap w:val="0"/>
                  <w:vAlign w:val="center"/>
                </w:tcPr>
                <w:p w14:paraId="667E53E7">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861" w:type="pct"/>
                  <w:tcBorders>
                    <w:tl2br w:val="nil"/>
                    <w:tr2bl w:val="nil"/>
                  </w:tcBorders>
                  <w:noWrap w:val="0"/>
                  <w:vAlign w:val="center"/>
                </w:tcPr>
                <w:p w14:paraId="573A66D3">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是</w:t>
                  </w:r>
                </w:p>
              </w:tc>
              <w:tc>
                <w:tcPr>
                  <w:tcW w:w="862" w:type="pct"/>
                  <w:tcBorders>
                    <w:tl2br w:val="nil"/>
                    <w:tr2bl w:val="nil"/>
                  </w:tcBorders>
                  <w:noWrap w:val="0"/>
                  <w:vAlign w:val="center"/>
                </w:tcPr>
                <w:p w14:paraId="7722D8FF">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r>
          </w:tbl>
          <w:p w14:paraId="4A0A567C">
            <w:pPr>
              <w:keepNext/>
              <w:keepLines/>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b/>
                <w:bCs/>
                <w:color w:val="auto"/>
                <w:sz w:val="24"/>
                <w:lang w:eastAsia="zh-CN"/>
              </w:rPr>
              <w:t>（</w:t>
            </w:r>
            <w:r>
              <w:rPr>
                <w:rFonts w:hint="default" w:ascii="Times New Roman" w:hAnsi="Times New Roman" w:eastAsia="宋体" w:cs="Times New Roman"/>
                <w:b/>
                <w:bCs/>
                <w:color w:val="auto"/>
                <w:sz w:val="24"/>
                <w:lang w:val="en-US" w:eastAsia="zh-CN"/>
              </w:rPr>
              <w:t>2</w:t>
            </w:r>
            <w:r>
              <w:rPr>
                <w:rFonts w:hint="default" w:ascii="Times New Roman" w:hAnsi="Times New Roman" w:eastAsia="宋体" w:cs="Times New Roman"/>
                <w:b/>
                <w:bCs/>
                <w:color w:val="auto"/>
                <w:sz w:val="24"/>
                <w:lang w:eastAsia="zh-CN"/>
              </w:rPr>
              <w:t>）污染源源强核算过程</w:t>
            </w:r>
          </w:p>
          <w:p w14:paraId="25C642EE">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eastAsia="zh-CN"/>
              </w:rPr>
              <w:t>①</w:t>
            </w:r>
            <w:r>
              <w:rPr>
                <w:rFonts w:hint="default" w:ascii="Times New Roman" w:hAnsi="Times New Roman" w:eastAsia="宋体" w:cs="Times New Roman"/>
                <w:b/>
                <w:bCs/>
                <w:color w:val="auto"/>
                <w:sz w:val="24"/>
                <w:lang w:val="en-US" w:eastAsia="zh-CN"/>
              </w:rPr>
              <w:t>粉碎粉尘</w:t>
            </w:r>
          </w:p>
          <w:p w14:paraId="02BDBC73">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本项目原料粉碎工序中将会产生粉尘废气。本项目粉碎废气源强计算采用产污系数法。根据生态环境部发布的《排放源统计调查产排污核算方法和系数手册》中的《42 废弃资源综合利用行业系数手册》中 4220 非金属废料和碎屑加工处理行业系数表，确定污染物源强。</w:t>
            </w:r>
          </w:p>
          <w:p w14:paraId="0EB84E35">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 4-2    粉碎废气产污系数表</w:t>
            </w:r>
          </w:p>
          <w:p w14:paraId="3433C148">
            <w:pPr>
              <w:keepNext w:val="0"/>
              <w:keepLines w:val="0"/>
              <w:suppressLineNumbers w:val="0"/>
              <w:spacing w:before="0" w:beforeAutospacing="0" w:after="0" w:afterAutospacing="0" w:line="87" w:lineRule="auto"/>
              <w:ind w:left="0" w:right="0"/>
              <w:rPr>
                <w:rFonts w:hint="default" w:ascii="Arial"/>
                <w:color w:val="auto"/>
                <w:sz w:val="2"/>
              </w:rPr>
            </w:pPr>
          </w:p>
          <w:tbl>
            <w:tblPr>
              <w:tblStyle w:val="185"/>
              <w:tblW w:w="8375" w:type="dxa"/>
              <w:tblInd w:w="1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4"/>
              <w:gridCol w:w="1569"/>
              <w:gridCol w:w="1269"/>
              <w:gridCol w:w="1100"/>
              <w:gridCol w:w="1100"/>
              <w:gridCol w:w="1277"/>
              <w:gridCol w:w="996"/>
            </w:tblGrid>
            <w:tr w14:paraId="1EFDAC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064" w:type="dxa"/>
                  <w:tcBorders>
                    <w:top w:val="single" w:color="000000" w:sz="10" w:space="0"/>
                    <w:left w:val="single" w:color="000000" w:sz="10" w:space="0"/>
                  </w:tcBorders>
                  <w:noWrap w:val="0"/>
                  <w:vAlign w:val="center"/>
                </w:tcPr>
                <w:p w14:paraId="11CEA4A7">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原料名称</w:t>
                  </w:r>
                </w:p>
              </w:tc>
              <w:tc>
                <w:tcPr>
                  <w:tcW w:w="1569" w:type="dxa"/>
                  <w:tcBorders>
                    <w:top w:val="single" w:color="000000" w:sz="10" w:space="0"/>
                  </w:tcBorders>
                  <w:noWrap w:val="0"/>
                  <w:vAlign w:val="center"/>
                </w:tcPr>
                <w:p w14:paraId="43F05944">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产品名称</w:t>
                  </w:r>
                </w:p>
              </w:tc>
              <w:tc>
                <w:tcPr>
                  <w:tcW w:w="1269" w:type="dxa"/>
                  <w:tcBorders>
                    <w:top w:val="single" w:color="000000" w:sz="10" w:space="0"/>
                  </w:tcBorders>
                  <w:noWrap w:val="0"/>
                  <w:vAlign w:val="center"/>
                </w:tcPr>
                <w:p w14:paraId="5561F275">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工艺名称</w:t>
                  </w:r>
                </w:p>
              </w:tc>
              <w:tc>
                <w:tcPr>
                  <w:tcW w:w="1100" w:type="dxa"/>
                  <w:tcBorders>
                    <w:top w:val="single" w:color="000000" w:sz="10" w:space="0"/>
                  </w:tcBorders>
                  <w:noWrap w:val="0"/>
                  <w:vAlign w:val="center"/>
                </w:tcPr>
                <w:p w14:paraId="0B30F202">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规模等级</w:t>
                  </w:r>
                </w:p>
              </w:tc>
              <w:tc>
                <w:tcPr>
                  <w:tcW w:w="1100" w:type="dxa"/>
                  <w:tcBorders>
                    <w:top w:val="single" w:color="000000" w:sz="10" w:space="0"/>
                  </w:tcBorders>
                  <w:noWrap w:val="0"/>
                  <w:vAlign w:val="center"/>
                </w:tcPr>
                <w:p w14:paraId="7ED20BB0">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污染物指标</w:t>
                  </w:r>
                </w:p>
              </w:tc>
              <w:tc>
                <w:tcPr>
                  <w:tcW w:w="1277" w:type="dxa"/>
                  <w:tcBorders>
                    <w:top w:val="single" w:color="000000" w:sz="10" w:space="0"/>
                  </w:tcBorders>
                  <w:noWrap w:val="0"/>
                  <w:vAlign w:val="center"/>
                </w:tcPr>
                <w:p w14:paraId="62FA216B">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单位</w:t>
                  </w:r>
                </w:p>
              </w:tc>
              <w:tc>
                <w:tcPr>
                  <w:tcW w:w="996" w:type="dxa"/>
                  <w:tcBorders>
                    <w:top w:val="single" w:color="000000" w:sz="10" w:space="0"/>
                    <w:right w:val="single" w:color="000000" w:sz="10" w:space="0"/>
                  </w:tcBorders>
                  <w:noWrap w:val="0"/>
                  <w:vAlign w:val="center"/>
                </w:tcPr>
                <w:p w14:paraId="3185586C">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产物系数</w:t>
                  </w:r>
                </w:p>
              </w:tc>
            </w:tr>
            <w:tr w14:paraId="03F33C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064" w:type="dxa"/>
                  <w:tcBorders>
                    <w:left w:val="single" w:color="000000" w:sz="10" w:space="0"/>
                    <w:bottom w:val="single" w:color="000000" w:sz="10" w:space="0"/>
                  </w:tcBorders>
                  <w:noWrap w:val="0"/>
                  <w:vAlign w:val="center"/>
                </w:tcPr>
                <w:p w14:paraId="6DFA0BC1">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废 PS</w:t>
                  </w:r>
                </w:p>
              </w:tc>
              <w:tc>
                <w:tcPr>
                  <w:tcW w:w="1569" w:type="dxa"/>
                  <w:tcBorders>
                    <w:bottom w:val="single" w:color="000000" w:sz="10" w:space="0"/>
                  </w:tcBorders>
                  <w:noWrap w:val="0"/>
                  <w:vAlign w:val="center"/>
                </w:tcPr>
                <w:p w14:paraId="3E6F6732">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再生塑料粒子</w:t>
                  </w:r>
                </w:p>
              </w:tc>
              <w:tc>
                <w:tcPr>
                  <w:tcW w:w="1269" w:type="dxa"/>
                  <w:tcBorders>
                    <w:bottom w:val="single" w:color="000000" w:sz="10" w:space="0"/>
                  </w:tcBorders>
                  <w:noWrap w:val="0"/>
                  <w:vAlign w:val="center"/>
                </w:tcPr>
                <w:p w14:paraId="3A0270C7">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干法破碎</w:t>
                  </w:r>
                </w:p>
              </w:tc>
              <w:tc>
                <w:tcPr>
                  <w:tcW w:w="1100" w:type="dxa"/>
                  <w:tcBorders>
                    <w:bottom w:val="single" w:color="000000" w:sz="10" w:space="0"/>
                  </w:tcBorders>
                  <w:noWrap w:val="0"/>
                  <w:vAlign w:val="center"/>
                </w:tcPr>
                <w:p w14:paraId="77E65167">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所有规模</w:t>
                  </w:r>
                </w:p>
              </w:tc>
              <w:tc>
                <w:tcPr>
                  <w:tcW w:w="1100" w:type="dxa"/>
                  <w:tcBorders>
                    <w:bottom w:val="single" w:color="000000" w:sz="10" w:space="0"/>
                  </w:tcBorders>
                  <w:noWrap w:val="0"/>
                  <w:vAlign w:val="center"/>
                </w:tcPr>
                <w:p w14:paraId="30AE5FAC">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颗粒物</w:t>
                  </w:r>
                </w:p>
              </w:tc>
              <w:tc>
                <w:tcPr>
                  <w:tcW w:w="1277" w:type="dxa"/>
                  <w:tcBorders>
                    <w:bottom w:val="single" w:color="000000" w:sz="10" w:space="0"/>
                  </w:tcBorders>
                  <w:noWrap w:val="0"/>
                  <w:vAlign w:val="center"/>
                </w:tcPr>
                <w:p w14:paraId="779FFB7E">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克/吨－原料</w:t>
                  </w:r>
                </w:p>
              </w:tc>
              <w:tc>
                <w:tcPr>
                  <w:tcW w:w="996" w:type="dxa"/>
                  <w:tcBorders>
                    <w:bottom w:val="single" w:color="000000" w:sz="10" w:space="0"/>
                    <w:right w:val="single" w:color="000000" w:sz="10" w:space="0"/>
                  </w:tcBorders>
                  <w:noWrap w:val="0"/>
                  <w:vAlign w:val="center"/>
                </w:tcPr>
                <w:p w14:paraId="500AF3EF">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425</w:t>
                  </w:r>
                </w:p>
              </w:tc>
            </w:tr>
          </w:tbl>
          <w:p w14:paraId="2E7B8EEF">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项目年破碎废塑料泡沫5005.2t/a ，项目设置一台粉碎机，根据其生产能力，项目粉碎工序年有效工作时间共计约</w:t>
            </w:r>
            <w:r>
              <w:rPr>
                <w:rFonts w:hint="eastAsia" w:cs="Times New Roman"/>
                <w:color w:val="auto"/>
                <w:sz w:val="24"/>
                <w:lang w:val="en-US" w:eastAsia="zh-CN"/>
              </w:rPr>
              <w:t>3000</w:t>
            </w:r>
            <w:r>
              <w:rPr>
                <w:rFonts w:hint="default" w:ascii="Times New Roman" w:hAnsi="Times New Roman" w:eastAsia="宋体" w:cs="Times New Roman"/>
                <w:color w:val="auto"/>
                <w:sz w:val="24"/>
                <w:lang w:val="en-US" w:eastAsia="zh-CN"/>
              </w:rPr>
              <w:t>h/a，故粉碎工序颗粒物废气产生量为2. 127t/a ，</w:t>
            </w:r>
            <w:r>
              <w:rPr>
                <w:rFonts w:hint="eastAsia" w:cs="Times New Roman"/>
                <w:color w:val="auto"/>
                <w:sz w:val="24"/>
                <w:lang w:val="en-US" w:eastAsia="zh-CN"/>
              </w:rPr>
              <w:t>0.709</w:t>
            </w:r>
            <w:r>
              <w:rPr>
                <w:rFonts w:hint="default" w:ascii="Times New Roman" w:hAnsi="Times New Roman" w:eastAsia="宋体" w:cs="Times New Roman"/>
                <w:color w:val="auto"/>
                <w:sz w:val="24"/>
                <w:lang w:val="en-US" w:eastAsia="zh-CN"/>
              </w:rPr>
              <w:t>kg/h。</w:t>
            </w:r>
          </w:p>
          <w:p w14:paraId="0693CE0E">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lang w:val="en-US" w:eastAsia="zh-CN"/>
              </w:rPr>
            </w:pPr>
            <w:r>
              <w:rPr>
                <w:rFonts w:hint="default" w:ascii="Times New Roman" w:hAnsi="Times New Roman" w:eastAsia="宋体" w:cs="Times New Roman"/>
                <w:color w:val="auto"/>
                <w:sz w:val="24"/>
                <w:lang w:val="en-US" w:eastAsia="zh-CN"/>
              </w:rPr>
              <w:t>项目在粉碎机上方设置集气罩，产生的颗粒物经集气罩收集后由引风机引入布袋除尘器处理后经15m高排气筒（DA001）排放，根据建设单位提供资料，袋式除尘器设计处理能力为10000m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lang w:val="en-US" w:eastAsia="zh-CN"/>
              </w:rPr>
              <w:t>/h ，集气罩废气收集效率为85% ，根据《排放源统计调查产排污核算方法和系数手册》中的《42 废弃资源综合利用行业系数手册》中袋式除尘末端治理技术效率为95%。则本项目粉碎工序污染物产排情况见下表。</w:t>
            </w:r>
          </w:p>
          <w:p w14:paraId="03A75863">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 4-3    粉碎工序污染物产排情况一览表</w:t>
            </w:r>
          </w:p>
          <w:p w14:paraId="74B1D0E3">
            <w:pPr>
              <w:keepNext w:val="0"/>
              <w:keepLines w:val="0"/>
              <w:suppressLineNumbers w:val="0"/>
              <w:spacing w:before="0" w:beforeAutospacing="0" w:after="0" w:afterAutospacing="0" w:line="81" w:lineRule="auto"/>
              <w:ind w:left="0" w:right="0"/>
              <w:rPr>
                <w:rFonts w:hint="default" w:ascii="Arial"/>
                <w:color w:val="auto"/>
                <w:sz w:val="2"/>
              </w:rPr>
            </w:pPr>
          </w:p>
          <w:tbl>
            <w:tblPr>
              <w:tblStyle w:val="185"/>
              <w:tblW w:w="8445" w:type="dxa"/>
              <w:tblInd w:w="6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5"/>
              <w:gridCol w:w="605"/>
              <w:gridCol w:w="808"/>
              <w:gridCol w:w="1139"/>
              <w:gridCol w:w="1462"/>
              <w:gridCol w:w="899"/>
              <w:gridCol w:w="871"/>
              <w:gridCol w:w="1143"/>
              <w:gridCol w:w="963"/>
            </w:tblGrid>
            <w:tr w14:paraId="1BE267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555" w:type="dxa"/>
                  <w:tcBorders>
                    <w:top w:val="single" w:color="000000" w:sz="10" w:space="0"/>
                    <w:left w:val="single" w:color="000000" w:sz="10" w:space="0"/>
                  </w:tcBorders>
                  <w:noWrap w:val="0"/>
                  <w:vAlign w:val="center"/>
                </w:tcPr>
                <w:p w14:paraId="33078488">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污 染 源</w:t>
                  </w:r>
                </w:p>
              </w:tc>
              <w:tc>
                <w:tcPr>
                  <w:tcW w:w="605" w:type="dxa"/>
                  <w:tcBorders>
                    <w:top w:val="single" w:color="000000" w:sz="10" w:space="0"/>
                  </w:tcBorders>
                  <w:noWrap w:val="0"/>
                  <w:vAlign w:val="center"/>
                </w:tcPr>
                <w:p w14:paraId="20586A09">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污 染 物</w:t>
                  </w:r>
                </w:p>
              </w:tc>
              <w:tc>
                <w:tcPr>
                  <w:tcW w:w="808" w:type="dxa"/>
                  <w:tcBorders>
                    <w:top w:val="single" w:color="000000" w:sz="10" w:space="0"/>
                  </w:tcBorders>
                  <w:noWrap w:val="0"/>
                  <w:vAlign w:val="center"/>
                </w:tcPr>
                <w:p w14:paraId="76C7E5AD">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产生量 （t/a）</w:t>
                  </w:r>
                </w:p>
              </w:tc>
              <w:tc>
                <w:tcPr>
                  <w:tcW w:w="1139" w:type="dxa"/>
                  <w:tcBorders>
                    <w:top w:val="single" w:color="000000" w:sz="10" w:space="0"/>
                  </w:tcBorders>
                  <w:noWrap w:val="0"/>
                  <w:vAlign w:val="center"/>
                </w:tcPr>
                <w:p w14:paraId="42E31985">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产生浓度（mg/m</w:t>
                  </w:r>
                  <w:r>
                    <w:rPr>
                      <w:rFonts w:hint="default" w:ascii="Times New Roman" w:hAnsi="Times New Roman" w:eastAsia="宋体" w:cs="Times New Roman"/>
                      <w:b/>
                      <w:bCs/>
                      <w:color w:val="auto"/>
                      <w:vertAlign w:val="superscript"/>
                      <w:lang w:val="en-US" w:eastAsia="zh-CN"/>
                    </w:rPr>
                    <w:t>3</w:t>
                  </w:r>
                  <w:r>
                    <w:rPr>
                      <w:rFonts w:hint="default" w:ascii="Times New Roman" w:hAnsi="Times New Roman" w:eastAsia="宋体" w:cs="Times New Roman"/>
                      <w:b/>
                      <w:bCs/>
                      <w:color w:val="auto"/>
                      <w:lang w:val="en-US" w:eastAsia="zh-CN"/>
                    </w:rPr>
                    <w:t>）</w:t>
                  </w:r>
                </w:p>
              </w:tc>
              <w:tc>
                <w:tcPr>
                  <w:tcW w:w="1462" w:type="dxa"/>
                  <w:tcBorders>
                    <w:top w:val="single" w:color="000000" w:sz="10" w:space="0"/>
                  </w:tcBorders>
                  <w:noWrap w:val="0"/>
                  <w:vAlign w:val="center"/>
                </w:tcPr>
                <w:p w14:paraId="0474536A">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lang w:val="en-US" w:eastAsia="zh-CN"/>
                    </w:rPr>
                  </w:pPr>
                </w:p>
                <w:p w14:paraId="24424B78">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处理措施</w:t>
                  </w:r>
                </w:p>
              </w:tc>
              <w:tc>
                <w:tcPr>
                  <w:tcW w:w="899" w:type="dxa"/>
                  <w:tcBorders>
                    <w:top w:val="single" w:color="000000" w:sz="10" w:space="0"/>
                  </w:tcBorders>
                  <w:noWrap w:val="0"/>
                  <w:vAlign w:val="center"/>
                </w:tcPr>
                <w:p w14:paraId="251E8B0A">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排放形式</w:t>
                  </w:r>
                </w:p>
              </w:tc>
              <w:tc>
                <w:tcPr>
                  <w:tcW w:w="871" w:type="dxa"/>
                  <w:tcBorders>
                    <w:top w:val="single" w:color="000000" w:sz="10" w:space="0"/>
                  </w:tcBorders>
                  <w:noWrap w:val="0"/>
                  <w:vAlign w:val="center"/>
                </w:tcPr>
                <w:p w14:paraId="23F0D6A4">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排放量（t/a）</w:t>
                  </w:r>
                </w:p>
              </w:tc>
              <w:tc>
                <w:tcPr>
                  <w:tcW w:w="1143" w:type="dxa"/>
                  <w:tcBorders>
                    <w:top w:val="single" w:color="000000" w:sz="10" w:space="0"/>
                  </w:tcBorders>
                  <w:noWrap w:val="0"/>
                  <w:vAlign w:val="center"/>
                </w:tcPr>
                <w:p w14:paraId="3BB47174">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排放浓度（mg/m</w:t>
                  </w:r>
                  <w:r>
                    <w:rPr>
                      <w:rFonts w:hint="default" w:ascii="Times New Roman" w:hAnsi="Times New Roman" w:eastAsia="宋体" w:cs="Times New Roman"/>
                      <w:b/>
                      <w:bCs/>
                      <w:color w:val="auto"/>
                      <w:vertAlign w:val="superscript"/>
                      <w:lang w:val="en-US" w:eastAsia="zh-CN"/>
                    </w:rPr>
                    <w:t>3</w:t>
                  </w:r>
                  <w:r>
                    <w:rPr>
                      <w:rFonts w:hint="default" w:ascii="Times New Roman" w:hAnsi="Times New Roman" w:eastAsia="宋体" w:cs="Times New Roman"/>
                      <w:b/>
                      <w:bCs/>
                      <w:color w:val="auto"/>
                      <w:lang w:val="en-US" w:eastAsia="zh-CN"/>
                    </w:rPr>
                    <w:t>）</w:t>
                  </w:r>
                </w:p>
              </w:tc>
              <w:tc>
                <w:tcPr>
                  <w:tcW w:w="963" w:type="dxa"/>
                  <w:tcBorders>
                    <w:top w:val="single" w:color="000000" w:sz="10" w:space="0"/>
                    <w:right w:val="single" w:color="000000" w:sz="10" w:space="0"/>
                  </w:tcBorders>
                  <w:noWrap w:val="0"/>
                  <w:vAlign w:val="center"/>
                </w:tcPr>
                <w:p w14:paraId="3125C9CD">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排放速</w:t>
                  </w:r>
                </w:p>
                <w:p w14:paraId="1037CA32">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率</w:t>
                  </w:r>
                </w:p>
                <w:p w14:paraId="464A655F">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lang w:val="en-US" w:eastAsia="zh-CN"/>
                    </w:rPr>
                  </w:pPr>
                  <w:r>
                    <w:rPr>
                      <w:rFonts w:hint="eastAsia" w:cs="Times New Roman"/>
                      <w:b/>
                      <w:bCs/>
                      <w:color w:val="auto"/>
                      <w:lang w:val="en-US" w:eastAsia="zh-CN"/>
                    </w:rPr>
                    <w:t>(</w:t>
                  </w:r>
                  <w:r>
                    <w:rPr>
                      <w:rFonts w:hint="default" w:ascii="Times New Roman" w:hAnsi="Times New Roman" w:eastAsia="宋体" w:cs="Times New Roman"/>
                      <w:b/>
                      <w:bCs/>
                      <w:color w:val="auto"/>
                      <w:lang w:val="en-US" w:eastAsia="zh-CN"/>
                    </w:rPr>
                    <w:t>kg/h</w:t>
                  </w:r>
                  <w:r>
                    <w:rPr>
                      <w:rFonts w:hint="eastAsia" w:cs="Times New Roman"/>
                      <w:b/>
                      <w:bCs/>
                      <w:color w:val="auto"/>
                      <w:lang w:val="en-US" w:eastAsia="zh-CN"/>
                    </w:rPr>
                    <w:t>)</w:t>
                  </w:r>
                </w:p>
              </w:tc>
            </w:tr>
            <w:tr w14:paraId="7391DA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555" w:type="dxa"/>
                  <w:vMerge w:val="restart"/>
                  <w:tcBorders>
                    <w:left w:val="single" w:color="000000" w:sz="10" w:space="0"/>
                    <w:bottom w:val="nil"/>
                  </w:tcBorders>
                  <w:noWrap w:val="0"/>
                  <w:vAlign w:val="center"/>
                </w:tcPr>
                <w:p w14:paraId="07C766F8">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粉 碎</w:t>
                  </w:r>
                </w:p>
              </w:tc>
              <w:tc>
                <w:tcPr>
                  <w:tcW w:w="605" w:type="dxa"/>
                  <w:vMerge w:val="restart"/>
                  <w:tcBorders>
                    <w:bottom w:val="nil"/>
                  </w:tcBorders>
                  <w:noWrap w:val="0"/>
                  <w:vAlign w:val="center"/>
                </w:tcPr>
                <w:p w14:paraId="3F68D370">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颗 粒 物</w:t>
                  </w:r>
                </w:p>
              </w:tc>
              <w:tc>
                <w:tcPr>
                  <w:tcW w:w="808" w:type="dxa"/>
                  <w:vMerge w:val="restart"/>
                  <w:tcBorders>
                    <w:bottom w:val="nil"/>
                  </w:tcBorders>
                  <w:noWrap w:val="0"/>
                  <w:vAlign w:val="center"/>
                </w:tcPr>
                <w:p w14:paraId="36825870">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p>
                <w:p w14:paraId="169F7A57">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2.127</w:t>
                  </w:r>
                </w:p>
              </w:tc>
              <w:tc>
                <w:tcPr>
                  <w:tcW w:w="1139" w:type="dxa"/>
                  <w:noWrap w:val="0"/>
                  <w:vAlign w:val="center"/>
                </w:tcPr>
                <w:p w14:paraId="130B26C9">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60.27</w:t>
                  </w:r>
                </w:p>
              </w:tc>
              <w:tc>
                <w:tcPr>
                  <w:tcW w:w="1462" w:type="dxa"/>
                  <w:vMerge w:val="restart"/>
                  <w:tcBorders>
                    <w:bottom w:val="nil"/>
                  </w:tcBorders>
                  <w:noWrap w:val="0"/>
                  <w:vAlign w:val="center"/>
                </w:tcPr>
                <w:p w14:paraId="07D7D989">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集气罩+布袋</w:t>
                  </w:r>
                </w:p>
                <w:p w14:paraId="6AFF8175">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除尘器+15m</w:t>
                  </w:r>
                </w:p>
                <w:p w14:paraId="72540558">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排气筒</w:t>
                  </w:r>
                </w:p>
                <w:p w14:paraId="4ACF783D">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w:t>
                  </w:r>
                  <w:r>
                    <w:rPr>
                      <w:rFonts w:hint="default" w:ascii="Times New Roman" w:hAnsi="Times New Roman" w:eastAsia="宋体" w:cs="Times New Roman"/>
                      <w:color w:val="auto"/>
                      <w:lang w:val="en-US" w:eastAsia="zh-CN"/>
                    </w:rPr>
                    <w:t>DA001</w:t>
                  </w:r>
                  <w:r>
                    <w:rPr>
                      <w:rFonts w:hint="eastAsia" w:cs="Times New Roman"/>
                      <w:color w:val="auto"/>
                      <w:lang w:val="en-US" w:eastAsia="zh-CN"/>
                    </w:rPr>
                    <w:t>)</w:t>
                  </w:r>
                </w:p>
              </w:tc>
              <w:tc>
                <w:tcPr>
                  <w:tcW w:w="899" w:type="dxa"/>
                  <w:noWrap w:val="0"/>
                  <w:vAlign w:val="center"/>
                </w:tcPr>
                <w:p w14:paraId="2FA286C0">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有组织</w:t>
                  </w:r>
                </w:p>
              </w:tc>
              <w:tc>
                <w:tcPr>
                  <w:tcW w:w="871" w:type="dxa"/>
                  <w:noWrap w:val="0"/>
                  <w:vAlign w:val="center"/>
                </w:tcPr>
                <w:p w14:paraId="392C062F">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0.09</w:t>
                  </w:r>
                </w:p>
              </w:tc>
              <w:tc>
                <w:tcPr>
                  <w:tcW w:w="1143" w:type="dxa"/>
                  <w:noWrap w:val="0"/>
                  <w:vAlign w:val="center"/>
                </w:tcPr>
                <w:p w14:paraId="0A2888A6">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3.0</w:t>
                  </w:r>
                </w:p>
              </w:tc>
              <w:tc>
                <w:tcPr>
                  <w:tcW w:w="963" w:type="dxa"/>
                  <w:tcBorders>
                    <w:right w:val="single" w:color="000000" w:sz="10" w:space="0"/>
                  </w:tcBorders>
                  <w:noWrap w:val="0"/>
                  <w:vAlign w:val="center"/>
                </w:tcPr>
                <w:p w14:paraId="16346287">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w:t>
                  </w:r>
                  <w:r>
                    <w:rPr>
                      <w:rFonts w:hint="eastAsia" w:cs="Times New Roman"/>
                      <w:color w:val="auto"/>
                      <w:lang w:val="en-US" w:eastAsia="zh-CN"/>
                    </w:rPr>
                    <w:t>3</w:t>
                  </w:r>
                </w:p>
              </w:tc>
            </w:tr>
            <w:tr w14:paraId="53D7D4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555" w:type="dxa"/>
                  <w:vMerge w:val="continue"/>
                  <w:tcBorders>
                    <w:top w:val="nil"/>
                    <w:left w:val="single" w:color="000000" w:sz="10" w:space="0"/>
                    <w:bottom w:val="single" w:color="000000" w:sz="10" w:space="0"/>
                  </w:tcBorders>
                  <w:noWrap w:val="0"/>
                  <w:textDirection w:val="tbRlV"/>
                  <w:vAlign w:val="center"/>
                </w:tcPr>
                <w:p w14:paraId="747680FC">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p>
              </w:tc>
              <w:tc>
                <w:tcPr>
                  <w:tcW w:w="605" w:type="dxa"/>
                  <w:vMerge w:val="continue"/>
                  <w:tcBorders>
                    <w:top w:val="nil"/>
                    <w:bottom w:val="single" w:color="000000" w:sz="10" w:space="0"/>
                  </w:tcBorders>
                  <w:noWrap w:val="0"/>
                  <w:textDirection w:val="tbRlV"/>
                  <w:vAlign w:val="center"/>
                </w:tcPr>
                <w:p w14:paraId="107CF785">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p>
              </w:tc>
              <w:tc>
                <w:tcPr>
                  <w:tcW w:w="808" w:type="dxa"/>
                  <w:vMerge w:val="continue"/>
                  <w:tcBorders>
                    <w:top w:val="nil"/>
                    <w:bottom w:val="single" w:color="000000" w:sz="10" w:space="0"/>
                  </w:tcBorders>
                  <w:noWrap w:val="0"/>
                  <w:vAlign w:val="center"/>
                </w:tcPr>
                <w:p w14:paraId="3551C7D4">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p>
              </w:tc>
              <w:tc>
                <w:tcPr>
                  <w:tcW w:w="1139" w:type="dxa"/>
                  <w:tcBorders>
                    <w:bottom w:val="single" w:color="000000" w:sz="10" w:space="0"/>
                  </w:tcBorders>
                  <w:noWrap w:val="0"/>
                  <w:vAlign w:val="center"/>
                </w:tcPr>
                <w:p w14:paraId="3FECE7AB">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1462" w:type="dxa"/>
                  <w:vMerge w:val="continue"/>
                  <w:tcBorders>
                    <w:top w:val="nil"/>
                    <w:bottom w:val="single" w:color="000000" w:sz="10" w:space="0"/>
                  </w:tcBorders>
                  <w:noWrap w:val="0"/>
                  <w:vAlign w:val="center"/>
                </w:tcPr>
                <w:p w14:paraId="4E390A42">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p>
              </w:tc>
              <w:tc>
                <w:tcPr>
                  <w:tcW w:w="899" w:type="dxa"/>
                  <w:tcBorders>
                    <w:bottom w:val="single" w:color="000000" w:sz="10" w:space="0"/>
                  </w:tcBorders>
                  <w:noWrap w:val="0"/>
                  <w:vAlign w:val="center"/>
                </w:tcPr>
                <w:p w14:paraId="1B273F13">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无组织</w:t>
                  </w:r>
                </w:p>
              </w:tc>
              <w:tc>
                <w:tcPr>
                  <w:tcW w:w="871" w:type="dxa"/>
                  <w:tcBorders>
                    <w:bottom w:val="single" w:color="000000" w:sz="10" w:space="0"/>
                  </w:tcBorders>
                  <w:noWrap w:val="0"/>
                  <w:vAlign w:val="center"/>
                </w:tcPr>
                <w:p w14:paraId="2A8674C7">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0.32</w:t>
                  </w:r>
                </w:p>
              </w:tc>
              <w:tc>
                <w:tcPr>
                  <w:tcW w:w="1143" w:type="dxa"/>
                  <w:tcBorders>
                    <w:bottom w:val="single" w:color="000000" w:sz="10" w:space="0"/>
                  </w:tcBorders>
                  <w:noWrap w:val="0"/>
                  <w:vAlign w:val="center"/>
                </w:tcPr>
                <w:p w14:paraId="696649B6">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963" w:type="dxa"/>
                  <w:tcBorders>
                    <w:bottom w:val="single" w:color="000000" w:sz="10" w:space="0"/>
                    <w:right w:val="single" w:color="000000" w:sz="10" w:space="0"/>
                  </w:tcBorders>
                  <w:noWrap w:val="0"/>
                  <w:vAlign w:val="center"/>
                </w:tcPr>
                <w:p w14:paraId="1A9460AF">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w:t>
                  </w:r>
                  <w:r>
                    <w:rPr>
                      <w:rFonts w:hint="eastAsia" w:cs="Times New Roman"/>
                      <w:color w:val="auto"/>
                      <w:lang w:val="en-US" w:eastAsia="zh-CN"/>
                    </w:rPr>
                    <w:t>107</w:t>
                  </w:r>
                </w:p>
              </w:tc>
            </w:tr>
          </w:tbl>
          <w:p w14:paraId="3CB77278">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②热熔挤出废气</w:t>
            </w:r>
          </w:p>
          <w:p w14:paraId="4F99413B">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项目为废旧塑料泡沫的处理加工，废旧塑料泡沫主要成分为聚苯乙烯，其热解温度为300℃-500℃ , 本项目热熔挤出过程中最高温度在 190℃-200℃左右，不会使塑料泡沫发生分解，但在高温热熔过程中仍然会有少量挥发性废气释放出来，以非甲烷总烃计。本项目热熔挤出废气源强计算采用产污系数法。根据生态环境部发布的《排放源统计调查产排污核算方法和系数手册》中的《42 废弃资源综合利用行业系数手册》中 4220 非金属废料和碎屑加工处理行业系数表，确定污染物源强。</w:t>
            </w:r>
          </w:p>
          <w:p w14:paraId="33942A31">
            <w:pPr>
              <w:pStyle w:val="184"/>
              <w:keepNext w:val="0"/>
              <w:keepLines w:val="0"/>
              <w:suppressLineNumbers w:val="0"/>
              <w:spacing w:before="0" w:beforeAutospacing="0" w:after="0" w:afterAutospacing="0" w:line="218" w:lineRule="auto"/>
              <w:ind w:left="2656" w:right="0"/>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 4-4    热熔挤出废气产污系数表</w:t>
            </w:r>
          </w:p>
          <w:p w14:paraId="41C708FC">
            <w:pPr>
              <w:keepNext w:val="0"/>
              <w:keepLines w:val="0"/>
              <w:suppressLineNumbers w:val="0"/>
              <w:spacing w:before="0" w:beforeAutospacing="0" w:after="0" w:afterAutospacing="0" w:line="92" w:lineRule="auto"/>
              <w:ind w:left="0" w:right="0"/>
              <w:rPr>
                <w:rFonts w:hint="default" w:ascii="Arial"/>
                <w:color w:val="auto"/>
                <w:sz w:val="2"/>
              </w:rPr>
            </w:pPr>
          </w:p>
          <w:tbl>
            <w:tblPr>
              <w:tblStyle w:val="185"/>
              <w:tblW w:w="8396" w:type="dxa"/>
              <w:tblInd w:w="1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9"/>
              <w:gridCol w:w="1571"/>
              <w:gridCol w:w="1272"/>
              <w:gridCol w:w="1102"/>
              <w:gridCol w:w="1102"/>
              <w:gridCol w:w="1281"/>
              <w:gridCol w:w="999"/>
            </w:tblGrid>
            <w:tr w14:paraId="327A37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069" w:type="dxa"/>
                  <w:tcBorders>
                    <w:top w:val="single" w:color="000000" w:sz="10" w:space="0"/>
                    <w:left w:val="single" w:color="000000" w:sz="10" w:space="0"/>
                  </w:tcBorders>
                  <w:noWrap w:val="0"/>
                  <w:vAlign w:val="top"/>
                </w:tcPr>
                <w:p w14:paraId="5C38096A">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原料名称</w:t>
                  </w:r>
                </w:p>
              </w:tc>
              <w:tc>
                <w:tcPr>
                  <w:tcW w:w="1571" w:type="dxa"/>
                  <w:tcBorders>
                    <w:top w:val="single" w:color="000000" w:sz="10" w:space="0"/>
                  </w:tcBorders>
                  <w:noWrap w:val="0"/>
                  <w:vAlign w:val="top"/>
                </w:tcPr>
                <w:p w14:paraId="71732E8E">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产品名称</w:t>
                  </w:r>
                </w:p>
              </w:tc>
              <w:tc>
                <w:tcPr>
                  <w:tcW w:w="1272" w:type="dxa"/>
                  <w:tcBorders>
                    <w:top w:val="single" w:color="000000" w:sz="10" w:space="0"/>
                  </w:tcBorders>
                  <w:noWrap w:val="0"/>
                  <w:vAlign w:val="top"/>
                </w:tcPr>
                <w:p w14:paraId="5D1AD4EC">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工艺名称</w:t>
                  </w:r>
                </w:p>
              </w:tc>
              <w:tc>
                <w:tcPr>
                  <w:tcW w:w="1102" w:type="dxa"/>
                  <w:tcBorders>
                    <w:top w:val="single" w:color="000000" w:sz="10" w:space="0"/>
                  </w:tcBorders>
                  <w:noWrap w:val="0"/>
                  <w:vAlign w:val="top"/>
                </w:tcPr>
                <w:p w14:paraId="57DC5215">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规模等级</w:t>
                  </w:r>
                </w:p>
              </w:tc>
              <w:tc>
                <w:tcPr>
                  <w:tcW w:w="1102" w:type="dxa"/>
                  <w:tcBorders>
                    <w:top w:val="single" w:color="000000" w:sz="10" w:space="0"/>
                  </w:tcBorders>
                  <w:noWrap w:val="0"/>
                  <w:vAlign w:val="top"/>
                </w:tcPr>
                <w:p w14:paraId="00CF3338">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污染物指标</w:t>
                  </w:r>
                </w:p>
              </w:tc>
              <w:tc>
                <w:tcPr>
                  <w:tcW w:w="1281" w:type="dxa"/>
                  <w:tcBorders>
                    <w:top w:val="single" w:color="000000" w:sz="10" w:space="0"/>
                  </w:tcBorders>
                  <w:noWrap w:val="0"/>
                  <w:vAlign w:val="top"/>
                </w:tcPr>
                <w:p w14:paraId="7017C61E">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单位</w:t>
                  </w:r>
                </w:p>
              </w:tc>
              <w:tc>
                <w:tcPr>
                  <w:tcW w:w="999" w:type="dxa"/>
                  <w:tcBorders>
                    <w:top w:val="single" w:color="000000" w:sz="10" w:space="0"/>
                    <w:right w:val="single" w:color="000000" w:sz="10" w:space="0"/>
                  </w:tcBorders>
                  <w:noWrap w:val="0"/>
                  <w:vAlign w:val="top"/>
                </w:tcPr>
                <w:p w14:paraId="09BD053F">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产物系数</w:t>
                  </w:r>
                </w:p>
              </w:tc>
            </w:tr>
            <w:tr w14:paraId="1EA4C5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069" w:type="dxa"/>
                  <w:tcBorders>
                    <w:left w:val="single" w:color="000000" w:sz="10" w:space="0"/>
                    <w:bottom w:val="single" w:color="000000" w:sz="10" w:space="0"/>
                  </w:tcBorders>
                  <w:noWrap w:val="0"/>
                  <w:vAlign w:val="top"/>
                </w:tcPr>
                <w:p w14:paraId="7DEBE130">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废 PS</w:t>
                  </w:r>
                </w:p>
              </w:tc>
              <w:tc>
                <w:tcPr>
                  <w:tcW w:w="1571" w:type="dxa"/>
                  <w:tcBorders>
                    <w:bottom w:val="single" w:color="000000" w:sz="10" w:space="0"/>
                  </w:tcBorders>
                  <w:noWrap w:val="0"/>
                  <w:vAlign w:val="top"/>
                </w:tcPr>
                <w:p w14:paraId="2542D563">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再生塑料粒子</w:t>
                  </w:r>
                </w:p>
              </w:tc>
              <w:tc>
                <w:tcPr>
                  <w:tcW w:w="1272" w:type="dxa"/>
                  <w:tcBorders>
                    <w:bottom w:val="single" w:color="000000" w:sz="10" w:space="0"/>
                  </w:tcBorders>
                  <w:noWrap w:val="0"/>
                  <w:vAlign w:val="top"/>
                </w:tcPr>
                <w:p w14:paraId="4F474BCA">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挤出造粒</w:t>
                  </w:r>
                </w:p>
              </w:tc>
              <w:tc>
                <w:tcPr>
                  <w:tcW w:w="1102" w:type="dxa"/>
                  <w:tcBorders>
                    <w:bottom w:val="single" w:color="000000" w:sz="10" w:space="0"/>
                  </w:tcBorders>
                  <w:noWrap w:val="0"/>
                  <w:vAlign w:val="top"/>
                </w:tcPr>
                <w:p w14:paraId="01E532BD">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所有规模</w:t>
                  </w:r>
                </w:p>
              </w:tc>
              <w:tc>
                <w:tcPr>
                  <w:tcW w:w="1102" w:type="dxa"/>
                  <w:tcBorders>
                    <w:bottom w:val="single" w:color="000000" w:sz="10" w:space="0"/>
                  </w:tcBorders>
                  <w:noWrap w:val="0"/>
                  <w:vAlign w:val="top"/>
                </w:tcPr>
                <w:p w14:paraId="3D338302">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非甲烷总烃</w:t>
                  </w:r>
                </w:p>
              </w:tc>
              <w:tc>
                <w:tcPr>
                  <w:tcW w:w="1281" w:type="dxa"/>
                  <w:tcBorders>
                    <w:bottom w:val="single" w:color="000000" w:sz="10" w:space="0"/>
                  </w:tcBorders>
                  <w:noWrap w:val="0"/>
                  <w:vAlign w:val="top"/>
                </w:tcPr>
                <w:p w14:paraId="2BD44B6B">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克/吨－原料</w:t>
                  </w:r>
                </w:p>
              </w:tc>
              <w:tc>
                <w:tcPr>
                  <w:tcW w:w="999" w:type="dxa"/>
                  <w:tcBorders>
                    <w:bottom w:val="single" w:color="000000" w:sz="10" w:space="0"/>
                    <w:right w:val="single" w:color="000000" w:sz="10" w:space="0"/>
                  </w:tcBorders>
                  <w:noWrap w:val="0"/>
                  <w:vAlign w:val="top"/>
                </w:tcPr>
                <w:p w14:paraId="5998EB09">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957</w:t>
                  </w:r>
                </w:p>
              </w:tc>
            </w:tr>
          </w:tbl>
          <w:p w14:paraId="16C0F327">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项目进入热熔工序的废塑料泡沫约5005t/a，项目热熔挤出工序年有效工作时间共计约</w:t>
            </w:r>
            <w:r>
              <w:rPr>
                <w:rFonts w:hint="eastAsia" w:cs="Times New Roman"/>
                <w:color w:val="auto"/>
                <w:sz w:val="24"/>
                <w:lang w:val="en-US" w:eastAsia="zh-CN"/>
              </w:rPr>
              <w:t>3600</w:t>
            </w:r>
            <w:r>
              <w:rPr>
                <w:rFonts w:hint="default" w:ascii="Times New Roman" w:hAnsi="Times New Roman" w:eastAsia="宋体" w:cs="Times New Roman"/>
                <w:color w:val="auto"/>
                <w:sz w:val="24"/>
                <w:lang w:val="en-US" w:eastAsia="zh-CN"/>
              </w:rPr>
              <w:t>h/a ，故挤出造粒工序非甲烷总烃产生量为4.79t/a，</w:t>
            </w:r>
            <w:r>
              <w:rPr>
                <w:rFonts w:hint="eastAsia" w:cs="Times New Roman"/>
                <w:color w:val="auto"/>
                <w:sz w:val="24"/>
                <w:lang w:val="en-US" w:eastAsia="zh-CN"/>
              </w:rPr>
              <w:t>1.331</w:t>
            </w:r>
            <w:r>
              <w:rPr>
                <w:rFonts w:hint="default" w:ascii="Times New Roman" w:hAnsi="Times New Roman" w:eastAsia="宋体" w:cs="Times New Roman"/>
                <w:color w:val="auto"/>
                <w:sz w:val="24"/>
                <w:lang w:val="en-US" w:eastAsia="zh-CN"/>
              </w:rPr>
              <w:t>kg/h。</w:t>
            </w:r>
          </w:p>
          <w:p w14:paraId="303601E0">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项目在热熔机及挤出口上方均设置集气罩，</w:t>
            </w:r>
            <w:r>
              <w:rPr>
                <w:rFonts w:hint="default" w:ascii="Times New Roman" w:hAnsi="Times New Roman" w:eastAsia="宋体" w:cs="Times New Roman"/>
                <w:color w:val="auto"/>
                <w:sz w:val="24"/>
                <w:lang w:val="en-US" w:eastAsia="zh-CN"/>
              </w:rPr>
              <w:t>产生的非甲烷总烃经收集后由引风机引入二级活性炭吸附装置处理后经15m高排气筒（DA002）排放，为保证活性炭的吸附效率，建设单位需使用碘值大于800的活性炭，并定期对活性炭进行更换。根据建设单位提供资料，二级活性炭吸附装置设计处理能力为</w:t>
            </w:r>
            <w:r>
              <w:rPr>
                <w:rFonts w:hint="eastAsia" w:cs="Times New Roman"/>
                <w:color w:val="auto"/>
                <w:sz w:val="24"/>
                <w:lang w:val="en-US" w:eastAsia="zh-CN"/>
              </w:rPr>
              <w:t>5</w:t>
            </w:r>
            <w:r>
              <w:rPr>
                <w:rFonts w:hint="default" w:ascii="Times New Roman" w:hAnsi="Times New Roman" w:eastAsia="宋体" w:cs="Times New Roman"/>
                <w:color w:val="auto"/>
                <w:sz w:val="24"/>
                <w:lang w:val="en-US" w:eastAsia="zh-CN"/>
              </w:rPr>
              <w:t>000m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lang w:val="en-US" w:eastAsia="zh-CN"/>
              </w:rPr>
              <w:t>/h，废气收集效率为</w:t>
            </w:r>
            <w:r>
              <w:rPr>
                <w:rFonts w:hint="eastAsia" w:cs="Times New Roman"/>
                <w:color w:val="auto"/>
                <w:sz w:val="24"/>
                <w:lang w:val="en-US" w:eastAsia="zh-CN"/>
              </w:rPr>
              <w:t>85</w:t>
            </w:r>
            <w:r>
              <w:rPr>
                <w:rFonts w:hint="default" w:ascii="Times New Roman" w:hAnsi="Times New Roman" w:eastAsia="宋体" w:cs="Times New Roman"/>
                <w:color w:val="auto"/>
                <w:sz w:val="24"/>
                <w:lang w:val="en-US" w:eastAsia="zh-CN"/>
              </w:rPr>
              <w:t>%，根据《排放源统计调查产排污核算方法和系数手册》中的《42 废弃资源综合利用行业系数手册》中活性炭吸附末端治理技术效率为 55%。本项目采用二级活性炭吸附装置，处理效率按79%计，则本项目挤出造粒工序污染物产排情况见下表。</w:t>
            </w:r>
          </w:p>
          <w:p w14:paraId="28DC8934">
            <w:pPr>
              <w:pStyle w:val="184"/>
              <w:keepNext w:val="0"/>
              <w:keepLines w:val="0"/>
              <w:suppressLineNumbers w:val="0"/>
              <w:spacing w:before="0" w:beforeAutospacing="0" w:after="0" w:afterAutospacing="0" w:line="218" w:lineRule="auto"/>
              <w:ind w:left="2656" w:right="0"/>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 4-5    热熔挤出工序污染物产排情况一览表</w:t>
            </w:r>
          </w:p>
          <w:tbl>
            <w:tblPr>
              <w:tblStyle w:val="185"/>
              <w:tblW w:w="8445" w:type="dxa"/>
              <w:tblInd w:w="6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5"/>
              <w:gridCol w:w="605"/>
              <w:gridCol w:w="808"/>
              <w:gridCol w:w="1139"/>
              <w:gridCol w:w="1462"/>
              <w:gridCol w:w="899"/>
              <w:gridCol w:w="871"/>
              <w:gridCol w:w="1143"/>
              <w:gridCol w:w="963"/>
            </w:tblGrid>
            <w:tr w14:paraId="4BBCBA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555" w:type="dxa"/>
                  <w:tcBorders>
                    <w:top w:val="single" w:color="000000" w:sz="10" w:space="0"/>
                    <w:left w:val="single" w:color="000000" w:sz="10" w:space="0"/>
                  </w:tcBorders>
                  <w:noWrap w:val="0"/>
                  <w:vAlign w:val="center"/>
                </w:tcPr>
                <w:p w14:paraId="00EC1502">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污 染 源</w:t>
                  </w:r>
                </w:p>
              </w:tc>
              <w:tc>
                <w:tcPr>
                  <w:tcW w:w="605" w:type="dxa"/>
                  <w:tcBorders>
                    <w:top w:val="single" w:color="000000" w:sz="10" w:space="0"/>
                  </w:tcBorders>
                  <w:noWrap w:val="0"/>
                  <w:vAlign w:val="center"/>
                </w:tcPr>
                <w:p w14:paraId="0790686B">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污 染 物</w:t>
                  </w:r>
                </w:p>
              </w:tc>
              <w:tc>
                <w:tcPr>
                  <w:tcW w:w="808" w:type="dxa"/>
                  <w:tcBorders>
                    <w:top w:val="single" w:color="000000" w:sz="10" w:space="0"/>
                  </w:tcBorders>
                  <w:noWrap w:val="0"/>
                  <w:vAlign w:val="center"/>
                </w:tcPr>
                <w:p w14:paraId="23FF9975">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产生量 （t/a）</w:t>
                  </w:r>
                </w:p>
              </w:tc>
              <w:tc>
                <w:tcPr>
                  <w:tcW w:w="1139" w:type="dxa"/>
                  <w:tcBorders>
                    <w:top w:val="single" w:color="000000" w:sz="10" w:space="0"/>
                  </w:tcBorders>
                  <w:noWrap w:val="0"/>
                  <w:vAlign w:val="center"/>
                </w:tcPr>
                <w:p w14:paraId="25DA5F9D">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产生浓度（mg/m</w:t>
                  </w:r>
                  <w:r>
                    <w:rPr>
                      <w:rFonts w:hint="default" w:ascii="Times New Roman" w:hAnsi="Times New Roman" w:eastAsia="宋体" w:cs="Times New Roman"/>
                      <w:b/>
                      <w:bCs/>
                      <w:color w:val="auto"/>
                      <w:vertAlign w:val="superscript"/>
                      <w:lang w:val="en-US" w:eastAsia="zh-CN"/>
                    </w:rPr>
                    <w:t>3</w:t>
                  </w:r>
                  <w:r>
                    <w:rPr>
                      <w:rFonts w:hint="default" w:ascii="Times New Roman" w:hAnsi="Times New Roman" w:eastAsia="宋体" w:cs="Times New Roman"/>
                      <w:b/>
                      <w:bCs/>
                      <w:color w:val="auto"/>
                      <w:lang w:val="en-US" w:eastAsia="zh-CN"/>
                    </w:rPr>
                    <w:t>）</w:t>
                  </w:r>
                </w:p>
              </w:tc>
              <w:tc>
                <w:tcPr>
                  <w:tcW w:w="1462" w:type="dxa"/>
                  <w:tcBorders>
                    <w:top w:val="single" w:color="000000" w:sz="10" w:space="0"/>
                  </w:tcBorders>
                  <w:noWrap w:val="0"/>
                  <w:vAlign w:val="center"/>
                </w:tcPr>
                <w:p w14:paraId="52A999A3">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lang w:val="en-US" w:eastAsia="zh-CN"/>
                    </w:rPr>
                  </w:pPr>
                </w:p>
                <w:p w14:paraId="705F0BCF">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处理措施</w:t>
                  </w:r>
                </w:p>
              </w:tc>
              <w:tc>
                <w:tcPr>
                  <w:tcW w:w="899" w:type="dxa"/>
                  <w:tcBorders>
                    <w:top w:val="single" w:color="000000" w:sz="10" w:space="0"/>
                  </w:tcBorders>
                  <w:noWrap w:val="0"/>
                  <w:vAlign w:val="center"/>
                </w:tcPr>
                <w:p w14:paraId="42D472F3">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排放形式</w:t>
                  </w:r>
                </w:p>
              </w:tc>
              <w:tc>
                <w:tcPr>
                  <w:tcW w:w="871" w:type="dxa"/>
                  <w:tcBorders>
                    <w:top w:val="single" w:color="000000" w:sz="10" w:space="0"/>
                  </w:tcBorders>
                  <w:noWrap w:val="0"/>
                  <w:vAlign w:val="center"/>
                </w:tcPr>
                <w:p w14:paraId="1077DACF">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排放量（t/a）</w:t>
                  </w:r>
                </w:p>
              </w:tc>
              <w:tc>
                <w:tcPr>
                  <w:tcW w:w="1143" w:type="dxa"/>
                  <w:tcBorders>
                    <w:top w:val="single" w:color="000000" w:sz="10" w:space="0"/>
                  </w:tcBorders>
                  <w:noWrap w:val="0"/>
                  <w:vAlign w:val="center"/>
                </w:tcPr>
                <w:p w14:paraId="76E1ADA8">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排放浓度（mg/m</w:t>
                  </w:r>
                  <w:r>
                    <w:rPr>
                      <w:rFonts w:hint="default" w:ascii="Times New Roman" w:hAnsi="Times New Roman" w:eastAsia="宋体" w:cs="Times New Roman"/>
                      <w:b/>
                      <w:bCs/>
                      <w:color w:val="auto"/>
                      <w:vertAlign w:val="superscript"/>
                      <w:lang w:val="en-US" w:eastAsia="zh-CN"/>
                    </w:rPr>
                    <w:t>3</w:t>
                  </w:r>
                  <w:r>
                    <w:rPr>
                      <w:rFonts w:hint="default" w:ascii="Times New Roman" w:hAnsi="Times New Roman" w:eastAsia="宋体" w:cs="Times New Roman"/>
                      <w:b/>
                      <w:bCs/>
                      <w:color w:val="auto"/>
                      <w:lang w:val="en-US" w:eastAsia="zh-CN"/>
                    </w:rPr>
                    <w:t>）</w:t>
                  </w:r>
                </w:p>
              </w:tc>
              <w:tc>
                <w:tcPr>
                  <w:tcW w:w="963" w:type="dxa"/>
                  <w:tcBorders>
                    <w:top w:val="single" w:color="000000" w:sz="10" w:space="0"/>
                    <w:right w:val="single" w:color="000000" w:sz="10" w:space="0"/>
                  </w:tcBorders>
                  <w:noWrap w:val="0"/>
                  <w:vAlign w:val="center"/>
                </w:tcPr>
                <w:p w14:paraId="18C77A85">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排放速</w:t>
                  </w:r>
                </w:p>
                <w:p w14:paraId="3E3A5032">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率</w:t>
                  </w:r>
                </w:p>
                <w:p w14:paraId="634039DA">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lang w:val="en-US" w:eastAsia="zh-CN"/>
                    </w:rPr>
                  </w:pPr>
                  <w:r>
                    <w:rPr>
                      <w:rFonts w:hint="eastAsia" w:cs="Times New Roman"/>
                      <w:b/>
                      <w:bCs/>
                      <w:color w:val="auto"/>
                      <w:lang w:val="en-US" w:eastAsia="zh-CN"/>
                    </w:rPr>
                    <w:t>(</w:t>
                  </w:r>
                  <w:r>
                    <w:rPr>
                      <w:rFonts w:hint="default" w:ascii="Times New Roman" w:hAnsi="Times New Roman" w:eastAsia="宋体" w:cs="Times New Roman"/>
                      <w:b/>
                      <w:bCs/>
                      <w:color w:val="auto"/>
                      <w:lang w:val="en-US" w:eastAsia="zh-CN"/>
                    </w:rPr>
                    <w:t>kg/h</w:t>
                  </w:r>
                  <w:r>
                    <w:rPr>
                      <w:rFonts w:hint="eastAsia" w:cs="Times New Roman"/>
                      <w:b/>
                      <w:bCs/>
                      <w:color w:val="auto"/>
                      <w:lang w:val="en-US" w:eastAsia="zh-CN"/>
                    </w:rPr>
                    <w:t>)</w:t>
                  </w:r>
                </w:p>
              </w:tc>
            </w:tr>
            <w:tr w14:paraId="1BA59E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555" w:type="dxa"/>
                  <w:vMerge w:val="restart"/>
                  <w:tcBorders>
                    <w:left w:val="single" w:color="000000" w:sz="10" w:space="0"/>
                    <w:bottom w:val="nil"/>
                  </w:tcBorders>
                  <w:noWrap w:val="0"/>
                  <w:vAlign w:val="center"/>
                </w:tcPr>
                <w:p w14:paraId="04C0CDF1">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color w:val="auto"/>
                      <w:spacing w:val="2"/>
                      <w:sz w:val="20"/>
                      <w:szCs w:val="20"/>
                    </w:rPr>
                    <w:t>热熔</w:t>
                  </w:r>
                  <w:r>
                    <w:rPr>
                      <w:color w:val="auto"/>
                      <w:spacing w:val="4"/>
                      <w:sz w:val="20"/>
                      <w:szCs w:val="20"/>
                    </w:rPr>
                    <w:t>挤出</w:t>
                  </w:r>
                </w:p>
              </w:tc>
              <w:tc>
                <w:tcPr>
                  <w:tcW w:w="605" w:type="dxa"/>
                  <w:vMerge w:val="restart"/>
                  <w:tcBorders>
                    <w:bottom w:val="nil"/>
                  </w:tcBorders>
                  <w:noWrap w:val="0"/>
                  <w:vAlign w:val="center"/>
                </w:tcPr>
                <w:p w14:paraId="28ECE4D3">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非甲烷总烃</w:t>
                  </w:r>
                </w:p>
              </w:tc>
              <w:tc>
                <w:tcPr>
                  <w:tcW w:w="808" w:type="dxa"/>
                  <w:vMerge w:val="restart"/>
                  <w:tcBorders>
                    <w:bottom w:val="nil"/>
                  </w:tcBorders>
                  <w:noWrap w:val="0"/>
                  <w:vAlign w:val="center"/>
                </w:tcPr>
                <w:p w14:paraId="396377FA">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ascii="Times New Roman" w:hAnsi="Times New Roman" w:eastAsia="Times New Roman" w:cs="Times New Roman"/>
                      <w:color w:val="auto"/>
                      <w:spacing w:val="3"/>
                      <w:sz w:val="20"/>
                      <w:szCs w:val="20"/>
                    </w:rPr>
                    <w:t>4.79</w:t>
                  </w:r>
                </w:p>
              </w:tc>
              <w:tc>
                <w:tcPr>
                  <w:tcW w:w="1139" w:type="dxa"/>
                  <w:noWrap w:val="0"/>
                  <w:vAlign w:val="top"/>
                </w:tcPr>
                <w:p w14:paraId="4F26DA44">
                  <w:pPr>
                    <w:spacing w:before="243" w:line="195" w:lineRule="auto"/>
                    <w:ind w:left="294" w:leftChars="0"/>
                    <w:rPr>
                      <w:rFonts w:hint="default" w:ascii="Times New Roman" w:hAnsi="Times New Roman" w:eastAsia="宋体" w:cs="Times New Roman"/>
                      <w:color w:val="auto"/>
                      <w:lang w:val="en-US" w:eastAsia="zh-CN"/>
                    </w:rPr>
                  </w:pPr>
                  <w:r>
                    <w:rPr>
                      <w:rFonts w:hint="eastAsia" w:cs="Times New Roman"/>
                      <w:color w:val="auto"/>
                      <w:lang w:val="en-US" w:eastAsia="zh-CN"/>
                    </w:rPr>
                    <w:t>226.27</w:t>
                  </w:r>
                </w:p>
              </w:tc>
              <w:tc>
                <w:tcPr>
                  <w:tcW w:w="1462" w:type="dxa"/>
                  <w:vMerge w:val="restart"/>
                  <w:tcBorders>
                    <w:bottom w:val="nil"/>
                  </w:tcBorders>
                  <w:noWrap w:val="0"/>
                  <w:vAlign w:val="center"/>
                </w:tcPr>
                <w:p w14:paraId="79694B98">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集气罩</w:t>
                  </w:r>
                  <w:r>
                    <w:rPr>
                      <w:rFonts w:hint="default" w:ascii="Times New Roman" w:hAnsi="Times New Roman" w:eastAsia="宋体" w:cs="Times New Roman"/>
                      <w:color w:val="auto"/>
                      <w:lang w:val="en-US" w:eastAsia="zh-CN"/>
                    </w:rPr>
                    <w:t>+二级</w:t>
                  </w:r>
                </w:p>
                <w:p w14:paraId="7D64F5ED">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活性炭吸附</w:t>
                  </w:r>
                </w:p>
                <w:p w14:paraId="31B76E76">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装置+15m 排</w:t>
                  </w:r>
                </w:p>
                <w:p w14:paraId="34F1644D">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气筒（DA002）</w:t>
                  </w:r>
                </w:p>
              </w:tc>
              <w:tc>
                <w:tcPr>
                  <w:tcW w:w="899" w:type="dxa"/>
                  <w:noWrap w:val="0"/>
                  <w:vAlign w:val="center"/>
                </w:tcPr>
                <w:p w14:paraId="5B9E73D8">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有组织</w:t>
                  </w:r>
                </w:p>
              </w:tc>
              <w:tc>
                <w:tcPr>
                  <w:tcW w:w="871" w:type="dxa"/>
                  <w:noWrap w:val="0"/>
                  <w:vAlign w:val="center"/>
                </w:tcPr>
                <w:p w14:paraId="223875D8">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w:t>
                  </w:r>
                  <w:r>
                    <w:rPr>
                      <w:rFonts w:hint="eastAsia" w:cs="Times New Roman"/>
                      <w:color w:val="auto"/>
                      <w:lang w:val="en-US" w:eastAsia="zh-CN"/>
                    </w:rPr>
                    <w:t>855</w:t>
                  </w:r>
                </w:p>
              </w:tc>
              <w:tc>
                <w:tcPr>
                  <w:tcW w:w="1143" w:type="dxa"/>
                  <w:noWrap w:val="0"/>
                  <w:vAlign w:val="center"/>
                </w:tcPr>
                <w:p w14:paraId="3CA7ED27">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47.6</w:t>
                  </w:r>
                </w:p>
              </w:tc>
              <w:tc>
                <w:tcPr>
                  <w:tcW w:w="963" w:type="dxa"/>
                  <w:tcBorders>
                    <w:right w:val="single" w:color="000000" w:sz="10" w:space="0"/>
                  </w:tcBorders>
                  <w:noWrap w:val="0"/>
                  <w:vAlign w:val="center"/>
                </w:tcPr>
                <w:p w14:paraId="3D6826BB">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0.238</w:t>
                  </w:r>
                </w:p>
              </w:tc>
            </w:tr>
            <w:tr w14:paraId="1EBFAD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555" w:type="dxa"/>
                  <w:vMerge w:val="continue"/>
                  <w:tcBorders>
                    <w:top w:val="nil"/>
                    <w:left w:val="single" w:color="000000" w:sz="10" w:space="0"/>
                    <w:bottom w:val="single" w:color="000000" w:sz="10" w:space="0"/>
                  </w:tcBorders>
                  <w:noWrap w:val="0"/>
                  <w:textDirection w:val="tbRlV"/>
                  <w:vAlign w:val="center"/>
                </w:tcPr>
                <w:p w14:paraId="4F921C10">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p>
              </w:tc>
              <w:tc>
                <w:tcPr>
                  <w:tcW w:w="605" w:type="dxa"/>
                  <w:vMerge w:val="continue"/>
                  <w:tcBorders>
                    <w:top w:val="nil"/>
                    <w:bottom w:val="single" w:color="000000" w:sz="10" w:space="0"/>
                  </w:tcBorders>
                  <w:noWrap w:val="0"/>
                  <w:textDirection w:val="tbRlV"/>
                  <w:vAlign w:val="center"/>
                </w:tcPr>
                <w:p w14:paraId="538605FD">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p>
              </w:tc>
              <w:tc>
                <w:tcPr>
                  <w:tcW w:w="808" w:type="dxa"/>
                  <w:vMerge w:val="continue"/>
                  <w:tcBorders>
                    <w:top w:val="nil"/>
                    <w:bottom w:val="single" w:color="000000" w:sz="10" w:space="0"/>
                  </w:tcBorders>
                  <w:noWrap w:val="0"/>
                  <w:vAlign w:val="center"/>
                </w:tcPr>
                <w:p w14:paraId="0427864D">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p>
              </w:tc>
              <w:tc>
                <w:tcPr>
                  <w:tcW w:w="1139" w:type="dxa"/>
                  <w:tcBorders>
                    <w:bottom w:val="single" w:color="000000" w:sz="10" w:space="0"/>
                  </w:tcBorders>
                  <w:noWrap w:val="0"/>
                  <w:vAlign w:val="top"/>
                </w:tcPr>
                <w:p w14:paraId="7D8465C3">
                  <w:pPr>
                    <w:spacing w:before="294" w:line="199" w:lineRule="auto"/>
                    <w:ind w:left="529" w:leftChars="0"/>
                    <w:rPr>
                      <w:rFonts w:hint="default" w:ascii="Times New Roman" w:hAnsi="Times New Roman" w:eastAsia="宋体" w:cs="Times New Roman"/>
                      <w:color w:val="auto"/>
                      <w:lang w:val="en-US" w:eastAsia="zh-CN"/>
                    </w:rPr>
                  </w:pPr>
                  <w:r>
                    <w:rPr>
                      <w:rFonts w:ascii="Times New Roman" w:hAnsi="Times New Roman" w:eastAsia="Times New Roman" w:cs="Times New Roman"/>
                      <w:color w:val="auto"/>
                      <w:spacing w:val="2"/>
                      <w:sz w:val="20"/>
                      <w:szCs w:val="20"/>
                    </w:rPr>
                    <w:t>/</w:t>
                  </w:r>
                </w:p>
              </w:tc>
              <w:tc>
                <w:tcPr>
                  <w:tcW w:w="1462" w:type="dxa"/>
                  <w:vMerge w:val="continue"/>
                  <w:tcBorders>
                    <w:top w:val="nil"/>
                    <w:bottom w:val="single" w:color="000000" w:sz="10" w:space="0"/>
                  </w:tcBorders>
                  <w:noWrap w:val="0"/>
                  <w:vAlign w:val="center"/>
                </w:tcPr>
                <w:p w14:paraId="07B09558">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p>
              </w:tc>
              <w:tc>
                <w:tcPr>
                  <w:tcW w:w="899" w:type="dxa"/>
                  <w:tcBorders>
                    <w:bottom w:val="single" w:color="000000" w:sz="10" w:space="0"/>
                  </w:tcBorders>
                  <w:noWrap w:val="0"/>
                  <w:vAlign w:val="center"/>
                </w:tcPr>
                <w:p w14:paraId="392D5F49">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无组织</w:t>
                  </w:r>
                </w:p>
              </w:tc>
              <w:tc>
                <w:tcPr>
                  <w:tcW w:w="871" w:type="dxa"/>
                  <w:tcBorders>
                    <w:bottom w:val="single" w:color="000000" w:sz="10" w:space="0"/>
                  </w:tcBorders>
                  <w:noWrap w:val="0"/>
                  <w:vAlign w:val="center"/>
                </w:tcPr>
                <w:p w14:paraId="71ECF528">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w:t>
                  </w:r>
                  <w:r>
                    <w:rPr>
                      <w:rFonts w:hint="eastAsia" w:cs="Times New Roman"/>
                      <w:color w:val="auto"/>
                      <w:lang w:val="en-US" w:eastAsia="zh-CN"/>
                    </w:rPr>
                    <w:t>718</w:t>
                  </w:r>
                </w:p>
              </w:tc>
              <w:tc>
                <w:tcPr>
                  <w:tcW w:w="1143" w:type="dxa"/>
                  <w:tcBorders>
                    <w:bottom w:val="single" w:color="000000" w:sz="10" w:space="0"/>
                  </w:tcBorders>
                  <w:noWrap w:val="0"/>
                  <w:vAlign w:val="center"/>
                </w:tcPr>
                <w:p w14:paraId="0C73C9B1">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963" w:type="dxa"/>
                  <w:tcBorders>
                    <w:bottom w:val="single" w:color="000000" w:sz="10" w:space="0"/>
                    <w:right w:val="single" w:color="000000" w:sz="10" w:space="0"/>
                  </w:tcBorders>
                  <w:noWrap w:val="0"/>
                  <w:vAlign w:val="center"/>
                </w:tcPr>
                <w:p w14:paraId="37F181C2">
                  <w:pPr>
                    <w:pStyle w:val="17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0.172</w:t>
                  </w:r>
                </w:p>
              </w:tc>
            </w:tr>
          </w:tbl>
          <w:p w14:paraId="06FC1C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2.污染物达标排放情况</w:t>
            </w:r>
          </w:p>
          <w:p w14:paraId="51A02A37">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（1）有组织废气</w:t>
            </w:r>
          </w:p>
          <w:p w14:paraId="1D271CB8">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①颗粒物</w:t>
            </w:r>
          </w:p>
          <w:p w14:paraId="095225E0">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项目粉碎过程中产生的颗粒物经集气罩收集后引至布袋除尘器处理后经 15m高排气筒（DA001）排放。经计算，颗粒物有组织排放浓度为</w:t>
            </w:r>
            <w:r>
              <w:rPr>
                <w:rFonts w:hint="eastAsia" w:cs="Times New Roman"/>
                <w:b w:val="0"/>
                <w:bCs w:val="0"/>
                <w:color w:val="auto"/>
                <w:sz w:val="24"/>
                <w:lang w:val="en-US" w:eastAsia="zh-CN"/>
              </w:rPr>
              <w:t>3</w:t>
            </w:r>
            <w:r>
              <w:rPr>
                <w:rFonts w:hint="default" w:ascii="Times New Roman" w:hAnsi="Times New Roman" w:eastAsia="宋体" w:cs="Times New Roman"/>
                <w:b w:val="0"/>
                <w:bCs w:val="0"/>
                <w:color w:val="auto"/>
                <w:sz w:val="24"/>
                <w:lang w:val="en-US" w:eastAsia="zh-CN"/>
              </w:rPr>
              <w:t>mg/m</w:t>
            </w:r>
            <w:r>
              <w:rPr>
                <w:rFonts w:hint="default" w:ascii="Times New Roman" w:hAnsi="Times New Roman" w:eastAsia="宋体" w:cs="Times New Roman"/>
                <w:b w:val="0"/>
                <w:bCs w:val="0"/>
                <w:color w:val="auto"/>
                <w:sz w:val="24"/>
                <w:vertAlign w:val="superscript"/>
                <w:lang w:val="en-US" w:eastAsia="zh-CN"/>
              </w:rPr>
              <w:t>3</w:t>
            </w:r>
            <w:r>
              <w:rPr>
                <w:rFonts w:hint="default" w:ascii="Times New Roman" w:hAnsi="Times New Roman" w:eastAsia="宋体" w:cs="Times New Roman"/>
                <w:b w:val="0"/>
                <w:bCs w:val="0"/>
                <w:color w:val="auto"/>
                <w:sz w:val="24"/>
                <w:lang w:val="en-US" w:eastAsia="zh-CN"/>
              </w:rPr>
              <w:t>，《合成树脂工业污染物排放标准》（GB31572-2015）（含2024年修改单）中表5中相关限值要求。</w:t>
            </w:r>
          </w:p>
          <w:p w14:paraId="4E8E468C">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②非甲烷总烃</w:t>
            </w:r>
          </w:p>
          <w:p w14:paraId="5F65ED38">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项目挤出造粒工序产生的非甲烷总烃经集气罩收集后引至二级活性炭处理装置处理后经15m 高排气筒（DA002）排放。经计算，非甲烷总烃有组织排放浓度为</w:t>
            </w:r>
            <w:r>
              <w:rPr>
                <w:rFonts w:hint="eastAsia" w:cs="Times New Roman"/>
                <w:b w:val="0"/>
                <w:bCs w:val="0"/>
                <w:color w:val="auto"/>
                <w:sz w:val="24"/>
                <w:lang w:val="en-US" w:eastAsia="zh-CN"/>
              </w:rPr>
              <w:t>47.6</w:t>
            </w:r>
            <w:r>
              <w:rPr>
                <w:rFonts w:hint="default" w:ascii="Times New Roman" w:hAnsi="Times New Roman" w:eastAsia="宋体" w:cs="Times New Roman"/>
                <w:b w:val="0"/>
                <w:bCs w:val="0"/>
                <w:color w:val="auto"/>
                <w:sz w:val="24"/>
                <w:lang w:val="en-US" w:eastAsia="zh-CN"/>
              </w:rPr>
              <w:t>mg/m</w:t>
            </w:r>
            <w:r>
              <w:rPr>
                <w:rFonts w:hint="default" w:ascii="Times New Roman" w:hAnsi="Times New Roman" w:eastAsia="宋体" w:cs="Times New Roman"/>
                <w:b w:val="0"/>
                <w:bCs w:val="0"/>
                <w:color w:val="auto"/>
                <w:sz w:val="24"/>
                <w:vertAlign w:val="superscript"/>
                <w:lang w:val="en-US" w:eastAsia="zh-CN"/>
              </w:rPr>
              <w:t>3</w:t>
            </w:r>
            <w:r>
              <w:rPr>
                <w:rFonts w:hint="default" w:ascii="Times New Roman" w:hAnsi="Times New Roman" w:eastAsia="宋体" w:cs="Times New Roman"/>
                <w:b w:val="0"/>
                <w:bCs w:val="0"/>
                <w:color w:val="auto"/>
                <w:sz w:val="24"/>
                <w:lang w:val="en-US" w:eastAsia="zh-CN"/>
              </w:rPr>
              <w:t>，单位产品非甲烷总烃排放量为0.</w:t>
            </w:r>
            <w:r>
              <w:rPr>
                <w:rFonts w:hint="eastAsia" w:cs="Times New Roman"/>
                <w:b w:val="0"/>
                <w:bCs w:val="0"/>
                <w:color w:val="auto"/>
                <w:sz w:val="24"/>
                <w:lang w:val="en-US" w:eastAsia="zh-CN"/>
              </w:rPr>
              <w:t>171</w:t>
            </w:r>
            <w:r>
              <w:rPr>
                <w:rFonts w:hint="default" w:ascii="Times New Roman" w:hAnsi="Times New Roman" w:eastAsia="宋体" w:cs="Times New Roman"/>
                <w:b w:val="0"/>
                <w:bCs w:val="0"/>
                <w:color w:val="auto"/>
                <w:sz w:val="24"/>
                <w:lang w:val="en-US" w:eastAsia="zh-CN"/>
              </w:rPr>
              <w:t>kg/t-产品，可满足《合成树脂工业污染物排放标准》（GB31572-2015）（含2024年修改单）中表5中相关限值要求。</w:t>
            </w:r>
          </w:p>
          <w:p w14:paraId="33435D0D">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（2）无组织废气</w:t>
            </w:r>
          </w:p>
          <w:p w14:paraId="7935326D">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b w:val="0"/>
                <w:bCs w:val="0"/>
                <w:color w:val="auto"/>
                <w:sz w:val="24"/>
                <w:lang w:val="en-US" w:eastAsia="zh-CN"/>
              </w:rPr>
              <w:t>项目粉碎、挤出造粒等生产工序均设置于生产车间内，无组织废气排放量较小，且大多沉降在车间内。项目运营期无组织废气影响区域主要为项目区，厂界可达标排放。</w:t>
            </w:r>
          </w:p>
          <w:p w14:paraId="2C5F1D2F">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bCs/>
                <w:color w:val="auto"/>
                <w:kern w:val="2"/>
                <w:sz w:val="24"/>
                <w:szCs w:val="24"/>
                <w:lang w:val="en-US" w:eastAsia="zh-CN" w:bidi="ar-SA"/>
              </w:rPr>
              <w:t>3.废气治理设施</w:t>
            </w:r>
            <w:r>
              <w:rPr>
                <w:rFonts w:hint="eastAsia" w:ascii="Times New Roman" w:hAnsi="Times New Roman" w:cs="Times New Roman"/>
                <w:b/>
                <w:bCs/>
                <w:color w:val="auto"/>
                <w:kern w:val="2"/>
                <w:sz w:val="24"/>
                <w:szCs w:val="24"/>
                <w:lang w:val="en-US" w:eastAsia="zh-CN" w:bidi="ar-SA"/>
              </w:rPr>
              <w:t>处理</w:t>
            </w:r>
            <w:r>
              <w:rPr>
                <w:rFonts w:hint="default" w:ascii="Times New Roman" w:hAnsi="Times New Roman" w:eastAsia="宋体" w:cs="Times New Roman"/>
                <w:b/>
                <w:bCs/>
                <w:color w:val="auto"/>
                <w:kern w:val="2"/>
                <w:sz w:val="24"/>
                <w:szCs w:val="24"/>
                <w:lang w:val="en-US" w:eastAsia="zh-CN" w:bidi="ar-SA"/>
              </w:rPr>
              <w:t>可行性分析</w:t>
            </w:r>
          </w:p>
          <w:p w14:paraId="302A6119">
            <w:pPr>
              <w:keepNext/>
              <w:keepLines/>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lang w:val="en-US" w:eastAsia="zh-CN"/>
              </w:rPr>
            </w:pPr>
            <w:r>
              <w:rPr>
                <w:rFonts w:hint="default" w:ascii="Times New Roman" w:hAnsi="Times New Roman" w:cs="Times New Roman"/>
                <w:color w:val="auto"/>
                <w:sz w:val="24"/>
                <w:lang w:val="en-US" w:eastAsia="zh-CN"/>
              </w:rPr>
              <w:t>（</w:t>
            </w:r>
            <w:r>
              <w:rPr>
                <w:rFonts w:hint="eastAsia" w:cs="Times New Roman"/>
                <w:color w:val="auto"/>
                <w:sz w:val="24"/>
                <w:lang w:val="en-US" w:eastAsia="zh-CN"/>
              </w:rPr>
              <w:t>1</w:t>
            </w:r>
            <w:r>
              <w:rPr>
                <w:rFonts w:hint="default" w:ascii="Times New Roman" w:hAnsi="Times New Roman" w:cs="Times New Roman"/>
                <w:color w:val="auto"/>
                <w:sz w:val="24"/>
                <w:lang w:val="en-US" w:eastAsia="zh-CN"/>
              </w:rPr>
              <w:t>）废气</w:t>
            </w:r>
            <w:r>
              <w:rPr>
                <w:rFonts w:hint="eastAsia" w:ascii="Times New Roman" w:hAnsi="Times New Roman" w:cs="Times New Roman"/>
                <w:color w:val="auto"/>
                <w:sz w:val="24"/>
                <w:lang w:val="en-US" w:eastAsia="zh-CN"/>
              </w:rPr>
              <w:t>处理</w:t>
            </w:r>
            <w:r>
              <w:rPr>
                <w:rFonts w:hint="default" w:ascii="Times New Roman" w:hAnsi="Times New Roman" w:cs="Times New Roman"/>
                <w:color w:val="auto"/>
                <w:sz w:val="24"/>
                <w:lang w:val="en-US" w:eastAsia="zh-CN"/>
              </w:rPr>
              <w:t>可行性分析</w:t>
            </w:r>
          </w:p>
          <w:p w14:paraId="75E90DEE">
            <w:pPr>
              <w:keepNext/>
              <w:keepLines/>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根据《合成树脂工业污染物排放标准》（GB31572-2015）（含 2024 年修改单），执行下列污染控制要求。</w:t>
            </w:r>
          </w:p>
          <w:p w14:paraId="4E13834B">
            <w:pPr>
              <w:keepNext/>
              <w:keepLines/>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A.合成树脂企业产生大气污染物的生产工艺和装置需设立局部或整体气体收集系统和净化处理装置，达标排放。排气筒高度应按环境影响评价要求确定，且至少不低于 15m。</w:t>
            </w:r>
          </w:p>
          <w:p w14:paraId="36A5F6DC">
            <w:pPr>
              <w:keepNext/>
              <w:keepLines/>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B.废气收集系统需满足以下要求：</w:t>
            </w:r>
          </w:p>
          <w:p w14:paraId="571F0AEF">
            <w:pPr>
              <w:keepNext/>
              <w:keepLines/>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a）生产设施应采用密闭式，并具有与废气收集系统有效连接的部件或装置。</w:t>
            </w:r>
          </w:p>
          <w:p w14:paraId="792E5CE2">
            <w:pPr>
              <w:keepNext/>
              <w:keepLines/>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b）根据生产工艺、操作方式以及废气性质、处理和处置方法，设置不同的废气收集系统，尽可能对废气进行分质收集，各个废气收集系统均应实现压力损失平衡以及较高的收集效率。</w:t>
            </w:r>
          </w:p>
          <w:p w14:paraId="452875D5">
            <w:pPr>
              <w:keepNext/>
              <w:keepLines/>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c）废气收集系统应综合考虑防火、防爆、防腐蚀、耐高温、防结、防堵塞等问题。</w:t>
            </w:r>
          </w:p>
          <w:p w14:paraId="460A345E">
            <w:pPr>
              <w:keepNext/>
              <w:keepLines/>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根据《排污许可证申请与核发技术规范 废弃资源加工工业》（HJ 1034-2019）附录 A 表 A.1 废弃资源加工工业排污单位废气污染防治可行技术</w:t>
            </w:r>
            <w:r>
              <w:rPr>
                <w:rFonts w:hint="eastAsia" w:cs="Times New Roman"/>
                <w:color w:val="auto"/>
                <w:sz w:val="24"/>
                <w:lang w:val="en-US" w:eastAsia="zh-CN"/>
              </w:rPr>
              <w:t>与</w:t>
            </w:r>
            <w:r>
              <w:rPr>
                <w:rFonts w:hint="default" w:ascii="Times New Roman" w:hAnsi="Times New Roman" w:eastAsia="宋体" w:cs="Times New Roman"/>
                <w:color w:val="auto"/>
                <w:sz w:val="24"/>
                <w:lang w:val="en-US" w:eastAsia="zh-CN"/>
              </w:rPr>
              <w:t>本项目各废气处理技术对比，均属于可行技术，具体如下表所示：</w:t>
            </w:r>
          </w:p>
          <w:p w14:paraId="2297CB58">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表4-4  推荐可行技术与本项目废气治理措施对比一览表</w:t>
            </w:r>
          </w:p>
          <w:tbl>
            <w:tblPr>
              <w:tblStyle w:val="34"/>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63"/>
              <w:gridCol w:w="1754"/>
              <w:gridCol w:w="1325"/>
              <w:gridCol w:w="1889"/>
              <w:gridCol w:w="1505"/>
              <w:gridCol w:w="890"/>
            </w:tblGrid>
            <w:tr w14:paraId="6C50DE3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3595" w:type="pct"/>
                  <w:gridSpan w:val="4"/>
                  <w:tcBorders>
                    <w:tl2br w:val="nil"/>
                    <w:tr2bl w:val="nil"/>
                  </w:tcBorders>
                  <w:noWrap w:val="0"/>
                  <w:vAlign w:val="center"/>
                </w:tcPr>
                <w:p w14:paraId="3EBE3E6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表A.</w:t>
                  </w: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 xml:space="preserve"> 排污单位废气污染防治可行技术</w:t>
                  </w:r>
                </w:p>
              </w:tc>
              <w:tc>
                <w:tcPr>
                  <w:tcW w:w="1404" w:type="pct"/>
                  <w:gridSpan w:val="2"/>
                  <w:tcBorders>
                    <w:tl2br w:val="nil"/>
                    <w:tr2bl w:val="nil"/>
                  </w:tcBorders>
                  <w:noWrap w:val="0"/>
                  <w:vAlign w:val="center"/>
                </w:tcPr>
                <w:p w14:paraId="7969FB3D">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本项目</w:t>
                  </w:r>
                </w:p>
              </w:tc>
            </w:tr>
            <w:tr w14:paraId="0FCF38E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82" w:type="pct"/>
                  <w:tcBorders>
                    <w:tl2br w:val="nil"/>
                    <w:tr2bl w:val="nil"/>
                  </w:tcBorders>
                  <w:noWrap w:val="0"/>
                  <w:vAlign w:val="center"/>
                </w:tcPr>
                <w:p w14:paraId="395DDE75">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cs="Times New Roman"/>
                      <w:b w:val="0"/>
                      <w:bCs w:val="0"/>
                      <w:color w:val="auto"/>
                      <w:sz w:val="21"/>
                      <w:szCs w:val="21"/>
                      <w:highlight w:val="none"/>
                      <w:vertAlign w:val="baseline"/>
                      <w:lang w:val="en-US" w:eastAsia="zh-CN"/>
                    </w:rPr>
                    <w:t>生产单元</w:t>
                  </w:r>
                </w:p>
              </w:tc>
              <w:tc>
                <w:tcPr>
                  <w:tcW w:w="1028" w:type="pct"/>
                  <w:tcBorders>
                    <w:tl2br w:val="nil"/>
                    <w:tr2bl w:val="nil"/>
                  </w:tcBorders>
                  <w:noWrap w:val="0"/>
                  <w:vAlign w:val="center"/>
                </w:tcPr>
                <w:p w14:paraId="29CFB139">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cs="Times New Roman"/>
                      <w:b w:val="0"/>
                      <w:bCs w:val="0"/>
                      <w:color w:val="auto"/>
                      <w:sz w:val="21"/>
                      <w:szCs w:val="21"/>
                      <w:highlight w:val="none"/>
                      <w:vertAlign w:val="baseline"/>
                      <w:lang w:val="en-US" w:eastAsia="zh-CN"/>
                    </w:rPr>
                    <w:t>主要生产设施名称</w:t>
                  </w:r>
                </w:p>
              </w:tc>
              <w:tc>
                <w:tcPr>
                  <w:tcW w:w="776" w:type="pct"/>
                  <w:tcBorders>
                    <w:tl2br w:val="nil"/>
                    <w:tr2bl w:val="nil"/>
                  </w:tcBorders>
                  <w:noWrap w:val="0"/>
                  <w:vAlign w:val="center"/>
                </w:tcPr>
                <w:p w14:paraId="7A76D42E">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大气污染物</w:t>
                  </w:r>
                </w:p>
              </w:tc>
              <w:tc>
                <w:tcPr>
                  <w:tcW w:w="1107" w:type="pct"/>
                  <w:tcBorders>
                    <w:tl2br w:val="nil"/>
                    <w:tr2bl w:val="nil"/>
                  </w:tcBorders>
                  <w:noWrap w:val="0"/>
                  <w:vAlign w:val="center"/>
                </w:tcPr>
                <w:p w14:paraId="6A594567">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推荐可行技术</w:t>
                  </w:r>
                </w:p>
              </w:tc>
              <w:tc>
                <w:tcPr>
                  <w:tcW w:w="882" w:type="pct"/>
                  <w:tcBorders>
                    <w:tl2br w:val="nil"/>
                    <w:tr2bl w:val="nil"/>
                  </w:tcBorders>
                  <w:noWrap w:val="0"/>
                  <w:vAlign w:val="center"/>
                </w:tcPr>
                <w:p w14:paraId="2DB60F5B">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本项目治理措施</w:t>
                  </w:r>
                </w:p>
              </w:tc>
              <w:tc>
                <w:tcPr>
                  <w:tcW w:w="521" w:type="pct"/>
                  <w:tcBorders>
                    <w:tl2br w:val="nil"/>
                    <w:tr2bl w:val="nil"/>
                  </w:tcBorders>
                  <w:noWrap w:val="0"/>
                  <w:vAlign w:val="center"/>
                </w:tcPr>
                <w:p w14:paraId="48EAB00B">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可行性</w:t>
                  </w:r>
                </w:p>
              </w:tc>
            </w:tr>
            <w:tr w14:paraId="513694A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82" w:type="pct"/>
                  <w:tcBorders>
                    <w:tl2br w:val="nil"/>
                    <w:tr2bl w:val="nil"/>
                  </w:tcBorders>
                  <w:noWrap w:val="0"/>
                  <w:vAlign w:val="center"/>
                </w:tcPr>
                <w:p w14:paraId="65BC23C7">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干法破碎</w:t>
                  </w:r>
                </w:p>
              </w:tc>
              <w:tc>
                <w:tcPr>
                  <w:tcW w:w="1028" w:type="pct"/>
                  <w:tcBorders>
                    <w:tl2br w:val="nil"/>
                    <w:tr2bl w:val="nil"/>
                  </w:tcBorders>
                  <w:noWrap w:val="0"/>
                  <w:vAlign w:val="center"/>
                </w:tcPr>
                <w:p w14:paraId="0F6A13C2">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破碎机</w:t>
                  </w:r>
                </w:p>
              </w:tc>
              <w:tc>
                <w:tcPr>
                  <w:tcW w:w="776" w:type="pct"/>
                  <w:tcBorders>
                    <w:tl2br w:val="nil"/>
                    <w:tr2bl w:val="nil"/>
                  </w:tcBorders>
                  <w:noWrap w:val="0"/>
                  <w:vAlign w:val="center"/>
                </w:tcPr>
                <w:p w14:paraId="77762A6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颗粒物</w:t>
                  </w:r>
                </w:p>
              </w:tc>
              <w:tc>
                <w:tcPr>
                  <w:tcW w:w="1107" w:type="pct"/>
                  <w:tcBorders>
                    <w:tl2br w:val="nil"/>
                    <w:tr2bl w:val="nil"/>
                  </w:tcBorders>
                  <w:noWrap w:val="0"/>
                  <w:vAlign w:val="center"/>
                </w:tcPr>
                <w:p w14:paraId="6B5101EB">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喷淋降尘，布袋除尘，喷淋降尘+布袋除尘</w:t>
                  </w:r>
                </w:p>
              </w:tc>
              <w:tc>
                <w:tcPr>
                  <w:tcW w:w="882" w:type="pct"/>
                  <w:tcBorders>
                    <w:tl2br w:val="nil"/>
                    <w:tr2bl w:val="nil"/>
                  </w:tcBorders>
                  <w:noWrap w:val="0"/>
                  <w:vAlign w:val="center"/>
                </w:tcPr>
                <w:p w14:paraId="16E9E6C9">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布袋除尘</w:t>
                  </w:r>
                </w:p>
              </w:tc>
              <w:tc>
                <w:tcPr>
                  <w:tcW w:w="521" w:type="pct"/>
                  <w:tcBorders>
                    <w:tl2br w:val="nil"/>
                    <w:tr2bl w:val="nil"/>
                  </w:tcBorders>
                  <w:noWrap w:val="0"/>
                  <w:vAlign w:val="center"/>
                </w:tcPr>
                <w:p w14:paraId="5B136919">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可行</w:t>
                  </w:r>
                </w:p>
              </w:tc>
            </w:tr>
            <w:tr w14:paraId="1944ED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82" w:type="pct"/>
                  <w:tcBorders>
                    <w:tl2br w:val="nil"/>
                    <w:tr2bl w:val="nil"/>
                  </w:tcBorders>
                  <w:noWrap w:val="0"/>
                  <w:vAlign w:val="center"/>
                </w:tcPr>
                <w:p w14:paraId="53290487">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熔融挤出（造粒）</w:t>
                  </w:r>
                </w:p>
              </w:tc>
              <w:tc>
                <w:tcPr>
                  <w:tcW w:w="1028" w:type="pct"/>
                  <w:tcBorders>
                    <w:tl2br w:val="nil"/>
                    <w:tr2bl w:val="nil"/>
                  </w:tcBorders>
                  <w:noWrap w:val="0"/>
                  <w:vAlign w:val="center"/>
                </w:tcPr>
                <w:p w14:paraId="53466F8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热熔机</w:t>
                  </w:r>
                </w:p>
              </w:tc>
              <w:tc>
                <w:tcPr>
                  <w:tcW w:w="776" w:type="pct"/>
                  <w:tcBorders>
                    <w:tl2br w:val="nil"/>
                    <w:tr2bl w:val="nil"/>
                  </w:tcBorders>
                  <w:noWrap w:val="0"/>
                  <w:vAlign w:val="center"/>
                </w:tcPr>
                <w:p w14:paraId="775DCB1B">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非甲烷总烃</w:t>
                  </w:r>
                </w:p>
              </w:tc>
              <w:tc>
                <w:tcPr>
                  <w:tcW w:w="1107" w:type="pct"/>
                  <w:tcBorders>
                    <w:tl2br w:val="nil"/>
                    <w:tr2bl w:val="nil"/>
                  </w:tcBorders>
                  <w:noWrap w:val="0"/>
                  <w:vAlign w:val="center"/>
                </w:tcPr>
                <w:p w14:paraId="4B8745F0">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高温焚烧，催化燃烧，活性炭吸附</w:t>
                  </w:r>
                </w:p>
              </w:tc>
              <w:tc>
                <w:tcPr>
                  <w:tcW w:w="882" w:type="pct"/>
                  <w:tcBorders>
                    <w:tl2br w:val="nil"/>
                    <w:tr2bl w:val="nil"/>
                  </w:tcBorders>
                  <w:noWrap w:val="0"/>
                  <w:vAlign w:val="center"/>
                </w:tcPr>
                <w:p w14:paraId="50029C37">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olor w:val="auto"/>
                      <w:spacing w:val="9"/>
                      <w:sz w:val="20"/>
                      <w:szCs w:val="20"/>
                      <w:lang w:eastAsia="zh-CN"/>
                    </w:rPr>
                    <w:t>二级</w:t>
                  </w:r>
                  <w:r>
                    <w:rPr>
                      <w:rFonts w:hint="default"/>
                      <w:color w:val="auto"/>
                      <w:spacing w:val="9"/>
                      <w:sz w:val="20"/>
                      <w:szCs w:val="20"/>
                    </w:rPr>
                    <w:t>活性炭吸附</w:t>
                  </w:r>
                </w:p>
              </w:tc>
              <w:tc>
                <w:tcPr>
                  <w:tcW w:w="521" w:type="pct"/>
                  <w:tcBorders>
                    <w:tl2br w:val="nil"/>
                    <w:tr2bl w:val="nil"/>
                  </w:tcBorders>
                  <w:noWrap w:val="0"/>
                  <w:vAlign w:val="center"/>
                </w:tcPr>
                <w:p w14:paraId="249036C6">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可行</w:t>
                  </w:r>
                </w:p>
              </w:tc>
            </w:tr>
          </w:tbl>
          <w:p w14:paraId="2485D982">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由上表可知，企业采取的废气治理设施均为可行性技术。</w:t>
            </w:r>
          </w:p>
          <w:p w14:paraId="663DB13A">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项目粉碎过程中产生的颗粒物经集气罩收集后引至布袋除尘器处理后经15m高排气筒（DA001）排放；项目挤出造粒工序产生的非甲烷总烃经</w:t>
            </w:r>
            <w:r>
              <w:rPr>
                <w:rFonts w:hint="eastAsia" w:cs="Times New Roman"/>
                <w:color w:val="auto"/>
                <w:sz w:val="24"/>
                <w:lang w:val="en-US" w:eastAsia="zh-CN"/>
              </w:rPr>
              <w:t>集气系统</w:t>
            </w:r>
            <w:r>
              <w:rPr>
                <w:rFonts w:hint="default" w:ascii="Times New Roman" w:hAnsi="Times New Roman" w:eastAsia="宋体" w:cs="Times New Roman"/>
                <w:color w:val="auto"/>
                <w:sz w:val="24"/>
                <w:lang w:val="en-US" w:eastAsia="zh-CN"/>
              </w:rPr>
              <w:t>收集后引至二级活性炭处理装置处理后经15m高排气筒（DA002）排放。项目废气经收集处理后可满足《合成树脂工业污染物排放标准》（GB31572-2015）表5中相关标准要求，能够保证废气的达标排放。</w:t>
            </w:r>
          </w:p>
          <w:p w14:paraId="625FA6B9">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本次环评活性炭吸附装置要求：</w:t>
            </w:r>
            <w:r>
              <w:rPr>
                <w:rFonts w:hint="default" w:ascii="Times New Roman" w:hAnsi="Times New Roman" w:eastAsia="宋体" w:cs="Times New Roman"/>
                <w:color w:val="auto"/>
                <w:kern w:val="2"/>
                <w:sz w:val="24"/>
                <w:szCs w:val="24"/>
                <w:lang w:val="en-US" w:eastAsia="zh-CN" w:bidi="ar-SA"/>
              </w:rPr>
              <w:t>为了最大程度保证活性炭吸附净化效率，本次环评要求建设单位严格按照《铸造工业大气污染防治可行技术指南》（HJ1292-2023）吸附技术要求以及《吸附法工业有机废气治理工程技术规范》（HJ2026-2013）相关要求</w:t>
            </w:r>
            <w:r>
              <w:rPr>
                <w:rFonts w:hint="eastAsia" w:cs="Times New Roman"/>
                <w:color w:val="auto"/>
                <w:kern w:val="2"/>
                <w:sz w:val="24"/>
                <w:szCs w:val="24"/>
                <w:lang w:val="en-US" w:eastAsia="zh-CN" w:bidi="ar-SA"/>
              </w:rPr>
              <w:t>实施</w:t>
            </w:r>
            <w:r>
              <w:rPr>
                <w:rFonts w:hint="default" w:ascii="Times New Roman" w:hAnsi="Times New Roman" w:eastAsia="宋体" w:cs="Times New Roman"/>
                <w:color w:val="auto"/>
                <w:kern w:val="2"/>
                <w:sz w:val="24"/>
                <w:szCs w:val="24"/>
                <w:lang w:val="en-US" w:eastAsia="zh-CN" w:bidi="ar-SA"/>
              </w:rPr>
              <w:t>建设，即活性炭吸附采用双层以上吸附床，蜂窝活性炭横向抗压强度应不低于0.9MPa，纵向强度应不低于0.4MPa，过滤气体流速低于1.2m/</w:t>
            </w:r>
            <w:r>
              <w:rPr>
                <w:rFonts w:hint="eastAsia" w:cs="Times New Roman"/>
                <w:color w:val="auto"/>
                <w:kern w:val="2"/>
                <w:sz w:val="24"/>
                <w:szCs w:val="24"/>
                <w:lang w:val="en-US" w:eastAsia="zh-CN" w:bidi="ar-SA"/>
              </w:rPr>
              <w:t>s</w:t>
            </w:r>
            <w:r>
              <w:rPr>
                <w:rFonts w:hint="default" w:ascii="Times New Roman" w:hAnsi="Times New Roman" w:eastAsia="宋体" w:cs="Times New Roman"/>
                <w:color w:val="auto"/>
                <w:kern w:val="2"/>
                <w:sz w:val="24"/>
                <w:szCs w:val="24"/>
                <w:lang w:val="en-US" w:eastAsia="zh-CN" w:bidi="ar-SA"/>
              </w:rPr>
              <w:t>，活性炭BET比表面积不低于750m</w:t>
            </w:r>
            <w:r>
              <w:rPr>
                <w:rFonts w:hint="default" w:ascii="Times New Roman" w:hAnsi="Times New Roman" w:eastAsia="宋体" w:cs="Times New Roman"/>
                <w:color w:val="auto"/>
                <w:kern w:val="2"/>
                <w:sz w:val="24"/>
                <w:szCs w:val="24"/>
                <w:vertAlign w:val="superscript"/>
                <w:lang w:val="en-US" w:eastAsia="zh-CN" w:bidi="ar-SA"/>
              </w:rPr>
              <w:t>2</w:t>
            </w:r>
            <w:r>
              <w:rPr>
                <w:rFonts w:hint="default" w:ascii="Times New Roman" w:hAnsi="Times New Roman" w:eastAsia="宋体" w:cs="Times New Roman"/>
                <w:color w:val="auto"/>
                <w:kern w:val="2"/>
                <w:sz w:val="24"/>
                <w:szCs w:val="24"/>
                <w:lang w:val="en-US" w:eastAsia="zh-CN" w:bidi="ar-SA"/>
              </w:rPr>
              <w:t>/g。</w:t>
            </w:r>
          </w:p>
          <w:p w14:paraId="716BDF67">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同时，</w:t>
            </w:r>
            <w:r>
              <w:rPr>
                <w:rFonts w:hint="eastAsia" w:cs="Times New Roman"/>
                <w:color w:val="auto"/>
                <w:kern w:val="2"/>
                <w:sz w:val="24"/>
                <w:szCs w:val="24"/>
                <w:lang w:val="en-US" w:eastAsia="zh-CN" w:bidi="ar-SA"/>
              </w:rPr>
              <w:t>参照</w:t>
            </w:r>
            <w:r>
              <w:rPr>
                <w:rFonts w:hint="default" w:ascii="Times New Roman" w:hAnsi="Times New Roman" w:eastAsia="宋体" w:cs="Times New Roman"/>
                <w:color w:val="auto"/>
                <w:kern w:val="2"/>
                <w:sz w:val="24"/>
                <w:szCs w:val="24"/>
                <w:lang w:val="en-US" w:eastAsia="zh-CN" w:bidi="ar-SA"/>
              </w:rPr>
              <w:t>活性炭的设计中有效吸附量为0.3kg/kg活性炭</w:t>
            </w:r>
            <w:r>
              <w:rPr>
                <w:rFonts w:hint="eastAsia" w:cs="Times New Roman"/>
                <w:color w:val="auto"/>
                <w:kern w:val="2"/>
                <w:sz w:val="24"/>
                <w:szCs w:val="24"/>
                <w:lang w:val="en-US" w:eastAsia="zh-CN" w:bidi="ar-SA"/>
              </w:rPr>
              <w:t>，本项目废气处理活性炭用量为10.72，</w:t>
            </w:r>
            <w:r>
              <w:rPr>
                <w:rFonts w:hint="default" w:ascii="Times New Roman" w:hAnsi="Times New Roman" w:eastAsia="宋体" w:cs="Times New Roman"/>
                <w:color w:val="auto"/>
                <w:kern w:val="2"/>
                <w:sz w:val="24"/>
                <w:szCs w:val="24"/>
                <w:lang w:val="en-US" w:eastAsia="zh-CN" w:bidi="ar-SA"/>
              </w:rPr>
              <w:t>为了预防可能出现的活性炭吸附效率显著下降导致的非正常排放</w:t>
            </w:r>
            <w:r>
              <w:rPr>
                <w:rFonts w:hint="eastAsia"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环评</w:t>
            </w:r>
            <w:r>
              <w:rPr>
                <w:rFonts w:hint="eastAsia" w:cs="Times New Roman"/>
                <w:color w:val="auto"/>
                <w:kern w:val="2"/>
                <w:sz w:val="24"/>
                <w:szCs w:val="24"/>
                <w:lang w:val="en-US" w:eastAsia="zh-CN" w:bidi="ar-SA"/>
              </w:rPr>
              <w:t>建议，本项目废气处理设施应由专业设备厂家提供，并根据本项目废气处理情况进行设计，明确活性炭更换周期，</w:t>
            </w:r>
            <w:r>
              <w:rPr>
                <w:rFonts w:hint="default" w:ascii="Times New Roman" w:hAnsi="Times New Roman" w:eastAsia="宋体" w:cs="Times New Roman"/>
                <w:color w:val="auto"/>
                <w:sz w:val="24"/>
                <w:lang w:val="en-US" w:eastAsia="zh-CN"/>
              </w:rPr>
              <w:t>二级活性炭处理装置</w:t>
            </w:r>
            <w:r>
              <w:rPr>
                <w:rFonts w:hint="eastAsia" w:cs="Times New Roman"/>
                <w:color w:val="auto"/>
                <w:sz w:val="24"/>
                <w:lang w:val="en-US" w:eastAsia="zh-CN"/>
              </w:rPr>
              <w:t>中</w:t>
            </w:r>
            <w:r>
              <w:rPr>
                <w:rFonts w:hint="eastAsia" w:cs="Times New Roman"/>
                <w:color w:val="auto"/>
                <w:kern w:val="2"/>
                <w:sz w:val="24"/>
                <w:szCs w:val="24"/>
                <w:lang w:val="en-US" w:eastAsia="zh-CN" w:bidi="ar-SA"/>
              </w:rPr>
              <w:t>单次</w:t>
            </w:r>
            <w:r>
              <w:rPr>
                <w:rFonts w:hint="default" w:ascii="Times New Roman" w:hAnsi="Times New Roman" w:eastAsia="宋体" w:cs="Times New Roman"/>
                <w:color w:val="auto"/>
                <w:kern w:val="2"/>
                <w:sz w:val="24"/>
                <w:szCs w:val="24"/>
                <w:lang w:val="en-US" w:eastAsia="zh-CN" w:bidi="ar-SA"/>
              </w:rPr>
              <w:t>活性炭</w:t>
            </w:r>
            <w:r>
              <w:rPr>
                <w:rFonts w:hint="eastAsia" w:cs="Times New Roman"/>
                <w:color w:val="auto"/>
                <w:kern w:val="2"/>
                <w:sz w:val="24"/>
                <w:szCs w:val="24"/>
                <w:lang w:val="en-US" w:eastAsia="zh-CN" w:bidi="ar-SA"/>
              </w:rPr>
              <w:t>填充量不低于2.68t，每三个月更换一次</w:t>
            </w:r>
            <w:r>
              <w:rPr>
                <w:rFonts w:hint="default" w:ascii="Times New Roman" w:hAnsi="Times New Roman" w:eastAsia="宋体" w:cs="Times New Roman"/>
                <w:color w:val="auto"/>
                <w:kern w:val="2"/>
                <w:sz w:val="24"/>
                <w:szCs w:val="24"/>
                <w:lang w:val="en-US" w:eastAsia="zh-CN" w:bidi="ar-SA"/>
              </w:rPr>
              <w:t>。建设单位应建立废气处理设施活性炭更换记录档案，如实记录活性炭更换时间、更换量、废活性炭去向等信息，活性炭更换记录应由专人填写，妥善保管，随时备查；废活性炭应在危险废物暂存间妥善暂存，定期交有资质单位进行处理，并严格落实危险废物转移五联单制度。</w:t>
            </w:r>
          </w:p>
          <w:p w14:paraId="5766C735">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4.非正常工况废气</w:t>
            </w:r>
          </w:p>
          <w:p w14:paraId="76C06258">
            <w:pPr>
              <w:keepNext/>
              <w:keepLines/>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本项目非正常情况主要是停电或设备开停、检修时，环保装置未提前开启，造成废气超标排放，以最不利情况下废气处理系统净化效率为零考虑，源强最大的时段废气排放0.5h对周围环境的影响，具体见下表。</w:t>
            </w:r>
          </w:p>
          <w:p w14:paraId="791FA772">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表4-5   非正常工况废气排放情况一览表</w:t>
            </w:r>
          </w:p>
          <w:tbl>
            <w:tblPr>
              <w:tblStyle w:val="34"/>
              <w:tblW w:w="4916"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039"/>
              <w:gridCol w:w="1317"/>
              <w:gridCol w:w="952"/>
              <w:gridCol w:w="884"/>
              <w:gridCol w:w="1085"/>
              <w:gridCol w:w="1217"/>
              <w:gridCol w:w="851"/>
              <w:gridCol w:w="1042"/>
            </w:tblGrid>
            <w:tr w14:paraId="2F7E42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619" w:type="pct"/>
                  <w:tcBorders>
                    <w:tl2br w:val="nil"/>
                    <w:tr2bl w:val="nil"/>
                  </w:tcBorders>
                  <w:noWrap w:val="0"/>
                  <w:vAlign w:val="center"/>
                </w:tcPr>
                <w:p w14:paraId="76CC2C84">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废气污染源</w:t>
                  </w:r>
                </w:p>
              </w:tc>
              <w:tc>
                <w:tcPr>
                  <w:tcW w:w="785" w:type="pct"/>
                  <w:tcBorders>
                    <w:tl2br w:val="nil"/>
                    <w:tr2bl w:val="nil"/>
                  </w:tcBorders>
                  <w:noWrap w:val="0"/>
                  <w:vAlign w:val="center"/>
                </w:tcPr>
                <w:p w14:paraId="5632D931">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非正常排放原因</w:t>
                  </w:r>
                </w:p>
              </w:tc>
              <w:tc>
                <w:tcPr>
                  <w:tcW w:w="567" w:type="pct"/>
                  <w:tcBorders>
                    <w:tl2br w:val="nil"/>
                    <w:tr2bl w:val="nil"/>
                  </w:tcBorders>
                  <w:noWrap w:val="0"/>
                  <w:vAlign w:val="center"/>
                </w:tcPr>
                <w:p w14:paraId="50E3B3AA">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污染物种类</w:t>
                  </w:r>
                </w:p>
              </w:tc>
              <w:tc>
                <w:tcPr>
                  <w:tcW w:w="526" w:type="pct"/>
                  <w:tcBorders>
                    <w:tl2br w:val="nil"/>
                    <w:tr2bl w:val="nil"/>
                  </w:tcBorders>
                  <w:noWrap w:val="0"/>
                  <w:vAlign w:val="center"/>
                </w:tcPr>
                <w:p w14:paraId="5451B7F3">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非正常频次</w:t>
                  </w:r>
                </w:p>
              </w:tc>
              <w:tc>
                <w:tcPr>
                  <w:tcW w:w="646" w:type="pct"/>
                  <w:tcBorders>
                    <w:tl2br w:val="nil"/>
                    <w:tr2bl w:val="nil"/>
                  </w:tcBorders>
                  <w:noWrap w:val="0"/>
                  <w:vAlign w:val="center"/>
                </w:tcPr>
                <w:p w14:paraId="0DD18975">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排放速率（kg/h）</w:t>
                  </w:r>
                </w:p>
              </w:tc>
              <w:tc>
                <w:tcPr>
                  <w:tcW w:w="725" w:type="pct"/>
                  <w:tcBorders>
                    <w:tl2br w:val="nil"/>
                    <w:tr2bl w:val="nil"/>
                  </w:tcBorders>
                  <w:noWrap w:val="0"/>
                  <w:vAlign w:val="center"/>
                </w:tcPr>
                <w:p w14:paraId="28CD2876">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排放浓度</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vertAlign w:val="baseline"/>
                      <w:lang w:val="en-US" w:eastAsia="zh-CN"/>
                    </w:rPr>
                    <w:t>）</w:t>
                  </w:r>
                </w:p>
              </w:tc>
              <w:tc>
                <w:tcPr>
                  <w:tcW w:w="507" w:type="pct"/>
                  <w:tcBorders>
                    <w:tl2br w:val="nil"/>
                    <w:tr2bl w:val="nil"/>
                  </w:tcBorders>
                  <w:noWrap w:val="0"/>
                  <w:vAlign w:val="center"/>
                </w:tcPr>
                <w:p w14:paraId="055B71D7">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排放量（kg）</w:t>
                  </w:r>
                </w:p>
              </w:tc>
              <w:tc>
                <w:tcPr>
                  <w:tcW w:w="621" w:type="pct"/>
                  <w:tcBorders>
                    <w:tl2br w:val="nil"/>
                    <w:tr2bl w:val="nil"/>
                  </w:tcBorders>
                  <w:noWrap w:val="0"/>
                  <w:vAlign w:val="center"/>
                </w:tcPr>
                <w:p w14:paraId="4902C37D">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持续时间（h）</w:t>
                  </w:r>
                </w:p>
              </w:tc>
            </w:tr>
            <w:tr w14:paraId="501F933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92" w:hRule="atLeast"/>
                <w:jc w:val="center"/>
              </w:trPr>
              <w:tc>
                <w:tcPr>
                  <w:tcW w:w="619" w:type="pct"/>
                  <w:tcBorders>
                    <w:tl2br w:val="nil"/>
                    <w:tr2bl w:val="nil"/>
                  </w:tcBorders>
                  <w:noWrap w:val="0"/>
                  <w:vAlign w:val="center"/>
                </w:tcPr>
                <w:p w14:paraId="1F99E0F2">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粉碎</w:t>
                  </w:r>
                </w:p>
              </w:tc>
              <w:tc>
                <w:tcPr>
                  <w:tcW w:w="785" w:type="pct"/>
                  <w:vMerge w:val="restart"/>
                  <w:tcBorders>
                    <w:tl2br w:val="nil"/>
                    <w:tr2bl w:val="nil"/>
                  </w:tcBorders>
                  <w:noWrap w:val="0"/>
                  <w:vAlign w:val="center"/>
                </w:tcPr>
                <w:p w14:paraId="2A9C1D9A">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集气系统、废气治理</w:t>
                  </w:r>
                  <w:r>
                    <w:rPr>
                      <w:rFonts w:hint="default" w:ascii="Times New Roman" w:hAnsi="Times New Roman" w:cs="Times New Roman"/>
                      <w:color w:val="auto"/>
                      <w:sz w:val="21"/>
                      <w:szCs w:val="21"/>
                      <w:vertAlign w:val="baseline"/>
                      <w:lang w:val="en-US" w:eastAsia="zh-CN"/>
                    </w:rPr>
                    <w:t>设施</w:t>
                  </w:r>
                  <w:r>
                    <w:rPr>
                      <w:rFonts w:hint="default" w:ascii="Times New Roman" w:hAnsi="Times New Roman" w:eastAsia="宋体" w:cs="Times New Roman"/>
                      <w:color w:val="auto"/>
                      <w:sz w:val="21"/>
                      <w:szCs w:val="21"/>
                      <w:vertAlign w:val="baseline"/>
                      <w:lang w:val="en-US" w:eastAsia="zh-CN"/>
                    </w:rPr>
                    <w:t>故障，处理能力降至0</w:t>
                  </w:r>
                </w:p>
              </w:tc>
              <w:tc>
                <w:tcPr>
                  <w:tcW w:w="567" w:type="pct"/>
                  <w:tcBorders>
                    <w:tl2br w:val="nil"/>
                    <w:tr2bl w:val="nil"/>
                  </w:tcBorders>
                  <w:noWrap w:val="0"/>
                  <w:vAlign w:val="center"/>
                </w:tcPr>
                <w:p w14:paraId="679CAC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526" w:type="pct"/>
                  <w:tcBorders>
                    <w:tl2br w:val="nil"/>
                    <w:tr2bl w:val="nil"/>
                  </w:tcBorders>
                  <w:noWrap w:val="0"/>
                  <w:vAlign w:val="center"/>
                </w:tcPr>
                <w:p w14:paraId="4F0C2A33">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646" w:type="pct"/>
                  <w:tcBorders>
                    <w:tl2br w:val="nil"/>
                    <w:tr2bl w:val="nil"/>
                  </w:tcBorders>
                  <w:noWrap w:val="0"/>
                  <w:vAlign w:val="center"/>
                </w:tcPr>
                <w:p w14:paraId="07458A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0.709</w:t>
                  </w:r>
                </w:p>
              </w:tc>
              <w:tc>
                <w:tcPr>
                  <w:tcW w:w="725" w:type="pct"/>
                  <w:tcBorders>
                    <w:tl2br w:val="nil"/>
                    <w:tr2bl w:val="nil"/>
                  </w:tcBorders>
                  <w:noWrap w:val="0"/>
                  <w:vAlign w:val="center"/>
                </w:tcPr>
                <w:p w14:paraId="6E5574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60.27</w:t>
                  </w:r>
                </w:p>
              </w:tc>
              <w:tc>
                <w:tcPr>
                  <w:tcW w:w="507" w:type="pct"/>
                  <w:tcBorders>
                    <w:tl2br w:val="nil"/>
                    <w:tr2bl w:val="nil"/>
                  </w:tcBorders>
                  <w:noWrap w:val="0"/>
                  <w:vAlign w:val="center"/>
                </w:tcPr>
                <w:p w14:paraId="2FB098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vertAlign w:val="baseline"/>
                      <w:lang w:val="en-US" w:eastAsia="zh-CN"/>
                    </w:rPr>
                  </w:pPr>
                  <w:r>
                    <w:rPr>
                      <w:rFonts w:hint="eastAsia" w:cs="Times New Roman"/>
                      <w:i w:val="0"/>
                      <w:iCs w:val="0"/>
                      <w:color w:val="auto"/>
                      <w:kern w:val="0"/>
                      <w:sz w:val="21"/>
                      <w:szCs w:val="21"/>
                      <w:u w:val="none"/>
                      <w:lang w:val="en-US" w:eastAsia="zh-CN" w:bidi="ar"/>
                    </w:rPr>
                    <w:t>0.355</w:t>
                  </w:r>
                </w:p>
              </w:tc>
              <w:tc>
                <w:tcPr>
                  <w:tcW w:w="621" w:type="pct"/>
                  <w:tcBorders>
                    <w:tl2br w:val="nil"/>
                    <w:tr2bl w:val="nil"/>
                  </w:tcBorders>
                  <w:noWrap w:val="0"/>
                  <w:vAlign w:val="center"/>
                </w:tcPr>
                <w:p w14:paraId="4F5A91B2">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w:t>
                  </w:r>
                </w:p>
              </w:tc>
            </w:tr>
            <w:tr w14:paraId="5B9E520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619" w:type="pct"/>
                  <w:tcBorders>
                    <w:tl2br w:val="nil"/>
                    <w:tr2bl w:val="nil"/>
                  </w:tcBorders>
                  <w:noWrap w:val="0"/>
                  <w:vAlign w:val="center"/>
                </w:tcPr>
                <w:p w14:paraId="76D7BAAA">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热熔挤出</w:t>
                  </w:r>
                </w:p>
              </w:tc>
              <w:tc>
                <w:tcPr>
                  <w:tcW w:w="785" w:type="pct"/>
                  <w:vMerge w:val="continue"/>
                  <w:tcBorders>
                    <w:tl2br w:val="nil"/>
                    <w:tr2bl w:val="nil"/>
                  </w:tcBorders>
                  <w:noWrap w:val="0"/>
                  <w:vAlign w:val="center"/>
                </w:tcPr>
                <w:p w14:paraId="60EB42D4">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567" w:type="pct"/>
                  <w:tcBorders>
                    <w:tl2br w:val="nil"/>
                    <w:tr2bl w:val="nil"/>
                  </w:tcBorders>
                  <w:noWrap w:val="0"/>
                  <w:vAlign w:val="center"/>
                </w:tcPr>
                <w:p w14:paraId="344EC6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color w:val="auto"/>
                      <w:spacing w:val="7"/>
                      <w:sz w:val="20"/>
                      <w:szCs w:val="20"/>
                    </w:rPr>
                    <w:t>非甲烷总烃</w:t>
                  </w:r>
                </w:p>
              </w:tc>
              <w:tc>
                <w:tcPr>
                  <w:tcW w:w="526" w:type="pct"/>
                  <w:tcBorders>
                    <w:tl2br w:val="nil"/>
                    <w:tr2bl w:val="nil"/>
                  </w:tcBorders>
                  <w:noWrap w:val="0"/>
                  <w:vAlign w:val="center"/>
                </w:tcPr>
                <w:p w14:paraId="2CED07DB">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646" w:type="pct"/>
                  <w:tcBorders>
                    <w:tl2br w:val="nil"/>
                    <w:tr2bl w:val="nil"/>
                  </w:tcBorders>
                  <w:noWrap w:val="0"/>
                  <w:vAlign w:val="center"/>
                </w:tcPr>
                <w:p w14:paraId="4D1AA0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1.331</w:t>
                  </w:r>
                </w:p>
              </w:tc>
              <w:tc>
                <w:tcPr>
                  <w:tcW w:w="725" w:type="pct"/>
                  <w:tcBorders>
                    <w:tl2br w:val="nil"/>
                    <w:tr2bl w:val="nil"/>
                  </w:tcBorders>
                  <w:noWrap w:val="0"/>
                  <w:vAlign w:val="center"/>
                </w:tcPr>
                <w:p w14:paraId="377BE16A">
                  <w:pPr>
                    <w:keepNext w:val="0"/>
                    <w:keepLines w:val="0"/>
                    <w:widowControl/>
                    <w:suppressLineNumbers w:val="0"/>
                    <w:spacing w:before="0" w:beforeAutospacing="0" w:after="0" w:afterAutospacing="0"/>
                    <w:ind w:left="0" w:right="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266.11</w:t>
                  </w:r>
                </w:p>
              </w:tc>
              <w:tc>
                <w:tcPr>
                  <w:tcW w:w="507" w:type="pct"/>
                  <w:tcBorders>
                    <w:tl2br w:val="nil"/>
                    <w:tr2bl w:val="nil"/>
                  </w:tcBorders>
                  <w:noWrap w:val="0"/>
                  <w:vAlign w:val="center"/>
                </w:tcPr>
                <w:p w14:paraId="1FB5F7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0.666</w:t>
                  </w:r>
                </w:p>
              </w:tc>
              <w:tc>
                <w:tcPr>
                  <w:tcW w:w="621" w:type="pct"/>
                  <w:tcBorders>
                    <w:tl2br w:val="nil"/>
                    <w:tr2bl w:val="nil"/>
                  </w:tcBorders>
                  <w:noWrap w:val="0"/>
                  <w:vAlign w:val="center"/>
                </w:tcPr>
                <w:p w14:paraId="71F1606F">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w:t>
                  </w:r>
                </w:p>
              </w:tc>
            </w:tr>
          </w:tbl>
          <w:p w14:paraId="1D2E36E9">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黑体" w:cs="Times New Roman"/>
                <w:bCs/>
                <w:color w:val="auto"/>
                <w:sz w:val="24"/>
                <w:szCs w:val="28"/>
                <w:lang w:val="en-US" w:eastAsia="zh-CN"/>
              </w:rPr>
            </w:pPr>
            <w:r>
              <w:rPr>
                <w:rFonts w:hint="default" w:ascii="Times New Roman" w:hAnsi="Times New Roman" w:eastAsia="宋体" w:cs="Times New Roman"/>
                <w:color w:val="auto"/>
                <w:sz w:val="24"/>
                <w:szCs w:val="24"/>
                <w:lang w:val="en-US" w:eastAsia="zh-CN"/>
              </w:rPr>
              <w:t>由上表可知，非正常工况下排气筒的排放浓度远大于正常工况下，甚至会超过标准限值，对周边大气环境影响加大。为防止生产废气非正常工况排放，建设单位必须加强废气处理设施的管理，定期检修，确保废气处理设施正常运行，在废气处理设施出现故障或停止运行时，产生废气的各工序也必须相应停止生产，杜绝废气非正常排放。</w:t>
            </w:r>
          </w:p>
          <w:p w14:paraId="448FCBEA">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5.环境影响分析</w:t>
            </w:r>
          </w:p>
          <w:p w14:paraId="4D9C7FD6">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黑体" w:cs="Times New Roman"/>
                <w:bCs/>
                <w:color w:val="auto"/>
                <w:sz w:val="24"/>
                <w:szCs w:val="28"/>
                <w:lang w:val="en-US" w:eastAsia="zh-CN"/>
              </w:rPr>
            </w:pPr>
            <w:r>
              <w:rPr>
                <w:rFonts w:hint="default" w:ascii="Times New Roman" w:hAnsi="Times New Roman" w:eastAsia="宋体" w:cs="Times New Roman"/>
                <w:color w:val="auto"/>
                <w:sz w:val="24"/>
                <w:szCs w:val="24"/>
                <w:lang w:val="en-US" w:eastAsia="zh-CN"/>
              </w:rPr>
              <w:t>项目位于二类环境空气质量功能区</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项目所在地区域环境空气为不达标区，经现场踏勘，项目厂界外500米范围内的</w:t>
            </w:r>
            <w:r>
              <w:rPr>
                <w:rFonts w:hint="eastAsia" w:cs="Times New Roman"/>
                <w:color w:val="auto"/>
                <w:sz w:val="24"/>
                <w:szCs w:val="24"/>
                <w:lang w:val="en-US" w:eastAsia="zh-CN"/>
              </w:rPr>
              <w:t>无</w:t>
            </w:r>
            <w:r>
              <w:rPr>
                <w:rFonts w:hint="default" w:ascii="Times New Roman" w:hAnsi="Times New Roman" w:eastAsia="宋体" w:cs="Times New Roman"/>
                <w:color w:val="auto"/>
                <w:sz w:val="24"/>
                <w:szCs w:val="24"/>
                <w:lang w:val="en-US" w:eastAsia="zh-CN"/>
              </w:rPr>
              <w:t>大气环境保护目标。本项目废气污染物产生量较小，污染程度较轻，项目废气污染物主要为颗粒物及非甲烷总烃。经计算，项目运营期产生的废气污染物经相应的污染治理措施处理后可满足相应标准</w:t>
            </w:r>
            <w:r>
              <w:rPr>
                <w:rFonts w:hint="eastAsia" w:cs="Times New Roman"/>
                <w:color w:val="auto"/>
                <w:sz w:val="24"/>
                <w:szCs w:val="24"/>
                <w:lang w:val="en-US" w:eastAsia="zh-CN"/>
              </w:rPr>
              <w:t>要求，达标排放</w:t>
            </w:r>
            <w:r>
              <w:rPr>
                <w:rFonts w:hint="default" w:ascii="Times New Roman" w:hAnsi="Times New Roman" w:eastAsia="宋体" w:cs="Times New Roman"/>
                <w:color w:val="auto"/>
                <w:sz w:val="24"/>
                <w:szCs w:val="24"/>
                <w:lang w:val="en-US" w:eastAsia="zh-CN"/>
              </w:rPr>
              <w:t>。项目废气排放对周围大气环境影响较小，不会改变环境功能区</w:t>
            </w:r>
            <w:r>
              <w:rPr>
                <w:rFonts w:hint="eastAsia" w:cs="Times New Roman"/>
                <w:color w:val="auto"/>
                <w:sz w:val="24"/>
                <w:szCs w:val="24"/>
                <w:lang w:val="en-US" w:eastAsia="zh-CN"/>
              </w:rPr>
              <w:t>。</w:t>
            </w:r>
          </w:p>
          <w:p w14:paraId="0EC07FEA">
            <w:pPr>
              <w:keepNext/>
              <w:keepLines/>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outlineLvl w:val="1"/>
              <w:rPr>
                <w:rFonts w:hint="default" w:ascii="Times New Roman" w:hAnsi="Times New Roman" w:eastAsia="宋体" w:cs="Times New Roman"/>
                <w:bCs/>
                <w:color w:val="auto"/>
                <w:sz w:val="24"/>
                <w:szCs w:val="24"/>
              </w:rPr>
            </w:pPr>
            <w:r>
              <w:rPr>
                <w:rFonts w:hint="default" w:ascii="Times New Roman" w:hAnsi="Times New Roman" w:eastAsia="宋体" w:cs="Times New Roman"/>
                <w:b/>
                <w:bCs/>
                <w:color w:val="auto"/>
                <w:kern w:val="2"/>
                <w:sz w:val="24"/>
                <w:szCs w:val="24"/>
                <w:lang w:val="en-US" w:eastAsia="zh-CN" w:bidi="ar-SA"/>
              </w:rPr>
              <w:t>6.监测计划</w:t>
            </w:r>
          </w:p>
          <w:p w14:paraId="3E00EC76">
            <w:pPr>
              <w:keepNext/>
              <w:keepLines/>
              <w:widowControl/>
              <w:suppressLineNumbers w:val="0"/>
              <w:adjustRightInd w:val="0"/>
              <w:snapToGrid w:val="0"/>
              <w:spacing w:before="0" w:beforeAutospacing="0" w:after="0" w:afterAutospacing="0" w:line="360" w:lineRule="auto"/>
              <w:ind w:left="0" w:right="0" w:firstLine="480" w:firstLineChars="200"/>
              <w:jc w:val="left"/>
              <w:outlineLvl w:val="1"/>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项目运营后的环境监测工作可委托有资质监测单位进行，并做好监测数据的报告和存档，</w:t>
            </w:r>
            <w:r>
              <w:rPr>
                <w:rFonts w:hint="default" w:ascii="Times New Roman" w:hAnsi="Times New Roman" w:eastAsia="宋体" w:cs="Times New Roman"/>
                <w:color w:val="auto"/>
                <w:sz w:val="24"/>
                <w:szCs w:val="24"/>
              </w:rPr>
              <w:t>根据《排污许可证申请与核发技术规范 总则》（HJ942-2018）和</w:t>
            </w:r>
            <w:r>
              <w:rPr>
                <w:rFonts w:hint="default" w:ascii="Times New Roman" w:hAnsi="Times New Roman" w:eastAsia="宋体" w:cs="Times New Roman"/>
                <w:color w:val="auto"/>
                <w:sz w:val="24"/>
                <w:szCs w:val="24"/>
                <w:lang w:val="en-US" w:eastAsia="zh-CN"/>
              </w:rPr>
              <w:t>《排污许可证申请与核发技术规范 废弃资源加工工业》（HJ 1034-2019）等相关规定要求</w:t>
            </w:r>
            <w:r>
              <w:rPr>
                <w:rFonts w:hint="default" w:ascii="Times New Roman" w:hAnsi="Times New Roman" w:eastAsia="宋体" w:cs="Times New Roman"/>
                <w:color w:val="auto"/>
                <w:sz w:val="24"/>
                <w:szCs w:val="24"/>
              </w:rPr>
              <w:t>，本项目运营期废气监测情况如下：</w:t>
            </w:r>
          </w:p>
          <w:p w14:paraId="1C302227">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表4-6  运营期污染源监测内容及计划</w:t>
            </w:r>
          </w:p>
          <w:tbl>
            <w:tblPr>
              <w:tblStyle w:val="33"/>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6"/>
              <w:gridCol w:w="902"/>
              <w:gridCol w:w="1447"/>
              <w:gridCol w:w="1401"/>
              <w:gridCol w:w="1243"/>
              <w:gridCol w:w="3090"/>
            </w:tblGrid>
            <w:tr w14:paraId="43E0B0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0" w:type="pct"/>
                  <w:gridSpan w:val="2"/>
                  <w:tcBorders>
                    <w:tl2br w:val="nil"/>
                    <w:tr2bl w:val="nil"/>
                  </w:tcBorders>
                  <w:noWrap w:val="0"/>
                  <w:vAlign w:val="center"/>
                </w:tcPr>
                <w:p w14:paraId="723624D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监测要素</w:t>
                  </w:r>
                </w:p>
              </w:tc>
              <w:tc>
                <w:tcPr>
                  <w:tcW w:w="848" w:type="pct"/>
                  <w:tcBorders>
                    <w:tl2br w:val="nil"/>
                    <w:tr2bl w:val="nil"/>
                  </w:tcBorders>
                  <w:noWrap w:val="0"/>
                  <w:vAlign w:val="center"/>
                </w:tcPr>
                <w:p w14:paraId="13499C8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监测点位</w:t>
                  </w:r>
                </w:p>
              </w:tc>
              <w:tc>
                <w:tcPr>
                  <w:tcW w:w="821" w:type="pct"/>
                  <w:tcBorders>
                    <w:tl2br w:val="nil"/>
                    <w:tr2bl w:val="nil"/>
                  </w:tcBorders>
                  <w:noWrap w:val="0"/>
                  <w:vAlign w:val="center"/>
                </w:tcPr>
                <w:p w14:paraId="6A6DC72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监测项目</w:t>
                  </w:r>
                </w:p>
              </w:tc>
              <w:tc>
                <w:tcPr>
                  <w:tcW w:w="729" w:type="pct"/>
                  <w:tcBorders>
                    <w:tl2br w:val="nil"/>
                    <w:tr2bl w:val="nil"/>
                  </w:tcBorders>
                  <w:noWrap w:val="0"/>
                  <w:vAlign w:val="center"/>
                </w:tcPr>
                <w:p w14:paraId="54877E7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监测频次</w:t>
                  </w:r>
                </w:p>
              </w:tc>
              <w:tc>
                <w:tcPr>
                  <w:tcW w:w="1811" w:type="pct"/>
                  <w:tcBorders>
                    <w:tl2br w:val="nil"/>
                    <w:tr2bl w:val="nil"/>
                  </w:tcBorders>
                  <w:noWrap w:val="0"/>
                  <w:vAlign w:val="center"/>
                </w:tcPr>
                <w:p w14:paraId="33D6B22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b/>
                      <w:bCs/>
                      <w:color w:val="auto"/>
                      <w:szCs w:val="21"/>
                    </w:rPr>
                    <w:t>执行标准</w:t>
                  </w:r>
                </w:p>
              </w:tc>
            </w:tr>
            <w:tr w14:paraId="7CFB0E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restart"/>
                  <w:tcBorders>
                    <w:tl2br w:val="nil"/>
                    <w:tr2bl w:val="nil"/>
                  </w:tcBorders>
                  <w:noWrap w:val="0"/>
                  <w:vAlign w:val="center"/>
                </w:tcPr>
                <w:p w14:paraId="3141462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污染源监测</w:t>
                  </w:r>
                </w:p>
              </w:tc>
              <w:tc>
                <w:tcPr>
                  <w:tcW w:w="528" w:type="pct"/>
                  <w:vMerge w:val="restart"/>
                  <w:tcBorders>
                    <w:tl2br w:val="nil"/>
                    <w:tr2bl w:val="nil"/>
                  </w:tcBorders>
                  <w:noWrap w:val="0"/>
                  <w:vAlign w:val="center"/>
                </w:tcPr>
                <w:p w14:paraId="1F55CF3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有组织</w:t>
                  </w:r>
                </w:p>
              </w:tc>
              <w:tc>
                <w:tcPr>
                  <w:tcW w:w="848" w:type="pct"/>
                  <w:tcBorders>
                    <w:tl2br w:val="nil"/>
                    <w:tr2bl w:val="nil"/>
                  </w:tcBorders>
                  <w:noWrap w:val="0"/>
                  <w:vAlign w:val="center"/>
                </w:tcPr>
                <w:p w14:paraId="41788A1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排气筒</w:t>
                  </w:r>
                </w:p>
                <w:p w14:paraId="35F304B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eastAsia" w:cs="Times New Roman"/>
                      <w:color w:val="auto"/>
                      <w:szCs w:val="21"/>
                      <w:lang w:eastAsia="zh-CN"/>
                    </w:rPr>
                    <w:t>(</w:t>
                  </w:r>
                  <w:r>
                    <w:rPr>
                      <w:rFonts w:hint="default" w:ascii="Times New Roman" w:hAnsi="Times New Roman" w:eastAsia="宋体" w:cs="Times New Roman"/>
                      <w:color w:val="auto"/>
                      <w:szCs w:val="21"/>
                    </w:rPr>
                    <w:t>DA001</w:t>
                  </w:r>
                  <w:r>
                    <w:rPr>
                      <w:rFonts w:hint="eastAsia" w:cs="Times New Roman"/>
                      <w:color w:val="auto"/>
                      <w:szCs w:val="21"/>
                      <w:lang w:eastAsia="zh-CN"/>
                    </w:rPr>
                    <w:t>)</w:t>
                  </w:r>
                </w:p>
              </w:tc>
              <w:tc>
                <w:tcPr>
                  <w:tcW w:w="821" w:type="pct"/>
                  <w:tcBorders>
                    <w:tl2br w:val="nil"/>
                    <w:tr2bl w:val="nil"/>
                  </w:tcBorders>
                  <w:noWrap w:val="0"/>
                  <w:vAlign w:val="center"/>
                </w:tcPr>
                <w:p w14:paraId="14B59DA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颗粒物</w:t>
                  </w:r>
                </w:p>
              </w:tc>
              <w:tc>
                <w:tcPr>
                  <w:tcW w:w="729" w:type="pct"/>
                  <w:tcBorders>
                    <w:tl2br w:val="nil"/>
                    <w:tr2bl w:val="nil"/>
                  </w:tcBorders>
                  <w:noWrap w:val="0"/>
                  <w:vAlign w:val="center"/>
                </w:tcPr>
                <w:p w14:paraId="2CB1A0E0">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1次/</w:t>
                  </w:r>
                  <w:r>
                    <w:rPr>
                      <w:rFonts w:hint="eastAsia" w:cs="Times New Roman"/>
                      <w:color w:val="auto"/>
                      <w:szCs w:val="21"/>
                      <w:lang w:eastAsia="zh-CN"/>
                    </w:rPr>
                    <w:t>年</w:t>
                  </w:r>
                </w:p>
              </w:tc>
              <w:tc>
                <w:tcPr>
                  <w:tcW w:w="1811" w:type="pct"/>
                  <w:vMerge w:val="restart"/>
                  <w:tcBorders>
                    <w:tl2br w:val="nil"/>
                    <w:tr2bl w:val="nil"/>
                  </w:tcBorders>
                  <w:noWrap w:val="0"/>
                  <w:vAlign w:val="center"/>
                </w:tcPr>
                <w:p w14:paraId="36DAD05A">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《合成树脂工业污染物排放标准》（GB31572-2015）（含2024 年修改单）</w:t>
                  </w:r>
                </w:p>
              </w:tc>
            </w:tr>
            <w:tr w14:paraId="1DEE9A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continue"/>
                  <w:tcBorders>
                    <w:tl2br w:val="nil"/>
                    <w:tr2bl w:val="nil"/>
                  </w:tcBorders>
                  <w:noWrap w:val="0"/>
                  <w:vAlign w:val="center"/>
                </w:tcPr>
                <w:p w14:paraId="7CFAC18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p>
              </w:tc>
              <w:tc>
                <w:tcPr>
                  <w:tcW w:w="528" w:type="pct"/>
                  <w:vMerge w:val="continue"/>
                  <w:tcBorders>
                    <w:tl2br w:val="nil"/>
                    <w:tr2bl w:val="nil"/>
                  </w:tcBorders>
                  <w:noWrap w:val="0"/>
                  <w:vAlign w:val="center"/>
                </w:tcPr>
                <w:p w14:paraId="15A2927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p>
              </w:tc>
              <w:tc>
                <w:tcPr>
                  <w:tcW w:w="848" w:type="pct"/>
                  <w:tcBorders>
                    <w:tl2br w:val="nil"/>
                    <w:tr2bl w:val="nil"/>
                  </w:tcBorders>
                  <w:noWrap w:val="0"/>
                  <w:vAlign w:val="center"/>
                </w:tcPr>
                <w:p w14:paraId="33DE3A1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排气筒</w:t>
                  </w:r>
                </w:p>
                <w:p w14:paraId="75EA165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eastAsia" w:cs="Times New Roman"/>
                      <w:color w:val="auto"/>
                      <w:szCs w:val="21"/>
                      <w:lang w:eastAsia="zh-CN"/>
                    </w:rPr>
                    <w:t>(</w:t>
                  </w:r>
                  <w:r>
                    <w:rPr>
                      <w:rFonts w:hint="default" w:ascii="Times New Roman" w:hAnsi="Times New Roman" w:eastAsia="宋体" w:cs="Times New Roman"/>
                      <w:color w:val="auto"/>
                      <w:szCs w:val="21"/>
                    </w:rPr>
                    <w:t>DA00</w:t>
                  </w:r>
                  <w:r>
                    <w:rPr>
                      <w:rFonts w:hint="default" w:ascii="Times New Roman" w:hAnsi="Times New Roman" w:cs="Times New Roman"/>
                      <w:color w:val="auto"/>
                      <w:szCs w:val="21"/>
                      <w:lang w:val="en-US" w:eastAsia="zh-CN"/>
                    </w:rPr>
                    <w:t>2</w:t>
                  </w:r>
                  <w:r>
                    <w:rPr>
                      <w:rFonts w:hint="eastAsia" w:cs="Times New Roman"/>
                      <w:color w:val="auto"/>
                      <w:szCs w:val="21"/>
                      <w:lang w:val="en-US" w:eastAsia="zh-CN"/>
                    </w:rPr>
                    <w:t>)</w:t>
                  </w:r>
                </w:p>
              </w:tc>
              <w:tc>
                <w:tcPr>
                  <w:tcW w:w="821" w:type="pct"/>
                  <w:tcBorders>
                    <w:tl2br w:val="nil"/>
                    <w:tr2bl w:val="nil"/>
                  </w:tcBorders>
                  <w:noWrap w:val="0"/>
                  <w:vAlign w:val="top"/>
                </w:tcPr>
                <w:p w14:paraId="6363F95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非甲烷总烃</w:t>
                  </w:r>
                </w:p>
              </w:tc>
              <w:tc>
                <w:tcPr>
                  <w:tcW w:w="729" w:type="pct"/>
                  <w:tcBorders>
                    <w:tl2br w:val="nil"/>
                    <w:tr2bl w:val="nil"/>
                  </w:tcBorders>
                  <w:noWrap w:val="0"/>
                  <w:vAlign w:val="top"/>
                </w:tcPr>
                <w:p w14:paraId="1A47F2B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1次/半年</w:t>
                  </w:r>
                </w:p>
              </w:tc>
              <w:tc>
                <w:tcPr>
                  <w:tcW w:w="1811" w:type="pct"/>
                  <w:vMerge w:val="continue"/>
                  <w:tcBorders>
                    <w:tl2br w:val="nil"/>
                    <w:tr2bl w:val="nil"/>
                  </w:tcBorders>
                  <w:noWrap w:val="0"/>
                  <w:vAlign w:val="center"/>
                </w:tcPr>
                <w:p w14:paraId="5C66A281">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Cs w:val="21"/>
                    </w:rPr>
                  </w:pPr>
                </w:p>
              </w:tc>
            </w:tr>
            <w:tr w14:paraId="1569E2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continue"/>
                  <w:tcBorders>
                    <w:tl2br w:val="nil"/>
                    <w:tr2bl w:val="nil"/>
                  </w:tcBorders>
                  <w:noWrap w:val="0"/>
                  <w:vAlign w:val="center"/>
                </w:tcPr>
                <w:p w14:paraId="6DEAA77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p>
              </w:tc>
              <w:tc>
                <w:tcPr>
                  <w:tcW w:w="528" w:type="pct"/>
                  <w:vMerge w:val="restart"/>
                  <w:tcBorders>
                    <w:tl2br w:val="nil"/>
                    <w:tr2bl w:val="nil"/>
                  </w:tcBorders>
                  <w:noWrap w:val="0"/>
                  <w:vAlign w:val="center"/>
                </w:tcPr>
                <w:p w14:paraId="474E23F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无组织</w:t>
                  </w:r>
                </w:p>
              </w:tc>
              <w:tc>
                <w:tcPr>
                  <w:tcW w:w="848" w:type="pct"/>
                  <w:tcBorders>
                    <w:tl2br w:val="nil"/>
                    <w:tr2bl w:val="nil"/>
                  </w:tcBorders>
                  <w:noWrap w:val="0"/>
                  <w:vAlign w:val="center"/>
                </w:tcPr>
                <w:p w14:paraId="39A99DF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厂区内，厂房外设置监控点</w:t>
                  </w:r>
                </w:p>
              </w:tc>
              <w:tc>
                <w:tcPr>
                  <w:tcW w:w="821" w:type="pct"/>
                  <w:tcBorders>
                    <w:tl2br w:val="nil"/>
                    <w:tr2bl w:val="nil"/>
                  </w:tcBorders>
                  <w:noWrap w:val="0"/>
                  <w:vAlign w:val="center"/>
                </w:tcPr>
                <w:p w14:paraId="1D7D914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非甲烷总烃</w:t>
                  </w:r>
                </w:p>
              </w:tc>
              <w:tc>
                <w:tcPr>
                  <w:tcW w:w="729" w:type="pct"/>
                  <w:tcBorders>
                    <w:tl2br w:val="nil"/>
                    <w:tr2bl w:val="nil"/>
                  </w:tcBorders>
                  <w:noWrap w:val="0"/>
                  <w:vAlign w:val="center"/>
                </w:tcPr>
                <w:p w14:paraId="7349200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1次/a</w:t>
                  </w:r>
                </w:p>
              </w:tc>
              <w:tc>
                <w:tcPr>
                  <w:tcW w:w="1811" w:type="pct"/>
                  <w:tcBorders>
                    <w:tl2br w:val="nil"/>
                    <w:tr2bl w:val="nil"/>
                  </w:tcBorders>
                  <w:noWrap w:val="0"/>
                  <w:vAlign w:val="center"/>
                </w:tcPr>
                <w:p w14:paraId="2D6404DA">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《挥发性有机物无组织排放控制标准》（GB37822-2019）</w:t>
                  </w:r>
                </w:p>
              </w:tc>
            </w:tr>
            <w:tr w14:paraId="2A8EA3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continue"/>
                  <w:tcBorders>
                    <w:tl2br w:val="nil"/>
                    <w:tr2bl w:val="nil"/>
                  </w:tcBorders>
                  <w:noWrap w:val="0"/>
                  <w:vAlign w:val="center"/>
                </w:tcPr>
                <w:p w14:paraId="65BFFDA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p>
              </w:tc>
              <w:tc>
                <w:tcPr>
                  <w:tcW w:w="528" w:type="pct"/>
                  <w:vMerge w:val="continue"/>
                  <w:tcBorders>
                    <w:tl2br w:val="nil"/>
                    <w:tr2bl w:val="nil"/>
                  </w:tcBorders>
                  <w:noWrap w:val="0"/>
                  <w:vAlign w:val="center"/>
                </w:tcPr>
                <w:p w14:paraId="73AA306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p>
              </w:tc>
              <w:tc>
                <w:tcPr>
                  <w:tcW w:w="848" w:type="pct"/>
                  <w:vMerge w:val="restart"/>
                  <w:tcBorders>
                    <w:tl2br w:val="nil"/>
                    <w:tr2bl w:val="nil"/>
                  </w:tcBorders>
                  <w:noWrap w:val="0"/>
                  <w:vAlign w:val="center"/>
                </w:tcPr>
                <w:p w14:paraId="439AC62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厂界，上风向1个点，下风向3个点</w:t>
                  </w:r>
                </w:p>
              </w:tc>
              <w:tc>
                <w:tcPr>
                  <w:tcW w:w="821" w:type="pct"/>
                  <w:tcBorders>
                    <w:tl2br w:val="nil"/>
                    <w:tr2bl w:val="nil"/>
                  </w:tcBorders>
                  <w:noWrap w:val="0"/>
                  <w:vAlign w:val="center"/>
                </w:tcPr>
                <w:p w14:paraId="18C753E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颗粒物</w:t>
                  </w:r>
                </w:p>
              </w:tc>
              <w:tc>
                <w:tcPr>
                  <w:tcW w:w="729" w:type="pct"/>
                  <w:tcBorders>
                    <w:tl2br w:val="nil"/>
                    <w:tr2bl w:val="nil"/>
                  </w:tcBorders>
                  <w:noWrap w:val="0"/>
                  <w:vAlign w:val="center"/>
                </w:tcPr>
                <w:p w14:paraId="240EF72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w:t>
                  </w:r>
                  <w:r>
                    <w:rPr>
                      <w:rFonts w:hint="default" w:ascii="Times New Roman" w:hAnsi="Times New Roman" w:eastAsia="宋体" w:cs="Times New Roman"/>
                      <w:color w:val="auto"/>
                      <w:szCs w:val="21"/>
                      <w:lang w:val="en-US" w:eastAsia="zh-CN"/>
                    </w:rPr>
                    <w:t>年</w:t>
                  </w:r>
                </w:p>
              </w:tc>
              <w:tc>
                <w:tcPr>
                  <w:tcW w:w="1811" w:type="pct"/>
                  <w:vMerge w:val="restart"/>
                  <w:tcBorders>
                    <w:tl2br w:val="nil"/>
                    <w:tr2bl w:val="nil"/>
                  </w:tcBorders>
                  <w:noWrap w:val="0"/>
                  <w:vAlign w:val="center"/>
                </w:tcPr>
                <w:p w14:paraId="0B17F7E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《合成树脂工业污染物排放标准》（GB31572-2015）（含2024 年修改单）</w:t>
                  </w:r>
                </w:p>
              </w:tc>
            </w:tr>
            <w:tr w14:paraId="68B802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continue"/>
                  <w:tcBorders>
                    <w:tl2br w:val="nil"/>
                    <w:tr2bl w:val="nil"/>
                  </w:tcBorders>
                  <w:noWrap w:val="0"/>
                  <w:vAlign w:val="center"/>
                </w:tcPr>
                <w:p w14:paraId="3002E98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p>
              </w:tc>
              <w:tc>
                <w:tcPr>
                  <w:tcW w:w="528" w:type="pct"/>
                  <w:vMerge w:val="continue"/>
                  <w:tcBorders>
                    <w:tl2br w:val="nil"/>
                    <w:tr2bl w:val="nil"/>
                  </w:tcBorders>
                  <w:noWrap w:val="0"/>
                  <w:vAlign w:val="center"/>
                </w:tcPr>
                <w:p w14:paraId="5703951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p>
              </w:tc>
              <w:tc>
                <w:tcPr>
                  <w:tcW w:w="848" w:type="pct"/>
                  <w:vMerge w:val="continue"/>
                  <w:tcBorders>
                    <w:tl2br w:val="nil"/>
                    <w:tr2bl w:val="nil"/>
                  </w:tcBorders>
                  <w:noWrap w:val="0"/>
                  <w:vAlign w:val="center"/>
                </w:tcPr>
                <w:p w14:paraId="1BAABA9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p>
              </w:tc>
              <w:tc>
                <w:tcPr>
                  <w:tcW w:w="821" w:type="pct"/>
                  <w:tcBorders>
                    <w:tl2br w:val="nil"/>
                    <w:tr2bl w:val="nil"/>
                  </w:tcBorders>
                  <w:noWrap w:val="0"/>
                  <w:vAlign w:val="center"/>
                </w:tcPr>
                <w:p w14:paraId="3C06BA4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非甲烷总烃</w:t>
                  </w:r>
                </w:p>
              </w:tc>
              <w:tc>
                <w:tcPr>
                  <w:tcW w:w="729" w:type="pct"/>
                  <w:tcBorders>
                    <w:tl2br w:val="nil"/>
                    <w:tr2bl w:val="nil"/>
                  </w:tcBorders>
                  <w:noWrap w:val="0"/>
                  <w:vAlign w:val="center"/>
                </w:tcPr>
                <w:p w14:paraId="646EE7F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w:t>
                  </w:r>
                  <w:r>
                    <w:rPr>
                      <w:rFonts w:hint="default" w:ascii="Times New Roman" w:hAnsi="Times New Roman" w:eastAsia="宋体" w:cs="Times New Roman"/>
                      <w:color w:val="auto"/>
                      <w:szCs w:val="21"/>
                      <w:lang w:val="en-US" w:eastAsia="zh-CN"/>
                    </w:rPr>
                    <w:t>年</w:t>
                  </w:r>
                </w:p>
              </w:tc>
              <w:tc>
                <w:tcPr>
                  <w:tcW w:w="1811" w:type="pct"/>
                  <w:vMerge w:val="continue"/>
                  <w:tcBorders>
                    <w:tl2br w:val="nil"/>
                    <w:tr2bl w:val="nil"/>
                  </w:tcBorders>
                  <w:noWrap w:val="0"/>
                  <w:vAlign w:val="center"/>
                </w:tcPr>
                <w:p w14:paraId="1F751BC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r>
          </w:tbl>
          <w:p w14:paraId="664BCF75">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outlineLvl w:val="1"/>
              <w:rPr>
                <w:rFonts w:hint="default" w:ascii="Times New Roman" w:hAnsi="Times New Roman" w:eastAsia="黑体" w:cs="Times New Roman"/>
                <w:bCs/>
                <w:color w:val="auto"/>
                <w:sz w:val="24"/>
                <w:szCs w:val="28"/>
              </w:rPr>
            </w:pPr>
            <w:r>
              <w:rPr>
                <w:rFonts w:hint="default" w:ascii="Times New Roman" w:hAnsi="Times New Roman" w:eastAsia="宋体" w:cs="Times New Roman"/>
                <w:b/>
                <w:bCs/>
                <w:color w:val="auto"/>
                <w:kern w:val="2"/>
                <w:sz w:val="28"/>
                <w:szCs w:val="28"/>
                <w:lang w:val="en-US" w:eastAsia="zh-CN" w:bidi="ar-SA"/>
              </w:rPr>
              <w:t>二、运营期废水环境影响和保护措施</w:t>
            </w:r>
          </w:p>
          <w:p w14:paraId="44B08991">
            <w:pPr>
              <w:keepNext/>
              <w:keepLines/>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outlineLvl w:val="1"/>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1.废水污染物产生情况</w:t>
            </w:r>
          </w:p>
          <w:p w14:paraId="615F2BFF">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表4-7   废水污染物产生情况一览表</w:t>
            </w:r>
          </w:p>
          <w:tbl>
            <w:tblPr>
              <w:tblStyle w:val="34"/>
              <w:tblW w:w="8535"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068"/>
              <w:gridCol w:w="1042"/>
              <w:gridCol w:w="1116"/>
              <w:gridCol w:w="917"/>
              <w:gridCol w:w="667"/>
              <w:gridCol w:w="1083"/>
              <w:gridCol w:w="1127"/>
              <w:gridCol w:w="871"/>
            </w:tblGrid>
            <w:tr w14:paraId="14ACCC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44" w:type="dxa"/>
                  <w:tcBorders>
                    <w:tl2br w:val="nil"/>
                    <w:tr2bl w:val="nil"/>
                  </w:tcBorders>
                  <w:vAlign w:val="center"/>
                </w:tcPr>
                <w:p w14:paraId="54055A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lang w:val="en-US" w:eastAsia="zh-CN" w:bidi="ar"/>
                    </w:rPr>
                    <w:t>类别</w:t>
                  </w:r>
                </w:p>
              </w:tc>
              <w:tc>
                <w:tcPr>
                  <w:tcW w:w="1068" w:type="dxa"/>
                  <w:tcBorders>
                    <w:tl2br w:val="nil"/>
                    <w:tr2bl w:val="nil"/>
                  </w:tcBorders>
                  <w:vAlign w:val="center"/>
                </w:tcPr>
                <w:p w14:paraId="1A7DA8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lang w:val="en-US" w:eastAsia="zh-CN" w:bidi="ar"/>
                    </w:rPr>
                    <w:t>产污环节</w:t>
                  </w:r>
                </w:p>
              </w:tc>
              <w:tc>
                <w:tcPr>
                  <w:tcW w:w="1042" w:type="dxa"/>
                  <w:tcBorders>
                    <w:tl2br w:val="nil"/>
                    <w:tr2bl w:val="nil"/>
                  </w:tcBorders>
                  <w:vAlign w:val="center"/>
                </w:tcPr>
                <w:p w14:paraId="76B09F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lang w:val="en-US" w:eastAsia="zh-CN" w:bidi="ar"/>
                    </w:rPr>
                    <w:t>污染物种类</w:t>
                  </w:r>
                </w:p>
              </w:tc>
              <w:tc>
                <w:tcPr>
                  <w:tcW w:w="1116" w:type="dxa"/>
                  <w:tcBorders>
                    <w:tl2br w:val="nil"/>
                    <w:tr2bl w:val="nil"/>
                  </w:tcBorders>
                  <w:vAlign w:val="center"/>
                </w:tcPr>
                <w:p w14:paraId="724176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产生浓度（mg/L）</w:t>
                  </w:r>
                </w:p>
              </w:tc>
              <w:tc>
                <w:tcPr>
                  <w:tcW w:w="917" w:type="dxa"/>
                  <w:tcBorders>
                    <w:tl2br w:val="nil"/>
                    <w:tr2bl w:val="nil"/>
                  </w:tcBorders>
                  <w:vAlign w:val="center"/>
                </w:tcPr>
                <w:p w14:paraId="636F8C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lang w:val="en-US" w:eastAsia="zh-CN" w:bidi="ar"/>
                    </w:rPr>
                    <w:t>产生量（t/a）</w:t>
                  </w:r>
                </w:p>
              </w:tc>
              <w:tc>
                <w:tcPr>
                  <w:tcW w:w="667" w:type="dxa"/>
                  <w:tcBorders>
                    <w:tl2br w:val="nil"/>
                    <w:tr2bl w:val="nil"/>
                  </w:tcBorders>
                  <w:vAlign w:val="center"/>
                </w:tcPr>
                <w:p w14:paraId="5D7B64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处理方法</w:t>
                  </w:r>
                </w:p>
              </w:tc>
              <w:tc>
                <w:tcPr>
                  <w:tcW w:w="1083" w:type="dxa"/>
                  <w:tcBorders>
                    <w:tl2br w:val="nil"/>
                    <w:tr2bl w:val="nil"/>
                  </w:tcBorders>
                  <w:vAlign w:val="center"/>
                </w:tcPr>
                <w:p w14:paraId="76C957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cs="Times New Roman"/>
                      <w:b w:val="0"/>
                      <w:bCs w:val="0"/>
                      <w:color w:val="auto"/>
                      <w:kern w:val="0"/>
                      <w:sz w:val="21"/>
                      <w:szCs w:val="21"/>
                      <w:lang w:val="en-US" w:eastAsia="zh-CN" w:bidi="ar"/>
                    </w:rPr>
                    <w:t>排放</w:t>
                  </w:r>
                  <w:r>
                    <w:rPr>
                      <w:rFonts w:hint="default" w:ascii="Times New Roman" w:hAnsi="Times New Roman" w:eastAsia="宋体" w:cs="Times New Roman"/>
                      <w:b w:val="0"/>
                      <w:bCs w:val="0"/>
                      <w:color w:val="auto"/>
                      <w:kern w:val="0"/>
                      <w:sz w:val="21"/>
                      <w:szCs w:val="21"/>
                      <w:lang w:val="en-US" w:eastAsia="zh-CN" w:bidi="ar"/>
                    </w:rPr>
                    <w:t>浓度（mg/L）</w:t>
                  </w:r>
                </w:p>
              </w:tc>
              <w:tc>
                <w:tcPr>
                  <w:tcW w:w="1127" w:type="dxa"/>
                  <w:tcBorders>
                    <w:tl2br w:val="nil"/>
                    <w:tr2bl w:val="nil"/>
                  </w:tcBorders>
                  <w:vAlign w:val="center"/>
                </w:tcPr>
                <w:p w14:paraId="67D64A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cs="Times New Roman"/>
                      <w:b w:val="0"/>
                      <w:bCs w:val="0"/>
                      <w:color w:val="auto"/>
                      <w:kern w:val="0"/>
                      <w:sz w:val="21"/>
                      <w:szCs w:val="21"/>
                      <w:lang w:val="en-US" w:eastAsia="zh-CN" w:bidi="ar"/>
                    </w:rPr>
                    <w:t>排放</w:t>
                  </w:r>
                  <w:r>
                    <w:rPr>
                      <w:rFonts w:hint="default" w:ascii="Times New Roman" w:hAnsi="Times New Roman" w:eastAsia="宋体" w:cs="Times New Roman"/>
                      <w:b w:val="0"/>
                      <w:bCs w:val="0"/>
                      <w:color w:val="auto"/>
                      <w:kern w:val="0"/>
                      <w:sz w:val="21"/>
                      <w:szCs w:val="21"/>
                      <w:lang w:val="en-US" w:eastAsia="zh-CN" w:bidi="ar"/>
                    </w:rPr>
                    <w:t>量（t/a）</w:t>
                  </w:r>
                </w:p>
              </w:tc>
              <w:tc>
                <w:tcPr>
                  <w:tcW w:w="871" w:type="dxa"/>
                  <w:tcBorders>
                    <w:tl2br w:val="nil"/>
                    <w:tr2bl w:val="nil"/>
                  </w:tcBorders>
                  <w:vAlign w:val="center"/>
                </w:tcPr>
                <w:p w14:paraId="1A6A63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排放去向</w:t>
                  </w:r>
                </w:p>
              </w:tc>
            </w:tr>
            <w:tr w14:paraId="382AE1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644" w:type="dxa"/>
                  <w:vMerge w:val="restart"/>
                  <w:tcBorders>
                    <w:tl2br w:val="nil"/>
                    <w:tr2bl w:val="nil"/>
                  </w:tcBorders>
                  <w:vAlign w:val="center"/>
                </w:tcPr>
                <w:p w14:paraId="3FEBE0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生活污水</w:t>
                  </w:r>
                </w:p>
              </w:tc>
              <w:tc>
                <w:tcPr>
                  <w:tcW w:w="1068" w:type="dxa"/>
                  <w:vMerge w:val="restart"/>
                  <w:tcBorders>
                    <w:tl2br w:val="nil"/>
                    <w:tr2bl w:val="nil"/>
                  </w:tcBorders>
                  <w:vAlign w:val="center"/>
                </w:tcPr>
                <w:p w14:paraId="617918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生活污水</w:t>
                  </w:r>
                  <w:r>
                    <w:rPr>
                      <w:rFonts w:hint="eastAsia" w:cs="Times New Roman"/>
                      <w:i w:val="0"/>
                      <w:iCs w:val="0"/>
                      <w:color w:val="auto"/>
                      <w:kern w:val="0"/>
                      <w:sz w:val="21"/>
                      <w:szCs w:val="21"/>
                      <w:u w:val="none"/>
                      <w:lang w:val="en-US" w:eastAsia="zh-CN" w:bidi="ar"/>
                    </w:rPr>
                    <w:t>（50.4t）</w:t>
                  </w:r>
                </w:p>
              </w:tc>
              <w:tc>
                <w:tcPr>
                  <w:tcW w:w="1042" w:type="dxa"/>
                  <w:tcBorders>
                    <w:tl2br w:val="nil"/>
                    <w:tr2bl w:val="nil"/>
                  </w:tcBorders>
                  <w:shd w:val="clear" w:color="auto" w:fill="auto"/>
                  <w:vAlign w:val="center"/>
                </w:tcPr>
                <w:p w14:paraId="4FD8ED90">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COD</w:t>
                  </w:r>
                </w:p>
              </w:tc>
              <w:tc>
                <w:tcPr>
                  <w:tcW w:w="1116" w:type="dxa"/>
                  <w:tcBorders>
                    <w:tl2br w:val="nil"/>
                    <w:tr2bl w:val="nil"/>
                  </w:tcBorders>
                  <w:shd w:val="clear" w:color="auto" w:fill="auto"/>
                  <w:vAlign w:val="center"/>
                </w:tcPr>
                <w:p w14:paraId="5071C780">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460</w:t>
                  </w:r>
                </w:p>
              </w:tc>
              <w:tc>
                <w:tcPr>
                  <w:tcW w:w="917" w:type="dxa"/>
                  <w:tcBorders>
                    <w:tl2br w:val="nil"/>
                    <w:tr2bl w:val="nil"/>
                  </w:tcBorders>
                  <w:shd w:val="clear" w:color="auto" w:fill="auto"/>
                  <w:vAlign w:val="center"/>
                </w:tcPr>
                <w:p w14:paraId="7DE5B7CD">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0.023</w:t>
                  </w:r>
                </w:p>
              </w:tc>
              <w:tc>
                <w:tcPr>
                  <w:tcW w:w="667" w:type="dxa"/>
                  <w:vMerge w:val="restart"/>
                  <w:tcBorders>
                    <w:tl2br w:val="nil"/>
                    <w:tr2bl w:val="nil"/>
                  </w:tcBorders>
                  <w:shd w:val="clear" w:color="auto" w:fill="auto"/>
                  <w:vAlign w:val="center"/>
                </w:tcPr>
                <w:p w14:paraId="1E9DB530">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化粪池</w:t>
                  </w:r>
                </w:p>
              </w:tc>
              <w:tc>
                <w:tcPr>
                  <w:tcW w:w="1083" w:type="dxa"/>
                  <w:tcBorders>
                    <w:tl2br w:val="nil"/>
                    <w:tr2bl w:val="nil"/>
                  </w:tcBorders>
                  <w:shd w:val="clear" w:color="auto" w:fill="auto"/>
                  <w:vAlign w:val="center"/>
                </w:tcPr>
                <w:p w14:paraId="12A51BE4">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391</w:t>
                  </w:r>
                </w:p>
              </w:tc>
              <w:tc>
                <w:tcPr>
                  <w:tcW w:w="1127" w:type="dxa"/>
                  <w:tcBorders>
                    <w:tl2br w:val="nil"/>
                    <w:tr2bl w:val="nil"/>
                  </w:tcBorders>
                  <w:shd w:val="clear" w:color="auto" w:fill="auto"/>
                  <w:vAlign w:val="center"/>
                </w:tcPr>
                <w:p w14:paraId="11EF13DB">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0.020</w:t>
                  </w:r>
                </w:p>
              </w:tc>
              <w:tc>
                <w:tcPr>
                  <w:tcW w:w="871" w:type="dxa"/>
                  <w:vMerge w:val="restart"/>
                  <w:tcBorders>
                    <w:tl2br w:val="nil"/>
                    <w:tr2bl w:val="nil"/>
                  </w:tcBorders>
                  <w:shd w:val="clear" w:color="auto" w:fill="auto"/>
                  <w:vAlign w:val="center"/>
                </w:tcPr>
                <w:p w14:paraId="5F76A8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通过市政污水管网</w:t>
                  </w:r>
                  <w:r>
                    <w:rPr>
                      <w:rFonts w:hint="eastAsia" w:cs="Times New Roman"/>
                      <w:i w:val="0"/>
                      <w:iCs w:val="0"/>
                      <w:color w:val="auto"/>
                      <w:kern w:val="0"/>
                      <w:sz w:val="21"/>
                      <w:szCs w:val="21"/>
                      <w:u w:val="none"/>
                      <w:lang w:val="en-US" w:eastAsia="zh-CN" w:bidi="ar"/>
                    </w:rPr>
                    <w:t>排至污水处理厂</w:t>
                  </w:r>
                </w:p>
              </w:tc>
            </w:tr>
            <w:tr w14:paraId="7D3E62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644" w:type="dxa"/>
                  <w:vMerge w:val="continue"/>
                  <w:tcBorders>
                    <w:tl2br w:val="nil"/>
                    <w:tr2bl w:val="nil"/>
                  </w:tcBorders>
                  <w:vAlign w:val="center"/>
                </w:tcPr>
                <w:p w14:paraId="3292D6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p>
              </w:tc>
              <w:tc>
                <w:tcPr>
                  <w:tcW w:w="1068" w:type="dxa"/>
                  <w:vMerge w:val="continue"/>
                  <w:tcBorders>
                    <w:tl2br w:val="nil"/>
                    <w:tr2bl w:val="nil"/>
                  </w:tcBorders>
                  <w:vAlign w:val="center"/>
                </w:tcPr>
                <w:p w14:paraId="4586307D">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vertAlign w:val="baseline"/>
                      <w:lang w:val="en-US" w:eastAsia="zh-CN" w:bidi="ar"/>
                    </w:rPr>
                  </w:pPr>
                </w:p>
              </w:tc>
              <w:tc>
                <w:tcPr>
                  <w:tcW w:w="1042" w:type="dxa"/>
                  <w:tcBorders>
                    <w:tl2br w:val="nil"/>
                    <w:tr2bl w:val="nil"/>
                  </w:tcBorders>
                  <w:shd w:val="clear" w:color="auto" w:fill="auto"/>
                  <w:vAlign w:val="center"/>
                </w:tcPr>
                <w:p w14:paraId="2A90A424">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1116" w:type="dxa"/>
                  <w:tcBorders>
                    <w:tl2br w:val="nil"/>
                    <w:tr2bl w:val="nil"/>
                  </w:tcBorders>
                  <w:shd w:val="clear" w:color="auto" w:fill="auto"/>
                  <w:vAlign w:val="center"/>
                </w:tcPr>
                <w:p w14:paraId="072455CF">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350</w:t>
                  </w:r>
                </w:p>
              </w:tc>
              <w:tc>
                <w:tcPr>
                  <w:tcW w:w="917" w:type="dxa"/>
                  <w:tcBorders>
                    <w:tl2br w:val="nil"/>
                    <w:tr2bl w:val="nil"/>
                  </w:tcBorders>
                  <w:shd w:val="clear" w:color="auto" w:fill="auto"/>
                  <w:vAlign w:val="center"/>
                </w:tcPr>
                <w:p w14:paraId="6ABB18E4">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w:t>
                  </w:r>
                  <w:r>
                    <w:rPr>
                      <w:rFonts w:hint="eastAsia" w:ascii="Times New Roman" w:hAnsi="Times New Roman" w:eastAsia="宋体" w:cs="Times New Roman"/>
                      <w:color w:val="auto"/>
                      <w:sz w:val="21"/>
                      <w:szCs w:val="21"/>
                      <w:vertAlign w:val="baseline"/>
                      <w:lang w:val="en-US" w:eastAsia="zh-CN"/>
                    </w:rPr>
                    <w:t>8</w:t>
                  </w:r>
                </w:p>
              </w:tc>
              <w:tc>
                <w:tcPr>
                  <w:tcW w:w="667" w:type="dxa"/>
                  <w:vMerge w:val="continue"/>
                  <w:tcBorders>
                    <w:tl2br w:val="nil"/>
                    <w:tr2bl w:val="nil"/>
                  </w:tcBorders>
                  <w:shd w:val="clear" w:color="auto" w:fill="auto"/>
                  <w:vAlign w:val="center"/>
                </w:tcPr>
                <w:p w14:paraId="7669CBF9">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083" w:type="dxa"/>
                  <w:tcBorders>
                    <w:tl2br w:val="nil"/>
                    <w:tr2bl w:val="nil"/>
                  </w:tcBorders>
                  <w:shd w:val="clear" w:color="auto" w:fill="auto"/>
                  <w:vAlign w:val="center"/>
                </w:tcPr>
                <w:p w14:paraId="158E5127">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298</w:t>
                  </w:r>
                </w:p>
              </w:tc>
              <w:tc>
                <w:tcPr>
                  <w:tcW w:w="1127" w:type="dxa"/>
                  <w:tcBorders>
                    <w:tl2br w:val="nil"/>
                    <w:tr2bl w:val="nil"/>
                  </w:tcBorders>
                  <w:shd w:val="clear" w:color="auto" w:fill="auto"/>
                  <w:vAlign w:val="center"/>
                </w:tcPr>
                <w:p w14:paraId="4EAAD5E9">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0.015</w:t>
                  </w:r>
                </w:p>
              </w:tc>
              <w:tc>
                <w:tcPr>
                  <w:tcW w:w="871" w:type="dxa"/>
                  <w:vMerge w:val="continue"/>
                  <w:tcBorders>
                    <w:tl2br w:val="nil"/>
                    <w:tr2bl w:val="nil"/>
                  </w:tcBorders>
                  <w:shd w:val="clear" w:color="auto" w:fill="auto"/>
                  <w:vAlign w:val="center"/>
                </w:tcPr>
                <w:p w14:paraId="5C012D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E3057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644" w:type="dxa"/>
                  <w:vMerge w:val="continue"/>
                  <w:tcBorders>
                    <w:tl2br w:val="nil"/>
                    <w:tr2bl w:val="nil"/>
                  </w:tcBorders>
                  <w:vAlign w:val="center"/>
                </w:tcPr>
                <w:p w14:paraId="16CA1A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p>
              </w:tc>
              <w:tc>
                <w:tcPr>
                  <w:tcW w:w="1068" w:type="dxa"/>
                  <w:vMerge w:val="continue"/>
                  <w:tcBorders>
                    <w:tl2br w:val="nil"/>
                    <w:tr2bl w:val="nil"/>
                  </w:tcBorders>
                  <w:vAlign w:val="center"/>
                </w:tcPr>
                <w:p w14:paraId="73CF68BF">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vertAlign w:val="baseline"/>
                      <w:lang w:val="en-US" w:eastAsia="zh-CN" w:bidi="ar"/>
                    </w:rPr>
                  </w:pPr>
                </w:p>
              </w:tc>
              <w:tc>
                <w:tcPr>
                  <w:tcW w:w="1042" w:type="dxa"/>
                  <w:tcBorders>
                    <w:tl2br w:val="nil"/>
                    <w:tr2bl w:val="nil"/>
                  </w:tcBorders>
                  <w:shd w:val="clear" w:color="auto" w:fill="auto"/>
                  <w:vAlign w:val="center"/>
                </w:tcPr>
                <w:p w14:paraId="16587E22">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SS</w:t>
                  </w:r>
                </w:p>
              </w:tc>
              <w:tc>
                <w:tcPr>
                  <w:tcW w:w="1116" w:type="dxa"/>
                  <w:tcBorders>
                    <w:tl2br w:val="nil"/>
                    <w:tr2bl w:val="nil"/>
                  </w:tcBorders>
                  <w:shd w:val="clear" w:color="auto" w:fill="auto"/>
                  <w:vAlign w:val="center"/>
                </w:tcPr>
                <w:p w14:paraId="2E8599BB">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360</w:t>
                  </w:r>
                </w:p>
              </w:tc>
              <w:tc>
                <w:tcPr>
                  <w:tcW w:w="917" w:type="dxa"/>
                  <w:tcBorders>
                    <w:tl2br w:val="nil"/>
                    <w:tr2bl w:val="nil"/>
                  </w:tcBorders>
                  <w:shd w:val="clear" w:color="auto" w:fill="auto"/>
                  <w:vAlign w:val="center"/>
                </w:tcPr>
                <w:p w14:paraId="63BAF73F">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0.018</w:t>
                  </w:r>
                </w:p>
              </w:tc>
              <w:tc>
                <w:tcPr>
                  <w:tcW w:w="667" w:type="dxa"/>
                  <w:vMerge w:val="continue"/>
                  <w:tcBorders>
                    <w:tl2br w:val="nil"/>
                    <w:tr2bl w:val="nil"/>
                  </w:tcBorders>
                  <w:shd w:val="clear" w:color="auto" w:fill="auto"/>
                  <w:vAlign w:val="center"/>
                </w:tcPr>
                <w:p w14:paraId="0F5731F1">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083" w:type="dxa"/>
                  <w:tcBorders>
                    <w:tl2br w:val="nil"/>
                    <w:tr2bl w:val="nil"/>
                  </w:tcBorders>
                  <w:shd w:val="clear" w:color="auto" w:fill="auto"/>
                  <w:vAlign w:val="center"/>
                </w:tcPr>
                <w:p w14:paraId="1772B14A">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180</w:t>
                  </w:r>
                </w:p>
              </w:tc>
              <w:tc>
                <w:tcPr>
                  <w:tcW w:w="1127" w:type="dxa"/>
                  <w:tcBorders>
                    <w:tl2br w:val="nil"/>
                    <w:tr2bl w:val="nil"/>
                  </w:tcBorders>
                  <w:shd w:val="clear" w:color="auto" w:fill="auto"/>
                  <w:vAlign w:val="center"/>
                </w:tcPr>
                <w:p w14:paraId="7915E4B0">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0.009</w:t>
                  </w:r>
                </w:p>
              </w:tc>
              <w:tc>
                <w:tcPr>
                  <w:tcW w:w="871" w:type="dxa"/>
                  <w:vMerge w:val="continue"/>
                  <w:tcBorders>
                    <w:tl2br w:val="nil"/>
                    <w:tr2bl w:val="nil"/>
                  </w:tcBorders>
                  <w:shd w:val="clear" w:color="auto" w:fill="auto"/>
                  <w:vAlign w:val="center"/>
                </w:tcPr>
                <w:p w14:paraId="372F1D7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C4364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644" w:type="dxa"/>
                  <w:vMerge w:val="continue"/>
                  <w:tcBorders>
                    <w:tl2br w:val="nil"/>
                    <w:tr2bl w:val="nil"/>
                  </w:tcBorders>
                  <w:vAlign w:val="center"/>
                </w:tcPr>
                <w:p w14:paraId="7FEEA1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p>
              </w:tc>
              <w:tc>
                <w:tcPr>
                  <w:tcW w:w="1068" w:type="dxa"/>
                  <w:vMerge w:val="continue"/>
                  <w:tcBorders>
                    <w:tl2br w:val="nil"/>
                    <w:tr2bl w:val="nil"/>
                  </w:tcBorders>
                  <w:vAlign w:val="center"/>
                </w:tcPr>
                <w:p w14:paraId="7472B96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vertAlign w:val="baseline"/>
                      <w:lang w:val="en-US" w:eastAsia="zh-CN" w:bidi="ar"/>
                    </w:rPr>
                  </w:pPr>
                </w:p>
              </w:tc>
              <w:tc>
                <w:tcPr>
                  <w:tcW w:w="1042" w:type="dxa"/>
                  <w:tcBorders>
                    <w:tl2br w:val="nil"/>
                    <w:tr2bl w:val="nil"/>
                  </w:tcBorders>
                  <w:shd w:val="clear" w:color="auto" w:fill="auto"/>
                  <w:vAlign w:val="center"/>
                </w:tcPr>
                <w:p w14:paraId="14B7D97D">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NH3-N</w:t>
                  </w:r>
                </w:p>
              </w:tc>
              <w:tc>
                <w:tcPr>
                  <w:tcW w:w="1116" w:type="dxa"/>
                  <w:tcBorders>
                    <w:tl2br w:val="nil"/>
                    <w:tr2bl w:val="nil"/>
                  </w:tcBorders>
                  <w:shd w:val="clear" w:color="auto" w:fill="auto"/>
                  <w:vAlign w:val="center"/>
                </w:tcPr>
                <w:p w14:paraId="069A3A5E">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52.2</w:t>
                  </w:r>
                </w:p>
              </w:tc>
              <w:tc>
                <w:tcPr>
                  <w:tcW w:w="917" w:type="dxa"/>
                  <w:tcBorders>
                    <w:tl2br w:val="nil"/>
                    <w:tr2bl w:val="nil"/>
                  </w:tcBorders>
                  <w:shd w:val="clear" w:color="auto" w:fill="auto"/>
                  <w:vAlign w:val="center"/>
                </w:tcPr>
                <w:p w14:paraId="008333EA">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w:t>
                  </w:r>
                  <w:r>
                    <w:rPr>
                      <w:rFonts w:hint="eastAsia" w:ascii="Times New Roman" w:hAnsi="Times New Roman" w:eastAsia="宋体" w:cs="Times New Roman"/>
                      <w:color w:val="auto"/>
                      <w:sz w:val="21"/>
                      <w:szCs w:val="21"/>
                      <w:vertAlign w:val="baseline"/>
                      <w:lang w:val="en-US" w:eastAsia="zh-CN"/>
                    </w:rPr>
                    <w:t>3</w:t>
                  </w:r>
                </w:p>
              </w:tc>
              <w:tc>
                <w:tcPr>
                  <w:tcW w:w="667" w:type="dxa"/>
                  <w:vMerge w:val="continue"/>
                  <w:tcBorders>
                    <w:tl2br w:val="nil"/>
                    <w:tr2bl w:val="nil"/>
                  </w:tcBorders>
                  <w:shd w:val="clear" w:color="auto" w:fill="auto"/>
                  <w:vAlign w:val="center"/>
                </w:tcPr>
                <w:p w14:paraId="320AB6B0">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083" w:type="dxa"/>
                  <w:tcBorders>
                    <w:tl2br w:val="nil"/>
                    <w:tr2bl w:val="nil"/>
                  </w:tcBorders>
                  <w:shd w:val="clear" w:color="auto" w:fill="auto"/>
                  <w:vAlign w:val="center"/>
                </w:tcPr>
                <w:p w14:paraId="5C370638">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44.4</w:t>
                  </w:r>
                </w:p>
              </w:tc>
              <w:tc>
                <w:tcPr>
                  <w:tcW w:w="1127" w:type="dxa"/>
                  <w:tcBorders>
                    <w:tl2br w:val="nil"/>
                    <w:tr2bl w:val="nil"/>
                  </w:tcBorders>
                  <w:shd w:val="clear" w:color="auto" w:fill="auto"/>
                  <w:vAlign w:val="center"/>
                </w:tcPr>
                <w:p w14:paraId="52FE32D7">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0.002</w:t>
                  </w:r>
                </w:p>
              </w:tc>
              <w:tc>
                <w:tcPr>
                  <w:tcW w:w="871" w:type="dxa"/>
                  <w:vMerge w:val="continue"/>
                  <w:tcBorders>
                    <w:tl2br w:val="nil"/>
                    <w:tr2bl w:val="nil"/>
                  </w:tcBorders>
                  <w:shd w:val="clear" w:color="auto" w:fill="auto"/>
                  <w:vAlign w:val="center"/>
                </w:tcPr>
                <w:p w14:paraId="1CA5A0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16712C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44" w:type="dxa"/>
                  <w:vMerge w:val="continue"/>
                  <w:tcBorders>
                    <w:tl2br w:val="nil"/>
                    <w:tr2bl w:val="nil"/>
                  </w:tcBorders>
                  <w:vAlign w:val="center"/>
                </w:tcPr>
                <w:p w14:paraId="1CE5B0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p>
              </w:tc>
              <w:tc>
                <w:tcPr>
                  <w:tcW w:w="1068" w:type="dxa"/>
                  <w:vMerge w:val="continue"/>
                  <w:tcBorders>
                    <w:tl2br w:val="nil"/>
                    <w:tr2bl w:val="nil"/>
                  </w:tcBorders>
                  <w:vAlign w:val="center"/>
                </w:tcPr>
                <w:p w14:paraId="5F9A545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vertAlign w:val="baseline"/>
                      <w:lang w:val="en-US" w:eastAsia="zh-CN" w:bidi="ar"/>
                    </w:rPr>
                  </w:pPr>
                </w:p>
              </w:tc>
              <w:tc>
                <w:tcPr>
                  <w:tcW w:w="1042" w:type="dxa"/>
                  <w:tcBorders>
                    <w:tl2br w:val="nil"/>
                    <w:tr2bl w:val="nil"/>
                  </w:tcBorders>
                  <w:shd w:val="clear" w:color="auto" w:fill="auto"/>
                  <w:vAlign w:val="center"/>
                </w:tcPr>
                <w:p w14:paraId="7DCEC600">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总磷</w:t>
                  </w:r>
                </w:p>
              </w:tc>
              <w:tc>
                <w:tcPr>
                  <w:tcW w:w="1116" w:type="dxa"/>
                  <w:tcBorders>
                    <w:tl2br w:val="nil"/>
                    <w:tr2bl w:val="nil"/>
                  </w:tcBorders>
                  <w:shd w:val="clear" w:color="auto" w:fill="auto"/>
                  <w:vAlign w:val="center"/>
                </w:tcPr>
                <w:p w14:paraId="20C68355">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71.2</w:t>
                  </w:r>
                </w:p>
              </w:tc>
              <w:tc>
                <w:tcPr>
                  <w:tcW w:w="917" w:type="dxa"/>
                  <w:tcBorders>
                    <w:tl2br w:val="nil"/>
                    <w:tr2bl w:val="nil"/>
                  </w:tcBorders>
                  <w:shd w:val="clear" w:color="auto" w:fill="auto"/>
                  <w:vAlign w:val="center"/>
                </w:tcPr>
                <w:p w14:paraId="49E37EE3">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w:t>
                  </w:r>
                  <w:r>
                    <w:rPr>
                      <w:rFonts w:hint="eastAsia" w:ascii="Times New Roman" w:hAnsi="Times New Roman" w:eastAsia="宋体" w:cs="Times New Roman"/>
                      <w:color w:val="auto"/>
                      <w:sz w:val="21"/>
                      <w:szCs w:val="21"/>
                      <w:vertAlign w:val="baseline"/>
                      <w:lang w:val="en-US" w:eastAsia="zh-CN"/>
                    </w:rPr>
                    <w:t>4</w:t>
                  </w:r>
                </w:p>
              </w:tc>
              <w:tc>
                <w:tcPr>
                  <w:tcW w:w="667" w:type="dxa"/>
                  <w:vMerge w:val="continue"/>
                  <w:tcBorders>
                    <w:tl2br w:val="nil"/>
                    <w:tr2bl w:val="nil"/>
                  </w:tcBorders>
                  <w:shd w:val="clear" w:color="auto" w:fill="auto"/>
                  <w:vAlign w:val="center"/>
                </w:tcPr>
                <w:p w14:paraId="1F7FB9C5">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083" w:type="dxa"/>
                  <w:tcBorders>
                    <w:tl2br w:val="nil"/>
                    <w:tr2bl w:val="nil"/>
                  </w:tcBorders>
                  <w:shd w:val="clear" w:color="auto" w:fill="auto"/>
                  <w:vAlign w:val="center"/>
                </w:tcPr>
                <w:p w14:paraId="1BBA9C39">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60.52</w:t>
                  </w:r>
                </w:p>
              </w:tc>
              <w:tc>
                <w:tcPr>
                  <w:tcW w:w="1127" w:type="dxa"/>
                  <w:tcBorders>
                    <w:tl2br w:val="nil"/>
                    <w:tr2bl w:val="nil"/>
                  </w:tcBorders>
                  <w:shd w:val="clear" w:color="auto" w:fill="auto"/>
                  <w:vAlign w:val="center"/>
                </w:tcPr>
                <w:p w14:paraId="3BD9048D">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0.003</w:t>
                  </w:r>
                </w:p>
              </w:tc>
              <w:tc>
                <w:tcPr>
                  <w:tcW w:w="871" w:type="dxa"/>
                  <w:vMerge w:val="continue"/>
                  <w:tcBorders>
                    <w:tl2br w:val="nil"/>
                    <w:tr2bl w:val="nil"/>
                  </w:tcBorders>
                  <w:shd w:val="clear" w:color="auto" w:fill="auto"/>
                  <w:vAlign w:val="center"/>
                </w:tcPr>
                <w:p w14:paraId="12A9B3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9BB6E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644" w:type="dxa"/>
                  <w:vMerge w:val="continue"/>
                  <w:tcBorders>
                    <w:tl2br w:val="nil"/>
                    <w:tr2bl w:val="nil"/>
                  </w:tcBorders>
                  <w:vAlign w:val="center"/>
                </w:tcPr>
                <w:p w14:paraId="2D37F1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p>
              </w:tc>
              <w:tc>
                <w:tcPr>
                  <w:tcW w:w="1068" w:type="dxa"/>
                  <w:vMerge w:val="continue"/>
                  <w:tcBorders>
                    <w:tl2br w:val="nil"/>
                    <w:tr2bl w:val="nil"/>
                  </w:tcBorders>
                  <w:vAlign w:val="center"/>
                </w:tcPr>
                <w:p w14:paraId="565A481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vertAlign w:val="baseline"/>
                      <w:lang w:val="en-US" w:eastAsia="zh-CN" w:bidi="ar"/>
                    </w:rPr>
                  </w:pPr>
                </w:p>
              </w:tc>
              <w:tc>
                <w:tcPr>
                  <w:tcW w:w="1042" w:type="dxa"/>
                  <w:tcBorders>
                    <w:tl2br w:val="nil"/>
                    <w:tr2bl w:val="nil"/>
                  </w:tcBorders>
                  <w:shd w:val="clear" w:color="auto" w:fill="auto"/>
                  <w:vAlign w:val="center"/>
                </w:tcPr>
                <w:p w14:paraId="0D488ACA">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总氮</w:t>
                  </w:r>
                </w:p>
              </w:tc>
              <w:tc>
                <w:tcPr>
                  <w:tcW w:w="1116" w:type="dxa"/>
                  <w:tcBorders>
                    <w:tl2br w:val="nil"/>
                    <w:tr2bl w:val="nil"/>
                  </w:tcBorders>
                  <w:shd w:val="clear" w:color="auto" w:fill="auto"/>
                  <w:vAlign w:val="center"/>
                </w:tcPr>
                <w:p w14:paraId="4A66A0EE">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5.12</w:t>
                  </w:r>
                </w:p>
              </w:tc>
              <w:tc>
                <w:tcPr>
                  <w:tcW w:w="917" w:type="dxa"/>
                  <w:tcBorders>
                    <w:tl2br w:val="nil"/>
                    <w:tr2bl w:val="nil"/>
                  </w:tcBorders>
                  <w:shd w:val="clear" w:color="auto" w:fill="auto"/>
                  <w:vAlign w:val="center"/>
                </w:tcPr>
                <w:p w14:paraId="3F568155">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0.000</w:t>
                  </w:r>
                  <w:r>
                    <w:rPr>
                      <w:rFonts w:hint="eastAsia" w:ascii="Times New Roman" w:hAnsi="Times New Roman" w:eastAsia="宋体" w:cs="Times New Roman"/>
                      <w:color w:val="auto"/>
                      <w:sz w:val="21"/>
                      <w:szCs w:val="21"/>
                      <w:vertAlign w:val="baseline"/>
                      <w:lang w:val="en-US" w:eastAsia="zh-CN"/>
                    </w:rPr>
                    <w:t>3</w:t>
                  </w:r>
                </w:p>
              </w:tc>
              <w:tc>
                <w:tcPr>
                  <w:tcW w:w="667" w:type="dxa"/>
                  <w:vMerge w:val="continue"/>
                  <w:tcBorders>
                    <w:tl2br w:val="nil"/>
                    <w:tr2bl w:val="nil"/>
                  </w:tcBorders>
                  <w:shd w:val="clear" w:color="auto" w:fill="auto"/>
                  <w:vAlign w:val="center"/>
                </w:tcPr>
                <w:p w14:paraId="0A9FCB39">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083" w:type="dxa"/>
                  <w:tcBorders>
                    <w:tl2br w:val="nil"/>
                    <w:tr2bl w:val="nil"/>
                  </w:tcBorders>
                  <w:shd w:val="clear" w:color="auto" w:fill="auto"/>
                  <w:vAlign w:val="center"/>
                </w:tcPr>
                <w:p w14:paraId="62F274A0">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5.12</w:t>
                  </w:r>
                </w:p>
              </w:tc>
              <w:tc>
                <w:tcPr>
                  <w:tcW w:w="1127" w:type="dxa"/>
                  <w:tcBorders>
                    <w:tl2br w:val="nil"/>
                    <w:tr2bl w:val="nil"/>
                  </w:tcBorders>
                  <w:shd w:val="clear" w:color="auto" w:fill="auto"/>
                  <w:vAlign w:val="center"/>
                </w:tcPr>
                <w:p w14:paraId="794768AC">
                  <w:pPr>
                    <w:keepNext/>
                    <w:keepLines/>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0.000</w:t>
                  </w:r>
                  <w:r>
                    <w:rPr>
                      <w:rFonts w:hint="eastAsia" w:ascii="Times New Roman" w:hAnsi="Times New Roman" w:eastAsia="宋体" w:cs="Times New Roman"/>
                      <w:color w:val="auto"/>
                      <w:sz w:val="21"/>
                      <w:szCs w:val="21"/>
                      <w:vertAlign w:val="baseline"/>
                      <w:lang w:val="en-US" w:eastAsia="zh-CN"/>
                    </w:rPr>
                    <w:t>3</w:t>
                  </w:r>
                </w:p>
              </w:tc>
              <w:tc>
                <w:tcPr>
                  <w:tcW w:w="871" w:type="dxa"/>
                  <w:vMerge w:val="continue"/>
                  <w:tcBorders>
                    <w:tl2br w:val="nil"/>
                    <w:tr2bl w:val="nil"/>
                  </w:tcBorders>
                  <w:shd w:val="clear" w:color="auto" w:fill="auto"/>
                  <w:vAlign w:val="center"/>
                </w:tcPr>
                <w:p w14:paraId="70AFDF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bl>
          <w:p w14:paraId="2E099269">
            <w:pPr>
              <w:keepNext/>
              <w:keepLines/>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outlineLvl w:val="1"/>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2.废水源强核算过程</w:t>
            </w:r>
          </w:p>
          <w:p w14:paraId="7A2BDC5F">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本项目排水采取雨污分流，雨水经厂区雨水排水系统收集后排入市政雨水管网；项目冷却用水循环使用不外排，定期补充损耗。因此，本项目主要产生生活污水。</w:t>
            </w:r>
          </w:p>
          <w:p w14:paraId="0FD865F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本项目生活污水产生量为0.</w:t>
            </w:r>
            <w:r>
              <w:rPr>
                <w:rFonts w:hint="eastAsia" w:cs="Times New Roman"/>
                <w:color w:val="auto"/>
                <w:sz w:val="24"/>
                <w:lang w:val="en-US" w:eastAsia="zh-CN"/>
              </w:rPr>
              <w:t>17</w:t>
            </w:r>
            <w:r>
              <w:rPr>
                <w:rFonts w:hint="default" w:ascii="Times New Roman" w:hAnsi="Times New Roman" w:cs="Times New Roman"/>
                <w:color w:val="auto"/>
                <w:sz w:val="24"/>
                <w:lang w:val="en-US" w:eastAsia="zh-CN"/>
              </w:rPr>
              <w:t>m³/d（</w:t>
            </w:r>
            <w:r>
              <w:rPr>
                <w:rFonts w:hint="eastAsia" w:cs="Times New Roman"/>
                <w:color w:val="auto"/>
                <w:sz w:val="24"/>
                <w:lang w:val="en-US" w:eastAsia="zh-CN"/>
              </w:rPr>
              <w:t>50.4</w:t>
            </w:r>
            <w:r>
              <w:rPr>
                <w:rFonts w:hint="default" w:ascii="Times New Roman" w:hAnsi="Times New Roman" w:cs="Times New Roman"/>
                <w:color w:val="auto"/>
                <w:sz w:val="24"/>
                <w:lang w:val="en-US" w:eastAsia="zh-CN"/>
              </w:rPr>
              <w:t>m³/a），根据生态环境部发布的《排放源统计调查产排污核算方法和系数手册》中的《生活污染源产排污系数手册》中城镇生活源水污染物产生系数，生活污水中各污染物产生系数为：COD460mg/L、氨氮52.2mg/L、总氮71.2mg/L、总磷5.12mg/L。</w:t>
            </w:r>
          </w:p>
          <w:p w14:paraId="04E58448">
            <w:pPr>
              <w:keepNext/>
              <w:keepLines/>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outlineLvl w:val="1"/>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cs="Times New Roman"/>
                <w:b/>
                <w:bCs/>
                <w:color w:val="auto"/>
                <w:kern w:val="2"/>
                <w:sz w:val="24"/>
                <w:szCs w:val="24"/>
                <w:lang w:val="en-US" w:eastAsia="zh-CN" w:bidi="ar-SA"/>
              </w:rPr>
              <w:t>3</w:t>
            </w:r>
            <w:r>
              <w:rPr>
                <w:rFonts w:hint="default" w:ascii="Times New Roman" w:hAnsi="Times New Roman" w:eastAsia="宋体" w:cs="Times New Roman"/>
                <w:b/>
                <w:bCs/>
                <w:color w:val="auto"/>
                <w:kern w:val="2"/>
                <w:sz w:val="24"/>
                <w:szCs w:val="24"/>
                <w:lang w:val="en-US" w:eastAsia="zh-CN" w:bidi="ar-SA"/>
              </w:rPr>
              <w:t>.废水处理可行性分析</w:t>
            </w:r>
          </w:p>
          <w:p w14:paraId="04BB1A60">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（1）水污染控制和水环境影响减缓措施有效性评价</w:t>
            </w:r>
          </w:p>
          <w:p w14:paraId="4443966A">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①生产废水</w:t>
            </w:r>
          </w:p>
          <w:p w14:paraId="71D88A9F">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项目生产废水主要为冷却水。</w:t>
            </w:r>
          </w:p>
          <w:p w14:paraId="065206CE">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本项目浸没冷却为直接冷却，通过将熔融挤出后的塑料条与水进行直接接触，将塑料进行冷却。本项目共设置1个冷却水槽及1个循环水箱，循环水箱容积为3m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，冷却水槽尺寸为</w:t>
            </w:r>
            <w:r>
              <w:rPr>
                <w:rFonts w:hint="eastAsia" w:cs="Times New Roman"/>
                <w:color w:val="auto"/>
                <w:sz w:val="24"/>
                <w:lang w:val="en-US" w:eastAsia="zh-CN"/>
              </w:rPr>
              <w:t>3</w:t>
            </w:r>
            <w:r>
              <w:rPr>
                <w:rFonts w:hint="default" w:ascii="Times New Roman" w:hAnsi="Times New Roman" w:cs="Times New Roman"/>
                <w:color w:val="auto"/>
                <w:sz w:val="24"/>
                <w:lang w:val="en-US" w:eastAsia="zh-CN"/>
              </w:rPr>
              <w:t>m*0.4m*0.3m，水槽中用于冷却的水量约0.8m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，项目产品在冷却水槽中与冷却水经长时间接触，水温升高，因此，需经过冷却循环水箱对水槽中的水进行降温，循环水箱利用空气同水的接触使水自然冷却，项目循环水箱容积为3m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，项目水箱可满足冷却水的收集使用。</w:t>
            </w:r>
          </w:p>
          <w:p w14:paraId="227311CB">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②生活污水</w:t>
            </w:r>
          </w:p>
          <w:p w14:paraId="06C7C82E">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项目生活污水经厂区内化粪池预处理后通过市政污水管网排至宝鸡同济水务有限公司。项目区设置有1座化粪池预处理工作人员生活污水，项目排入化粪池污水量为</w:t>
            </w:r>
            <w:r>
              <w:rPr>
                <w:rFonts w:hint="eastAsia" w:cs="Times New Roman"/>
                <w:color w:val="auto"/>
                <w:sz w:val="24"/>
                <w:lang w:val="en-US" w:eastAsia="zh-CN"/>
              </w:rPr>
              <w:t>0.17</w:t>
            </w:r>
            <w:r>
              <w:rPr>
                <w:rFonts w:hint="default" w:ascii="Times New Roman" w:hAnsi="Times New Roman" w:cs="Times New Roman"/>
                <w:color w:val="auto"/>
                <w:sz w:val="24"/>
                <w:lang w:val="en-US" w:eastAsia="zh-CN"/>
              </w:rPr>
              <w:t>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/d，项目排水量较小，污水水质简单，经化粪池预处理后可满足市政污水纳管要求。</w:t>
            </w:r>
          </w:p>
          <w:p w14:paraId="61D03355">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（2）依托污水处理设施的环境可行性评价</w:t>
            </w:r>
          </w:p>
          <w:p w14:paraId="0499DB64">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①处理能力依托可行性</w:t>
            </w:r>
          </w:p>
          <w:p w14:paraId="3248862C">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项目位于宝鸡市陈仓</w:t>
            </w:r>
            <w:r>
              <w:rPr>
                <w:rFonts w:hint="eastAsia" w:cs="Times New Roman"/>
                <w:color w:val="auto"/>
                <w:sz w:val="24"/>
                <w:lang w:val="en-US" w:eastAsia="zh-CN"/>
              </w:rPr>
              <w:t>区千河镇盛创二手车物流园</w:t>
            </w:r>
            <w:r>
              <w:rPr>
                <w:rFonts w:hint="eastAsia" w:ascii="Times New Roman" w:hAnsi="Times New Roman" w:cs="Times New Roman"/>
                <w:color w:val="auto"/>
                <w:sz w:val="24"/>
                <w:lang w:val="en-US" w:eastAsia="zh-CN"/>
              </w:rPr>
              <w:t>，属于宝鸡市陈仓金信安水务有限公司纳水范围内，其建设规模为10万m</w:t>
            </w:r>
            <w:r>
              <w:rPr>
                <w:rFonts w:hint="eastAsia" w:ascii="Times New Roman" w:hAnsi="Times New Roman" w:cs="Times New Roman"/>
                <w:color w:val="auto"/>
                <w:sz w:val="24"/>
                <w:vertAlign w:val="superscript"/>
                <w:lang w:val="en-US" w:eastAsia="zh-CN"/>
              </w:rPr>
              <w:t>3</w:t>
            </w:r>
            <w:r>
              <w:rPr>
                <w:rFonts w:hint="eastAsia" w:ascii="Times New Roman" w:hAnsi="Times New Roman" w:cs="Times New Roman"/>
                <w:color w:val="auto"/>
                <w:sz w:val="24"/>
                <w:lang w:val="en-US" w:eastAsia="zh-CN"/>
              </w:rPr>
              <w:t>/d；项目劳动定员</w:t>
            </w:r>
            <w:r>
              <w:rPr>
                <w:rFonts w:hint="eastAsia" w:cs="Times New Roman"/>
                <w:color w:val="auto"/>
                <w:sz w:val="24"/>
                <w:lang w:val="en-US" w:eastAsia="zh-CN"/>
              </w:rPr>
              <w:t>6</w:t>
            </w:r>
            <w:r>
              <w:rPr>
                <w:rFonts w:hint="eastAsia" w:ascii="Times New Roman" w:hAnsi="Times New Roman" w:cs="Times New Roman"/>
                <w:color w:val="auto"/>
                <w:sz w:val="24"/>
                <w:lang w:val="en-US" w:eastAsia="zh-CN"/>
              </w:rPr>
              <w:t>人，生活污水产生量（</w:t>
            </w:r>
            <w:r>
              <w:rPr>
                <w:rFonts w:hint="eastAsia" w:cs="Times New Roman"/>
                <w:color w:val="auto"/>
                <w:sz w:val="24"/>
                <w:lang w:val="en-US" w:eastAsia="zh-CN"/>
              </w:rPr>
              <w:t>0.17</w:t>
            </w:r>
            <w:r>
              <w:rPr>
                <w:rFonts w:hint="eastAsia" w:ascii="Times New Roman" w:hAnsi="Times New Roman" w:cs="Times New Roman"/>
                <w:color w:val="auto"/>
                <w:sz w:val="24"/>
                <w:lang w:val="en-US" w:eastAsia="zh-CN"/>
              </w:rPr>
              <w:t>m</w:t>
            </w:r>
            <w:r>
              <w:rPr>
                <w:rFonts w:hint="eastAsia" w:ascii="Times New Roman" w:hAnsi="Times New Roman" w:cs="Times New Roman"/>
                <w:color w:val="auto"/>
                <w:sz w:val="24"/>
                <w:vertAlign w:val="superscript"/>
                <w:lang w:val="en-US" w:eastAsia="zh-CN"/>
              </w:rPr>
              <w:t>3</w:t>
            </w:r>
            <w:r>
              <w:rPr>
                <w:rFonts w:hint="eastAsia" w:ascii="Times New Roman" w:hAnsi="Times New Roman" w:cs="Times New Roman"/>
                <w:color w:val="auto"/>
                <w:sz w:val="24"/>
                <w:lang w:val="en-US" w:eastAsia="zh-CN"/>
              </w:rPr>
              <w:t>/d）较小，不会对污水处理厂造成水量冲击，项目生活污水依托可行。</w:t>
            </w:r>
          </w:p>
          <w:p w14:paraId="581267A3">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②处理工艺可行性分析</w:t>
            </w:r>
          </w:p>
          <w:p w14:paraId="5D243F1C">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宝鸡市陈仓金信安水务有限公司为城市生活污水处理厂，一期工艺为“A</w:t>
            </w:r>
            <w:r>
              <w:rPr>
                <w:rFonts w:hint="eastAsia" w:ascii="Times New Roman" w:hAnsi="Times New Roman" w:cs="Times New Roman"/>
                <w:color w:val="auto"/>
                <w:sz w:val="24"/>
                <w:vertAlign w:val="subscript"/>
                <w:lang w:val="en-US" w:eastAsia="zh-CN"/>
              </w:rPr>
              <w:t>2</w:t>
            </w:r>
            <w:r>
              <w:rPr>
                <w:rFonts w:hint="eastAsia" w:ascii="Times New Roman" w:hAnsi="Times New Roman" w:cs="Times New Roman"/>
                <w:color w:val="auto"/>
                <w:sz w:val="24"/>
                <w:lang w:val="en-US" w:eastAsia="zh-CN"/>
              </w:rPr>
              <w:t>O+消毒工艺”，新建二期处理工艺为“多级AO+消毒”工艺；污泥处理工艺采用污泥深度脱水一体机脱水，脱水后污泥（含水率小于60%）运送至千阳海创环保科技有限责任公司水泥窑协同处置后资源化利用。目前其尾水排放符合《陕西省黄河流域污水综合排放标准》（DB61/224-2018）中A级标准，因此处理项目生活污水可行。</w:t>
            </w:r>
          </w:p>
          <w:p w14:paraId="6826507E">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③设计进出水水质分析</w:t>
            </w:r>
          </w:p>
          <w:p w14:paraId="09B96E5B">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项目生活污水中的pH值、化学需氧量、氨氮、悬浮物等指标均满足《污水综合排放标准》（GB8978-1996）表4三级标准及《污水排入城镇下水道水质标准》（GB/T31962-2015）表1B级标准，其满足宝鸡市陈仓金信安水务有限公司进水水质要求。</w:t>
            </w:r>
          </w:p>
          <w:p w14:paraId="7BF20F26">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项目属于城市规划建成区，市政排水管网在规划建设预期内，远期周边市政管网建设完善，项目污水进入宝鸡市陈仓金信安水务有限公司可行。</w:t>
            </w:r>
          </w:p>
          <w:p w14:paraId="307FFDB5">
            <w:pPr>
              <w:keepNext/>
              <w:keepLines/>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outlineLvl w:val="1"/>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三、运营期噪声环境影响和保护措施</w:t>
            </w:r>
          </w:p>
          <w:p w14:paraId="5F0B8F16">
            <w:pPr>
              <w:keepNext/>
              <w:keepLines/>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outlineLvl w:val="1"/>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1.噪声源强分析</w:t>
            </w:r>
          </w:p>
          <w:p w14:paraId="64407B55">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rPr>
              <w:t>本项目运营期主要噪声源为</w:t>
            </w:r>
            <w:r>
              <w:rPr>
                <w:rFonts w:hint="default" w:ascii="Times New Roman" w:hAnsi="Times New Roman" w:cs="Times New Roman"/>
                <w:color w:val="auto"/>
                <w:sz w:val="24"/>
                <w:lang w:val="en-US" w:eastAsia="zh-CN"/>
              </w:rPr>
              <w:t>生产</w:t>
            </w:r>
            <w:r>
              <w:rPr>
                <w:rFonts w:hint="default" w:ascii="Times New Roman" w:hAnsi="Times New Roman" w:cs="Times New Roman"/>
                <w:color w:val="auto"/>
                <w:sz w:val="24"/>
              </w:rPr>
              <w:t>设备运行过程中产生的</w:t>
            </w:r>
            <w:r>
              <w:rPr>
                <w:rFonts w:hint="default" w:ascii="Times New Roman" w:hAnsi="Times New Roman" w:cs="Times New Roman"/>
                <w:snapToGrid w:val="0"/>
                <w:color w:val="auto"/>
                <w:kern w:val="0"/>
                <w:sz w:val="24"/>
              </w:rPr>
              <w:t>机械噪声。</w:t>
            </w:r>
            <w:r>
              <w:rPr>
                <w:rFonts w:hint="default" w:ascii="Times New Roman" w:hAnsi="Times New Roman" w:cs="Times New Roman"/>
                <w:color w:val="auto"/>
                <w:sz w:val="24"/>
              </w:rPr>
              <w:t>项目单台设备噪声源</w:t>
            </w:r>
            <w:r>
              <w:rPr>
                <w:rFonts w:hint="default" w:ascii="Times New Roman" w:hAnsi="Times New Roman" w:cs="Times New Roman"/>
                <w:color w:val="auto"/>
                <w:sz w:val="24"/>
                <w:lang w:val="en-US" w:eastAsia="zh-CN"/>
              </w:rPr>
              <w:t>的</w:t>
            </w:r>
            <w:r>
              <w:rPr>
                <w:rFonts w:hint="default" w:ascii="Times New Roman" w:hAnsi="Times New Roman" w:cs="Times New Roman"/>
                <w:color w:val="auto"/>
                <w:sz w:val="24"/>
              </w:rPr>
              <w:t>声功率级为75dB（A）</w:t>
            </w:r>
            <w:r>
              <w:rPr>
                <w:rFonts w:hint="eastAsia" w:cs="Times New Roman"/>
                <w:color w:val="auto"/>
                <w:sz w:val="24"/>
                <w:lang w:eastAsia="zh-CN"/>
              </w:rPr>
              <w:t>～</w:t>
            </w:r>
            <w:r>
              <w:rPr>
                <w:rFonts w:hint="default" w:ascii="Times New Roman" w:hAnsi="Times New Roman" w:cs="Times New Roman"/>
                <w:color w:val="auto"/>
                <w:sz w:val="24"/>
                <w:lang w:val="en-US" w:eastAsia="zh-CN"/>
              </w:rPr>
              <w:t>90</w:t>
            </w:r>
            <w:r>
              <w:rPr>
                <w:rFonts w:hint="default" w:ascii="Times New Roman" w:hAnsi="Times New Roman" w:cs="Times New Roman"/>
                <w:color w:val="auto"/>
                <w:sz w:val="24"/>
              </w:rPr>
              <w:t>dB（A）。</w:t>
            </w:r>
            <w:r>
              <w:rPr>
                <w:rFonts w:hint="default" w:ascii="Times New Roman" w:hAnsi="Times New Roman" w:cs="Times New Roman"/>
                <w:color w:val="auto"/>
                <w:sz w:val="24"/>
                <w:lang w:val="en-US" w:eastAsia="zh-CN"/>
              </w:rPr>
              <w:t>以生产车间西</w:t>
            </w:r>
            <w:r>
              <w:rPr>
                <w:rFonts w:hint="eastAsia" w:cs="Times New Roman"/>
                <w:color w:val="auto"/>
                <w:sz w:val="24"/>
                <w:lang w:val="en-US" w:eastAsia="zh-CN"/>
              </w:rPr>
              <w:t>北</w:t>
            </w:r>
            <w:r>
              <w:rPr>
                <w:rFonts w:hint="default" w:ascii="Times New Roman" w:hAnsi="Times New Roman" w:cs="Times New Roman"/>
                <w:color w:val="auto"/>
                <w:sz w:val="24"/>
                <w:lang w:val="en-US" w:eastAsia="zh-CN"/>
              </w:rPr>
              <w:t>角为坐标原点，本项目</w:t>
            </w:r>
            <w:r>
              <w:rPr>
                <w:rFonts w:hint="default" w:ascii="Times New Roman" w:hAnsi="Times New Roman" w:cs="Times New Roman"/>
                <w:color w:val="auto"/>
                <w:sz w:val="24"/>
              </w:rPr>
              <w:t>各声源声级值详见</w:t>
            </w:r>
            <w:r>
              <w:rPr>
                <w:rFonts w:hint="default" w:ascii="Times New Roman" w:hAnsi="Times New Roman" w:cs="Times New Roman"/>
                <w:color w:val="auto"/>
                <w:sz w:val="24"/>
                <w:szCs w:val="24"/>
                <w:lang w:val="en-US" w:eastAsia="zh-CN"/>
              </w:rPr>
              <w:t>下表</w:t>
            </w:r>
            <w:r>
              <w:rPr>
                <w:rFonts w:hint="default" w:ascii="Times New Roman" w:hAnsi="Times New Roman" w:cs="Times New Roman"/>
                <w:color w:val="auto"/>
                <w:sz w:val="24"/>
                <w:szCs w:val="24"/>
              </w:rPr>
              <w:t>：</w:t>
            </w:r>
          </w:p>
          <w:p w14:paraId="0D54610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lang w:val="en-US" w:eastAsia="zh-CN"/>
              </w:rPr>
              <w:t>表4-7  工业企业噪声源强调查清单（室内声源）</w:t>
            </w:r>
          </w:p>
          <w:tbl>
            <w:tblPr>
              <w:tblStyle w:val="34"/>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
              <w:gridCol w:w="949"/>
              <w:gridCol w:w="910"/>
              <w:gridCol w:w="856"/>
              <w:gridCol w:w="526"/>
              <w:gridCol w:w="536"/>
              <w:gridCol w:w="458"/>
              <w:gridCol w:w="717"/>
              <w:gridCol w:w="566"/>
              <w:gridCol w:w="900"/>
              <w:gridCol w:w="772"/>
              <w:gridCol w:w="854"/>
            </w:tblGrid>
            <w:tr w14:paraId="67C87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5" w:type="pct"/>
                  <w:vMerge w:val="restart"/>
                  <w:noWrap w:val="0"/>
                  <w:vAlign w:val="center"/>
                </w:tcPr>
                <w:p w14:paraId="164F176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序号</w:t>
                  </w:r>
                </w:p>
              </w:tc>
              <w:tc>
                <w:tcPr>
                  <w:tcW w:w="556" w:type="pct"/>
                  <w:vMerge w:val="restart"/>
                  <w:noWrap w:val="0"/>
                  <w:vAlign w:val="center"/>
                </w:tcPr>
                <w:p w14:paraId="2018736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声源名称</w:t>
                  </w:r>
                </w:p>
              </w:tc>
              <w:tc>
                <w:tcPr>
                  <w:tcW w:w="533" w:type="pct"/>
                  <w:vMerge w:val="restart"/>
                  <w:noWrap w:val="0"/>
                  <w:vAlign w:val="center"/>
                </w:tcPr>
                <w:p w14:paraId="71B67FD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声压级/距声压级距离dB（A）/m）</w:t>
                  </w:r>
                </w:p>
              </w:tc>
              <w:tc>
                <w:tcPr>
                  <w:tcW w:w="501" w:type="pct"/>
                  <w:vMerge w:val="restart"/>
                  <w:noWrap w:val="0"/>
                  <w:vAlign w:val="center"/>
                </w:tcPr>
                <w:p w14:paraId="539CA4A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声源控制措施</w:t>
                  </w:r>
                </w:p>
                <w:p w14:paraId="7B478D5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p>
              </w:tc>
              <w:tc>
                <w:tcPr>
                  <w:tcW w:w="890" w:type="pct"/>
                  <w:gridSpan w:val="3"/>
                  <w:noWrap w:val="0"/>
                  <w:vAlign w:val="center"/>
                </w:tcPr>
                <w:p w14:paraId="61EEC22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空间相对位置/m</w:t>
                  </w:r>
                </w:p>
              </w:tc>
              <w:tc>
                <w:tcPr>
                  <w:tcW w:w="420" w:type="pct"/>
                  <w:vMerge w:val="restart"/>
                  <w:noWrap w:val="0"/>
                  <w:vAlign w:val="center"/>
                </w:tcPr>
                <w:p w14:paraId="40FBBE1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距室内边界距离/m</w:t>
                  </w:r>
                </w:p>
              </w:tc>
              <w:tc>
                <w:tcPr>
                  <w:tcW w:w="331" w:type="pct"/>
                  <w:vMerge w:val="restart"/>
                  <w:noWrap w:val="0"/>
                  <w:vAlign w:val="center"/>
                </w:tcPr>
                <w:p w14:paraId="47D6C43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运行时段</w:t>
                  </w:r>
                </w:p>
                <w:p w14:paraId="1EBCA90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p>
              </w:tc>
              <w:tc>
                <w:tcPr>
                  <w:tcW w:w="527" w:type="pct"/>
                  <w:vMerge w:val="restart"/>
                  <w:noWrap w:val="0"/>
                  <w:vAlign w:val="center"/>
                </w:tcPr>
                <w:p w14:paraId="1464EA2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建筑物插入损失/dB（A）</w:t>
                  </w:r>
                </w:p>
              </w:tc>
              <w:tc>
                <w:tcPr>
                  <w:tcW w:w="952" w:type="pct"/>
                  <w:gridSpan w:val="2"/>
                  <w:noWrap w:val="0"/>
                  <w:vAlign w:val="center"/>
                </w:tcPr>
                <w:p w14:paraId="340840B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建筑物外噪声</w:t>
                  </w:r>
                </w:p>
              </w:tc>
            </w:tr>
            <w:tr w14:paraId="0C390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5" w:type="pct"/>
                  <w:vMerge w:val="continue"/>
                  <w:noWrap w:val="0"/>
                  <w:vAlign w:val="center"/>
                </w:tcPr>
                <w:p w14:paraId="4580324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rPr>
                  </w:pPr>
                </w:p>
              </w:tc>
              <w:tc>
                <w:tcPr>
                  <w:tcW w:w="556" w:type="pct"/>
                  <w:vMerge w:val="continue"/>
                  <w:noWrap w:val="0"/>
                  <w:vAlign w:val="center"/>
                </w:tcPr>
                <w:p w14:paraId="3928428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rPr>
                  </w:pPr>
                </w:p>
              </w:tc>
              <w:tc>
                <w:tcPr>
                  <w:tcW w:w="533" w:type="pct"/>
                  <w:vMerge w:val="continue"/>
                  <w:noWrap w:val="0"/>
                  <w:vAlign w:val="center"/>
                </w:tcPr>
                <w:p w14:paraId="4188D1F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p>
              </w:tc>
              <w:tc>
                <w:tcPr>
                  <w:tcW w:w="501" w:type="pct"/>
                  <w:vMerge w:val="continue"/>
                  <w:noWrap w:val="0"/>
                  <w:vAlign w:val="center"/>
                </w:tcPr>
                <w:p w14:paraId="5CB6165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p>
              </w:tc>
              <w:tc>
                <w:tcPr>
                  <w:tcW w:w="308" w:type="pct"/>
                  <w:noWrap w:val="0"/>
                  <w:vAlign w:val="center"/>
                </w:tcPr>
                <w:p w14:paraId="68BDE8A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X</w:t>
                  </w:r>
                </w:p>
              </w:tc>
              <w:tc>
                <w:tcPr>
                  <w:tcW w:w="314" w:type="pct"/>
                  <w:noWrap w:val="0"/>
                  <w:vAlign w:val="center"/>
                </w:tcPr>
                <w:p w14:paraId="39C2316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Y</w:t>
                  </w:r>
                </w:p>
              </w:tc>
              <w:tc>
                <w:tcPr>
                  <w:tcW w:w="268" w:type="pct"/>
                  <w:noWrap w:val="0"/>
                  <w:vAlign w:val="center"/>
                </w:tcPr>
                <w:p w14:paraId="75D2B23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Z</w:t>
                  </w:r>
                </w:p>
              </w:tc>
              <w:tc>
                <w:tcPr>
                  <w:tcW w:w="420" w:type="pct"/>
                  <w:vMerge w:val="continue"/>
                  <w:noWrap w:val="0"/>
                  <w:vAlign w:val="center"/>
                </w:tcPr>
                <w:p w14:paraId="094540D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vertAlign w:val="baseline"/>
                      <w:lang w:val="en-US" w:eastAsia="zh-CN" w:bidi="ar-SA"/>
                    </w:rPr>
                  </w:pPr>
                </w:p>
              </w:tc>
              <w:tc>
                <w:tcPr>
                  <w:tcW w:w="331" w:type="pct"/>
                  <w:vMerge w:val="continue"/>
                  <w:noWrap w:val="0"/>
                  <w:vAlign w:val="center"/>
                </w:tcPr>
                <w:p w14:paraId="40978BB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rPr>
                  </w:pPr>
                </w:p>
              </w:tc>
              <w:tc>
                <w:tcPr>
                  <w:tcW w:w="527" w:type="pct"/>
                  <w:vMerge w:val="continue"/>
                  <w:noWrap w:val="0"/>
                  <w:vAlign w:val="center"/>
                </w:tcPr>
                <w:p w14:paraId="4D0A586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rPr>
                  </w:pPr>
                </w:p>
              </w:tc>
              <w:tc>
                <w:tcPr>
                  <w:tcW w:w="452" w:type="pct"/>
                  <w:shd w:val="clear" w:color="auto" w:fill="auto"/>
                  <w:noWrap w:val="0"/>
                  <w:vAlign w:val="center"/>
                </w:tcPr>
                <w:p w14:paraId="7B36D4C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Cs w:val="21"/>
                    </w:rPr>
                    <w:t>声压级/dB(A)</w:t>
                  </w:r>
                </w:p>
              </w:tc>
              <w:tc>
                <w:tcPr>
                  <w:tcW w:w="500" w:type="pct"/>
                  <w:shd w:val="clear" w:color="auto" w:fill="auto"/>
                  <w:noWrap w:val="0"/>
                  <w:vAlign w:val="center"/>
                </w:tcPr>
                <w:p w14:paraId="423091F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Cs w:val="21"/>
                    </w:rPr>
                    <w:t>建筑物外距离</w:t>
                  </w:r>
                </w:p>
              </w:tc>
            </w:tr>
            <w:tr w14:paraId="70704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5" w:type="pct"/>
                  <w:noWrap w:val="0"/>
                  <w:vAlign w:val="center"/>
                </w:tcPr>
                <w:p w14:paraId="6B54C1F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556" w:type="pct"/>
                  <w:noWrap w:val="0"/>
                  <w:vAlign w:val="top"/>
                </w:tcPr>
                <w:p w14:paraId="10B8474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粉碎机</w:t>
                  </w:r>
                </w:p>
              </w:tc>
              <w:tc>
                <w:tcPr>
                  <w:tcW w:w="533" w:type="pct"/>
                  <w:noWrap w:val="0"/>
                  <w:vAlign w:val="center"/>
                </w:tcPr>
                <w:p w14:paraId="65EBEB6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85/1</w:t>
                  </w:r>
                </w:p>
              </w:tc>
              <w:tc>
                <w:tcPr>
                  <w:tcW w:w="501" w:type="pct"/>
                  <w:vMerge w:val="restart"/>
                  <w:noWrap w:val="0"/>
                  <w:vAlign w:val="center"/>
                </w:tcPr>
                <w:p w14:paraId="1CA6ED8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基础减振、厂房隔声</w:t>
                  </w:r>
                </w:p>
              </w:tc>
              <w:tc>
                <w:tcPr>
                  <w:tcW w:w="308" w:type="pct"/>
                  <w:noWrap w:val="0"/>
                  <w:vAlign w:val="center"/>
                </w:tcPr>
                <w:p w14:paraId="74EB8B9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3.4</w:t>
                  </w:r>
                </w:p>
              </w:tc>
              <w:tc>
                <w:tcPr>
                  <w:tcW w:w="314" w:type="pct"/>
                  <w:noWrap w:val="0"/>
                  <w:vAlign w:val="center"/>
                </w:tcPr>
                <w:p w14:paraId="5C224FD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9.1</w:t>
                  </w:r>
                </w:p>
              </w:tc>
              <w:tc>
                <w:tcPr>
                  <w:tcW w:w="268" w:type="pct"/>
                  <w:noWrap w:val="0"/>
                  <w:vAlign w:val="center"/>
                </w:tcPr>
                <w:p w14:paraId="72C5CED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420" w:type="pct"/>
                  <w:noWrap w:val="0"/>
                  <w:vAlign w:val="center"/>
                </w:tcPr>
                <w:p w14:paraId="6B4AC68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3</w:t>
                  </w:r>
                </w:p>
              </w:tc>
              <w:tc>
                <w:tcPr>
                  <w:tcW w:w="331" w:type="pct"/>
                  <w:vMerge w:val="restart"/>
                  <w:noWrap w:val="0"/>
                  <w:vAlign w:val="center"/>
                </w:tcPr>
                <w:p w14:paraId="33B3E59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昼</w:t>
                  </w:r>
                </w:p>
              </w:tc>
              <w:tc>
                <w:tcPr>
                  <w:tcW w:w="527" w:type="pct"/>
                  <w:noWrap w:val="0"/>
                  <w:vAlign w:val="center"/>
                </w:tcPr>
                <w:p w14:paraId="059619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15</w:t>
                  </w:r>
                </w:p>
              </w:tc>
              <w:tc>
                <w:tcPr>
                  <w:tcW w:w="452" w:type="pct"/>
                  <w:shd w:val="clear" w:color="auto" w:fill="auto"/>
                  <w:noWrap w:val="0"/>
                  <w:vAlign w:val="center"/>
                </w:tcPr>
                <w:p w14:paraId="1139D9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60</w:t>
                  </w:r>
                </w:p>
              </w:tc>
              <w:tc>
                <w:tcPr>
                  <w:tcW w:w="500" w:type="pct"/>
                  <w:noWrap w:val="0"/>
                  <w:vAlign w:val="center"/>
                </w:tcPr>
                <w:p w14:paraId="4CF63C7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r>
            <w:tr w14:paraId="1AF47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5" w:type="pct"/>
                  <w:noWrap w:val="0"/>
                  <w:vAlign w:val="center"/>
                </w:tcPr>
                <w:p w14:paraId="60EEBC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556" w:type="pct"/>
                  <w:noWrap w:val="0"/>
                  <w:vAlign w:val="top"/>
                </w:tcPr>
                <w:p w14:paraId="6F9711C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热熔机</w:t>
                  </w:r>
                </w:p>
              </w:tc>
              <w:tc>
                <w:tcPr>
                  <w:tcW w:w="533" w:type="pct"/>
                  <w:noWrap w:val="0"/>
                  <w:vAlign w:val="center"/>
                </w:tcPr>
                <w:p w14:paraId="2427719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80</w:t>
                  </w:r>
                  <w:r>
                    <w:rPr>
                      <w:rFonts w:hint="default" w:ascii="Times New Roman" w:hAnsi="Times New Roman" w:cs="Times New Roman"/>
                      <w:color w:val="auto"/>
                      <w:sz w:val="21"/>
                      <w:szCs w:val="21"/>
                      <w:vertAlign w:val="baseline"/>
                      <w:lang w:val="en-US" w:eastAsia="zh-CN"/>
                    </w:rPr>
                    <w:t>/1</w:t>
                  </w:r>
                </w:p>
              </w:tc>
              <w:tc>
                <w:tcPr>
                  <w:tcW w:w="501" w:type="pct"/>
                  <w:vMerge w:val="continue"/>
                  <w:noWrap w:val="0"/>
                  <w:vAlign w:val="center"/>
                </w:tcPr>
                <w:p w14:paraId="47240C2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lang w:val="en-US" w:eastAsia="zh-CN"/>
                    </w:rPr>
                  </w:pPr>
                </w:p>
              </w:tc>
              <w:tc>
                <w:tcPr>
                  <w:tcW w:w="308" w:type="pct"/>
                  <w:noWrap w:val="0"/>
                  <w:vAlign w:val="center"/>
                </w:tcPr>
                <w:p w14:paraId="35DC0DB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3.2</w:t>
                  </w:r>
                </w:p>
              </w:tc>
              <w:tc>
                <w:tcPr>
                  <w:tcW w:w="314" w:type="pct"/>
                  <w:noWrap w:val="0"/>
                  <w:vAlign w:val="center"/>
                </w:tcPr>
                <w:p w14:paraId="5167755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6.3</w:t>
                  </w:r>
                </w:p>
              </w:tc>
              <w:tc>
                <w:tcPr>
                  <w:tcW w:w="268" w:type="pct"/>
                  <w:noWrap w:val="0"/>
                  <w:vAlign w:val="center"/>
                </w:tcPr>
                <w:p w14:paraId="71793D8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420" w:type="pct"/>
                  <w:noWrap w:val="0"/>
                  <w:vAlign w:val="center"/>
                </w:tcPr>
                <w:p w14:paraId="08E1F51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w:t>
                  </w:r>
                </w:p>
              </w:tc>
              <w:tc>
                <w:tcPr>
                  <w:tcW w:w="331" w:type="pct"/>
                  <w:vMerge w:val="continue"/>
                  <w:noWrap w:val="0"/>
                  <w:vAlign w:val="center"/>
                </w:tcPr>
                <w:p w14:paraId="3A86A5B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p>
              </w:tc>
              <w:tc>
                <w:tcPr>
                  <w:tcW w:w="527" w:type="pct"/>
                  <w:noWrap w:val="0"/>
                  <w:vAlign w:val="center"/>
                </w:tcPr>
                <w:p w14:paraId="1DAF551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15</w:t>
                  </w:r>
                </w:p>
              </w:tc>
              <w:tc>
                <w:tcPr>
                  <w:tcW w:w="452" w:type="pct"/>
                  <w:shd w:val="clear" w:color="auto" w:fill="auto"/>
                  <w:noWrap w:val="0"/>
                  <w:vAlign w:val="center"/>
                </w:tcPr>
                <w:p w14:paraId="538300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53</w:t>
                  </w:r>
                </w:p>
              </w:tc>
              <w:tc>
                <w:tcPr>
                  <w:tcW w:w="500" w:type="pct"/>
                  <w:noWrap w:val="0"/>
                  <w:vAlign w:val="center"/>
                </w:tcPr>
                <w:p w14:paraId="6109C7B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r>
            <w:tr w14:paraId="772CB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5" w:type="pct"/>
                  <w:noWrap w:val="0"/>
                  <w:vAlign w:val="center"/>
                </w:tcPr>
                <w:p w14:paraId="6DFD18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w:t>
                  </w:r>
                </w:p>
              </w:tc>
              <w:tc>
                <w:tcPr>
                  <w:tcW w:w="556" w:type="pct"/>
                  <w:noWrap w:val="0"/>
                  <w:vAlign w:val="top"/>
                </w:tcPr>
                <w:p w14:paraId="6EAB7F5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切粒机</w:t>
                  </w:r>
                </w:p>
              </w:tc>
              <w:tc>
                <w:tcPr>
                  <w:tcW w:w="533" w:type="pct"/>
                  <w:noWrap w:val="0"/>
                  <w:vAlign w:val="center"/>
                </w:tcPr>
                <w:p w14:paraId="021CE40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75</w:t>
                  </w:r>
                  <w:r>
                    <w:rPr>
                      <w:rFonts w:hint="default" w:ascii="Times New Roman" w:hAnsi="Times New Roman" w:cs="Times New Roman"/>
                      <w:color w:val="auto"/>
                      <w:sz w:val="21"/>
                      <w:szCs w:val="21"/>
                      <w:vertAlign w:val="baseline"/>
                      <w:lang w:val="en-US" w:eastAsia="zh-CN"/>
                    </w:rPr>
                    <w:t>/1</w:t>
                  </w:r>
                </w:p>
              </w:tc>
              <w:tc>
                <w:tcPr>
                  <w:tcW w:w="501" w:type="pct"/>
                  <w:vMerge w:val="continue"/>
                  <w:noWrap w:val="0"/>
                  <w:vAlign w:val="center"/>
                </w:tcPr>
                <w:p w14:paraId="6927BB8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lang w:val="en-US" w:eastAsia="zh-CN"/>
                    </w:rPr>
                  </w:pPr>
                </w:p>
              </w:tc>
              <w:tc>
                <w:tcPr>
                  <w:tcW w:w="308" w:type="pct"/>
                  <w:noWrap w:val="0"/>
                  <w:vAlign w:val="center"/>
                </w:tcPr>
                <w:p w14:paraId="0839015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3.3</w:t>
                  </w:r>
                </w:p>
              </w:tc>
              <w:tc>
                <w:tcPr>
                  <w:tcW w:w="314" w:type="pct"/>
                  <w:noWrap w:val="0"/>
                  <w:vAlign w:val="center"/>
                </w:tcPr>
                <w:p w14:paraId="08DEF87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9.4</w:t>
                  </w:r>
                </w:p>
              </w:tc>
              <w:tc>
                <w:tcPr>
                  <w:tcW w:w="268" w:type="pct"/>
                  <w:noWrap w:val="0"/>
                  <w:vAlign w:val="center"/>
                </w:tcPr>
                <w:p w14:paraId="043F723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420" w:type="pct"/>
                  <w:noWrap w:val="0"/>
                  <w:vAlign w:val="center"/>
                </w:tcPr>
                <w:p w14:paraId="16454A8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w:t>
                  </w:r>
                </w:p>
              </w:tc>
              <w:tc>
                <w:tcPr>
                  <w:tcW w:w="331" w:type="pct"/>
                  <w:vMerge w:val="continue"/>
                  <w:noWrap w:val="0"/>
                  <w:vAlign w:val="center"/>
                </w:tcPr>
                <w:p w14:paraId="718D54A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p>
              </w:tc>
              <w:tc>
                <w:tcPr>
                  <w:tcW w:w="527" w:type="pct"/>
                  <w:noWrap w:val="0"/>
                  <w:vAlign w:val="center"/>
                </w:tcPr>
                <w:p w14:paraId="166B503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15</w:t>
                  </w:r>
                </w:p>
              </w:tc>
              <w:tc>
                <w:tcPr>
                  <w:tcW w:w="452" w:type="pct"/>
                  <w:shd w:val="clear" w:color="auto" w:fill="auto"/>
                  <w:noWrap w:val="0"/>
                  <w:vAlign w:val="center"/>
                </w:tcPr>
                <w:p w14:paraId="34E191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48</w:t>
                  </w:r>
                </w:p>
              </w:tc>
              <w:tc>
                <w:tcPr>
                  <w:tcW w:w="500" w:type="pct"/>
                  <w:noWrap w:val="0"/>
                  <w:vAlign w:val="center"/>
                </w:tcPr>
                <w:p w14:paraId="2EBFE29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r>
            <w:tr w14:paraId="2FFD1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5" w:type="pct"/>
                  <w:noWrap w:val="0"/>
                  <w:vAlign w:val="center"/>
                </w:tcPr>
                <w:p w14:paraId="712416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w:t>
                  </w:r>
                </w:p>
              </w:tc>
              <w:tc>
                <w:tcPr>
                  <w:tcW w:w="556" w:type="pct"/>
                  <w:noWrap w:val="0"/>
                  <w:vAlign w:val="top"/>
                </w:tcPr>
                <w:p w14:paraId="7FE8E89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循环水泵</w:t>
                  </w:r>
                </w:p>
              </w:tc>
              <w:tc>
                <w:tcPr>
                  <w:tcW w:w="533" w:type="pct"/>
                  <w:noWrap w:val="0"/>
                  <w:vAlign w:val="center"/>
                </w:tcPr>
                <w:p w14:paraId="039EC6B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80</w:t>
                  </w:r>
                  <w:r>
                    <w:rPr>
                      <w:rFonts w:hint="default" w:ascii="Times New Roman" w:hAnsi="Times New Roman" w:cs="Times New Roman"/>
                      <w:color w:val="auto"/>
                      <w:sz w:val="21"/>
                      <w:szCs w:val="21"/>
                      <w:vertAlign w:val="baseline"/>
                      <w:lang w:val="en-US" w:eastAsia="zh-CN"/>
                    </w:rPr>
                    <w:t>/1</w:t>
                  </w:r>
                </w:p>
              </w:tc>
              <w:tc>
                <w:tcPr>
                  <w:tcW w:w="501" w:type="pct"/>
                  <w:vMerge w:val="continue"/>
                  <w:noWrap w:val="0"/>
                  <w:vAlign w:val="center"/>
                </w:tcPr>
                <w:p w14:paraId="6F1EAB6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vertAlign w:val="baseline"/>
                      <w:lang w:val="en-US" w:eastAsia="zh-CN" w:bidi="ar-SA"/>
                    </w:rPr>
                  </w:pPr>
                </w:p>
              </w:tc>
              <w:tc>
                <w:tcPr>
                  <w:tcW w:w="308" w:type="pct"/>
                  <w:noWrap w:val="0"/>
                  <w:vAlign w:val="center"/>
                </w:tcPr>
                <w:p w14:paraId="32A37F3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3.7</w:t>
                  </w:r>
                </w:p>
              </w:tc>
              <w:tc>
                <w:tcPr>
                  <w:tcW w:w="314" w:type="pct"/>
                  <w:noWrap w:val="0"/>
                  <w:vAlign w:val="center"/>
                </w:tcPr>
                <w:p w14:paraId="1E02BBB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4.2</w:t>
                  </w:r>
                </w:p>
              </w:tc>
              <w:tc>
                <w:tcPr>
                  <w:tcW w:w="268" w:type="pct"/>
                  <w:noWrap w:val="0"/>
                  <w:vAlign w:val="center"/>
                </w:tcPr>
                <w:p w14:paraId="057E1F1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1</w:t>
                  </w:r>
                </w:p>
              </w:tc>
              <w:tc>
                <w:tcPr>
                  <w:tcW w:w="420" w:type="pct"/>
                  <w:noWrap w:val="0"/>
                  <w:vAlign w:val="center"/>
                </w:tcPr>
                <w:p w14:paraId="6E517D7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4</w:t>
                  </w:r>
                </w:p>
              </w:tc>
              <w:tc>
                <w:tcPr>
                  <w:tcW w:w="331" w:type="pct"/>
                  <w:vMerge w:val="continue"/>
                  <w:noWrap w:val="0"/>
                  <w:vAlign w:val="center"/>
                </w:tcPr>
                <w:p w14:paraId="18F904F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p>
              </w:tc>
              <w:tc>
                <w:tcPr>
                  <w:tcW w:w="527" w:type="pct"/>
                  <w:noWrap w:val="0"/>
                  <w:vAlign w:val="center"/>
                </w:tcPr>
                <w:p w14:paraId="26427B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15</w:t>
                  </w:r>
                </w:p>
              </w:tc>
              <w:tc>
                <w:tcPr>
                  <w:tcW w:w="452" w:type="pct"/>
                  <w:shd w:val="clear" w:color="auto" w:fill="auto"/>
                  <w:noWrap w:val="0"/>
                  <w:vAlign w:val="center"/>
                </w:tcPr>
                <w:p w14:paraId="771602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53</w:t>
                  </w:r>
                </w:p>
              </w:tc>
              <w:tc>
                <w:tcPr>
                  <w:tcW w:w="500" w:type="pct"/>
                  <w:noWrap w:val="0"/>
                  <w:vAlign w:val="center"/>
                </w:tcPr>
                <w:p w14:paraId="78DDCF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cs="Times New Roman"/>
                      <w:color w:val="auto"/>
                      <w:sz w:val="21"/>
                      <w:szCs w:val="21"/>
                      <w:vertAlign w:val="baseline"/>
                      <w:lang w:val="en-US" w:eastAsia="zh-CN"/>
                    </w:rPr>
                    <w:t>1</w:t>
                  </w:r>
                </w:p>
              </w:tc>
            </w:tr>
            <w:tr w14:paraId="5422D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5" w:type="pct"/>
                  <w:noWrap w:val="0"/>
                  <w:vAlign w:val="center"/>
                </w:tcPr>
                <w:p w14:paraId="1A942C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w:t>
                  </w:r>
                </w:p>
              </w:tc>
              <w:tc>
                <w:tcPr>
                  <w:tcW w:w="556" w:type="pct"/>
                  <w:noWrap w:val="0"/>
                  <w:vAlign w:val="top"/>
                </w:tcPr>
                <w:p w14:paraId="2BC5FB69">
                  <w:pPr>
                    <w:pStyle w:val="184"/>
                    <w:keepNext w:val="0"/>
                    <w:keepLines w:val="0"/>
                    <w:suppressLineNumbers w:val="0"/>
                    <w:spacing w:before="114" w:beforeAutospacing="0" w:after="0" w:afterAutospacing="0" w:line="227" w:lineRule="auto"/>
                    <w:ind w:left="36" w:leftChars="0" w:right="0"/>
                    <w:outlineLvl w:val="1"/>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粉尘废气治理设施风机</w:t>
                  </w:r>
                </w:p>
              </w:tc>
              <w:tc>
                <w:tcPr>
                  <w:tcW w:w="533" w:type="pct"/>
                  <w:noWrap w:val="0"/>
                  <w:vAlign w:val="center"/>
                </w:tcPr>
                <w:p w14:paraId="7FD3A58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90</w:t>
                  </w:r>
                  <w:r>
                    <w:rPr>
                      <w:rFonts w:hint="default" w:ascii="Times New Roman" w:hAnsi="Times New Roman" w:cs="Times New Roman"/>
                      <w:color w:val="auto"/>
                      <w:sz w:val="21"/>
                      <w:szCs w:val="21"/>
                      <w:vertAlign w:val="baseline"/>
                      <w:lang w:val="en-US" w:eastAsia="zh-CN"/>
                    </w:rPr>
                    <w:t>/1</w:t>
                  </w:r>
                </w:p>
              </w:tc>
              <w:tc>
                <w:tcPr>
                  <w:tcW w:w="501" w:type="pct"/>
                  <w:vMerge w:val="continue"/>
                  <w:noWrap w:val="0"/>
                  <w:vAlign w:val="center"/>
                </w:tcPr>
                <w:p w14:paraId="037FFC9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kern w:val="2"/>
                      <w:sz w:val="21"/>
                      <w:szCs w:val="21"/>
                      <w:vertAlign w:val="baseline"/>
                      <w:lang w:val="en-US" w:eastAsia="zh-CN" w:bidi="ar-SA"/>
                    </w:rPr>
                  </w:pPr>
                </w:p>
              </w:tc>
              <w:tc>
                <w:tcPr>
                  <w:tcW w:w="308" w:type="pct"/>
                  <w:noWrap w:val="0"/>
                  <w:vAlign w:val="center"/>
                </w:tcPr>
                <w:p w14:paraId="352AE4D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1</w:t>
                  </w:r>
                  <w:r>
                    <w:rPr>
                      <w:rFonts w:hint="eastAsia" w:cs="Times New Roman"/>
                      <w:color w:val="auto"/>
                      <w:kern w:val="2"/>
                      <w:sz w:val="21"/>
                      <w:szCs w:val="21"/>
                      <w:vertAlign w:val="baseline"/>
                      <w:lang w:val="en-US" w:eastAsia="zh-CN" w:bidi="ar-SA"/>
                    </w:rPr>
                    <w:t>.</w:t>
                  </w:r>
                  <w:r>
                    <w:rPr>
                      <w:rFonts w:hint="default" w:ascii="Times New Roman" w:hAnsi="Times New Roman" w:cs="Times New Roman"/>
                      <w:color w:val="auto"/>
                      <w:kern w:val="2"/>
                      <w:sz w:val="21"/>
                      <w:szCs w:val="21"/>
                      <w:vertAlign w:val="baseline"/>
                      <w:lang w:val="en-US" w:eastAsia="zh-CN" w:bidi="ar-SA"/>
                    </w:rPr>
                    <w:t>8</w:t>
                  </w:r>
                </w:p>
              </w:tc>
              <w:tc>
                <w:tcPr>
                  <w:tcW w:w="314" w:type="pct"/>
                  <w:noWrap w:val="0"/>
                  <w:vAlign w:val="center"/>
                </w:tcPr>
                <w:p w14:paraId="6F839EC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9.8</w:t>
                  </w:r>
                </w:p>
              </w:tc>
              <w:tc>
                <w:tcPr>
                  <w:tcW w:w="268" w:type="pct"/>
                  <w:noWrap w:val="0"/>
                  <w:vAlign w:val="center"/>
                </w:tcPr>
                <w:p w14:paraId="6928FE4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w:t>
                  </w:r>
                </w:p>
              </w:tc>
              <w:tc>
                <w:tcPr>
                  <w:tcW w:w="420" w:type="pct"/>
                  <w:noWrap w:val="0"/>
                  <w:vAlign w:val="center"/>
                </w:tcPr>
                <w:p w14:paraId="1DDD54A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4</w:t>
                  </w:r>
                </w:p>
              </w:tc>
              <w:tc>
                <w:tcPr>
                  <w:tcW w:w="331" w:type="pct"/>
                  <w:vMerge w:val="continue"/>
                  <w:noWrap w:val="0"/>
                  <w:vAlign w:val="center"/>
                </w:tcPr>
                <w:p w14:paraId="787A8EA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p>
              </w:tc>
              <w:tc>
                <w:tcPr>
                  <w:tcW w:w="527" w:type="pct"/>
                  <w:noWrap w:val="0"/>
                  <w:vAlign w:val="center"/>
                </w:tcPr>
                <w:p w14:paraId="66F7E5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color w:val="auto"/>
                      <w:sz w:val="21"/>
                      <w:szCs w:val="21"/>
                      <w:vertAlign w:val="baseline"/>
                      <w:lang w:val="en-US" w:eastAsia="zh-CN"/>
                    </w:rPr>
                    <w:t>15</w:t>
                  </w:r>
                </w:p>
              </w:tc>
              <w:tc>
                <w:tcPr>
                  <w:tcW w:w="452" w:type="pct"/>
                  <w:shd w:val="clear" w:color="auto" w:fill="auto"/>
                  <w:noWrap w:val="0"/>
                  <w:vAlign w:val="center"/>
                </w:tcPr>
                <w:p w14:paraId="1F994B6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
                      <w:sz w:val="21"/>
                      <w:szCs w:val="21"/>
                      <w:vertAlign w:val="baseline"/>
                      <w:lang w:val="en-US" w:eastAsia="zh-CN" w:bidi="ar-SA"/>
                    </w:rPr>
                  </w:pPr>
                  <w:r>
                    <w:rPr>
                      <w:rFonts w:hint="eastAsia" w:cs="Times New Roman"/>
                      <w:i w:val="0"/>
                      <w:iCs w:val="0"/>
                      <w:color w:val="auto"/>
                      <w:kern w:val="0"/>
                      <w:sz w:val="21"/>
                      <w:szCs w:val="21"/>
                      <w:u w:val="none"/>
                      <w:lang w:val="en-US" w:eastAsia="zh-CN" w:bidi="ar"/>
                    </w:rPr>
                    <w:t>63</w:t>
                  </w:r>
                </w:p>
              </w:tc>
              <w:tc>
                <w:tcPr>
                  <w:tcW w:w="500" w:type="pct"/>
                  <w:noWrap w:val="0"/>
                  <w:vAlign w:val="center"/>
                </w:tcPr>
                <w:p w14:paraId="290000F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r>
            <w:tr w14:paraId="140EF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5" w:type="pct"/>
                  <w:noWrap w:val="0"/>
                  <w:vAlign w:val="center"/>
                </w:tcPr>
                <w:p w14:paraId="1D2792E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6</w:t>
                  </w:r>
                </w:p>
              </w:tc>
              <w:tc>
                <w:tcPr>
                  <w:tcW w:w="556" w:type="pct"/>
                  <w:noWrap w:val="0"/>
                  <w:vAlign w:val="top"/>
                </w:tcPr>
                <w:p w14:paraId="31038690">
                  <w:pPr>
                    <w:pStyle w:val="184"/>
                    <w:keepNext w:val="0"/>
                    <w:keepLines w:val="0"/>
                    <w:suppressLineNumbers w:val="0"/>
                    <w:spacing w:before="119" w:beforeAutospacing="0" w:after="0" w:afterAutospacing="0" w:line="227" w:lineRule="auto"/>
                    <w:ind w:left="38" w:leftChars="0" w:right="0"/>
                    <w:outlineLvl w:val="1"/>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有机废气治理设施风机</w:t>
                  </w:r>
                </w:p>
              </w:tc>
              <w:tc>
                <w:tcPr>
                  <w:tcW w:w="533" w:type="pct"/>
                  <w:noWrap w:val="0"/>
                  <w:vAlign w:val="center"/>
                </w:tcPr>
                <w:p w14:paraId="29FFC83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90</w:t>
                  </w:r>
                  <w:r>
                    <w:rPr>
                      <w:rFonts w:hint="default" w:ascii="Times New Roman" w:hAnsi="Times New Roman" w:cs="Times New Roman"/>
                      <w:color w:val="auto"/>
                      <w:sz w:val="21"/>
                      <w:szCs w:val="21"/>
                      <w:vertAlign w:val="baseline"/>
                      <w:lang w:val="en-US" w:eastAsia="zh-CN"/>
                    </w:rPr>
                    <w:t>/1</w:t>
                  </w:r>
                </w:p>
              </w:tc>
              <w:tc>
                <w:tcPr>
                  <w:tcW w:w="501" w:type="pct"/>
                  <w:vMerge w:val="continue"/>
                  <w:noWrap w:val="0"/>
                  <w:vAlign w:val="center"/>
                </w:tcPr>
                <w:p w14:paraId="7ABFDFB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kern w:val="2"/>
                      <w:sz w:val="21"/>
                      <w:szCs w:val="21"/>
                      <w:vertAlign w:val="baseline"/>
                      <w:lang w:val="en-US" w:eastAsia="zh-CN" w:bidi="ar-SA"/>
                    </w:rPr>
                  </w:pPr>
                </w:p>
              </w:tc>
              <w:tc>
                <w:tcPr>
                  <w:tcW w:w="308" w:type="pct"/>
                  <w:noWrap w:val="0"/>
                  <w:vAlign w:val="center"/>
                </w:tcPr>
                <w:p w14:paraId="54BC0A3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1</w:t>
                  </w:r>
                  <w:r>
                    <w:rPr>
                      <w:rFonts w:hint="eastAsia" w:cs="Times New Roman"/>
                      <w:color w:val="auto"/>
                      <w:kern w:val="2"/>
                      <w:sz w:val="21"/>
                      <w:szCs w:val="21"/>
                      <w:vertAlign w:val="baseline"/>
                      <w:lang w:val="en-US" w:eastAsia="zh-CN" w:bidi="ar-SA"/>
                    </w:rPr>
                    <w:t>.</w:t>
                  </w:r>
                  <w:r>
                    <w:rPr>
                      <w:rFonts w:hint="default" w:ascii="Times New Roman" w:hAnsi="Times New Roman" w:cs="Times New Roman"/>
                      <w:color w:val="auto"/>
                      <w:kern w:val="2"/>
                      <w:sz w:val="21"/>
                      <w:szCs w:val="21"/>
                      <w:vertAlign w:val="baseline"/>
                      <w:lang w:val="en-US" w:eastAsia="zh-CN" w:bidi="ar-SA"/>
                    </w:rPr>
                    <w:t>8</w:t>
                  </w:r>
                </w:p>
              </w:tc>
              <w:tc>
                <w:tcPr>
                  <w:tcW w:w="314" w:type="pct"/>
                  <w:noWrap w:val="0"/>
                  <w:vAlign w:val="center"/>
                </w:tcPr>
                <w:p w14:paraId="0272183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6.8</w:t>
                  </w:r>
                </w:p>
              </w:tc>
              <w:tc>
                <w:tcPr>
                  <w:tcW w:w="268" w:type="pct"/>
                  <w:noWrap w:val="0"/>
                  <w:vAlign w:val="center"/>
                </w:tcPr>
                <w:p w14:paraId="1B602AA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1</w:t>
                  </w:r>
                </w:p>
              </w:tc>
              <w:tc>
                <w:tcPr>
                  <w:tcW w:w="420" w:type="pct"/>
                  <w:noWrap w:val="0"/>
                  <w:vAlign w:val="center"/>
                </w:tcPr>
                <w:p w14:paraId="56BC3A0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w:t>
                  </w:r>
                </w:p>
              </w:tc>
              <w:tc>
                <w:tcPr>
                  <w:tcW w:w="331" w:type="pct"/>
                  <w:vMerge w:val="continue"/>
                  <w:noWrap w:val="0"/>
                  <w:vAlign w:val="center"/>
                </w:tcPr>
                <w:p w14:paraId="776452B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p>
              </w:tc>
              <w:tc>
                <w:tcPr>
                  <w:tcW w:w="527" w:type="pct"/>
                  <w:noWrap w:val="0"/>
                  <w:vAlign w:val="center"/>
                </w:tcPr>
                <w:p w14:paraId="4367A0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color w:val="auto"/>
                      <w:sz w:val="21"/>
                      <w:szCs w:val="21"/>
                      <w:vertAlign w:val="baseline"/>
                      <w:lang w:val="en-US" w:eastAsia="zh-CN"/>
                    </w:rPr>
                    <w:t>15</w:t>
                  </w:r>
                </w:p>
              </w:tc>
              <w:tc>
                <w:tcPr>
                  <w:tcW w:w="452" w:type="pct"/>
                  <w:shd w:val="clear" w:color="auto" w:fill="auto"/>
                  <w:noWrap w:val="0"/>
                  <w:vAlign w:val="center"/>
                </w:tcPr>
                <w:p w14:paraId="47EA5A6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
                      <w:sz w:val="21"/>
                      <w:szCs w:val="21"/>
                      <w:vertAlign w:val="baseline"/>
                      <w:lang w:val="en-US" w:eastAsia="zh-CN" w:bidi="ar-SA"/>
                    </w:rPr>
                  </w:pPr>
                  <w:r>
                    <w:rPr>
                      <w:rFonts w:hint="eastAsia" w:cs="Times New Roman"/>
                      <w:i w:val="0"/>
                      <w:iCs w:val="0"/>
                      <w:color w:val="auto"/>
                      <w:kern w:val="0"/>
                      <w:sz w:val="21"/>
                      <w:szCs w:val="21"/>
                      <w:u w:val="none"/>
                      <w:lang w:val="en-US" w:eastAsia="zh-CN" w:bidi="ar"/>
                    </w:rPr>
                    <w:t>63</w:t>
                  </w:r>
                </w:p>
              </w:tc>
              <w:tc>
                <w:tcPr>
                  <w:tcW w:w="500" w:type="pct"/>
                  <w:noWrap w:val="0"/>
                  <w:vAlign w:val="center"/>
                </w:tcPr>
                <w:p w14:paraId="51F8BEA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r>
          </w:tbl>
          <w:p w14:paraId="55EB9671">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lang w:eastAsia="zh-CN"/>
              </w:rPr>
              <w:t>2</w:t>
            </w:r>
            <w:r>
              <w:rPr>
                <w:rFonts w:hint="default" w:ascii="Times New Roman" w:hAnsi="Times New Roman" w:cs="Times New Roman"/>
                <w:b/>
                <w:bCs/>
                <w:color w:val="auto"/>
                <w:sz w:val="24"/>
                <w:szCs w:val="24"/>
                <w:lang w:val="en-US" w:eastAsia="zh-CN"/>
              </w:rPr>
              <w:t>.</w:t>
            </w:r>
            <w:r>
              <w:rPr>
                <w:rFonts w:hint="default" w:ascii="Times New Roman" w:hAnsi="Times New Roman" w:cs="Times New Roman"/>
                <w:b/>
                <w:bCs/>
                <w:color w:val="auto"/>
                <w:sz w:val="24"/>
                <w:szCs w:val="24"/>
              </w:rPr>
              <w:t>降噪治理措施</w:t>
            </w:r>
          </w:p>
          <w:p w14:paraId="50820FC6">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rPr>
              <w:t>①生产设施均设置在厂房内，采用建筑物隔声，防止噪声的扩散和传播，并避免高噪声设备集中放置；生产作业时尽量避免开窗，以增强隔声效果</w:t>
            </w:r>
            <w:r>
              <w:rPr>
                <w:rFonts w:hint="default" w:ascii="Times New Roman" w:hAnsi="Times New Roman" w:cs="Times New Roman"/>
                <w:color w:val="auto"/>
                <w:sz w:val="24"/>
                <w:szCs w:val="24"/>
              </w:rPr>
              <w:t>；</w:t>
            </w:r>
          </w:p>
          <w:p w14:paraId="55B0C655">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rPr>
              <w:t>②</w:t>
            </w:r>
            <w:r>
              <w:rPr>
                <w:rFonts w:hint="default" w:ascii="Times New Roman" w:hAnsi="Times New Roman" w:cs="Times New Roman"/>
                <w:color w:val="auto"/>
                <w:sz w:val="24"/>
                <w:szCs w:val="24"/>
              </w:rPr>
              <w:t>重视设备选型：最大程度地选用加工精度高，运行噪声低，配备减振、降噪设施的生产设备。</w:t>
            </w:r>
          </w:p>
          <w:p w14:paraId="0D449B77">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③</w:t>
            </w:r>
            <w:r>
              <w:rPr>
                <w:rFonts w:hint="default" w:ascii="Times New Roman" w:hAnsi="Times New Roman" w:cs="Times New Roman"/>
                <w:color w:val="auto"/>
                <w:sz w:val="24"/>
                <w:szCs w:val="24"/>
                <w:lang w:val="en-US" w:eastAsia="zh-CN"/>
              </w:rPr>
              <w:t>重视总体布置：合理进行平面布局，可利用建筑物、构筑物形成隔声屏障，阻碍噪声传播。</w:t>
            </w:r>
          </w:p>
          <w:p w14:paraId="225A1805">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④风机噪声控制：可以安装消声器、加装隔声罩、内嵌式安装，或设置风机房。在进气口安装阻抗复合消声器和对进排气管道做阻尼减振措施等。</w:t>
            </w:r>
          </w:p>
          <w:p w14:paraId="0C75FA5F">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⑤强化生产管理：加强对生产设备的保养、检修与润滑，保证设备处于良好运转状态。</w:t>
            </w:r>
          </w:p>
          <w:p w14:paraId="31C18463">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kern w:val="0"/>
                <w:sz w:val="24"/>
                <w:szCs w:val="24"/>
                <w:lang w:val="en-US" w:eastAsia="zh-CN"/>
              </w:rPr>
              <w:t>⑥</w:t>
            </w:r>
            <w:r>
              <w:rPr>
                <w:rFonts w:hint="default" w:ascii="Times New Roman" w:hAnsi="Times New Roman" w:cs="Times New Roman"/>
                <w:color w:val="auto"/>
                <w:kern w:val="0"/>
                <w:sz w:val="24"/>
                <w:szCs w:val="24"/>
              </w:rPr>
              <w:t>加强设备的维护和保养，确保设备处于良好的运转状态</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预防维修不良的机械设备因部件</w:t>
            </w:r>
            <w:r>
              <w:rPr>
                <w:rFonts w:hint="default" w:ascii="Times New Roman" w:hAnsi="Times New Roman" w:cs="Times New Roman"/>
                <w:color w:val="auto"/>
                <w:kern w:val="0"/>
                <w:sz w:val="24"/>
                <w:szCs w:val="24"/>
                <w:lang w:eastAsia="zh-CN"/>
              </w:rPr>
              <w:t>振动</w:t>
            </w:r>
            <w:r>
              <w:rPr>
                <w:rFonts w:hint="default" w:ascii="Times New Roman" w:hAnsi="Times New Roman" w:cs="Times New Roman"/>
                <w:color w:val="auto"/>
                <w:kern w:val="0"/>
                <w:sz w:val="24"/>
                <w:szCs w:val="24"/>
              </w:rPr>
              <w:t>而增加其工作噪声，从而在声源处达到降噪措施</w:t>
            </w:r>
            <w:r>
              <w:rPr>
                <w:rFonts w:hint="default" w:ascii="Times New Roman" w:hAnsi="Times New Roman" w:cs="Times New Roman"/>
                <w:color w:val="auto"/>
                <w:kern w:val="0"/>
                <w:sz w:val="24"/>
                <w:szCs w:val="24"/>
                <w:lang w:eastAsia="zh-CN"/>
              </w:rPr>
              <w:t>。</w:t>
            </w:r>
          </w:p>
          <w:p w14:paraId="10728992">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eastAsia="zh-CN"/>
              </w:rPr>
              <w:t>3</w:t>
            </w:r>
            <w:r>
              <w:rPr>
                <w:rFonts w:hint="default" w:ascii="Times New Roman" w:hAnsi="Times New Roman" w:eastAsia="宋体" w:cs="Times New Roman"/>
                <w:b/>
                <w:bCs/>
                <w:color w:val="auto"/>
                <w:sz w:val="24"/>
                <w:szCs w:val="24"/>
                <w:lang w:val="en-US" w:eastAsia="zh-CN"/>
              </w:rPr>
              <w:t>.预测模式</w:t>
            </w:r>
          </w:p>
          <w:p w14:paraId="0F657E14">
            <w:pPr>
              <w:keepNext w:val="0"/>
              <w:keepLines w:val="0"/>
              <w:widowControl/>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（1）预测方法</w:t>
            </w:r>
          </w:p>
          <w:p w14:paraId="5F705434">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①</w:t>
            </w:r>
            <w:r>
              <w:rPr>
                <w:rFonts w:hint="default" w:ascii="Times New Roman" w:hAnsi="Times New Roman" w:cs="Times New Roman"/>
                <w:bCs/>
                <w:color w:val="auto"/>
                <w:sz w:val="24"/>
              </w:rPr>
              <w:t>预测方案</w:t>
            </w:r>
          </w:p>
          <w:p w14:paraId="3C3966A5">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A.</w:t>
            </w:r>
            <w:r>
              <w:rPr>
                <w:rFonts w:hint="default" w:ascii="Times New Roman" w:hAnsi="Times New Roman" w:cs="Times New Roman"/>
                <w:bCs/>
                <w:color w:val="auto"/>
                <w:sz w:val="24"/>
              </w:rPr>
              <w:t>本次评价对厂界昼间噪声达标性进行预测分析。</w:t>
            </w:r>
          </w:p>
          <w:p w14:paraId="2477DCD9">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B.</w:t>
            </w:r>
            <w:r>
              <w:rPr>
                <w:rFonts w:hint="default" w:ascii="Times New Roman" w:hAnsi="Times New Roman" w:cs="Times New Roman"/>
                <w:bCs/>
                <w:color w:val="auto"/>
                <w:sz w:val="24"/>
              </w:rPr>
              <w:t>厂界以工程噪声贡献值作为评价量。</w:t>
            </w:r>
          </w:p>
          <w:p w14:paraId="544D53AD">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②</w:t>
            </w:r>
            <w:r>
              <w:rPr>
                <w:rFonts w:hint="default" w:ascii="Times New Roman" w:hAnsi="Times New Roman" w:cs="Times New Roman"/>
                <w:bCs/>
                <w:color w:val="auto"/>
                <w:sz w:val="24"/>
              </w:rPr>
              <w:t>预测模式</w:t>
            </w:r>
          </w:p>
          <w:p w14:paraId="07FE014D">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bCs/>
                <w:color w:val="auto"/>
                <w:sz w:val="24"/>
              </w:rPr>
              <w:t>按照《环境影响评价技术导则 声环境》（HJ2.4—2021）中推荐的模式进行预测计算。</w:t>
            </w:r>
          </w:p>
          <w:p w14:paraId="01C01C76">
            <w:pPr>
              <w:keepNext w:val="0"/>
              <w:keepLines w:val="0"/>
              <w:widowControl/>
              <w:suppressLineNumbers w:val="0"/>
              <w:spacing w:before="0" w:beforeAutospacing="0" w:after="0" w:afterAutospacing="0" w:line="360" w:lineRule="auto"/>
              <w:ind w:left="0" w:right="0"/>
              <w:rPr>
                <w:rFonts w:hint="default" w:ascii="Times New Roman" w:hAnsi="Times New Roman" w:cs="Times New Roman"/>
                <w:color w:val="auto"/>
                <w:sz w:val="24"/>
              </w:rPr>
            </w:pPr>
            <w:r>
              <w:rPr>
                <w:rFonts w:hint="default" w:ascii="Times New Roman" w:hAnsi="Times New Roman" w:cs="Times New Roman"/>
                <w:color w:val="auto"/>
                <w:sz w:val="24"/>
              </w:rPr>
              <w:t>A</w:t>
            </w:r>
            <w:r>
              <w:rPr>
                <w:rFonts w:hint="default" w:ascii="Times New Roman" w:hAnsi="Times New Roman" w:cs="Times New Roman"/>
                <w:color w:val="auto"/>
                <w:sz w:val="24"/>
                <w:lang w:eastAsia="zh-CN"/>
              </w:rPr>
              <w:t>.</w:t>
            </w:r>
            <w:r>
              <w:rPr>
                <w:rFonts w:hint="default" w:ascii="Times New Roman" w:hAnsi="Times New Roman" w:cs="Times New Roman"/>
                <w:color w:val="auto"/>
                <w:kern w:val="0"/>
                <w:sz w:val="24"/>
              </w:rPr>
              <w:t>靠近室外围护结构处的噪声级的计算</w:t>
            </w:r>
          </w:p>
          <w:p w14:paraId="5D39818B">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i/>
                <w:iCs/>
                <w:color w:val="auto"/>
                <w:kern w:val="0"/>
                <w:sz w:val="24"/>
              </w:rPr>
            </w:pPr>
            <w:r>
              <w:rPr>
                <w:rFonts w:hint="default" w:ascii="Times New Roman" w:hAnsi="Times New Roman" w:cs="Times New Roman"/>
                <w:i/>
                <w:iCs/>
                <w:color w:val="auto"/>
                <w:kern w:val="0"/>
                <w:sz w:val="24"/>
              </w:rPr>
              <w:t>L</w:t>
            </w:r>
            <w:r>
              <w:rPr>
                <w:rFonts w:hint="default" w:ascii="Times New Roman" w:hAnsi="Times New Roman" w:cs="Times New Roman"/>
                <w:i/>
                <w:iCs/>
                <w:color w:val="auto"/>
                <w:kern w:val="0"/>
                <w:sz w:val="24"/>
                <w:vertAlign w:val="subscript"/>
              </w:rPr>
              <w:t>p2i</w:t>
            </w:r>
            <w:r>
              <w:rPr>
                <w:rFonts w:hint="eastAsia" w:cs="Times New Roman"/>
                <w:i/>
                <w:iCs/>
                <w:color w:val="auto"/>
                <w:kern w:val="0"/>
                <w:sz w:val="24"/>
                <w:vertAlign w:val="subscript"/>
                <w:lang w:eastAsia="zh-CN"/>
              </w:rPr>
              <w:t>(</w:t>
            </w:r>
            <w:r>
              <w:rPr>
                <w:rFonts w:hint="default" w:ascii="Times New Roman" w:hAnsi="Times New Roman" w:cs="Times New Roman"/>
                <w:i/>
                <w:iCs/>
                <w:color w:val="auto"/>
                <w:kern w:val="0"/>
                <w:sz w:val="24"/>
              </w:rPr>
              <w:t>T</w:t>
            </w:r>
            <w:r>
              <w:rPr>
                <w:rFonts w:hint="eastAsia" w:cs="Times New Roman"/>
                <w:i/>
                <w:iCs/>
                <w:color w:val="auto"/>
                <w:kern w:val="0"/>
                <w:sz w:val="24"/>
                <w:lang w:eastAsia="zh-CN"/>
              </w:rPr>
              <w:t>)</w:t>
            </w:r>
            <w:r>
              <w:rPr>
                <w:rFonts w:hint="default" w:ascii="Times New Roman" w:hAnsi="Times New Roman" w:cs="Times New Roman"/>
                <w:i/>
                <w:iCs/>
                <w:color w:val="auto"/>
                <w:kern w:val="0"/>
                <w:sz w:val="24"/>
              </w:rPr>
              <w:t>=L</w:t>
            </w:r>
            <w:r>
              <w:rPr>
                <w:rFonts w:hint="default" w:ascii="Times New Roman" w:hAnsi="Times New Roman" w:cs="Times New Roman"/>
                <w:i/>
                <w:iCs/>
                <w:color w:val="auto"/>
                <w:kern w:val="0"/>
                <w:sz w:val="24"/>
                <w:vertAlign w:val="subscript"/>
              </w:rPr>
              <w:t>p1i</w:t>
            </w:r>
            <w:r>
              <w:rPr>
                <w:rFonts w:hint="eastAsia" w:cs="Times New Roman"/>
                <w:i/>
                <w:iCs/>
                <w:color w:val="auto"/>
                <w:kern w:val="0"/>
                <w:sz w:val="24"/>
                <w:vertAlign w:val="subscript"/>
                <w:lang w:eastAsia="zh-CN"/>
              </w:rPr>
              <w:t>(</w:t>
            </w:r>
            <w:r>
              <w:rPr>
                <w:rFonts w:hint="default" w:ascii="Times New Roman" w:hAnsi="Times New Roman" w:cs="Times New Roman"/>
                <w:i/>
                <w:iCs/>
                <w:color w:val="auto"/>
                <w:kern w:val="0"/>
                <w:sz w:val="24"/>
              </w:rPr>
              <w:t>T</w:t>
            </w:r>
            <w:r>
              <w:rPr>
                <w:rFonts w:hint="eastAsia" w:cs="Times New Roman"/>
                <w:i/>
                <w:iCs/>
                <w:color w:val="auto"/>
                <w:kern w:val="0"/>
                <w:sz w:val="24"/>
                <w:lang w:eastAsia="zh-CN"/>
              </w:rPr>
              <w:t>)</w:t>
            </w:r>
            <w:r>
              <w:rPr>
                <w:rFonts w:hint="default" w:ascii="Times New Roman" w:hAnsi="Times New Roman" w:cs="Times New Roman"/>
                <w:i/>
                <w:iCs/>
                <w:color w:val="auto"/>
                <w:kern w:val="0"/>
                <w:sz w:val="24"/>
              </w:rPr>
              <w:t>—</w:t>
            </w:r>
            <w:r>
              <w:rPr>
                <w:rFonts w:hint="eastAsia" w:cs="Times New Roman"/>
                <w:i/>
                <w:iCs/>
                <w:color w:val="auto"/>
                <w:kern w:val="0"/>
                <w:sz w:val="24"/>
                <w:lang w:eastAsia="zh-CN"/>
              </w:rPr>
              <w:t>(</w:t>
            </w:r>
            <w:r>
              <w:rPr>
                <w:rFonts w:hint="default" w:ascii="Times New Roman" w:hAnsi="Times New Roman" w:cs="Times New Roman"/>
                <w:i/>
                <w:iCs/>
                <w:color w:val="auto"/>
                <w:kern w:val="0"/>
                <w:sz w:val="24"/>
              </w:rPr>
              <w:t>TL</w:t>
            </w:r>
            <w:r>
              <w:rPr>
                <w:rFonts w:hint="default" w:ascii="Times New Roman" w:hAnsi="Times New Roman" w:cs="Times New Roman"/>
                <w:i/>
                <w:iCs/>
                <w:color w:val="auto"/>
                <w:kern w:val="0"/>
                <w:sz w:val="24"/>
                <w:vertAlign w:val="subscript"/>
              </w:rPr>
              <w:t>i</w:t>
            </w:r>
            <w:r>
              <w:rPr>
                <w:rFonts w:hint="default" w:ascii="Times New Roman" w:hAnsi="Times New Roman" w:cs="Times New Roman"/>
                <w:i/>
                <w:iCs/>
                <w:color w:val="auto"/>
                <w:kern w:val="0"/>
                <w:sz w:val="24"/>
              </w:rPr>
              <w:t>+6</w:t>
            </w:r>
            <w:r>
              <w:rPr>
                <w:rFonts w:hint="eastAsia" w:cs="Times New Roman"/>
                <w:i/>
                <w:iCs/>
                <w:color w:val="auto"/>
                <w:kern w:val="0"/>
                <w:sz w:val="24"/>
                <w:lang w:eastAsia="zh-CN"/>
              </w:rPr>
              <w:t>)</w:t>
            </w:r>
            <w:r>
              <w:rPr>
                <w:rFonts w:hint="default" w:ascii="Times New Roman" w:hAnsi="Times New Roman" w:cs="Times New Roman"/>
                <w:i/>
                <w:iCs/>
                <w:color w:val="auto"/>
                <w:kern w:val="0"/>
                <w:sz w:val="24"/>
              </w:rPr>
              <w:t xml:space="preserve">        </w:t>
            </w:r>
          </w:p>
          <w:p w14:paraId="435C671E">
            <w:pPr>
              <w:keepNext w:val="0"/>
              <w:keepLines w:val="0"/>
              <w:widowControl/>
              <w:suppressLineNumbers w:val="0"/>
              <w:spacing w:before="0" w:beforeAutospacing="0" w:after="0" w:afterAutospacing="0" w:line="360" w:lineRule="auto"/>
              <w:ind w:left="0" w:right="0" w:firstLine="960" w:firstLineChars="400"/>
              <w:rPr>
                <w:rFonts w:hint="default" w:ascii="Times New Roman" w:hAnsi="Times New Roman" w:cs="Times New Roman"/>
                <w:color w:val="auto"/>
                <w:kern w:val="0"/>
                <w:sz w:val="24"/>
              </w:rPr>
            </w:pPr>
            <w:r>
              <w:rPr>
                <w:rFonts w:hint="default" w:ascii="Times New Roman" w:hAnsi="Times New Roman" w:cs="Times New Roman"/>
                <w:color w:val="auto"/>
                <w:kern w:val="0"/>
                <w:sz w:val="24"/>
              </w:rPr>
              <w:t>式中：</w:t>
            </w:r>
          </w:p>
          <w:p w14:paraId="715DAB3C">
            <w:pPr>
              <w:keepNext w:val="0"/>
              <w:keepLines w:val="0"/>
              <w:widowControl/>
              <w:suppressLineNumbers w:val="0"/>
              <w:spacing w:before="0" w:beforeAutospacing="0" w:after="0" w:afterAutospacing="0" w:line="360" w:lineRule="auto"/>
              <w:ind w:left="2158" w:leftChars="456" w:right="0" w:hanging="1200" w:hangingChars="500"/>
              <w:rPr>
                <w:rFonts w:hint="default" w:ascii="Times New Roman" w:hAnsi="Times New Roman" w:cs="Times New Roman"/>
                <w:color w:val="auto"/>
                <w:kern w:val="0"/>
                <w:sz w:val="24"/>
              </w:rPr>
            </w:pPr>
            <w:r>
              <w:rPr>
                <w:rFonts w:hint="default" w:ascii="Times New Roman" w:hAnsi="Times New Roman" w:cs="Times New Roman"/>
                <w:i/>
                <w:iCs/>
                <w:color w:val="auto"/>
                <w:kern w:val="0"/>
                <w:sz w:val="24"/>
              </w:rPr>
              <w:t>L</w:t>
            </w:r>
            <w:r>
              <w:rPr>
                <w:rFonts w:hint="default" w:ascii="Times New Roman" w:hAnsi="Times New Roman" w:cs="Times New Roman"/>
                <w:i/>
                <w:iCs/>
                <w:color w:val="auto"/>
                <w:kern w:val="0"/>
                <w:sz w:val="24"/>
                <w:vertAlign w:val="subscript"/>
              </w:rPr>
              <w:t>p2i</w:t>
            </w:r>
            <w:r>
              <w:rPr>
                <w:rFonts w:hint="default" w:ascii="Times New Roman" w:hAnsi="Times New Roman" w:cs="Times New Roman"/>
                <w:i/>
                <w:iCs/>
                <w:color w:val="auto"/>
                <w:kern w:val="0"/>
                <w:sz w:val="24"/>
              </w:rPr>
              <w:t>（T）</w:t>
            </w:r>
            <w:r>
              <w:rPr>
                <w:rFonts w:hint="default" w:ascii="Times New Roman" w:hAnsi="Times New Roman" w:cs="Times New Roman"/>
                <w:bCs/>
                <w:color w:val="auto"/>
                <w:sz w:val="24"/>
              </w:rPr>
              <w:t>—</w:t>
            </w:r>
            <w:r>
              <w:rPr>
                <w:rFonts w:hint="default" w:ascii="Times New Roman" w:hAnsi="Times New Roman" w:cs="Times New Roman"/>
                <w:color w:val="auto"/>
                <w:kern w:val="0"/>
                <w:sz w:val="24"/>
              </w:rPr>
              <w:t>靠近围护结构处室外N个声源i倍频带的叠加声压级，dB；</w:t>
            </w:r>
          </w:p>
          <w:p w14:paraId="325B98BD">
            <w:pPr>
              <w:keepNext w:val="0"/>
              <w:keepLines w:val="0"/>
              <w:widowControl/>
              <w:suppressLineNumbers w:val="0"/>
              <w:spacing w:before="0" w:beforeAutospacing="0" w:after="0" w:afterAutospacing="0" w:line="360" w:lineRule="auto"/>
              <w:ind w:left="2398" w:leftChars="456" w:right="0" w:hanging="1440" w:hangingChars="600"/>
              <w:rPr>
                <w:rFonts w:hint="default" w:ascii="Times New Roman" w:hAnsi="Times New Roman" w:cs="Times New Roman"/>
                <w:i/>
                <w:iCs/>
                <w:color w:val="auto"/>
                <w:kern w:val="0"/>
                <w:sz w:val="24"/>
              </w:rPr>
            </w:pPr>
            <w:r>
              <w:rPr>
                <w:rFonts w:hint="default" w:ascii="Times New Roman" w:hAnsi="Times New Roman" w:cs="Times New Roman"/>
                <w:i/>
                <w:iCs/>
                <w:color w:val="auto"/>
                <w:kern w:val="0"/>
                <w:sz w:val="24"/>
              </w:rPr>
              <w:t>L</w:t>
            </w:r>
            <w:r>
              <w:rPr>
                <w:rFonts w:hint="default" w:ascii="Times New Roman" w:hAnsi="Times New Roman" w:cs="Times New Roman"/>
                <w:i/>
                <w:iCs/>
                <w:color w:val="auto"/>
                <w:kern w:val="0"/>
                <w:sz w:val="24"/>
                <w:vertAlign w:val="subscript"/>
              </w:rPr>
              <w:t>p1i</w:t>
            </w:r>
            <w:r>
              <w:rPr>
                <w:rFonts w:hint="default" w:ascii="Times New Roman" w:hAnsi="Times New Roman" w:cs="Times New Roman"/>
                <w:i/>
                <w:iCs/>
                <w:color w:val="auto"/>
                <w:kern w:val="0"/>
                <w:sz w:val="24"/>
              </w:rPr>
              <w:t>（T）</w:t>
            </w:r>
            <w:r>
              <w:rPr>
                <w:rFonts w:hint="default" w:ascii="Times New Roman" w:hAnsi="Times New Roman" w:cs="Times New Roman"/>
                <w:bCs/>
                <w:color w:val="auto"/>
                <w:sz w:val="24"/>
              </w:rPr>
              <w:t>—</w:t>
            </w:r>
            <w:r>
              <w:rPr>
                <w:rFonts w:hint="default" w:ascii="Times New Roman" w:hAnsi="Times New Roman" w:cs="Times New Roman"/>
                <w:color w:val="auto"/>
                <w:kern w:val="0"/>
                <w:sz w:val="24"/>
              </w:rPr>
              <w:t>靠近围护结构处室内N个声源i倍频带的叠加声压级，dB；</w:t>
            </w:r>
          </w:p>
          <w:p w14:paraId="2FA5821D">
            <w:pPr>
              <w:keepNext w:val="0"/>
              <w:keepLines w:val="0"/>
              <w:widowControl/>
              <w:suppressLineNumbers w:val="0"/>
              <w:spacing w:before="0" w:beforeAutospacing="0" w:after="0" w:afterAutospacing="0" w:line="360" w:lineRule="auto"/>
              <w:ind w:left="0" w:right="0" w:firstLine="960" w:firstLineChars="400"/>
              <w:rPr>
                <w:rFonts w:hint="default" w:ascii="Times New Roman" w:hAnsi="Times New Roman" w:eastAsia="宋体" w:cs="Times New Roman"/>
                <w:color w:val="auto"/>
                <w:kern w:val="0"/>
                <w:sz w:val="24"/>
                <w:lang w:val="en-US" w:eastAsia="zh-CN"/>
              </w:rPr>
            </w:pPr>
            <w:r>
              <w:rPr>
                <w:rFonts w:hint="default" w:ascii="Times New Roman" w:hAnsi="Times New Roman" w:cs="Times New Roman"/>
                <w:color w:val="auto"/>
                <w:kern w:val="0"/>
                <w:sz w:val="24"/>
              </w:rPr>
              <w:t>TL</w:t>
            </w:r>
            <w:r>
              <w:rPr>
                <w:rFonts w:hint="default" w:ascii="Times New Roman" w:hAnsi="Times New Roman" w:cs="Times New Roman"/>
                <w:color w:val="auto"/>
                <w:kern w:val="0"/>
                <w:sz w:val="24"/>
                <w:vertAlign w:val="subscript"/>
              </w:rPr>
              <w:t>i</w:t>
            </w:r>
            <w:r>
              <w:rPr>
                <w:rFonts w:hint="default" w:ascii="Times New Roman" w:hAnsi="Times New Roman" w:cs="Times New Roman"/>
                <w:bCs/>
                <w:color w:val="auto"/>
                <w:sz w:val="24"/>
              </w:rPr>
              <w:t>—</w:t>
            </w:r>
            <w:r>
              <w:rPr>
                <w:rFonts w:hint="default" w:ascii="Times New Roman" w:hAnsi="Times New Roman" w:cs="Times New Roman"/>
                <w:color w:val="auto"/>
                <w:kern w:val="0"/>
                <w:sz w:val="24"/>
              </w:rPr>
              <w:t>围护结构i倍频带的隔音量，dB</w:t>
            </w:r>
            <w:r>
              <w:rPr>
                <w:rFonts w:hint="default" w:ascii="Times New Roman" w:hAnsi="Times New Roman" w:cs="Times New Roman"/>
                <w:color w:val="auto"/>
                <w:kern w:val="0"/>
                <w:sz w:val="24"/>
                <w:lang w:val="en-US" w:eastAsia="zh-CN"/>
              </w:rPr>
              <w:t>。</w:t>
            </w:r>
          </w:p>
          <w:p w14:paraId="37F2A92D">
            <w:pPr>
              <w:keepNext w:val="0"/>
              <w:keepLines w:val="0"/>
              <w:widowControl/>
              <w:suppressLineNumbers w:val="0"/>
              <w:spacing w:before="0" w:beforeAutospacing="0" w:after="0" w:afterAutospacing="0" w:line="360" w:lineRule="auto"/>
              <w:ind w:left="0" w:right="0"/>
              <w:rPr>
                <w:rFonts w:hint="default" w:ascii="Times New Roman" w:hAnsi="Times New Roman" w:cs="Times New Roman"/>
                <w:color w:val="auto"/>
                <w:sz w:val="24"/>
              </w:rPr>
            </w:pPr>
            <w:r>
              <w:rPr>
                <w:rFonts w:hint="default" w:ascii="Times New Roman" w:hAnsi="Times New Roman" w:cs="Times New Roman"/>
                <w:color w:val="auto"/>
                <w:kern w:val="0"/>
                <w:sz w:val="24"/>
              </w:rPr>
              <w:t>B</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rPr>
              <w:t>室内声源等效室外声源噪声级的计算</w:t>
            </w:r>
          </w:p>
          <w:p w14:paraId="4659ECFA">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i/>
                <w:iCs/>
                <w:color w:val="auto"/>
                <w:kern w:val="0"/>
                <w:sz w:val="24"/>
              </w:rPr>
            </w:pPr>
            <w:r>
              <w:rPr>
                <w:rFonts w:hint="default" w:ascii="Times New Roman" w:hAnsi="Times New Roman" w:cs="Times New Roman"/>
                <w:i/>
                <w:iCs/>
                <w:color w:val="auto"/>
                <w:kern w:val="0"/>
                <w:sz w:val="24"/>
              </w:rPr>
              <w:t>L</w:t>
            </w:r>
            <w:r>
              <w:rPr>
                <w:rFonts w:hint="default" w:ascii="Times New Roman" w:hAnsi="Times New Roman" w:cs="Times New Roman"/>
                <w:i/>
                <w:iCs/>
                <w:color w:val="auto"/>
                <w:kern w:val="0"/>
                <w:sz w:val="24"/>
                <w:vertAlign w:val="subscript"/>
              </w:rPr>
              <w:t>w</w:t>
            </w:r>
            <w:r>
              <w:rPr>
                <w:rFonts w:hint="default" w:ascii="Times New Roman" w:hAnsi="Times New Roman" w:cs="Times New Roman"/>
                <w:i/>
                <w:iCs/>
                <w:color w:val="auto"/>
                <w:kern w:val="0"/>
                <w:sz w:val="24"/>
              </w:rPr>
              <w:t>=L</w:t>
            </w:r>
            <w:r>
              <w:rPr>
                <w:rFonts w:hint="default" w:ascii="Times New Roman" w:hAnsi="Times New Roman" w:cs="Times New Roman"/>
                <w:i/>
                <w:iCs/>
                <w:color w:val="auto"/>
                <w:kern w:val="0"/>
                <w:sz w:val="24"/>
                <w:vertAlign w:val="subscript"/>
              </w:rPr>
              <w:t>p2</w:t>
            </w:r>
            <w:r>
              <w:rPr>
                <w:rFonts w:hint="eastAsia" w:cs="Times New Roman"/>
                <w:i/>
                <w:iCs/>
                <w:color w:val="auto"/>
                <w:kern w:val="0"/>
                <w:sz w:val="24"/>
                <w:vertAlign w:val="subscript"/>
                <w:lang w:eastAsia="zh-CN"/>
              </w:rPr>
              <w:t>(</w:t>
            </w:r>
            <w:r>
              <w:rPr>
                <w:rFonts w:hint="default" w:ascii="Times New Roman" w:hAnsi="Times New Roman" w:cs="Times New Roman"/>
                <w:i/>
                <w:iCs/>
                <w:color w:val="auto"/>
                <w:kern w:val="0"/>
                <w:sz w:val="24"/>
              </w:rPr>
              <w:t>T</w:t>
            </w:r>
            <w:r>
              <w:rPr>
                <w:rFonts w:hint="eastAsia" w:cs="Times New Roman"/>
                <w:i/>
                <w:iCs/>
                <w:color w:val="auto"/>
                <w:kern w:val="0"/>
                <w:sz w:val="24"/>
                <w:lang w:eastAsia="zh-CN"/>
              </w:rPr>
              <w:t>)</w:t>
            </w:r>
            <w:r>
              <w:rPr>
                <w:rFonts w:hint="default" w:ascii="Times New Roman" w:hAnsi="Times New Roman" w:cs="Times New Roman"/>
                <w:i/>
                <w:iCs/>
                <w:color w:val="auto"/>
                <w:kern w:val="0"/>
                <w:sz w:val="24"/>
              </w:rPr>
              <w:t xml:space="preserve">+10lgS         </w:t>
            </w:r>
          </w:p>
          <w:p w14:paraId="54AD3029">
            <w:pPr>
              <w:pStyle w:val="24"/>
              <w:keepNext w:val="0"/>
              <w:keepLines w:val="0"/>
              <w:pageBreakBefore w:val="0"/>
              <w:suppressLineNumbers w:val="0"/>
              <w:kinsoku/>
              <w:wordWrap/>
              <w:overflowPunct/>
              <w:topLinePunct w:val="0"/>
              <w:autoSpaceDE/>
              <w:autoSpaceDN/>
              <w:bidi w:val="0"/>
              <w:adjustRightInd/>
              <w:snapToGrid/>
              <w:spacing w:line="360" w:lineRule="auto"/>
              <w:ind w:left="0" w:leftChars="0" w:right="0" w:firstLine="0" w:firstLineChars="0"/>
              <w:jc w:val="both"/>
              <w:textAlignment w:val="auto"/>
              <w:rPr>
                <w:rFonts w:hint="default" w:ascii="Times New Roman" w:hAnsi="Times New Roman" w:cs="Times New Roman"/>
                <w:i/>
                <w:iCs/>
                <w:color w:val="auto"/>
                <w:kern w:val="0"/>
                <w:sz w:val="24"/>
                <w:szCs w:val="24"/>
              </w:rPr>
            </w:pPr>
            <w:r>
              <w:rPr>
                <w:rFonts w:hint="default" w:ascii="Times New Roman" w:hAnsi="Times New Roman" w:cs="Times New Roman"/>
                <w:i/>
                <w:iCs/>
                <w:color w:val="auto"/>
                <w:kern w:val="0"/>
                <w:sz w:val="24"/>
                <w:szCs w:val="24"/>
              </w:rPr>
              <w:t>式中：</w:t>
            </w:r>
          </w:p>
          <w:p w14:paraId="3E5CF460">
            <w:pPr>
              <w:pStyle w:val="24"/>
              <w:keepNext w:val="0"/>
              <w:keepLines w:val="0"/>
              <w:pageBreakBefore w:val="0"/>
              <w:suppressLineNumbers w:val="0"/>
              <w:kinsoku/>
              <w:wordWrap/>
              <w:overflowPunct/>
              <w:topLinePunct w:val="0"/>
              <w:autoSpaceDE/>
              <w:autoSpaceDN/>
              <w:bidi w:val="0"/>
              <w:adjustRightInd/>
              <w:snapToGrid/>
              <w:spacing w:line="360" w:lineRule="auto"/>
              <w:ind w:left="0" w:leftChars="0" w:right="0" w:firstLine="720" w:firstLineChars="300"/>
              <w:jc w:val="both"/>
              <w:textAlignment w:val="auto"/>
              <w:rPr>
                <w:rFonts w:hint="default" w:ascii="Times New Roman" w:hAnsi="Times New Roman" w:cs="Times New Roman"/>
                <w:bCs/>
                <w:color w:val="auto"/>
                <w:sz w:val="24"/>
                <w:szCs w:val="24"/>
              </w:rPr>
            </w:pPr>
            <w:r>
              <w:rPr>
                <w:rFonts w:hint="default" w:ascii="Times New Roman" w:hAnsi="Times New Roman" w:cs="Times New Roman"/>
                <w:i/>
                <w:iCs/>
                <w:color w:val="auto"/>
                <w:kern w:val="0"/>
                <w:sz w:val="24"/>
                <w:szCs w:val="24"/>
              </w:rPr>
              <w:t>L</w:t>
            </w:r>
            <w:r>
              <w:rPr>
                <w:rFonts w:hint="default" w:ascii="Times New Roman" w:hAnsi="Times New Roman" w:cs="Times New Roman"/>
                <w:i/>
                <w:iCs/>
                <w:color w:val="auto"/>
                <w:kern w:val="0"/>
                <w:sz w:val="24"/>
                <w:szCs w:val="24"/>
                <w:vertAlign w:val="subscript"/>
              </w:rPr>
              <w:t>w</w:t>
            </w:r>
            <w:r>
              <w:rPr>
                <w:rFonts w:hint="default" w:ascii="Times New Roman" w:hAnsi="Times New Roman" w:cs="Times New Roman"/>
                <w:bCs/>
                <w:color w:val="auto"/>
                <w:sz w:val="24"/>
                <w:szCs w:val="24"/>
              </w:rPr>
              <w:t>—中心位置位于透声面积（S）处的等效声源的倍频带声功率级，dB；</w:t>
            </w:r>
          </w:p>
          <w:p w14:paraId="07AB349A">
            <w:pPr>
              <w:pStyle w:val="24"/>
              <w:keepNext w:val="0"/>
              <w:keepLines w:val="0"/>
              <w:pageBreakBefore w:val="0"/>
              <w:suppressLineNumbers w:val="0"/>
              <w:kinsoku/>
              <w:wordWrap/>
              <w:overflowPunct/>
              <w:topLinePunct w:val="0"/>
              <w:autoSpaceDE/>
              <w:autoSpaceDN/>
              <w:bidi w:val="0"/>
              <w:adjustRightInd/>
              <w:snapToGrid/>
              <w:spacing w:line="360" w:lineRule="auto"/>
              <w:ind w:left="899" w:leftChars="314" w:right="0" w:hanging="240" w:hangingChars="100"/>
              <w:jc w:val="both"/>
              <w:textAlignment w:val="auto"/>
              <w:rPr>
                <w:rFonts w:hint="default" w:ascii="Times New Roman" w:hAnsi="Times New Roman" w:cs="Times New Roman"/>
                <w:color w:val="auto"/>
                <w:kern w:val="0"/>
                <w:sz w:val="24"/>
                <w:szCs w:val="24"/>
              </w:rPr>
            </w:pPr>
            <w:r>
              <w:rPr>
                <w:rFonts w:hint="default" w:ascii="Times New Roman" w:hAnsi="Times New Roman" w:cs="Times New Roman"/>
                <w:i/>
                <w:iCs/>
                <w:color w:val="auto"/>
                <w:kern w:val="0"/>
                <w:sz w:val="24"/>
                <w:szCs w:val="24"/>
              </w:rPr>
              <w:t>L</w:t>
            </w:r>
            <w:r>
              <w:rPr>
                <w:rFonts w:hint="default" w:ascii="Times New Roman" w:hAnsi="Times New Roman" w:cs="Times New Roman"/>
                <w:i/>
                <w:iCs/>
                <w:color w:val="auto"/>
                <w:kern w:val="0"/>
                <w:sz w:val="24"/>
                <w:szCs w:val="24"/>
                <w:vertAlign w:val="subscript"/>
              </w:rPr>
              <w:t>p2</w:t>
            </w:r>
            <w:r>
              <w:rPr>
                <w:rFonts w:hint="default" w:ascii="Times New Roman" w:hAnsi="Times New Roman" w:cs="Times New Roman"/>
                <w:i/>
                <w:iCs/>
                <w:color w:val="auto"/>
                <w:kern w:val="0"/>
                <w:sz w:val="24"/>
                <w:szCs w:val="24"/>
              </w:rPr>
              <w:t>（T）</w:t>
            </w:r>
            <w:r>
              <w:rPr>
                <w:rFonts w:hint="default" w:ascii="Times New Roman" w:hAnsi="Times New Roman" w:cs="Times New Roman"/>
                <w:bCs/>
                <w:color w:val="auto"/>
                <w:sz w:val="24"/>
                <w:szCs w:val="24"/>
              </w:rPr>
              <w:t>—</w:t>
            </w:r>
            <w:r>
              <w:rPr>
                <w:rFonts w:hint="default" w:ascii="Times New Roman" w:hAnsi="Times New Roman" w:cs="Times New Roman"/>
                <w:color w:val="auto"/>
                <w:kern w:val="0"/>
                <w:sz w:val="24"/>
                <w:szCs w:val="24"/>
              </w:rPr>
              <w:t>靠近围护结构处室外声源的声压级，dB；</w:t>
            </w:r>
          </w:p>
          <w:p w14:paraId="665000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720" w:firstLineChars="3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rPr>
              <w:t>S-透声面积，m</w:t>
            </w:r>
            <w:r>
              <w:rPr>
                <w:rFonts w:hint="default" w:ascii="Times New Roman" w:hAnsi="Times New Roman" w:cs="Times New Roman"/>
                <w:color w:val="auto"/>
                <w:kern w:val="0"/>
                <w:sz w:val="24"/>
                <w:szCs w:val="24"/>
                <w:vertAlign w:val="superscript"/>
              </w:rPr>
              <w:t>2</w:t>
            </w:r>
            <w:r>
              <w:rPr>
                <w:rFonts w:hint="default" w:ascii="Times New Roman" w:hAnsi="Times New Roman" w:cs="Times New Roman"/>
                <w:color w:val="auto"/>
                <w:kern w:val="0"/>
                <w:sz w:val="24"/>
                <w:szCs w:val="24"/>
              </w:rPr>
              <w:t>。</w:t>
            </w:r>
          </w:p>
          <w:p w14:paraId="3B6BB5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室外点声源在预测点产生的噪声级</w:t>
            </w:r>
          </w:p>
          <w:p w14:paraId="4B76B780">
            <w:pPr>
              <w:keepNext w:val="0"/>
              <w:keepLines w:val="0"/>
              <w:widowControl/>
              <w:suppressLineNumbers w:val="0"/>
              <w:spacing w:before="0" w:beforeAutospacing="0" w:after="0" w:afterAutospacing="0" w:line="360" w:lineRule="auto"/>
              <w:ind w:left="0" w:right="0" w:firstLine="960" w:firstLineChars="400"/>
              <w:rPr>
                <w:rFonts w:hint="default" w:ascii="Times New Roman" w:hAnsi="Times New Roman" w:cs="Times New Roman"/>
                <w:color w:val="auto"/>
                <w:kern w:val="0"/>
                <w:sz w:val="24"/>
              </w:rPr>
            </w:pPr>
            <w:r>
              <w:rPr>
                <w:rFonts w:hint="default" w:ascii="Times New Roman" w:hAnsi="Times New Roman" w:cs="Times New Roman"/>
                <w:color w:val="auto"/>
                <w:kern w:val="0"/>
                <w:sz w:val="24"/>
              </w:rPr>
              <w:drawing>
                <wp:inline distT="0" distB="0" distL="114300" distR="114300">
                  <wp:extent cx="4028440" cy="270510"/>
                  <wp:effectExtent l="0" t="0" r="10160" b="15240"/>
                  <wp:docPr id="23" name="图片 67" descr="微信图片_2022080916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7" descr="微信图片_20220809162056"/>
                          <pic:cNvPicPr>
                            <a:picLocks noChangeAspect="1"/>
                          </pic:cNvPicPr>
                        </pic:nvPicPr>
                        <pic:blipFill>
                          <a:blip r:embed="rId16"/>
                          <a:stretch>
                            <a:fillRect/>
                          </a:stretch>
                        </pic:blipFill>
                        <pic:spPr>
                          <a:xfrm>
                            <a:off x="0" y="0"/>
                            <a:ext cx="4028440" cy="270510"/>
                          </a:xfrm>
                          <a:prstGeom prst="rect">
                            <a:avLst/>
                          </a:prstGeom>
                          <a:noFill/>
                          <a:ln>
                            <a:noFill/>
                          </a:ln>
                        </pic:spPr>
                      </pic:pic>
                    </a:graphicData>
                  </a:graphic>
                </wp:inline>
              </w:drawing>
            </w:r>
          </w:p>
          <w:p w14:paraId="41397393">
            <w:pPr>
              <w:keepNext w:val="0"/>
              <w:keepLines w:val="0"/>
              <w:widowControl/>
              <w:suppressLineNumbers w:val="0"/>
              <w:spacing w:before="0" w:beforeAutospacing="0" w:after="0" w:afterAutospacing="0" w:line="360" w:lineRule="auto"/>
              <w:ind w:left="0" w:right="0" w:firstLine="960" w:firstLineChars="400"/>
              <w:rPr>
                <w:rFonts w:hint="default" w:ascii="Times New Roman" w:hAnsi="Times New Roman" w:cs="Times New Roman"/>
                <w:color w:val="auto"/>
                <w:kern w:val="0"/>
                <w:sz w:val="24"/>
              </w:rPr>
            </w:pPr>
            <w:r>
              <w:rPr>
                <w:rFonts w:hint="default" w:ascii="Times New Roman" w:hAnsi="Times New Roman" w:cs="Times New Roman"/>
                <w:color w:val="auto"/>
                <w:kern w:val="0"/>
                <w:sz w:val="24"/>
              </w:rPr>
              <w:t>式中：</w:t>
            </w:r>
          </w:p>
          <w:p w14:paraId="08D23363">
            <w:pPr>
              <w:keepNext w:val="0"/>
              <w:keepLines w:val="0"/>
              <w:widowControl/>
              <w:suppressLineNumbers w:val="0"/>
              <w:spacing w:before="0" w:beforeAutospacing="0" w:after="0" w:afterAutospacing="0" w:line="360" w:lineRule="auto"/>
              <w:ind w:left="0" w:right="0" w:firstLine="960" w:firstLineChars="400"/>
              <w:rPr>
                <w:rFonts w:hint="default" w:ascii="Times New Roman" w:hAnsi="Times New Roman" w:cs="Times New Roman"/>
                <w:color w:val="auto"/>
                <w:kern w:val="0"/>
                <w:sz w:val="24"/>
              </w:rPr>
            </w:pPr>
            <w:r>
              <w:rPr>
                <w:rFonts w:hint="default" w:ascii="Times New Roman" w:hAnsi="Times New Roman" w:cs="Times New Roman"/>
                <w:color w:val="auto"/>
                <w:kern w:val="0"/>
                <w:sz w:val="24"/>
              </w:rPr>
              <w:t>L</w:t>
            </w:r>
            <w:r>
              <w:rPr>
                <w:rFonts w:hint="default" w:ascii="Times New Roman" w:hAnsi="Times New Roman" w:cs="Times New Roman"/>
                <w:color w:val="auto"/>
                <w:kern w:val="0"/>
                <w:sz w:val="24"/>
                <w:vertAlign w:val="subscript"/>
              </w:rPr>
              <w:t>p</w:t>
            </w:r>
            <w:r>
              <w:rPr>
                <w:rFonts w:hint="default" w:ascii="Times New Roman" w:hAnsi="Times New Roman" w:cs="Times New Roman"/>
                <w:color w:val="auto"/>
                <w:kern w:val="0"/>
                <w:sz w:val="24"/>
              </w:rPr>
              <w:t>（r）—预测点处声压级</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rPr>
              <w:t>dB；</w:t>
            </w:r>
          </w:p>
          <w:p w14:paraId="2C8BA58A">
            <w:pPr>
              <w:keepNext w:val="0"/>
              <w:keepLines w:val="0"/>
              <w:widowControl/>
              <w:suppressLineNumbers w:val="0"/>
              <w:spacing w:before="0" w:beforeAutospacing="0" w:after="0" w:afterAutospacing="0" w:line="360" w:lineRule="auto"/>
              <w:ind w:left="0" w:right="0" w:firstLine="960" w:firstLineChars="400"/>
              <w:rPr>
                <w:rFonts w:hint="default" w:ascii="Times New Roman" w:hAnsi="Times New Roman" w:cs="Times New Roman"/>
                <w:color w:val="auto"/>
                <w:kern w:val="0"/>
                <w:sz w:val="24"/>
              </w:rPr>
            </w:pPr>
            <w:r>
              <w:rPr>
                <w:rFonts w:hint="default" w:ascii="Times New Roman" w:hAnsi="Times New Roman" w:cs="Times New Roman"/>
                <w:color w:val="auto"/>
                <w:kern w:val="0"/>
                <w:sz w:val="24"/>
              </w:rPr>
              <w:t>L</w:t>
            </w:r>
            <w:r>
              <w:rPr>
                <w:rFonts w:hint="default" w:ascii="Times New Roman" w:hAnsi="Times New Roman" w:cs="Times New Roman"/>
                <w:color w:val="auto"/>
                <w:kern w:val="0"/>
                <w:sz w:val="24"/>
                <w:vertAlign w:val="subscript"/>
              </w:rPr>
              <w:t>w</w:t>
            </w:r>
            <w:r>
              <w:rPr>
                <w:rFonts w:hint="default" w:ascii="Times New Roman" w:hAnsi="Times New Roman" w:cs="Times New Roman"/>
                <w:color w:val="auto"/>
                <w:kern w:val="0"/>
                <w:sz w:val="24"/>
              </w:rPr>
              <w:t>—由点声源产生的声功率级（A计权或倍频带）</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rPr>
              <w:t>dB；</w:t>
            </w:r>
          </w:p>
          <w:p w14:paraId="111F044D">
            <w:pPr>
              <w:pStyle w:val="24"/>
              <w:keepNext w:val="0"/>
              <w:keepLines w:val="0"/>
              <w:suppressLineNumbers w:val="0"/>
              <w:spacing w:before="0" w:beforeAutospacing="0" w:after="0" w:afterAutospacing="0"/>
              <w:ind w:left="1678" w:leftChars="456" w:right="0" w:hanging="720" w:hangingChars="300"/>
              <w:rPr>
                <w:rFonts w:hint="default" w:ascii="Times New Roman" w:hAnsi="Times New Roman" w:cs="Times New Roman"/>
                <w:color w:val="auto"/>
                <w:kern w:val="0"/>
              </w:rPr>
            </w:pPr>
            <w:r>
              <w:rPr>
                <w:rFonts w:hint="default" w:ascii="Times New Roman" w:hAnsi="Times New Roman" w:cs="Times New Roman"/>
                <w:color w:val="auto"/>
                <w:kern w:val="0"/>
              </w:rPr>
              <w:t>Dc—指向性校正，它描述点声源的等效连续声压级与产生声功率级L</w:t>
            </w:r>
            <w:r>
              <w:rPr>
                <w:rFonts w:hint="default" w:ascii="Times New Roman" w:hAnsi="Times New Roman" w:cs="Times New Roman"/>
                <w:color w:val="auto"/>
                <w:kern w:val="0"/>
                <w:vertAlign w:val="subscript"/>
              </w:rPr>
              <w:t>w</w:t>
            </w:r>
            <w:r>
              <w:rPr>
                <w:rFonts w:hint="default" w:ascii="Times New Roman" w:hAnsi="Times New Roman" w:cs="Times New Roman"/>
                <w:color w:val="auto"/>
                <w:kern w:val="0"/>
              </w:rPr>
              <w:t>的全向点声源在规定方向的声级的偏差程度</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rPr>
              <w:t>dB；</w:t>
            </w:r>
          </w:p>
          <w:p w14:paraId="0DCE4C3D">
            <w:pPr>
              <w:keepNext w:val="0"/>
              <w:keepLines w:val="0"/>
              <w:widowControl/>
              <w:suppressLineNumbers w:val="0"/>
              <w:spacing w:before="0" w:beforeAutospacing="0" w:after="0" w:afterAutospacing="0" w:line="360" w:lineRule="auto"/>
              <w:ind w:left="0" w:right="0" w:firstLine="960" w:firstLineChars="400"/>
              <w:rPr>
                <w:rFonts w:hint="default" w:ascii="Times New Roman" w:hAnsi="Times New Roman" w:cs="Times New Roman"/>
                <w:color w:val="auto"/>
                <w:kern w:val="0"/>
                <w:sz w:val="24"/>
              </w:rPr>
            </w:pPr>
            <w:r>
              <w:rPr>
                <w:rFonts w:hint="default" w:ascii="Times New Roman" w:hAnsi="Times New Roman" w:cs="Times New Roman"/>
                <w:color w:val="auto"/>
                <w:kern w:val="0"/>
                <w:sz w:val="24"/>
              </w:rPr>
              <w:t>A</w:t>
            </w:r>
            <w:r>
              <w:rPr>
                <w:rFonts w:hint="default" w:ascii="Times New Roman" w:hAnsi="Times New Roman" w:cs="Times New Roman"/>
                <w:color w:val="auto"/>
                <w:kern w:val="0"/>
                <w:sz w:val="24"/>
                <w:vertAlign w:val="subscript"/>
              </w:rPr>
              <w:t>div</w:t>
            </w:r>
            <w:r>
              <w:rPr>
                <w:rFonts w:hint="default" w:ascii="Times New Roman" w:hAnsi="Times New Roman" w:cs="Times New Roman"/>
                <w:color w:val="auto"/>
                <w:kern w:val="0"/>
                <w:sz w:val="24"/>
              </w:rPr>
              <w:t>—几何发散引起的衰减</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rPr>
              <w:t>dB；</w:t>
            </w:r>
          </w:p>
          <w:p w14:paraId="762B6EFB">
            <w:pPr>
              <w:keepNext w:val="0"/>
              <w:keepLines w:val="0"/>
              <w:widowControl/>
              <w:suppressLineNumbers w:val="0"/>
              <w:spacing w:before="0" w:beforeAutospacing="0" w:after="0" w:afterAutospacing="0" w:line="360" w:lineRule="auto"/>
              <w:ind w:left="0" w:right="0" w:firstLine="960" w:firstLineChars="400"/>
              <w:rPr>
                <w:rFonts w:hint="default" w:ascii="Times New Roman" w:hAnsi="Times New Roman" w:cs="Times New Roman"/>
                <w:color w:val="auto"/>
                <w:kern w:val="0"/>
                <w:sz w:val="24"/>
              </w:rPr>
            </w:pPr>
            <w:r>
              <w:rPr>
                <w:rFonts w:hint="default" w:ascii="Times New Roman" w:hAnsi="Times New Roman" w:cs="Times New Roman"/>
                <w:color w:val="auto"/>
                <w:kern w:val="0"/>
                <w:sz w:val="24"/>
              </w:rPr>
              <w:t>A</w:t>
            </w:r>
            <w:r>
              <w:rPr>
                <w:rFonts w:hint="default" w:ascii="Times New Roman" w:hAnsi="Times New Roman" w:cs="Times New Roman"/>
                <w:color w:val="auto"/>
                <w:kern w:val="0"/>
                <w:sz w:val="24"/>
                <w:vertAlign w:val="subscript"/>
              </w:rPr>
              <w:t>atm</w:t>
            </w:r>
            <w:r>
              <w:rPr>
                <w:rFonts w:hint="default" w:ascii="Times New Roman" w:hAnsi="Times New Roman" w:cs="Times New Roman"/>
                <w:color w:val="auto"/>
                <w:kern w:val="0"/>
                <w:sz w:val="24"/>
              </w:rPr>
              <w:t>—大气吸收引起的衰减</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rPr>
              <w:t>dB；</w:t>
            </w:r>
          </w:p>
          <w:p w14:paraId="265CB200">
            <w:pPr>
              <w:keepNext w:val="0"/>
              <w:keepLines w:val="0"/>
              <w:widowControl/>
              <w:suppressLineNumbers w:val="0"/>
              <w:spacing w:before="0" w:beforeAutospacing="0" w:after="0" w:afterAutospacing="0" w:line="360" w:lineRule="auto"/>
              <w:ind w:left="0" w:right="0" w:firstLine="960" w:firstLineChars="400"/>
              <w:rPr>
                <w:rFonts w:hint="default" w:ascii="Times New Roman" w:hAnsi="Times New Roman" w:cs="Times New Roman"/>
                <w:color w:val="auto"/>
                <w:kern w:val="0"/>
                <w:sz w:val="24"/>
              </w:rPr>
            </w:pPr>
            <w:r>
              <w:rPr>
                <w:rFonts w:hint="default" w:ascii="Times New Roman" w:hAnsi="Times New Roman" w:cs="Times New Roman"/>
                <w:color w:val="auto"/>
                <w:kern w:val="0"/>
                <w:sz w:val="24"/>
              </w:rPr>
              <w:t>A</w:t>
            </w:r>
            <w:r>
              <w:rPr>
                <w:rFonts w:hint="default" w:ascii="Times New Roman" w:hAnsi="Times New Roman" w:cs="Times New Roman"/>
                <w:color w:val="auto"/>
                <w:kern w:val="0"/>
                <w:sz w:val="24"/>
                <w:vertAlign w:val="subscript"/>
              </w:rPr>
              <w:t>gr</w:t>
            </w:r>
            <w:r>
              <w:rPr>
                <w:rFonts w:hint="default" w:ascii="Times New Roman" w:hAnsi="Times New Roman" w:cs="Times New Roman"/>
                <w:color w:val="auto"/>
                <w:kern w:val="0"/>
                <w:sz w:val="24"/>
              </w:rPr>
              <w:t>—地面效应引起的衰减</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rPr>
              <w:t>dB；</w:t>
            </w:r>
          </w:p>
          <w:p w14:paraId="2B6CA9BF">
            <w:pPr>
              <w:keepNext w:val="0"/>
              <w:keepLines w:val="0"/>
              <w:widowControl/>
              <w:suppressLineNumbers w:val="0"/>
              <w:spacing w:before="0" w:beforeAutospacing="0" w:after="0" w:afterAutospacing="0" w:line="360" w:lineRule="auto"/>
              <w:ind w:left="0" w:right="0" w:firstLine="960" w:firstLineChars="400"/>
              <w:rPr>
                <w:rFonts w:hint="default" w:ascii="Times New Roman" w:hAnsi="Times New Roman" w:cs="Times New Roman"/>
                <w:color w:val="auto"/>
                <w:kern w:val="0"/>
                <w:sz w:val="24"/>
              </w:rPr>
            </w:pPr>
            <w:r>
              <w:rPr>
                <w:rFonts w:hint="default" w:ascii="Times New Roman" w:hAnsi="Times New Roman" w:cs="Times New Roman"/>
                <w:color w:val="auto"/>
                <w:kern w:val="0"/>
                <w:sz w:val="24"/>
              </w:rPr>
              <w:t>A</w:t>
            </w:r>
            <w:r>
              <w:rPr>
                <w:rFonts w:hint="default" w:ascii="Times New Roman" w:hAnsi="Times New Roman" w:cs="Times New Roman"/>
                <w:color w:val="auto"/>
                <w:kern w:val="0"/>
                <w:sz w:val="24"/>
                <w:vertAlign w:val="subscript"/>
              </w:rPr>
              <w:t>bar</w:t>
            </w:r>
            <w:r>
              <w:rPr>
                <w:rFonts w:hint="default" w:ascii="Times New Roman" w:hAnsi="Times New Roman" w:cs="Times New Roman"/>
                <w:color w:val="auto"/>
                <w:kern w:val="0"/>
                <w:sz w:val="24"/>
              </w:rPr>
              <w:t>—障碍物屏蔽引起的衰减</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rPr>
              <w:t>dB；</w:t>
            </w:r>
          </w:p>
          <w:p w14:paraId="103BBDC4">
            <w:pPr>
              <w:keepNext w:val="0"/>
              <w:keepLines w:val="0"/>
              <w:widowControl/>
              <w:suppressLineNumbers w:val="0"/>
              <w:spacing w:before="0" w:beforeAutospacing="0" w:after="0" w:afterAutospacing="0" w:line="360" w:lineRule="auto"/>
              <w:ind w:left="0" w:right="0" w:firstLine="960" w:firstLineChars="400"/>
              <w:rPr>
                <w:rFonts w:hint="default" w:ascii="Times New Roman" w:hAnsi="Times New Roman" w:cs="Times New Roman"/>
                <w:color w:val="auto"/>
                <w:kern w:val="0"/>
                <w:sz w:val="24"/>
              </w:rPr>
            </w:pPr>
            <w:r>
              <w:rPr>
                <w:rFonts w:hint="default" w:ascii="Times New Roman" w:hAnsi="Times New Roman" w:cs="Times New Roman"/>
                <w:color w:val="auto"/>
                <w:kern w:val="0"/>
                <w:sz w:val="24"/>
              </w:rPr>
              <w:t>A</w:t>
            </w:r>
            <w:r>
              <w:rPr>
                <w:rFonts w:hint="default" w:ascii="Times New Roman" w:hAnsi="Times New Roman" w:cs="Times New Roman"/>
                <w:color w:val="auto"/>
                <w:kern w:val="0"/>
                <w:sz w:val="24"/>
                <w:vertAlign w:val="subscript"/>
              </w:rPr>
              <w:t>misc</w:t>
            </w:r>
            <w:r>
              <w:rPr>
                <w:rFonts w:hint="default" w:ascii="Times New Roman" w:hAnsi="Times New Roman" w:cs="Times New Roman"/>
                <w:color w:val="auto"/>
                <w:kern w:val="0"/>
                <w:sz w:val="24"/>
              </w:rPr>
              <w:t>—其他多方面效应引起的衰减</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rPr>
              <w:t>dB；</w:t>
            </w:r>
          </w:p>
          <w:p w14:paraId="0A60D3E9">
            <w:pPr>
              <w:keepNext w:val="0"/>
              <w:keepLines w:val="0"/>
              <w:widowControl/>
              <w:suppressLineNumbers w:val="0"/>
              <w:spacing w:before="0" w:beforeAutospacing="0" w:after="0" w:afterAutospacing="0" w:line="440" w:lineRule="exac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为避免计算中增大衰减量而造成预测值偏小，计算</w:t>
            </w:r>
            <w:r>
              <w:rPr>
                <w:rFonts w:hint="default" w:ascii="Times New Roman" w:hAnsi="Times New Roman" w:cs="Times New Roman"/>
                <w:color w:val="auto"/>
                <w:sz w:val="24"/>
                <w:lang w:eastAsia="zh-CN"/>
              </w:rPr>
              <w:t>时</w:t>
            </w:r>
            <w:r>
              <w:rPr>
                <w:rFonts w:hint="default" w:ascii="Times New Roman" w:hAnsi="Times New Roman" w:cs="Times New Roman"/>
                <w:color w:val="auto"/>
                <w:sz w:val="24"/>
              </w:rPr>
              <w:t>忽略</w:t>
            </w:r>
            <w:r>
              <w:rPr>
                <w:rFonts w:hint="default" w:ascii="Times New Roman" w:hAnsi="Times New Roman" w:cs="Times New Roman"/>
                <w:color w:val="auto"/>
                <w:kern w:val="0"/>
                <w:sz w:val="24"/>
              </w:rPr>
              <w:t>A</w:t>
            </w:r>
            <w:r>
              <w:rPr>
                <w:rFonts w:hint="default" w:ascii="Times New Roman" w:hAnsi="Times New Roman" w:cs="Times New Roman"/>
                <w:color w:val="auto"/>
                <w:kern w:val="0"/>
                <w:sz w:val="24"/>
                <w:vertAlign w:val="subscript"/>
              </w:rPr>
              <w:t>atm</w:t>
            </w:r>
            <w:r>
              <w:rPr>
                <w:rFonts w:hint="default" w:ascii="Times New Roman" w:hAnsi="Times New Roman" w:cs="Times New Roman"/>
                <w:color w:val="auto"/>
                <w:sz w:val="24"/>
              </w:rPr>
              <w:t>和</w:t>
            </w:r>
            <w:r>
              <w:rPr>
                <w:rFonts w:hint="default" w:ascii="Times New Roman" w:hAnsi="Times New Roman" w:cs="Times New Roman"/>
                <w:color w:val="auto"/>
                <w:kern w:val="0"/>
                <w:sz w:val="24"/>
              </w:rPr>
              <w:t>A</w:t>
            </w:r>
            <w:r>
              <w:rPr>
                <w:rFonts w:hint="default" w:ascii="Times New Roman" w:hAnsi="Times New Roman" w:cs="Times New Roman"/>
                <w:color w:val="auto"/>
                <w:kern w:val="0"/>
                <w:sz w:val="24"/>
                <w:vertAlign w:val="subscript"/>
              </w:rPr>
              <w:t>misc</w:t>
            </w:r>
            <w:r>
              <w:rPr>
                <w:rFonts w:hint="default" w:ascii="Times New Roman" w:hAnsi="Times New Roman" w:cs="Times New Roman"/>
                <w:color w:val="auto"/>
                <w:kern w:val="0"/>
                <w:sz w:val="24"/>
              </w:rPr>
              <w:t>。</w:t>
            </w:r>
          </w:p>
          <w:p w14:paraId="2303EE74">
            <w:pPr>
              <w:keepNext w:val="0"/>
              <w:keepLines w:val="0"/>
              <w:suppressLineNumbers w:val="0"/>
              <w:spacing w:before="0" w:beforeAutospacing="0" w:after="0" w:afterAutospacing="0"/>
              <w:ind w:left="0" w:right="0" w:firstLine="422" w:firstLineChars="200"/>
              <w:jc w:val="center"/>
              <w:rPr>
                <w:rFonts w:hint="default" w:ascii="Times New Roman" w:hAnsi="Times New Roman" w:eastAsia="宋体" w:cs="Times New Roman"/>
                <w:b/>
                <w:bCs/>
                <w:color w:val="auto"/>
                <w:sz w:val="21"/>
                <w:szCs w:val="21"/>
                <w:lang w:val="en-GB" w:eastAsia="zh-CN"/>
              </w:rPr>
            </w:pPr>
            <w:r>
              <w:rPr>
                <w:rFonts w:hint="default" w:ascii="Times New Roman" w:hAnsi="Times New Roman" w:eastAsia="宋体" w:cs="Times New Roman"/>
                <w:b/>
                <w:bCs/>
                <w:color w:val="auto"/>
                <w:sz w:val="21"/>
                <w:szCs w:val="21"/>
                <w:lang w:val="en-GB" w:eastAsia="zh-CN"/>
              </w:rPr>
              <w:t>表4-</w:t>
            </w:r>
            <w:r>
              <w:rPr>
                <w:rFonts w:hint="default" w:ascii="Times New Roman" w:hAnsi="Times New Roman" w:cs="Times New Roman"/>
                <w:b/>
                <w:bCs/>
                <w:color w:val="auto"/>
                <w:sz w:val="21"/>
                <w:szCs w:val="21"/>
                <w:lang w:val="en-US" w:eastAsia="zh-CN"/>
              </w:rPr>
              <w:t>8</w:t>
            </w:r>
            <w:r>
              <w:rPr>
                <w:rFonts w:hint="default" w:ascii="Times New Roman" w:hAnsi="Times New Roman" w:eastAsia="宋体" w:cs="Times New Roman"/>
                <w:b/>
                <w:bCs/>
                <w:color w:val="auto"/>
                <w:sz w:val="21"/>
                <w:szCs w:val="21"/>
                <w:lang w:val="en-GB" w:eastAsia="zh-CN"/>
              </w:rPr>
              <w:t xml:space="preserve">   隔墙等遮挡物引起的A声级衰减一览表</w:t>
            </w:r>
          </w:p>
          <w:tbl>
            <w:tblPr>
              <w:tblStyle w:val="33"/>
              <w:tblW w:w="7989"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993"/>
              <w:gridCol w:w="3996"/>
            </w:tblGrid>
            <w:tr w14:paraId="457BF6B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2499" w:type="pct"/>
                  <w:noWrap w:val="0"/>
                  <w:vAlign w:val="center"/>
                </w:tcPr>
                <w:p w14:paraId="36DD85D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条件</w:t>
                  </w:r>
                </w:p>
              </w:tc>
              <w:tc>
                <w:tcPr>
                  <w:tcW w:w="2501" w:type="pct"/>
                  <w:noWrap w:val="0"/>
                  <w:vAlign w:val="center"/>
                </w:tcPr>
                <w:p w14:paraId="7D63DB9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rPr>
                    <w:t>A</w:t>
                  </w:r>
                  <w:r>
                    <w:rPr>
                      <w:rFonts w:hint="default" w:ascii="Times New Roman" w:hAnsi="Times New Roman" w:cs="Times New Roman"/>
                      <w:b/>
                      <w:bCs/>
                      <w:color w:val="auto"/>
                      <w:kern w:val="0"/>
                      <w:szCs w:val="21"/>
                      <w:vertAlign w:val="subscript"/>
                    </w:rPr>
                    <w:t>bar</w:t>
                  </w:r>
                  <w:r>
                    <w:rPr>
                      <w:rFonts w:hint="default" w:ascii="Times New Roman" w:hAnsi="Times New Roman" w:cs="Times New Roman"/>
                      <w:b/>
                      <w:bCs/>
                      <w:color w:val="auto"/>
                      <w:kern w:val="0"/>
                      <w:szCs w:val="21"/>
                    </w:rPr>
                    <w:t xml:space="preserve"> dB</w:t>
                  </w:r>
                  <w:r>
                    <w:rPr>
                      <w:rFonts w:hint="eastAsia" w:cs="Times New Roman"/>
                      <w:b/>
                      <w:bCs/>
                      <w:color w:val="auto"/>
                      <w:kern w:val="0"/>
                      <w:szCs w:val="21"/>
                      <w:lang w:eastAsia="zh-CN"/>
                    </w:rPr>
                    <w:t>(</w:t>
                  </w:r>
                  <w:r>
                    <w:rPr>
                      <w:rFonts w:hint="default" w:ascii="Times New Roman" w:hAnsi="Times New Roman" w:cs="Times New Roman"/>
                      <w:b/>
                      <w:bCs/>
                      <w:color w:val="auto"/>
                      <w:kern w:val="0"/>
                      <w:szCs w:val="21"/>
                    </w:rPr>
                    <w:t>A</w:t>
                  </w:r>
                  <w:r>
                    <w:rPr>
                      <w:rFonts w:hint="eastAsia" w:cs="Times New Roman"/>
                      <w:b/>
                      <w:bCs/>
                      <w:color w:val="auto"/>
                      <w:kern w:val="0"/>
                      <w:szCs w:val="21"/>
                      <w:lang w:eastAsia="zh-CN"/>
                    </w:rPr>
                    <w:t>)</w:t>
                  </w:r>
                </w:p>
              </w:tc>
            </w:tr>
            <w:tr w14:paraId="63DC27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2499" w:type="pct"/>
                  <w:noWrap w:val="0"/>
                  <w:vAlign w:val="center"/>
                </w:tcPr>
                <w:p w14:paraId="257C871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开小窗，密闭，门经隔声处理</w:t>
                  </w:r>
                </w:p>
              </w:tc>
              <w:tc>
                <w:tcPr>
                  <w:tcW w:w="2501" w:type="pct"/>
                  <w:noWrap w:val="0"/>
                  <w:vAlign w:val="center"/>
                </w:tcPr>
                <w:p w14:paraId="6D01E78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r>
            <w:tr w14:paraId="2AFD862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2499" w:type="pct"/>
                  <w:noWrap w:val="0"/>
                  <w:vAlign w:val="center"/>
                </w:tcPr>
                <w:p w14:paraId="291B91A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开大窗且不密闭，门较密闭</w:t>
                  </w:r>
                </w:p>
              </w:tc>
              <w:tc>
                <w:tcPr>
                  <w:tcW w:w="2501" w:type="pct"/>
                  <w:noWrap w:val="0"/>
                  <w:vAlign w:val="center"/>
                </w:tcPr>
                <w:p w14:paraId="2DD151B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r>
            <w:tr w14:paraId="6526F04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2499" w:type="pct"/>
                  <w:noWrap w:val="0"/>
                  <w:vAlign w:val="center"/>
                </w:tcPr>
                <w:p w14:paraId="06A65C6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开大窗且不密闭，门不密闭</w:t>
                  </w:r>
                </w:p>
              </w:tc>
              <w:tc>
                <w:tcPr>
                  <w:tcW w:w="2501" w:type="pct"/>
                  <w:noWrap w:val="0"/>
                  <w:vAlign w:val="center"/>
                </w:tcPr>
                <w:p w14:paraId="4712728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13</w:t>
                  </w:r>
                </w:p>
              </w:tc>
            </w:tr>
            <w:tr w14:paraId="54113D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2499" w:type="pct"/>
                  <w:noWrap w:val="0"/>
                  <w:vAlign w:val="center"/>
                </w:tcPr>
                <w:p w14:paraId="3B6D25D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门与窗全部敞开</w:t>
                  </w:r>
                </w:p>
              </w:tc>
              <w:tc>
                <w:tcPr>
                  <w:tcW w:w="2501" w:type="pct"/>
                  <w:noWrap w:val="0"/>
                  <w:vAlign w:val="center"/>
                </w:tcPr>
                <w:p w14:paraId="3EC620D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8</w:t>
                  </w:r>
                </w:p>
              </w:tc>
            </w:tr>
          </w:tbl>
          <w:p w14:paraId="66452FE2">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（2）预测结果：</w:t>
            </w:r>
          </w:p>
          <w:p w14:paraId="2F9B5F00">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rPr>
              <w:t>由于项目夜间不生产，且生产设备及工艺集中在生产车间，故只对项目生产车间的昼间噪声进行预测，</w:t>
            </w:r>
            <w:r>
              <w:rPr>
                <w:rFonts w:hint="default" w:ascii="Times New Roman" w:hAnsi="Times New Roman" w:cs="Times New Roman"/>
                <w:color w:val="auto"/>
                <w:kern w:val="0"/>
                <w:sz w:val="24"/>
                <w:lang w:bidi="ar"/>
              </w:rPr>
              <w:t>按照最不利情况预测厂界受到的影响，预测结果见</w:t>
            </w:r>
            <w:r>
              <w:rPr>
                <w:rFonts w:hint="default" w:ascii="Times New Roman" w:hAnsi="Times New Roman" w:cs="Times New Roman"/>
                <w:color w:val="auto"/>
                <w:sz w:val="24"/>
              </w:rPr>
              <w:t>表</w:t>
            </w:r>
            <w:r>
              <w:rPr>
                <w:rFonts w:hint="default" w:ascii="Times New Roman" w:hAnsi="Times New Roman" w:cs="Times New Roman"/>
                <w:color w:val="auto"/>
                <w:sz w:val="24"/>
                <w:lang w:val="en-US" w:eastAsia="zh-CN"/>
              </w:rPr>
              <w:t>4-9：</w:t>
            </w:r>
          </w:p>
          <w:p w14:paraId="6F58227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4-9</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cs="Times New Roman"/>
                <w:b/>
                <w:bCs/>
                <w:color w:val="auto"/>
                <w:sz w:val="21"/>
                <w:szCs w:val="21"/>
              </w:rPr>
              <w:t>项目主要噪声源产生及治理情况</w:t>
            </w:r>
          </w:p>
          <w:tbl>
            <w:tblPr>
              <w:tblStyle w:val="33"/>
              <w:tblW w:w="8577" w:type="dxa"/>
              <w:tblInd w:w="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2"/>
              <w:gridCol w:w="1266"/>
              <w:gridCol w:w="805"/>
              <w:gridCol w:w="1146"/>
              <w:gridCol w:w="1139"/>
              <w:gridCol w:w="1226"/>
              <w:gridCol w:w="1124"/>
              <w:gridCol w:w="1339"/>
            </w:tblGrid>
            <w:tr w14:paraId="225190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310" w:type="pct"/>
                  <w:vMerge w:val="restart"/>
                  <w:tcBorders>
                    <w:tl2br w:val="nil"/>
                    <w:tr2bl w:val="nil"/>
                  </w:tcBorders>
                  <w:noWrap w:val="0"/>
                  <w:vAlign w:val="center"/>
                </w:tcPr>
                <w:p w14:paraId="16E9286C">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序号</w:t>
                  </w:r>
                </w:p>
              </w:tc>
              <w:tc>
                <w:tcPr>
                  <w:tcW w:w="738" w:type="pct"/>
                  <w:vMerge w:val="restart"/>
                  <w:tcBorders>
                    <w:tl2br w:val="nil"/>
                    <w:tr2bl w:val="nil"/>
                  </w:tcBorders>
                  <w:noWrap w:val="0"/>
                  <w:vAlign w:val="center"/>
                </w:tcPr>
                <w:p w14:paraId="578AEB43">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设备</w:t>
                  </w:r>
                </w:p>
              </w:tc>
              <w:tc>
                <w:tcPr>
                  <w:tcW w:w="469" w:type="pct"/>
                  <w:vMerge w:val="restart"/>
                  <w:tcBorders>
                    <w:tl2br w:val="nil"/>
                    <w:tr2bl w:val="nil"/>
                  </w:tcBorders>
                  <w:noWrap w:val="0"/>
                  <w:vAlign w:val="center"/>
                </w:tcPr>
                <w:p w14:paraId="0AA86FA9">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降噪后</w:t>
                  </w:r>
                </w:p>
                <w:p w14:paraId="481AFF2B">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源强</w:t>
                  </w:r>
                </w:p>
              </w:tc>
              <w:tc>
                <w:tcPr>
                  <w:tcW w:w="3482" w:type="pct"/>
                  <w:gridSpan w:val="5"/>
                  <w:tcBorders>
                    <w:tl2br w:val="nil"/>
                    <w:tr2bl w:val="nil"/>
                  </w:tcBorders>
                  <w:noWrap w:val="0"/>
                  <w:vAlign w:val="center"/>
                </w:tcPr>
                <w:p w14:paraId="7F0567CD">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厂界</w:t>
                  </w:r>
                </w:p>
              </w:tc>
            </w:tr>
            <w:tr w14:paraId="4933CD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310" w:type="pct"/>
                  <w:vMerge w:val="continue"/>
                  <w:tcBorders>
                    <w:tl2br w:val="nil"/>
                    <w:tr2bl w:val="nil"/>
                  </w:tcBorders>
                  <w:noWrap w:val="0"/>
                  <w:vAlign w:val="center"/>
                </w:tcPr>
                <w:p w14:paraId="6EFDED9D">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738" w:type="pct"/>
                  <w:vMerge w:val="continue"/>
                  <w:tcBorders>
                    <w:tl2br w:val="nil"/>
                    <w:tr2bl w:val="nil"/>
                  </w:tcBorders>
                  <w:noWrap w:val="0"/>
                  <w:vAlign w:val="center"/>
                </w:tcPr>
                <w:p w14:paraId="5F916632">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469" w:type="pct"/>
                  <w:vMerge w:val="continue"/>
                  <w:tcBorders>
                    <w:tl2br w:val="nil"/>
                    <w:tr2bl w:val="nil"/>
                  </w:tcBorders>
                  <w:noWrap w:val="0"/>
                  <w:vAlign w:val="center"/>
                </w:tcPr>
                <w:p w14:paraId="5C0BEDFE">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668" w:type="pct"/>
                  <w:tcBorders>
                    <w:tl2br w:val="nil"/>
                    <w:tr2bl w:val="nil"/>
                  </w:tcBorders>
                  <w:noWrap w:val="0"/>
                  <w:vAlign w:val="center"/>
                </w:tcPr>
                <w:p w14:paraId="005794F2">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方位</w:t>
                  </w:r>
                </w:p>
              </w:tc>
              <w:tc>
                <w:tcPr>
                  <w:tcW w:w="663" w:type="pct"/>
                  <w:tcBorders>
                    <w:tl2br w:val="nil"/>
                    <w:tr2bl w:val="nil"/>
                  </w:tcBorders>
                  <w:noWrap w:val="0"/>
                  <w:vAlign w:val="center"/>
                </w:tcPr>
                <w:p w14:paraId="13645480">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东</w:t>
                  </w:r>
                </w:p>
              </w:tc>
              <w:tc>
                <w:tcPr>
                  <w:tcW w:w="714" w:type="pct"/>
                  <w:tcBorders>
                    <w:tl2br w:val="nil"/>
                    <w:tr2bl w:val="nil"/>
                  </w:tcBorders>
                  <w:noWrap w:val="0"/>
                  <w:vAlign w:val="center"/>
                </w:tcPr>
                <w:p w14:paraId="4D3584BC">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w w:val="100"/>
                      <w:sz w:val="21"/>
                      <w:szCs w:val="21"/>
                      <w:highlight w:val="none"/>
                    </w:rPr>
                    <w:t>南</w:t>
                  </w:r>
                </w:p>
              </w:tc>
              <w:tc>
                <w:tcPr>
                  <w:tcW w:w="655" w:type="pct"/>
                  <w:tcBorders>
                    <w:tl2br w:val="nil"/>
                    <w:tr2bl w:val="nil"/>
                  </w:tcBorders>
                  <w:noWrap w:val="0"/>
                  <w:vAlign w:val="center"/>
                </w:tcPr>
                <w:p w14:paraId="1A085235">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西</w:t>
                  </w:r>
                </w:p>
              </w:tc>
              <w:tc>
                <w:tcPr>
                  <w:tcW w:w="780" w:type="pct"/>
                  <w:tcBorders>
                    <w:tl2br w:val="nil"/>
                    <w:tr2bl w:val="nil"/>
                  </w:tcBorders>
                  <w:noWrap w:val="0"/>
                  <w:vAlign w:val="center"/>
                </w:tcPr>
                <w:p w14:paraId="6237B916">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北</w:t>
                  </w:r>
                </w:p>
              </w:tc>
            </w:tr>
            <w:tr w14:paraId="0323C9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310" w:type="pct"/>
                  <w:vMerge w:val="restart"/>
                  <w:tcBorders>
                    <w:tl2br w:val="nil"/>
                    <w:tr2bl w:val="nil"/>
                  </w:tcBorders>
                  <w:noWrap w:val="0"/>
                  <w:vAlign w:val="center"/>
                </w:tcPr>
                <w:p w14:paraId="27D12C4D">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738" w:type="pct"/>
                  <w:vMerge w:val="restart"/>
                  <w:tcBorders>
                    <w:tl2br w:val="nil"/>
                    <w:tr2bl w:val="nil"/>
                  </w:tcBorders>
                  <w:noWrap w:val="0"/>
                  <w:vAlign w:val="center"/>
                </w:tcPr>
                <w:p w14:paraId="7F968EAC">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cs="Times New Roman"/>
                      <w:color w:val="auto"/>
                      <w:sz w:val="21"/>
                      <w:szCs w:val="21"/>
                      <w:lang w:val="en-US" w:eastAsia="zh-CN"/>
                    </w:rPr>
                    <w:t>粉碎机</w:t>
                  </w:r>
                </w:p>
              </w:tc>
              <w:tc>
                <w:tcPr>
                  <w:tcW w:w="469" w:type="pct"/>
                  <w:vMerge w:val="restart"/>
                  <w:tcBorders>
                    <w:tl2br w:val="nil"/>
                    <w:tr2bl w:val="nil"/>
                  </w:tcBorders>
                  <w:noWrap w:val="0"/>
                  <w:vAlign w:val="center"/>
                </w:tcPr>
                <w:p w14:paraId="78432C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60</w:t>
                  </w:r>
                </w:p>
              </w:tc>
              <w:tc>
                <w:tcPr>
                  <w:tcW w:w="668" w:type="pct"/>
                  <w:tcBorders>
                    <w:tl2br w:val="nil"/>
                    <w:tr2bl w:val="nil"/>
                  </w:tcBorders>
                  <w:noWrap w:val="0"/>
                  <w:vAlign w:val="center"/>
                </w:tcPr>
                <w:p w14:paraId="1B784AED">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zh-CN" w:eastAsia="zh-CN" w:bidi="zh-CN"/>
                    </w:rPr>
                  </w:pPr>
                  <w:r>
                    <w:rPr>
                      <w:rFonts w:hint="default" w:ascii="Times New Roman" w:hAnsi="Times New Roman" w:eastAsia="宋体" w:cs="Times New Roman"/>
                      <w:color w:val="auto"/>
                      <w:sz w:val="21"/>
                      <w:szCs w:val="21"/>
                      <w:highlight w:val="none"/>
                    </w:rPr>
                    <w:t>距离</w:t>
                  </w:r>
                </w:p>
              </w:tc>
              <w:tc>
                <w:tcPr>
                  <w:tcW w:w="663" w:type="pct"/>
                  <w:tcBorders>
                    <w:tl2br w:val="nil"/>
                    <w:tr2bl w:val="nil"/>
                  </w:tcBorders>
                  <w:noWrap w:val="0"/>
                  <w:vAlign w:val="center"/>
                </w:tcPr>
                <w:p w14:paraId="1A6EAFCE">
                  <w:pPr>
                    <w:keepNext w:val="0"/>
                    <w:keepLines w:val="0"/>
                    <w:pageBreakBefore w:val="0"/>
                    <w:suppressLineNumbers w:val="0"/>
                    <w:kinsoku/>
                    <w:wordWrap/>
                    <w:overflowPunct w:val="0"/>
                    <w:topLinePunct w:val="0"/>
                    <w:bidi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30</w:t>
                  </w:r>
                </w:p>
              </w:tc>
              <w:tc>
                <w:tcPr>
                  <w:tcW w:w="714" w:type="pct"/>
                  <w:tcBorders>
                    <w:tl2br w:val="nil"/>
                    <w:tr2bl w:val="nil"/>
                  </w:tcBorders>
                  <w:noWrap w:val="0"/>
                  <w:vAlign w:val="center"/>
                </w:tcPr>
                <w:p w14:paraId="0E8A2846">
                  <w:pPr>
                    <w:keepNext w:val="0"/>
                    <w:keepLines w:val="0"/>
                    <w:pageBreakBefore w:val="0"/>
                    <w:suppressLineNumbers w:val="0"/>
                    <w:kinsoku/>
                    <w:wordWrap/>
                    <w:overflowPunct w:val="0"/>
                    <w:topLinePunct w:val="0"/>
                    <w:bidi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w:t>
                  </w:r>
                </w:p>
              </w:tc>
              <w:tc>
                <w:tcPr>
                  <w:tcW w:w="655" w:type="pct"/>
                  <w:tcBorders>
                    <w:tl2br w:val="nil"/>
                    <w:tr2bl w:val="nil"/>
                  </w:tcBorders>
                  <w:noWrap w:val="0"/>
                  <w:vAlign w:val="center"/>
                </w:tcPr>
                <w:p w14:paraId="531B9205">
                  <w:pPr>
                    <w:keepNext w:val="0"/>
                    <w:keepLines w:val="0"/>
                    <w:pageBreakBefore w:val="0"/>
                    <w:suppressLineNumbers w:val="0"/>
                    <w:kinsoku/>
                    <w:wordWrap/>
                    <w:overflowPunct w:val="0"/>
                    <w:topLinePunct w:val="0"/>
                    <w:bidi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9</w:t>
                  </w:r>
                </w:p>
              </w:tc>
              <w:tc>
                <w:tcPr>
                  <w:tcW w:w="780" w:type="pct"/>
                  <w:tcBorders>
                    <w:tl2br w:val="nil"/>
                    <w:tr2bl w:val="nil"/>
                  </w:tcBorders>
                  <w:noWrap w:val="0"/>
                  <w:vAlign w:val="center"/>
                </w:tcPr>
                <w:p w14:paraId="7432C4E0">
                  <w:pPr>
                    <w:keepNext w:val="0"/>
                    <w:keepLines w:val="0"/>
                    <w:pageBreakBefore w:val="0"/>
                    <w:suppressLineNumbers w:val="0"/>
                    <w:kinsoku/>
                    <w:wordWrap/>
                    <w:overflowPunct w:val="0"/>
                    <w:topLinePunct w:val="0"/>
                    <w:bidi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r>
            <w:tr w14:paraId="0DC157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310" w:type="pct"/>
                  <w:vMerge w:val="continue"/>
                  <w:tcBorders>
                    <w:tl2br w:val="nil"/>
                    <w:tr2bl w:val="nil"/>
                  </w:tcBorders>
                  <w:noWrap w:val="0"/>
                  <w:vAlign w:val="center"/>
                </w:tcPr>
                <w:p w14:paraId="3FFFA019">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738" w:type="pct"/>
                  <w:vMerge w:val="continue"/>
                  <w:tcBorders>
                    <w:tl2br w:val="nil"/>
                    <w:tr2bl w:val="nil"/>
                  </w:tcBorders>
                  <w:noWrap w:val="0"/>
                  <w:vAlign w:val="center"/>
                </w:tcPr>
                <w:p w14:paraId="4918435E">
                  <w:pPr>
                    <w:keepNext w:val="0"/>
                    <w:keepLines w:val="0"/>
                    <w:pageBreakBefore w:val="0"/>
                    <w:suppressLineNumbers w:val="0"/>
                    <w:kinsoku/>
                    <w:wordWrap/>
                    <w:overflowPunct w:val="0"/>
                    <w:topLinePunct w:val="0"/>
                    <w:bidi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p>
              </w:tc>
              <w:tc>
                <w:tcPr>
                  <w:tcW w:w="469" w:type="pct"/>
                  <w:vMerge w:val="continue"/>
                  <w:tcBorders>
                    <w:tl2br w:val="nil"/>
                    <w:tr2bl w:val="nil"/>
                  </w:tcBorders>
                  <w:noWrap w:val="0"/>
                  <w:vAlign w:val="center"/>
                </w:tcPr>
                <w:p w14:paraId="40C24668">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668" w:type="pct"/>
                  <w:tcBorders>
                    <w:tl2br w:val="nil"/>
                    <w:tr2bl w:val="nil"/>
                  </w:tcBorders>
                  <w:noWrap w:val="0"/>
                  <w:vAlign w:val="center"/>
                </w:tcPr>
                <w:p w14:paraId="736CF4B4">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zh-CN" w:eastAsia="zh-CN" w:bidi="zh-CN"/>
                    </w:rPr>
                  </w:pPr>
                  <w:r>
                    <w:rPr>
                      <w:rFonts w:hint="default" w:ascii="Times New Roman" w:hAnsi="Times New Roman" w:eastAsia="宋体" w:cs="Times New Roman"/>
                      <w:color w:val="auto"/>
                      <w:sz w:val="21"/>
                      <w:szCs w:val="21"/>
                      <w:highlight w:val="none"/>
                    </w:rPr>
                    <w:t>贡献值</w:t>
                  </w:r>
                </w:p>
              </w:tc>
              <w:tc>
                <w:tcPr>
                  <w:tcW w:w="663" w:type="pct"/>
                  <w:tcBorders>
                    <w:tl2br w:val="nil"/>
                    <w:tr2bl w:val="nil"/>
                  </w:tcBorders>
                  <w:shd w:val="clear" w:color="auto" w:fill="auto"/>
                  <w:noWrap w:val="0"/>
                  <w:vAlign w:val="center"/>
                </w:tcPr>
                <w:p w14:paraId="0D85DC9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30</w:t>
                  </w:r>
                </w:p>
              </w:tc>
              <w:tc>
                <w:tcPr>
                  <w:tcW w:w="714" w:type="pct"/>
                  <w:tcBorders>
                    <w:tl2br w:val="nil"/>
                    <w:tr2bl w:val="nil"/>
                  </w:tcBorders>
                  <w:shd w:val="clear" w:color="auto" w:fill="auto"/>
                  <w:noWrap w:val="0"/>
                  <w:vAlign w:val="center"/>
                </w:tcPr>
                <w:p w14:paraId="0180B9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46</w:t>
                  </w:r>
                </w:p>
              </w:tc>
              <w:tc>
                <w:tcPr>
                  <w:tcW w:w="655" w:type="pct"/>
                  <w:tcBorders>
                    <w:tl2br w:val="nil"/>
                    <w:tr2bl w:val="nil"/>
                  </w:tcBorders>
                  <w:shd w:val="clear" w:color="auto" w:fill="auto"/>
                  <w:noWrap w:val="0"/>
                  <w:vAlign w:val="center"/>
                </w:tcPr>
                <w:p w14:paraId="642DFC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41</w:t>
                  </w:r>
                </w:p>
              </w:tc>
              <w:tc>
                <w:tcPr>
                  <w:tcW w:w="780" w:type="pct"/>
                  <w:tcBorders>
                    <w:tl2br w:val="nil"/>
                    <w:tr2bl w:val="nil"/>
                  </w:tcBorders>
                  <w:shd w:val="clear" w:color="auto" w:fill="auto"/>
                  <w:noWrap w:val="0"/>
                  <w:vAlign w:val="center"/>
                </w:tcPr>
                <w:p w14:paraId="3CD5B6C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40</w:t>
                  </w:r>
                </w:p>
              </w:tc>
            </w:tr>
            <w:tr w14:paraId="3FE8DC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310" w:type="pct"/>
                  <w:vMerge w:val="restart"/>
                  <w:tcBorders>
                    <w:tl2br w:val="nil"/>
                    <w:tr2bl w:val="nil"/>
                  </w:tcBorders>
                  <w:noWrap w:val="0"/>
                  <w:vAlign w:val="center"/>
                </w:tcPr>
                <w:p w14:paraId="5B816032">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738" w:type="pct"/>
                  <w:vMerge w:val="restart"/>
                  <w:tcBorders>
                    <w:tl2br w:val="nil"/>
                    <w:tr2bl w:val="nil"/>
                  </w:tcBorders>
                  <w:noWrap w:val="0"/>
                  <w:vAlign w:val="center"/>
                </w:tcPr>
                <w:p w14:paraId="382DD833">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热熔机</w:t>
                  </w:r>
                </w:p>
              </w:tc>
              <w:tc>
                <w:tcPr>
                  <w:tcW w:w="469" w:type="pct"/>
                  <w:vMerge w:val="restart"/>
                  <w:tcBorders>
                    <w:tl2br w:val="nil"/>
                    <w:tr2bl w:val="nil"/>
                  </w:tcBorders>
                  <w:noWrap w:val="0"/>
                  <w:vAlign w:val="center"/>
                </w:tcPr>
                <w:p w14:paraId="4238093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53</w:t>
                  </w:r>
                </w:p>
              </w:tc>
              <w:tc>
                <w:tcPr>
                  <w:tcW w:w="668" w:type="pct"/>
                  <w:tcBorders>
                    <w:tl2br w:val="nil"/>
                    <w:tr2bl w:val="nil"/>
                  </w:tcBorders>
                  <w:noWrap w:val="0"/>
                  <w:vAlign w:val="center"/>
                </w:tcPr>
                <w:p w14:paraId="481C374C">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w:t>
                  </w:r>
                </w:p>
              </w:tc>
              <w:tc>
                <w:tcPr>
                  <w:tcW w:w="663" w:type="pct"/>
                  <w:tcBorders>
                    <w:tl2br w:val="nil"/>
                    <w:tr2bl w:val="nil"/>
                  </w:tcBorders>
                  <w:noWrap w:val="0"/>
                  <w:vAlign w:val="center"/>
                </w:tcPr>
                <w:p w14:paraId="2F6CD361">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10</w:t>
                  </w:r>
                </w:p>
              </w:tc>
              <w:tc>
                <w:tcPr>
                  <w:tcW w:w="714" w:type="pct"/>
                  <w:tcBorders>
                    <w:tl2br w:val="nil"/>
                    <w:tr2bl w:val="nil"/>
                  </w:tcBorders>
                  <w:noWrap w:val="0"/>
                  <w:vAlign w:val="center"/>
                </w:tcPr>
                <w:p w14:paraId="573DF0ED">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10</w:t>
                  </w:r>
                </w:p>
              </w:tc>
              <w:tc>
                <w:tcPr>
                  <w:tcW w:w="655" w:type="pct"/>
                  <w:tcBorders>
                    <w:tl2br w:val="nil"/>
                    <w:tr2bl w:val="nil"/>
                  </w:tcBorders>
                  <w:noWrap w:val="0"/>
                  <w:vAlign w:val="center"/>
                </w:tcPr>
                <w:p w14:paraId="634F933D">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25</w:t>
                  </w:r>
                </w:p>
              </w:tc>
              <w:tc>
                <w:tcPr>
                  <w:tcW w:w="780" w:type="pct"/>
                  <w:tcBorders>
                    <w:tl2br w:val="nil"/>
                    <w:tr2bl w:val="nil"/>
                  </w:tcBorders>
                  <w:noWrap w:val="0"/>
                  <w:vAlign w:val="center"/>
                </w:tcPr>
                <w:p w14:paraId="10C5EC27">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5</w:t>
                  </w:r>
                </w:p>
              </w:tc>
            </w:tr>
            <w:tr w14:paraId="4AE284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310" w:type="pct"/>
                  <w:vMerge w:val="continue"/>
                  <w:tcBorders>
                    <w:tl2br w:val="nil"/>
                    <w:tr2bl w:val="nil"/>
                  </w:tcBorders>
                  <w:noWrap w:val="0"/>
                  <w:vAlign w:val="center"/>
                </w:tcPr>
                <w:p w14:paraId="10C4284A">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738" w:type="pct"/>
                  <w:vMerge w:val="continue"/>
                  <w:tcBorders>
                    <w:tl2br w:val="nil"/>
                    <w:tr2bl w:val="nil"/>
                  </w:tcBorders>
                  <w:noWrap w:val="0"/>
                  <w:vAlign w:val="center"/>
                </w:tcPr>
                <w:p w14:paraId="16AB46E0">
                  <w:pPr>
                    <w:keepNext w:val="0"/>
                    <w:keepLines w:val="0"/>
                    <w:pageBreakBefore w:val="0"/>
                    <w:suppressLineNumbers w:val="0"/>
                    <w:kinsoku/>
                    <w:wordWrap/>
                    <w:overflowPunct w:val="0"/>
                    <w:topLinePunct w:val="0"/>
                    <w:bidi w:val="0"/>
                    <w:adjustRightInd w:val="0"/>
                    <w:snapToGrid w:val="0"/>
                    <w:spacing w:before="0" w:beforeAutospacing="0" w:after="0" w:afterAutospacing="0"/>
                    <w:ind w:left="0" w:right="0"/>
                    <w:jc w:val="center"/>
                    <w:rPr>
                      <w:rFonts w:hint="default" w:ascii="Times New Roman" w:hAnsi="Times New Roman" w:cs="Times New Roman"/>
                      <w:color w:val="auto"/>
                      <w:szCs w:val="21"/>
                      <w:lang w:val="en-US" w:eastAsia="zh-CN"/>
                    </w:rPr>
                  </w:pPr>
                </w:p>
              </w:tc>
              <w:tc>
                <w:tcPr>
                  <w:tcW w:w="469" w:type="pct"/>
                  <w:vMerge w:val="continue"/>
                  <w:tcBorders>
                    <w:tl2br w:val="nil"/>
                    <w:tr2bl w:val="nil"/>
                  </w:tcBorders>
                  <w:noWrap w:val="0"/>
                  <w:vAlign w:val="center"/>
                </w:tcPr>
                <w:p w14:paraId="5031FEA9">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668" w:type="pct"/>
                  <w:tcBorders>
                    <w:tl2br w:val="nil"/>
                    <w:tr2bl w:val="nil"/>
                  </w:tcBorders>
                  <w:noWrap w:val="0"/>
                  <w:vAlign w:val="center"/>
                </w:tcPr>
                <w:p w14:paraId="13B624AD">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贡献值</w:t>
                  </w:r>
                </w:p>
              </w:tc>
              <w:tc>
                <w:tcPr>
                  <w:tcW w:w="663" w:type="pct"/>
                  <w:tcBorders>
                    <w:tl2br w:val="nil"/>
                    <w:tr2bl w:val="nil"/>
                  </w:tcBorders>
                  <w:noWrap w:val="0"/>
                  <w:vAlign w:val="center"/>
                </w:tcPr>
                <w:p w14:paraId="0DB07888">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33</w:t>
                  </w:r>
                </w:p>
              </w:tc>
              <w:tc>
                <w:tcPr>
                  <w:tcW w:w="714" w:type="pct"/>
                  <w:tcBorders>
                    <w:tl2br w:val="nil"/>
                    <w:tr2bl w:val="nil"/>
                  </w:tcBorders>
                  <w:noWrap w:val="0"/>
                  <w:vAlign w:val="center"/>
                </w:tcPr>
                <w:p w14:paraId="5A4FC5BC">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33</w:t>
                  </w:r>
                </w:p>
              </w:tc>
              <w:tc>
                <w:tcPr>
                  <w:tcW w:w="655" w:type="pct"/>
                  <w:tcBorders>
                    <w:tl2br w:val="nil"/>
                    <w:tr2bl w:val="nil"/>
                  </w:tcBorders>
                  <w:noWrap w:val="0"/>
                  <w:vAlign w:val="center"/>
                </w:tcPr>
                <w:p w14:paraId="639711B6">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25</w:t>
                  </w:r>
                </w:p>
              </w:tc>
              <w:tc>
                <w:tcPr>
                  <w:tcW w:w="780" w:type="pct"/>
                  <w:tcBorders>
                    <w:tl2br w:val="nil"/>
                    <w:tr2bl w:val="nil"/>
                  </w:tcBorders>
                  <w:noWrap w:val="0"/>
                  <w:vAlign w:val="center"/>
                </w:tcPr>
                <w:p w14:paraId="4C9F049D">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39</w:t>
                  </w:r>
                </w:p>
              </w:tc>
            </w:tr>
            <w:tr w14:paraId="7FF70A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310" w:type="pct"/>
                  <w:vMerge w:val="restart"/>
                  <w:tcBorders>
                    <w:tl2br w:val="nil"/>
                    <w:tr2bl w:val="nil"/>
                  </w:tcBorders>
                  <w:noWrap w:val="0"/>
                  <w:vAlign w:val="center"/>
                </w:tcPr>
                <w:p w14:paraId="74C9C91F">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c>
                <w:tcPr>
                  <w:tcW w:w="738" w:type="pct"/>
                  <w:vMerge w:val="restart"/>
                  <w:tcBorders>
                    <w:tl2br w:val="nil"/>
                    <w:tr2bl w:val="nil"/>
                  </w:tcBorders>
                  <w:noWrap w:val="0"/>
                  <w:vAlign w:val="center"/>
                </w:tcPr>
                <w:p w14:paraId="207E6EAC">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切粒机</w:t>
                  </w:r>
                </w:p>
              </w:tc>
              <w:tc>
                <w:tcPr>
                  <w:tcW w:w="469" w:type="pct"/>
                  <w:vMerge w:val="restart"/>
                  <w:tcBorders>
                    <w:tl2br w:val="nil"/>
                    <w:tr2bl w:val="nil"/>
                  </w:tcBorders>
                  <w:noWrap w:val="0"/>
                  <w:vAlign w:val="center"/>
                </w:tcPr>
                <w:p w14:paraId="6B063BD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48</w:t>
                  </w:r>
                </w:p>
              </w:tc>
              <w:tc>
                <w:tcPr>
                  <w:tcW w:w="668" w:type="pct"/>
                  <w:tcBorders>
                    <w:tl2br w:val="nil"/>
                    <w:tr2bl w:val="nil"/>
                  </w:tcBorders>
                  <w:noWrap w:val="0"/>
                  <w:vAlign w:val="center"/>
                </w:tcPr>
                <w:p w14:paraId="44213571">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w:t>
                  </w:r>
                </w:p>
              </w:tc>
              <w:tc>
                <w:tcPr>
                  <w:tcW w:w="663" w:type="pct"/>
                  <w:tcBorders>
                    <w:tl2br w:val="nil"/>
                    <w:tr2bl w:val="nil"/>
                  </w:tcBorders>
                  <w:noWrap w:val="0"/>
                  <w:vAlign w:val="center"/>
                </w:tcPr>
                <w:p w14:paraId="39D5B84C">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w:t>
                  </w:r>
                </w:p>
              </w:tc>
              <w:tc>
                <w:tcPr>
                  <w:tcW w:w="714" w:type="pct"/>
                  <w:tcBorders>
                    <w:tl2br w:val="nil"/>
                    <w:tr2bl w:val="nil"/>
                  </w:tcBorders>
                  <w:noWrap w:val="0"/>
                  <w:vAlign w:val="center"/>
                </w:tcPr>
                <w:p w14:paraId="33B32F0E">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11</w:t>
                  </w:r>
                </w:p>
              </w:tc>
              <w:tc>
                <w:tcPr>
                  <w:tcW w:w="655" w:type="pct"/>
                  <w:tcBorders>
                    <w:tl2br w:val="nil"/>
                    <w:tr2bl w:val="nil"/>
                  </w:tcBorders>
                  <w:noWrap w:val="0"/>
                  <w:vAlign w:val="center"/>
                </w:tcPr>
                <w:p w14:paraId="374DDC27">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20</w:t>
                  </w:r>
                </w:p>
              </w:tc>
              <w:tc>
                <w:tcPr>
                  <w:tcW w:w="780" w:type="pct"/>
                  <w:tcBorders>
                    <w:tl2br w:val="nil"/>
                    <w:tr2bl w:val="nil"/>
                  </w:tcBorders>
                  <w:noWrap w:val="0"/>
                  <w:vAlign w:val="center"/>
                </w:tcPr>
                <w:p w14:paraId="4ECD38A9">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4</w:t>
                  </w:r>
                </w:p>
              </w:tc>
            </w:tr>
            <w:tr w14:paraId="01C000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310" w:type="pct"/>
                  <w:vMerge w:val="continue"/>
                  <w:tcBorders>
                    <w:tl2br w:val="nil"/>
                    <w:tr2bl w:val="nil"/>
                  </w:tcBorders>
                  <w:noWrap w:val="0"/>
                  <w:vAlign w:val="center"/>
                </w:tcPr>
                <w:p w14:paraId="52A9BC2B">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738" w:type="pct"/>
                  <w:vMerge w:val="continue"/>
                  <w:tcBorders>
                    <w:tl2br w:val="nil"/>
                    <w:tr2bl w:val="nil"/>
                  </w:tcBorders>
                  <w:noWrap w:val="0"/>
                  <w:vAlign w:val="center"/>
                </w:tcPr>
                <w:p w14:paraId="51B57652">
                  <w:pPr>
                    <w:keepNext w:val="0"/>
                    <w:keepLines w:val="0"/>
                    <w:pageBreakBefore w:val="0"/>
                    <w:suppressLineNumbers w:val="0"/>
                    <w:kinsoku/>
                    <w:wordWrap/>
                    <w:overflowPunct w:val="0"/>
                    <w:topLinePunct w:val="0"/>
                    <w:bidi w:val="0"/>
                    <w:adjustRightInd w:val="0"/>
                    <w:snapToGrid w:val="0"/>
                    <w:spacing w:before="0" w:beforeAutospacing="0" w:after="0" w:afterAutospacing="0"/>
                    <w:ind w:left="0" w:right="0"/>
                    <w:jc w:val="center"/>
                    <w:rPr>
                      <w:rFonts w:hint="default" w:ascii="Times New Roman" w:hAnsi="Times New Roman" w:cs="Times New Roman"/>
                      <w:color w:val="auto"/>
                      <w:szCs w:val="21"/>
                      <w:lang w:val="en-US" w:eastAsia="zh-CN"/>
                    </w:rPr>
                  </w:pPr>
                </w:p>
              </w:tc>
              <w:tc>
                <w:tcPr>
                  <w:tcW w:w="469" w:type="pct"/>
                  <w:vMerge w:val="continue"/>
                  <w:tcBorders>
                    <w:tl2br w:val="nil"/>
                    <w:tr2bl w:val="nil"/>
                  </w:tcBorders>
                  <w:noWrap w:val="0"/>
                  <w:vAlign w:val="center"/>
                </w:tcPr>
                <w:p w14:paraId="024F6D4A">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668" w:type="pct"/>
                  <w:tcBorders>
                    <w:tl2br w:val="nil"/>
                    <w:tr2bl w:val="nil"/>
                  </w:tcBorders>
                  <w:noWrap w:val="0"/>
                  <w:vAlign w:val="center"/>
                </w:tcPr>
                <w:p w14:paraId="5BA7C34D">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贡献值</w:t>
                  </w:r>
                </w:p>
              </w:tc>
              <w:tc>
                <w:tcPr>
                  <w:tcW w:w="663" w:type="pct"/>
                  <w:tcBorders>
                    <w:tl2br w:val="nil"/>
                    <w:tr2bl w:val="nil"/>
                  </w:tcBorders>
                  <w:noWrap w:val="0"/>
                  <w:vAlign w:val="center"/>
                </w:tcPr>
                <w:p w14:paraId="6496A985">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24</w:t>
                  </w:r>
                </w:p>
              </w:tc>
              <w:tc>
                <w:tcPr>
                  <w:tcW w:w="714" w:type="pct"/>
                  <w:tcBorders>
                    <w:tl2br w:val="nil"/>
                    <w:tr2bl w:val="nil"/>
                  </w:tcBorders>
                  <w:noWrap w:val="0"/>
                  <w:vAlign w:val="center"/>
                </w:tcPr>
                <w:p w14:paraId="00F2739C">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27</w:t>
                  </w:r>
                </w:p>
              </w:tc>
              <w:tc>
                <w:tcPr>
                  <w:tcW w:w="655" w:type="pct"/>
                  <w:tcBorders>
                    <w:tl2br w:val="nil"/>
                    <w:tr2bl w:val="nil"/>
                  </w:tcBorders>
                  <w:noWrap w:val="0"/>
                  <w:vAlign w:val="center"/>
                </w:tcPr>
                <w:p w14:paraId="5AC067EB">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22</w:t>
                  </w:r>
                </w:p>
              </w:tc>
              <w:tc>
                <w:tcPr>
                  <w:tcW w:w="780" w:type="pct"/>
                  <w:tcBorders>
                    <w:tl2br w:val="nil"/>
                    <w:tr2bl w:val="nil"/>
                  </w:tcBorders>
                  <w:noWrap w:val="0"/>
                  <w:vAlign w:val="center"/>
                </w:tcPr>
                <w:p w14:paraId="4BE97058">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36</w:t>
                  </w:r>
                </w:p>
              </w:tc>
            </w:tr>
            <w:tr w14:paraId="182768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310" w:type="pct"/>
                  <w:vMerge w:val="restart"/>
                  <w:tcBorders>
                    <w:tl2br w:val="nil"/>
                    <w:tr2bl w:val="nil"/>
                  </w:tcBorders>
                  <w:noWrap w:val="0"/>
                  <w:vAlign w:val="center"/>
                </w:tcPr>
                <w:p w14:paraId="675853FC">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c>
                <w:tcPr>
                  <w:tcW w:w="738" w:type="pct"/>
                  <w:vMerge w:val="restart"/>
                  <w:tcBorders>
                    <w:tl2br w:val="nil"/>
                    <w:tr2bl w:val="nil"/>
                  </w:tcBorders>
                  <w:noWrap w:val="0"/>
                  <w:vAlign w:val="center"/>
                </w:tcPr>
                <w:p w14:paraId="40043BD0">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循环水泵</w:t>
                  </w:r>
                </w:p>
              </w:tc>
              <w:tc>
                <w:tcPr>
                  <w:tcW w:w="469" w:type="pct"/>
                  <w:vMerge w:val="restart"/>
                  <w:tcBorders>
                    <w:tl2br w:val="nil"/>
                    <w:tr2bl w:val="nil"/>
                  </w:tcBorders>
                  <w:noWrap w:val="0"/>
                  <w:vAlign w:val="center"/>
                </w:tcPr>
                <w:p w14:paraId="131BEE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53</w:t>
                  </w:r>
                </w:p>
              </w:tc>
              <w:tc>
                <w:tcPr>
                  <w:tcW w:w="668" w:type="pct"/>
                  <w:tcBorders>
                    <w:tl2br w:val="nil"/>
                    <w:tr2bl w:val="nil"/>
                  </w:tcBorders>
                  <w:noWrap w:val="0"/>
                  <w:vAlign w:val="center"/>
                </w:tcPr>
                <w:p w14:paraId="7CFBD15B">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w:t>
                  </w:r>
                </w:p>
              </w:tc>
              <w:tc>
                <w:tcPr>
                  <w:tcW w:w="663" w:type="pct"/>
                  <w:tcBorders>
                    <w:tl2br w:val="nil"/>
                    <w:tr2bl w:val="nil"/>
                  </w:tcBorders>
                  <w:noWrap w:val="0"/>
                  <w:vAlign w:val="center"/>
                </w:tcPr>
                <w:p w14:paraId="177456E9">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16</w:t>
                  </w:r>
                </w:p>
              </w:tc>
              <w:tc>
                <w:tcPr>
                  <w:tcW w:w="714" w:type="pct"/>
                  <w:tcBorders>
                    <w:tl2br w:val="nil"/>
                    <w:tr2bl w:val="nil"/>
                  </w:tcBorders>
                  <w:noWrap w:val="0"/>
                  <w:vAlign w:val="center"/>
                </w:tcPr>
                <w:p w14:paraId="5902E0AE">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w:t>
                  </w:r>
                </w:p>
              </w:tc>
              <w:tc>
                <w:tcPr>
                  <w:tcW w:w="655" w:type="pct"/>
                  <w:tcBorders>
                    <w:tl2br w:val="nil"/>
                    <w:tr2bl w:val="nil"/>
                  </w:tcBorders>
                  <w:noWrap w:val="0"/>
                  <w:vAlign w:val="center"/>
                </w:tcPr>
                <w:p w14:paraId="7BC87541">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19</w:t>
                  </w:r>
                </w:p>
              </w:tc>
              <w:tc>
                <w:tcPr>
                  <w:tcW w:w="780" w:type="pct"/>
                  <w:tcBorders>
                    <w:tl2br w:val="nil"/>
                    <w:tr2bl w:val="nil"/>
                  </w:tcBorders>
                  <w:noWrap w:val="0"/>
                  <w:vAlign w:val="center"/>
                </w:tcPr>
                <w:p w14:paraId="0B2AF2AA">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w:t>
                  </w:r>
                </w:p>
              </w:tc>
            </w:tr>
            <w:tr w14:paraId="69777C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310" w:type="pct"/>
                  <w:vMerge w:val="continue"/>
                  <w:tcBorders>
                    <w:tl2br w:val="nil"/>
                    <w:tr2bl w:val="nil"/>
                  </w:tcBorders>
                  <w:noWrap w:val="0"/>
                  <w:vAlign w:val="center"/>
                </w:tcPr>
                <w:p w14:paraId="261A411A">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738" w:type="pct"/>
                  <w:vMerge w:val="continue"/>
                  <w:tcBorders>
                    <w:tl2br w:val="nil"/>
                    <w:tr2bl w:val="nil"/>
                  </w:tcBorders>
                  <w:noWrap w:val="0"/>
                  <w:vAlign w:val="center"/>
                </w:tcPr>
                <w:p w14:paraId="2CEC291C">
                  <w:pPr>
                    <w:keepNext w:val="0"/>
                    <w:keepLines w:val="0"/>
                    <w:pageBreakBefore w:val="0"/>
                    <w:suppressLineNumbers w:val="0"/>
                    <w:kinsoku/>
                    <w:wordWrap/>
                    <w:overflowPunct w:val="0"/>
                    <w:topLinePunct w:val="0"/>
                    <w:bidi w:val="0"/>
                    <w:adjustRightInd w:val="0"/>
                    <w:snapToGrid w:val="0"/>
                    <w:spacing w:before="0" w:beforeAutospacing="0" w:after="0" w:afterAutospacing="0"/>
                    <w:ind w:left="0" w:right="0"/>
                    <w:jc w:val="center"/>
                    <w:rPr>
                      <w:rFonts w:hint="default" w:ascii="Times New Roman" w:hAnsi="Times New Roman" w:cs="Times New Roman"/>
                      <w:color w:val="auto"/>
                      <w:szCs w:val="21"/>
                      <w:lang w:val="en-US" w:eastAsia="zh-CN"/>
                    </w:rPr>
                  </w:pPr>
                </w:p>
              </w:tc>
              <w:tc>
                <w:tcPr>
                  <w:tcW w:w="469" w:type="pct"/>
                  <w:vMerge w:val="continue"/>
                  <w:tcBorders>
                    <w:tl2br w:val="nil"/>
                    <w:tr2bl w:val="nil"/>
                  </w:tcBorders>
                  <w:noWrap w:val="0"/>
                  <w:vAlign w:val="center"/>
                </w:tcPr>
                <w:p w14:paraId="0D1C26E4">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668" w:type="pct"/>
                  <w:tcBorders>
                    <w:tl2br w:val="nil"/>
                    <w:tr2bl w:val="nil"/>
                  </w:tcBorders>
                  <w:noWrap w:val="0"/>
                  <w:vAlign w:val="center"/>
                </w:tcPr>
                <w:p w14:paraId="01BFCE61">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贡献值</w:t>
                  </w:r>
                </w:p>
              </w:tc>
              <w:tc>
                <w:tcPr>
                  <w:tcW w:w="663" w:type="pct"/>
                  <w:tcBorders>
                    <w:tl2br w:val="nil"/>
                    <w:tr2bl w:val="nil"/>
                  </w:tcBorders>
                  <w:noWrap w:val="0"/>
                  <w:vAlign w:val="center"/>
                </w:tcPr>
                <w:p w14:paraId="6EF5B631">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29</w:t>
                  </w:r>
                </w:p>
              </w:tc>
              <w:tc>
                <w:tcPr>
                  <w:tcW w:w="714" w:type="pct"/>
                  <w:tcBorders>
                    <w:tl2br w:val="nil"/>
                    <w:tr2bl w:val="nil"/>
                  </w:tcBorders>
                  <w:noWrap w:val="0"/>
                  <w:vAlign w:val="center"/>
                </w:tcPr>
                <w:p w14:paraId="7A2A7DDF">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33</w:t>
                  </w:r>
                </w:p>
              </w:tc>
              <w:tc>
                <w:tcPr>
                  <w:tcW w:w="655" w:type="pct"/>
                  <w:tcBorders>
                    <w:tl2br w:val="nil"/>
                    <w:tr2bl w:val="nil"/>
                  </w:tcBorders>
                  <w:noWrap w:val="0"/>
                  <w:vAlign w:val="center"/>
                </w:tcPr>
                <w:p w14:paraId="11B017D3">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27</w:t>
                  </w:r>
                </w:p>
              </w:tc>
              <w:tc>
                <w:tcPr>
                  <w:tcW w:w="780" w:type="pct"/>
                  <w:tcBorders>
                    <w:tl2br w:val="nil"/>
                    <w:tr2bl w:val="nil"/>
                  </w:tcBorders>
                  <w:noWrap w:val="0"/>
                  <w:vAlign w:val="center"/>
                </w:tcPr>
                <w:p w14:paraId="53E943AF">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39</w:t>
                  </w:r>
                </w:p>
              </w:tc>
            </w:tr>
            <w:tr w14:paraId="290DF7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310" w:type="pct"/>
                  <w:vMerge w:val="restart"/>
                  <w:tcBorders>
                    <w:tl2br w:val="nil"/>
                    <w:tr2bl w:val="nil"/>
                  </w:tcBorders>
                  <w:noWrap w:val="0"/>
                  <w:vAlign w:val="center"/>
                </w:tcPr>
                <w:p w14:paraId="24BEB5F7">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c>
                <w:tcPr>
                  <w:tcW w:w="738" w:type="pct"/>
                  <w:vMerge w:val="restart"/>
                  <w:tcBorders>
                    <w:tl2br w:val="nil"/>
                    <w:tr2bl w:val="nil"/>
                  </w:tcBorders>
                  <w:noWrap w:val="0"/>
                  <w:vAlign w:val="center"/>
                </w:tcPr>
                <w:p w14:paraId="7434D03F">
                  <w:pPr>
                    <w:pStyle w:val="184"/>
                    <w:keepNext w:val="0"/>
                    <w:keepLines w:val="0"/>
                    <w:suppressLineNumbers w:val="0"/>
                    <w:spacing w:before="114" w:beforeAutospacing="0" w:after="0" w:afterAutospacing="0" w:line="227" w:lineRule="auto"/>
                    <w:ind w:left="36" w:leftChars="0" w:right="0"/>
                    <w:jc w:val="center"/>
                    <w:outlineLvl w:val="1"/>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粉尘废气治理设施风机</w:t>
                  </w:r>
                </w:p>
              </w:tc>
              <w:tc>
                <w:tcPr>
                  <w:tcW w:w="469" w:type="pct"/>
                  <w:vMerge w:val="restart"/>
                  <w:tcBorders>
                    <w:tl2br w:val="nil"/>
                    <w:tr2bl w:val="nil"/>
                  </w:tcBorders>
                  <w:noWrap w:val="0"/>
                  <w:vAlign w:val="center"/>
                </w:tcPr>
                <w:p w14:paraId="57ADC4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63</w:t>
                  </w:r>
                </w:p>
              </w:tc>
              <w:tc>
                <w:tcPr>
                  <w:tcW w:w="668" w:type="pct"/>
                  <w:tcBorders>
                    <w:tl2br w:val="nil"/>
                    <w:tr2bl w:val="nil"/>
                  </w:tcBorders>
                  <w:noWrap w:val="0"/>
                  <w:vAlign w:val="center"/>
                </w:tcPr>
                <w:p w14:paraId="515FDDEF">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w:t>
                  </w:r>
                </w:p>
              </w:tc>
              <w:tc>
                <w:tcPr>
                  <w:tcW w:w="663" w:type="pct"/>
                  <w:tcBorders>
                    <w:tl2br w:val="nil"/>
                    <w:tr2bl w:val="nil"/>
                  </w:tcBorders>
                  <w:noWrap w:val="0"/>
                  <w:vAlign w:val="center"/>
                </w:tcPr>
                <w:p w14:paraId="4C65C164">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28</w:t>
                  </w:r>
                </w:p>
              </w:tc>
              <w:tc>
                <w:tcPr>
                  <w:tcW w:w="714" w:type="pct"/>
                  <w:tcBorders>
                    <w:tl2br w:val="nil"/>
                    <w:tr2bl w:val="nil"/>
                  </w:tcBorders>
                  <w:noWrap w:val="0"/>
                  <w:vAlign w:val="center"/>
                </w:tcPr>
                <w:p w14:paraId="4D4D81E8">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13</w:t>
                  </w:r>
                </w:p>
              </w:tc>
              <w:tc>
                <w:tcPr>
                  <w:tcW w:w="655" w:type="pct"/>
                  <w:tcBorders>
                    <w:tl2br w:val="nil"/>
                    <w:tr2bl w:val="nil"/>
                  </w:tcBorders>
                  <w:noWrap w:val="0"/>
                  <w:vAlign w:val="center"/>
                </w:tcPr>
                <w:p w14:paraId="47B387EB">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w:t>
                  </w:r>
                </w:p>
              </w:tc>
              <w:tc>
                <w:tcPr>
                  <w:tcW w:w="780" w:type="pct"/>
                  <w:tcBorders>
                    <w:tl2br w:val="nil"/>
                    <w:tr2bl w:val="nil"/>
                  </w:tcBorders>
                  <w:noWrap w:val="0"/>
                  <w:vAlign w:val="center"/>
                </w:tcPr>
                <w:p w14:paraId="62A6BAD1">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w:t>
                  </w:r>
                </w:p>
              </w:tc>
            </w:tr>
            <w:tr w14:paraId="120D16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310" w:type="pct"/>
                  <w:vMerge w:val="continue"/>
                  <w:tcBorders>
                    <w:tl2br w:val="nil"/>
                    <w:tr2bl w:val="nil"/>
                  </w:tcBorders>
                  <w:noWrap w:val="0"/>
                  <w:vAlign w:val="center"/>
                </w:tcPr>
                <w:p w14:paraId="7E680FEC">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738" w:type="pct"/>
                  <w:vMerge w:val="continue"/>
                  <w:tcBorders>
                    <w:tl2br w:val="nil"/>
                    <w:tr2bl w:val="nil"/>
                  </w:tcBorders>
                  <w:noWrap w:val="0"/>
                  <w:vAlign w:val="center"/>
                </w:tcPr>
                <w:p w14:paraId="7C2B7408">
                  <w:pPr>
                    <w:keepNext w:val="0"/>
                    <w:keepLines w:val="0"/>
                    <w:pageBreakBefore w:val="0"/>
                    <w:suppressLineNumbers w:val="0"/>
                    <w:kinsoku/>
                    <w:wordWrap/>
                    <w:overflowPunct w:val="0"/>
                    <w:topLinePunct w:val="0"/>
                    <w:bidi w:val="0"/>
                    <w:adjustRightInd w:val="0"/>
                    <w:snapToGrid w:val="0"/>
                    <w:spacing w:before="0" w:beforeAutospacing="0" w:after="0" w:afterAutospacing="0"/>
                    <w:ind w:left="0" w:right="0"/>
                    <w:jc w:val="center"/>
                    <w:rPr>
                      <w:rFonts w:hint="default" w:ascii="Times New Roman" w:hAnsi="Times New Roman" w:cs="Times New Roman"/>
                      <w:color w:val="auto"/>
                      <w:szCs w:val="21"/>
                      <w:lang w:val="en-US" w:eastAsia="zh-CN"/>
                    </w:rPr>
                  </w:pPr>
                </w:p>
              </w:tc>
              <w:tc>
                <w:tcPr>
                  <w:tcW w:w="469" w:type="pct"/>
                  <w:vMerge w:val="continue"/>
                  <w:tcBorders>
                    <w:tl2br w:val="nil"/>
                    <w:tr2bl w:val="nil"/>
                  </w:tcBorders>
                  <w:noWrap w:val="0"/>
                  <w:vAlign w:val="center"/>
                </w:tcPr>
                <w:p w14:paraId="106F3428">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668" w:type="pct"/>
                  <w:tcBorders>
                    <w:tl2br w:val="nil"/>
                    <w:tr2bl w:val="nil"/>
                  </w:tcBorders>
                  <w:noWrap w:val="0"/>
                  <w:vAlign w:val="center"/>
                </w:tcPr>
                <w:p w14:paraId="786FDB11">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贡献值</w:t>
                  </w:r>
                </w:p>
              </w:tc>
              <w:tc>
                <w:tcPr>
                  <w:tcW w:w="663" w:type="pct"/>
                  <w:tcBorders>
                    <w:tl2br w:val="nil"/>
                    <w:tr2bl w:val="nil"/>
                  </w:tcBorders>
                  <w:noWrap w:val="0"/>
                  <w:vAlign w:val="center"/>
                </w:tcPr>
                <w:p w14:paraId="06F0CB5B">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34</w:t>
                  </w:r>
                </w:p>
              </w:tc>
              <w:tc>
                <w:tcPr>
                  <w:tcW w:w="714" w:type="pct"/>
                  <w:tcBorders>
                    <w:tl2br w:val="nil"/>
                    <w:tr2bl w:val="nil"/>
                  </w:tcBorders>
                  <w:noWrap w:val="0"/>
                  <w:vAlign w:val="center"/>
                </w:tcPr>
                <w:p w14:paraId="65B1775D">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41</w:t>
                  </w:r>
                </w:p>
              </w:tc>
              <w:tc>
                <w:tcPr>
                  <w:tcW w:w="655" w:type="pct"/>
                  <w:tcBorders>
                    <w:tl2br w:val="nil"/>
                    <w:tr2bl w:val="nil"/>
                  </w:tcBorders>
                  <w:noWrap w:val="0"/>
                  <w:vAlign w:val="center"/>
                </w:tcPr>
                <w:p w14:paraId="0160B80F">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46</w:t>
                  </w:r>
                </w:p>
              </w:tc>
              <w:tc>
                <w:tcPr>
                  <w:tcW w:w="780" w:type="pct"/>
                  <w:tcBorders>
                    <w:tl2br w:val="nil"/>
                    <w:tr2bl w:val="nil"/>
                  </w:tcBorders>
                  <w:noWrap w:val="0"/>
                  <w:vAlign w:val="center"/>
                </w:tcPr>
                <w:p w14:paraId="77BCC5AF">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51</w:t>
                  </w:r>
                </w:p>
              </w:tc>
            </w:tr>
            <w:tr w14:paraId="4D58FB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310" w:type="pct"/>
                  <w:vMerge w:val="restart"/>
                  <w:tcBorders>
                    <w:tl2br w:val="nil"/>
                    <w:tr2bl w:val="nil"/>
                  </w:tcBorders>
                  <w:noWrap w:val="0"/>
                  <w:vAlign w:val="center"/>
                </w:tcPr>
                <w:p w14:paraId="4172D8FC">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w:t>
                  </w:r>
                </w:p>
              </w:tc>
              <w:tc>
                <w:tcPr>
                  <w:tcW w:w="738" w:type="pct"/>
                  <w:vMerge w:val="restart"/>
                  <w:tcBorders>
                    <w:tl2br w:val="nil"/>
                    <w:tr2bl w:val="nil"/>
                  </w:tcBorders>
                  <w:noWrap w:val="0"/>
                  <w:vAlign w:val="center"/>
                </w:tcPr>
                <w:p w14:paraId="5673FF07">
                  <w:pPr>
                    <w:pStyle w:val="184"/>
                    <w:keepNext w:val="0"/>
                    <w:keepLines w:val="0"/>
                    <w:suppressLineNumbers w:val="0"/>
                    <w:spacing w:before="119" w:beforeAutospacing="0" w:after="0" w:afterAutospacing="0" w:line="227" w:lineRule="auto"/>
                    <w:ind w:left="38" w:leftChars="0" w:right="0"/>
                    <w:jc w:val="center"/>
                    <w:outlineLvl w:val="1"/>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有机废气治理设施风机</w:t>
                  </w:r>
                </w:p>
              </w:tc>
              <w:tc>
                <w:tcPr>
                  <w:tcW w:w="469" w:type="pct"/>
                  <w:vMerge w:val="restart"/>
                  <w:tcBorders>
                    <w:tl2br w:val="nil"/>
                    <w:tr2bl w:val="nil"/>
                  </w:tcBorders>
                  <w:noWrap w:val="0"/>
                  <w:vAlign w:val="center"/>
                </w:tcPr>
                <w:p w14:paraId="5640ABD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eastAsia="zh-CN"/>
                    </w:rPr>
                  </w:pPr>
                  <w:r>
                    <w:rPr>
                      <w:rFonts w:hint="eastAsia" w:cs="Times New Roman"/>
                      <w:i w:val="0"/>
                      <w:iCs w:val="0"/>
                      <w:color w:val="auto"/>
                      <w:kern w:val="0"/>
                      <w:sz w:val="21"/>
                      <w:szCs w:val="21"/>
                      <w:u w:val="none"/>
                      <w:lang w:val="en-US" w:eastAsia="zh-CN" w:bidi="ar"/>
                    </w:rPr>
                    <w:t>63</w:t>
                  </w:r>
                </w:p>
              </w:tc>
              <w:tc>
                <w:tcPr>
                  <w:tcW w:w="668" w:type="pct"/>
                  <w:tcBorders>
                    <w:tl2br w:val="nil"/>
                    <w:tr2bl w:val="nil"/>
                  </w:tcBorders>
                  <w:noWrap w:val="0"/>
                  <w:vAlign w:val="center"/>
                </w:tcPr>
                <w:p w14:paraId="4FBB811E">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w:t>
                  </w:r>
                </w:p>
              </w:tc>
              <w:tc>
                <w:tcPr>
                  <w:tcW w:w="663" w:type="pct"/>
                  <w:tcBorders>
                    <w:tl2br w:val="nil"/>
                    <w:tr2bl w:val="nil"/>
                  </w:tcBorders>
                  <w:noWrap w:val="0"/>
                  <w:vAlign w:val="center"/>
                </w:tcPr>
                <w:p w14:paraId="70BCFE71">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11</w:t>
                  </w:r>
                </w:p>
              </w:tc>
              <w:tc>
                <w:tcPr>
                  <w:tcW w:w="714" w:type="pct"/>
                  <w:tcBorders>
                    <w:tl2br w:val="nil"/>
                    <w:tr2bl w:val="nil"/>
                  </w:tcBorders>
                  <w:noWrap w:val="0"/>
                  <w:vAlign w:val="center"/>
                </w:tcPr>
                <w:p w14:paraId="01A27F67">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13</w:t>
                  </w:r>
                </w:p>
              </w:tc>
              <w:tc>
                <w:tcPr>
                  <w:tcW w:w="655" w:type="pct"/>
                  <w:tcBorders>
                    <w:tl2br w:val="nil"/>
                    <w:tr2bl w:val="nil"/>
                  </w:tcBorders>
                  <w:noWrap w:val="0"/>
                  <w:vAlign w:val="center"/>
                </w:tcPr>
                <w:p w14:paraId="02FCEF6D">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24</w:t>
                  </w:r>
                </w:p>
              </w:tc>
              <w:tc>
                <w:tcPr>
                  <w:tcW w:w="780" w:type="pct"/>
                  <w:tcBorders>
                    <w:tl2br w:val="nil"/>
                    <w:tr2bl w:val="nil"/>
                  </w:tcBorders>
                  <w:noWrap w:val="0"/>
                  <w:vAlign w:val="center"/>
                </w:tcPr>
                <w:p w14:paraId="481B0474">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w:t>
                  </w:r>
                </w:p>
              </w:tc>
            </w:tr>
            <w:tr w14:paraId="1EB438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310" w:type="pct"/>
                  <w:vMerge w:val="continue"/>
                  <w:tcBorders>
                    <w:tl2br w:val="nil"/>
                    <w:tr2bl w:val="nil"/>
                  </w:tcBorders>
                  <w:noWrap w:val="0"/>
                  <w:vAlign w:val="center"/>
                </w:tcPr>
                <w:p w14:paraId="18C8D7B4">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738" w:type="pct"/>
                  <w:vMerge w:val="continue"/>
                  <w:tcBorders>
                    <w:tl2br w:val="nil"/>
                    <w:tr2bl w:val="nil"/>
                  </w:tcBorders>
                  <w:noWrap w:val="0"/>
                  <w:vAlign w:val="center"/>
                </w:tcPr>
                <w:p w14:paraId="2A5D0A87">
                  <w:pPr>
                    <w:keepNext w:val="0"/>
                    <w:keepLines w:val="0"/>
                    <w:pageBreakBefore w:val="0"/>
                    <w:suppressLineNumbers w:val="0"/>
                    <w:kinsoku/>
                    <w:wordWrap/>
                    <w:overflowPunct w:val="0"/>
                    <w:topLinePunct w:val="0"/>
                    <w:bidi w:val="0"/>
                    <w:adjustRightInd w:val="0"/>
                    <w:snapToGrid w:val="0"/>
                    <w:spacing w:before="0" w:beforeAutospacing="0" w:after="0" w:afterAutospacing="0"/>
                    <w:ind w:left="0" w:right="0"/>
                    <w:jc w:val="center"/>
                    <w:rPr>
                      <w:rFonts w:hint="default" w:ascii="Times New Roman" w:hAnsi="Times New Roman" w:cs="Times New Roman"/>
                      <w:color w:val="auto"/>
                      <w:szCs w:val="21"/>
                      <w:lang w:val="en-US" w:eastAsia="zh-CN"/>
                    </w:rPr>
                  </w:pPr>
                </w:p>
              </w:tc>
              <w:tc>
                <w:tcPr>
                  <w:tcW w:w="469" w:type="pct"/>
                  <w:vMerge w:val="continue"/>
                  <w:tcBorders>
                    <w:tl2br w:val="nil"/>
                    <w:tr2bl w:val="nil"/>
                  </w:tcBorders>
                  <w:noWrap w:val="0"/>
                  <w:vAlign w:val="center"/>
                </w:tcPr>
                <w:p w14:paraId="7A6FAE7C">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668" w:type="pct"/>
                  <w:tcBorders>
                    <w:tl2br w:val="nil"/>
                    <w:tr2bl w:val="nil"/>
                  </w:tcBorders>
                  <w:noWrap w:val="0"/>
                  <w:vAlign w:val="center"/>
                </w:tcPr>
                <w:p w14:paraId="670248A7">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贡献值</w:t>
                  </w:r>
                </w:p>
              </w:tc>
              <w:tc>
                <w:tcPr>
                  <w:tcW w:w="663" w:type="pct"/>
                  <w:tcBorders>
                    <w:tl2br w:val="nil"/>
                    <w:tr2bl w:val="nil"/>
                  </w:tcBorders>
                  <w:noWrap w:val="0"/>
                  <w:vAlign w:val="center"/>
                </w:tcPr>
                <w:p w14:paraId="16FA5729">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42</w:t>
                  </w:r>
                </w:p>
              </w:tc>
              <w:tc>
                <w:tcPr>
                  <w:tcW w:w="714" w:type="pct"/>
                  <w:tcBorders>
                    <w:tl2br w:val="nil"/>
                    <w:tr2bl w:val="nil"/>
                  </w:tcBorders>
                  <w:noWrap w:val="0"/>
                  <w:vAlign w:val="center"/>
                </w:tcPr>
                <w:p w14:paraId="548B0572">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41</w:t>
                  </w:r>
                </w:p>
              </w:tc>
              <w:tc>
                <w:tcPr>
                  <w:tcW w:w="655" w:type="pct"/>
                  <w:tcBorders>
                    <w:tl2br w:val="nil"/>
                    <w:tr2bl w:val="nil"/>
                  </w:tcBorders>
                  <w:noWrap w:val="0"/>
                  <w:vAlign w:val="center"/>
                </w:tcPr>
                <w:p w14:paraId="3C588495">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35</w:t>
                  </w:r>
                </w:p>
              </w:tc>
              <w:tc>
                <w:tcPr>
                  <w:tcW w:w="780" w:type="pct"/>
                  <w:tcBorders>
                    <w:tl2br w:val="nil"/>
                    <w:tr2bl w:val="nil"/>
                  </w:tcBorders>
                  <w:noWrap w:val="0"/>
                  <w:vAlign w:val="center"/>
                </w:tcPr>
                <w:p w14:paraId="6C8C2140">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51</w:t>
                  </w:r>
                </w:p>
              </w:tc>
            </w:tr>
            <w:tr w14:paraId="1FA934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2185" w:type="pct"/>
                  <w:gridSpan w:val="4"/>
                  <w:tcBorders>
                    <w:tl2br w:val="nil"/>
                    <w:tr2bl w:val="nil"/>
                  </w:tcBorders>
                  <w:noWrap w:val="0"/>
                  <w:vAlign w:val="center"/>
                </w:tcPr>
                <w:p w14:paraId="6F3278AA">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叠加</w:t>
                  </w:r>
                  <w:r>
                    <w:rPr>
                      <w:rFonts w:hint="default" w:ascii="Times New Roman" w:hAnsi="Times New Roman" w:eastAsia="宋体" w:cs="Times New Roman"/>
                      <w:color w:val="auto"/>
                      <w:sz w:val="21"/>
                      <w:szCs w:val="21"/>
                      <w:highlight w:val="none"/>
                    </w:rPr>
                    <w:t>贡献值</w:t>
                  </w:r>
                </w:p>
              </w:tc>
              <w:tc>
                <w:tcPr>
                  <w:tcW w:w="663" w:type="pct"/>
                  <w:tcBorders>
                    <w:tl2br w:val="nil"/>
                    <w:tr2bl w:val="nil"/>
                  </w:tcBorders>
                  <w:noWrap w:val="0"/>
                  <w:vAlign w:val="center"/>
                </w:tcPr>
                <w:p w14:paraId="12C79696">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44</w:t>
                  </w:r>
                </w:p>
              </w:tc>
              <w:tc>
                <w:tcPr>
                  <w:tcW w:w="714" w:type="pct"/>
                  <w:tcBorders>
                    <w:tl2br w:val="nil"/>
                    <w:tr2bl w:val="nil"/>
                  </w:tcBorders>
                  <w:noWrap w:val="0"/>
                  <w:vAlign w:val="center"/>
                </w:tcPr>
                <w:p w14:paraId="4F782BB9">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48</w:t>
                  </w:r>
                </w:p>
              </w:tc>
              <w:tc>
                <w:tcPr>
                  <w:tcW w:w="655" w:type="pct"/>
                  <w:tcBorders>
                    <w:tl2br w:val="nil"/>
                    <w:tr2bl w:val="nil"/>
                  </w:tcBorders>
                  <w:noWrap w:val="0"/>
                  <w:vAlign w:val="center"/>
                </w:tcPr>
                <w:p w14:paraId="6823E15A">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48</w:t>
                  </w:r>
                </w:p>
              </w:tc>
              <w:tc>
                <w:tcPr>
                  <w:tcW w:w="780" w:type="pct"/>
                  <w:tcBorders>
                    <w:tl2br w:val="nil"/>
                    <w:tr2bl w:val="nil"/>
                  </w:tcBorders>
                  <w:noWrap w:val="0"/>
                  <w:vAlign w:val="center"/>
                </w:tcPr>
                <w:p w14:paraId="300585F0">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54</w:t>
                  </w:r>
                </w:p>
              </w:tc>
            </w:tr>
            <w:tr w14:paraId="578FCF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2185" w:type="pct"/>
                  <w:gridSpan w:val="4"/>
                  <w:tcBorders>
                    <w:tl2br w:val="nil"/>
                    <w:tr2bl w:val="nil"/>
                  </w:tcBorders>
                  <w:noWrap w:val="0"/>
                  <w:vAlign w:val="center"/>
                </w:tcPr>
                <w:p w14:paraId="2737BAED">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标准限值（昼</w:t>
                  </w:r>
                  <w:r>
                    <w:rPr>
                      <w:rFonts w:hint="eastAsia" w:ascii="Times New Roman" w:hAnsi="Times New Roman" w:cs="Times New Roman"/>
                      <w:color w:val="auto"/>
                      <w:sz w:val="21"/>
                      <w:szCs w:val="21"/>
                      <w:highlight w:val="none"/>
                      <w:lang w:val="en-US" w:eastAsia="zh-CN"/>
                    </w:rPr>
                    <w:t>/夜</w:t>
                  </w:r>
                  <w:r>
                    <w:rPr>
                      <w:rFonts w:hint="default" w:ascii="Times New Roman" w:hAnsi="Times New Roman" w:eastAsia="宋体" w:cs="Times New Roman"/>
                      <w:color w:val="auto"/>
                      <w:sz w:val="21"/>
                      <w:szCs w:val="21"/>
                      <w:highlight w:val="none"/>
                      <w:lang w:val="en-US" w:eastAsia="zh-CN"/>
                    </w:rPr>
                    <w:t>）</w:t>
                  </w:r>
                </w:p>
              </w:tc>
              <w:tc>
                <w:tcPr>
                  <w:tcW w:w="663" w:type="pct"/>
                  <w:tcBorders>
                    <w:tl2br w:val="nil"/>
                    <w:tr2bl w:val="nil"/>
                  </w:tcBorders>
                  <w:noWrap w:val="0"/>
                  <w:vAlign w:val="center"/>
                </w:tcPr>
                <w:p w14:paraId="5ED81D2A">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60</w:t>
                  </w:r>
                </w:p>
              </w:tc>
              <w:tc>
                <w:tcPr>
                  <w:tcW w:w="714" w:type="pct"/>
                  <w:tcBorders>
                    <w:tl2br w:val="nil"/>
                    <w:tr2bl w:val="nil"/>
                  </w:tcBorders>
                  <w:noWrap w:val="0"/>
                  <w:vAlign w:val="center"/>
                </w:tcPr>
                <w:p w14:paraId="12BD4E1C">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60</w:t>
                  </w:r>
                </w:p>
              </w:tc>
              <w:tc>
                <w:tcPr>
                  <w:tcW w:w="655" w:type="pct"/>
                  <w:tcBorders>
                    <w:tl2br w:val="nil"/>
                    <w:tr2bl w:val="nil"/>
                  </w:tcBorders>
                  <w:noWrap w:val="0"/>
                  <w:vAlign w:val="center"/>
                </w:tcPr>
                <w:p w14:paraId="5C111D0D">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60</w:t>
                  </w:r>
                </w:p>
              </w:tc>
              <w:tc>
                <w:tcPr>
                  <w:tcW w:w="780" w:type="pct"/>
                  <w:tcBorders>
                    <w:tl2br w:val="nil"/>
                    <w:tr2bl w:val="nil"/>
                  </w:tcBorders>
                  <w:noWrap w:val="0"/>
                  <w:vAlign w:val="center"/>
                </w:tcPr>
                <w:p w14:paraId="31124EE0">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60</w:t>
                  </w:r>
                </w:p>
              </w:tc>
            </w:tr>
          </w:tbl>
          <w:p w14:paraId="21BE2AA3">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根据上述预测结果可知，项目夜间不生产，项目厂界</w:t>
            </w:r>
            <w:r>
              <w:rPr>
                <w:rFonts w:hint="default" w:ascii="Times New Roman" w:hAnsi="Times New Roman" w:cs="Times New Roman"/>
                <w:color w:val="auto"/>
                <w:sz w:val="24"/>
                <w:szCs w:val="24"/>
                <w:lang w:val="en-US" w:eastAsia="zh-CN"/>
              </w:rPr>
              <w:t>东、南、西、北侧</w:t>
            </w:r>
            <w:r>
              <w:rPr>
                <w:rFonts w:hint="default" w:ascii="Times New Roman" w:hAnsi="Times New Roman" w:cs="Times New Roman"/>
                <w:color w:val="auto"/>
                <w:sz w:val="24"/>
                <w:szCs w:val="24"/>
              </w:rPr>
              <w:t>昼间噪声贡献值均符合《工业企业厂界环境噪声排放标准》（GB12348—2008）</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类限值要求。</w:t>
            </w:r>
          </w:p>
          <w:p w14:paraId="4478888A">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b/>
                <w:bCs/>
                <w:color w:val="auto"/>
                <w:sz w:val="24"/>
                <w:szCs w:val="24"/>
                <w:lang w:val="en-US" w:eastAsia="zh-CN"/>
              </w:rPr>
              <w:t>5.监测计划</w:t>
            </w:r>
          </w:p>
          <w:p w14:paraId="7B8EAA6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4-10</w:t>
            </w:r>
            <w:r>
              <w:rPr>
                <w:rFonts w:hint="default" w:ascii="Times New Roman" w:hAnsi="Times New Roman" w:eastAsia="宋体" w:cs="Times New Roman"/>
                <w:b/>
                <w:bCs/>
                <w:color w:val="auto"/>
                <w:sz w:val="21"/>
                <w:szCs w:val="21"/>
              </w:rPr>
              <w:t xml:space="preserve">  </w:t>
            </w:r>
            <w:r>
              <w:rPr>
                <w:rFonts w:hint="default" w:ascii="Times New Roman" w:hAnsi="Times New Roman" w:cs="Times New Roman"/>
                <w:b/>
                <w:bCs/>
                <w:color w:val="auto"/>
                <w:sz w:val="21"/>
                <w:szCs w:val="21"/>
              </w:rPr>
              <w:t>项目噪声监测计划一览表</w:t>
            </w:r>
          </w:p>
          <w:tbl>
            <w:tblPr>
              <w:tblStyle w:val="33"/>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1" w:type="dxa"/>
                <w:bottom w:w="0" w:type="dxa"/>
                <w:right w:w="11" w:type="dxa"/>
              </w:tblCellMar>
            </w:tblPr>
            <w:tblGrid>
              <w:gridCol w:w="1946"/>
              <w:gridCol w:w="1281"/>
              <w:gridCol w:w="1545"/>
              <w:gridCol w:w="3759"/>
            </w:tblGrid>
            <w:tr w14:paraId="6DA364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1" w:type="dxa"/>
                  <w:bottom w:w="0" w:type="dxa"/>
                  <w:right w:w="11" w:type="dxa"/>
                </w:tblCellMar>
              </w:tblPrEx>
              <w:trPr>
                <w:cantSplit/>
                <w:trHeight w:val="90" w:hRule="atLeast"/>
                <w:jc w:val="center"/>
              </w:trPr>
              <w:tc>
                <w:tcPr>
                  <w:tcW w:w="1140" w:type="pct"/>
                  <w:tcBorders>
                    <w:tl2br w:val="nil"/>
                    <w:tr2bl w:val="nil"/>
                  </w:tcBorders>
                  <w:noWrap w:val="0"/>
                  <w:vAlign w:val="center"/>
                </w:tcPr>
                <w:p w14:paraId="0B99DF4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监测点位</w:t>
                  </w:r>
                </w:p>
              </w:tc>
              <w:tc>
                <w:tcPr>
                  <w:tcW w:w="750" w:type="pct"/>
                  <w:tcBorders>
                    <w:tl2br w:val="nil"/>
                    <w:tr2bl w:val="nil"/>
                  </w:tcBorders>
                  <w:noWrap w:val="0"/>
                  <w:vAlign w:val="center"/>
                </w:tcPr>
                <w:p w14:paraId="7408943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监测项目</w:t>
                  </w:r>
                </w:p>
              </w:tc>
              <w:tc>
                <w:tcPr>
                  <w:tcW w:w="905" w:type="pct"/>
                  <w:tcBorders>
                    <w:tl2br w:val="nil"/>
                    <w:tr2bl w:val="nil"/>
                  </w:tcBorders>
                  <w:noWrap w:val="0"/>
                  <w:vAlign w:val="center"/>
                </w:tcPr>
                <w:p w14:paraId="54C32B3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频次</w:t>
                  </w:r>
                </w:p>
              </w:tc>
              <w:tc>
                <w:tcPr>
                  <w:tcW w:w="2203" w:type="pct"/>
                  <w:tcBorders>
                    <w:tl2br w:val="nil"/>
                    <w:tr2bl w:val="nil"/>
                  </w:tcBorders>
                  <w:noWrap w:val="0"/>
                  <w:vAlign w:val="center"/>
                </w:tcPr>
                <w:p w14:paraId="4809B25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执行标准</w:t>
                  </w:r>
                </w:p>
              </w:tc>
            </w:tr>
            <w:tr w14:paraId="6EF48B6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1" w:type="dxa"/>
                  <w:bottom w:w="0" w:type="dxa"/>
                  <w:right w:w="11" w:type="dxa"/>
                </w:tblCellMar>
              </w:tblPrEx>
              <w:trPr>
                <w:cantSplit/>
                <w:trHeight w:val="90" w:hRule="atLeast"/>
                <w:jc w:val="center"/>
              </w:trPr>
              <w:tc>
                <w:tcPr>
                  <w:tcW w:w="1140" w:type="pct"/>
                  <w:tcBorders>
                    <w:tl2br w:val="nil"/>
                    <w:tr2bl w:val="nil"/>
                  </w:tcBorders>
                  <w:noWrap w:val="0"/>
                  <w:vAlign w:val="center"/>
                </w:tcPr>
                <w:p w14:paraId="1850100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default"/>
                      <w:color w:val="auto"/>
                      <w:spacing w:val="7"/>
                      <w:sz w:val="21"/>
                      <w:szCs w:val="21"/>
                    </w:rPr>
                    <w:t>厂界四周边界</w:t>
                  </w:r>
                  <w:r>
                    <w:rPr>
                      <w:rFonts w:hint="default"/>
                      <w:color w:val="auto"/>
                      <w:spacing w:val="-4"/>
                      <w:sz w:val="21"/>
                      <w:szCs w:val="21"/>
                    </w:rPr>
                    <w:t>外</w:t>
                  </w:r>
                  <w:r>
                    <w:rPr>
                      <w:rFonts w:hint="default" w:ascii="Times New Roman" w:hAnsi="Times New Roman" w:eastAsia="Times New Roman" w:cs="Times New Roman"/>
                      <w:color w:val="auto"/>
                      <w:spacing w:val="-4"/>
                      <w:sz w:val="21"/>
                      <w:szCs w:val="21"/>
                    </w:rPr>
                    <w:t>1m</w:t>
                  </w:r>
                  <w:r>
                    <w:rPr>
                      <w:rFonts w:hint="default"/>
                      <w:color w:val="auto"/>
                      <w:spacing w:val="-4"/>
                      <w:sz w:val="21"/>
                      <w:szCs w:val="21"/>
                    </w:rPr>
                    <w:t>处</w:t>
                  </w:r>
                </w:p>
              </w:tc>
              <w:tc>
                <w:tcPr>
                  <w:tcW w:w="750" w:type="pct"/>
                  <w:tcBorders>
                    <w:tl2br w:val="nil"/>
                    <w:tr2bl w:val="nil"/>
                  </w:tcBorders>
                  <w:noWrap w:val="0"/>
                  <w:vAlign w:val="center"/>
                </w:tcPr>
                <w:p w14:paraId="0F492E7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21"/>
                      <w:szCs w:val="21"/>
                    </w:rPr>
                  </w:pPr>
                  <w:r>
                    <w:rPr>
                      <w:rFonts w:hint="default" w:ascii="Times New Roman" w:hAnsi="Times New Roman" w:eastAsia="Times New Roman" w:cs="Times New Roman"/>
                      <w:color w:val="auto"/>
                      <w:sz w:val="21"/>
                      <w:szCs w:val="21"/>
                    </w:rPr>
                    <w:t>Leq</w:t>
                  </w:r>
                  <w:r>
                    <w:rPr>
                      <w:rFonts w:hint="default" w:ascii="Times New Roman" w:hAnsi="Times New Roman" w:eastAsia="Times New Roman" w:cs="Times New Roman"/>
                      <w:color w:val="auto"/>
                      <w:spacing w:val="8"/>
                      <w:sz w:val="21"/>
                      <w:szCs w:val="21"/>
                    </w:rPr>
                    <w:t>(A)</w:t>
                  </w:r>
                </w:p>
              </w:tc>
              <w:tc>
                <w:tcPr>
                  <w:tcW w:w="905" w:type="pct"/>
                  <w:tcBorders>
                    <w:tl2br w:val="nil"/>
                    <w:tr2bl w:val="nil"/>
                  </w:tcBorders>
                  <w:noWrap w:val="0"/>
                  <w:vAlign w:val="center"/>
                </w:tcPr>
                <w:p w14:paraId="1FEA51D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21"/>
                      <w:szCs w:val="21"/>
                    </w:rPr>
                  </w:pPr>
                  <w:r>
                    <w:rPr>
                      <w:rFonts w:hint="default" w:ascii="Times New Roman" w:hAnsi="Times New Roman" w:eastAsia="Times New Roman" w:cs="Times New Roman"/>
                      <w:color w:val="auto"/>
                      <w:spacing w:val="-1"/>
                      <w:sz w:val="21"/>
                      <w:szCs w:val="21"/>
                    </w:rPr>
                    <w:t>1</w:t>
                  </w:r>
                  <w:r>
                    <w:rPr>
                      <w:rFonts w:hint="default"/>
                      <w:color w:val="auto"/>
                      <w:spacing w:val="-1"/>
                      <w:sz w:val="21"/>
                      <w:szCs w:val="21"/>
                    </w:rPr>
                    <w:t>次</w:t>
                  </w:r>
                  <w:r>
                    <w:rPr>
                      <w:rFonts w:hint="default" w:ascii="Times New Roman" w:hAnsi="Times New Roman" w:eastAsia="Times New Roman" w:cs="Times New Roman"/>
                      <w:color w:val="auto"/>
                      <w:spacing w:val="-1"/>
                      <w:sz w:val="21"/>
                      <w:szCs w:val="21"/>
                    </w:rPr>
                    <w:t>/</w:t>
                  </w:r>
                  <w:r>
                    <w:rPr>
                      <w:rFonts w:hint="default"/>
                      <w:color w:val="auto"/>
                      <w:spacing w:val="-1"/>
                      <w:sz w:val="21"/>
                      <w:szCs w:val="21"/>
                    </w:rPr>
                    <w:t>季度</w:t>
                  </w:r>
                </w:p>
              </w:tc>
              <w:tc>
                <w:tcPr>
                  <w:tcW w:w="2203" w:type="pct"/>
                  <w:tcBorders>
                    <w:tl2br w:val="nil"/>
                    <w:tr2bl w:val="nil"/>
                  </w:tcBorders>
                  <w:noWrap w:val="0"/>
                  <w:vAlign w:val="center"/>
                </w:tcPr>
                <w:p w14:paraId="708BC13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《工业企业厂界环境噪声排放标准》（GB12348—2008）</w:t>
                  </w:r>
                  <w:r>
                    <w:rPr>
                      <w:rFonts w:hint="eastAsia" w:cs="Times New Roman"/>
                      <w:bCs/>
                      <w:color w:val="auto"/>
                      <w:sz w:val="21"/>
                      <w:szCs w:val="21"/>
                      <w:lang w:val="en-US" w:eastAsia="zh-CN"/>
                    </w:rPr>
                    <w:t>2</w:t>
                  </w:r>
                  <w:r>
                    <w:rPr>
                      <w:rFonts w:hint="default" w:ascii="Times New Roman" w:hAnsi="Times New Roman" w:cs="Times New Roman"/>
                      <w:bCs/>
                      <w:color w:val="auto"/>
                      <w:sz w:val="21"/>
                      <w:szCs w:val="21"/>
                      <w:lang w:val="en-US" w:eastAsia="zh-CN"/>
                    </w:rPr>
                    <w:t>类</w:t>
                  </w:r>
                  <w:r>
                    <w:rPr>
                      <w:rFonts w:hint="default" w:ascii="Times New Roman" w:hAnsi="Times New Roman" w:cs="Times New Roman"/>
                      <w:bCs/>
                      <w:color w:val="auto"/>
                      <w:sz w:val="21"/>
                      <w:szCs w:val="21"/>
                    </w:rPr>
                    <w:t>标准限值</w:t>
                  </w:r>
                </w:p>
              </w:tc>
            </w:tr>
          </w:tbl>
          <w:p w14:paraId="687CDDE1">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四、运营期固体废物环境影响和保护措施</w:t>
            </w:r>
          </w:p>
          <w:p w14:paraId="411CEEB9">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1.固体废物产生及处置情况</w:t>
            </w:r>
          </w:p>
          <w:p w14:paraId="6E84E5C8">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28"/>
              </w:rPr>
            </w:pPr>
            <w:bookmarkStart w:id="3" w:name="_Hlk41381177"/>
            <w:r>
              <w:rPr>
                <w:rFonts w:hint="default" w:ascii="Times New Roman" w:hAnsi="Times New Roman" w:cs="Times New Roman"/>
                <w:color w:val="auto"/>
                <w:sz w:val="24"/>
                <w:szCs w:val="28"/>
              </w:rPr>
              <w:t>项目固体废弃物主要</w:t>
            </w:r>
            <w:r>
              <w:rPr>
                <w:rFonts w:hint="default" w:ascii="Times New Roman" w:hAnsi="Times New Roman" w:cs="Times New Roman"/>
                <w:color w:val="auto"/>
                <w:sz w:val="24"/>
                <w:szCs w:val="28"/>
                <w:lang w:eastAsia="zh-CN"/>
              </w:rPr>
              <w:t>分</w:t>
            </w:r>
            <w:r>
              <w:rPr>
                <w:rFonts w:hint="default" w:ascii="Times New Roman" w:hAnsi="Times New Roman" w:cs="Times New Roman"/>
                <w:color w:val="auto"/>
                <w:sz w:val="24"/>
                <w:szCs w:val="28"/>
              </w:rPr>
              <w:t>为</w:t>
            </w:r>
            <w:bookmarkEnd w:id="3"/>
            <w:r>
              <w:rPr>
                <w:rFonts w:hint="default" w:ascii="Times New Roman" w:hAnsi="Times New Roman" w:cs="Times New Roman"/>
                <w:color w:val="auto"/>
                <w:sz w:val="24"/>
                <w:szCs w:val="28"/>
              </w:rPr>
              <w:t>生活垃圾</w:t>
            </w:r>
            <w:r>
              <w:rPr>
                <w:rFonts w:hint="default" w:ascii="Times New Roman" w:hAnsi="Times New Roman" w:cs="Times New Roman"/>
                <w:color w:val="auto"/>
                <w:sz w:val="24"/>
                <w:szCs w:val="28"/>
                <w:lang w:eastAsia="zh-CN"/>
              </w:rPr>
              <w:t>、一般固废及危险废物</w:t>
            </w:r>
            <w:r>
              <w:rPr>
                <w:rFonts w:hint="default" w:ascii="Times New Roman" w:hAnsi="Times New Roman" w:cs="Times New Roman"/>
                <w:color w:val="auto"/>
                <w:sz w:val="24"/>
                <w:szCs w:val="28"/>
              </w:rPr>
              <w:t>。</w:t>
            </w:r>
          </w:p>
          <w:p w14:paraId="5A705D2D">
            <w:pPr>
              <w:keepNext/>
              <w:keepLines/>
              <w:pageBreakBefore w:val="0"/>
              <w:widowControl/>
              <w:numPr>
                <w:ilvl w:val="0"/>
                <w:numId w:val="8"/>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生活垃圾</w:t>
            </w:r>
          </w:p>
          <w:p w14:paraId="061B0A60">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2"/>
                <w:lang w:val="en-US" w:eastAsia="zh-CN"/>
              </w:rPr>
            </w:pPr>
            <w:r>
              <w:rPr>
                <w:rFonts w:hint="default" w:ascii="Times New Roman" w:hAnsi="Times New Roman" w:eastAsia="宋体" w:cs="Times New Roman"/>
                <w:color w:val="auto"/>
                <w:sz w:val="24"/>
                <w:szCs w:val="22"/>
                <w:lang w:val="en-US" w:eastAsia="zh-CN"/>
              </w:rPr>
              <w:t>项目劳动定员</w:t>
            </w:r>
            <w:r>
              <w:rPr>
                <w:rFonts w:hint="eastAsia" w:cs="Times New Roman"/>
                <w:color w:val="auto"/>
                <w:sz w:val="24"/>
                <w:szCs w:val="22"/>
                <w:lang w:val="en-US" w:eastAsia="zh-CN"/>
              </w:rPr>
              <w:t>6</w:t>
            </w:r>
            <w:r>
              <w:rPr>
                <w:rFonts w:hint="default" w:ascii="Times New Roman" w:hAnsi="Times New Roman" w:eastAsia="宋体" w:cs="Times New Roman"/>
                <w:color w:val="auto"/>
                <w:sz w:val="24"/>
                <w:szCs w:val="22"/>
                <w:lang w:val="en-US" w:eastAsia="zh-CN"/>
              </w:rPr>
              <w:t>人，生活垃圾产生量按0.44kg/d·人计，项目生活垃圾产生量为</w:t>
            </w:r>
            <w:r>
              <w:rPr>
                <w:rFonts w:hint="eastAsia" w:cs="Times New Roman"/>
                <w:color w:val="auto"/>
                <w:sz w:val="24"/>
                <w:szCs w:val="22"/>
                <w:lang w:val="en-US" w:eastAsia="zh-CN"/>
              </w:rPr>
              <w:t>0.792</w:t>
            </w:r>
            <w:r>
              <w:rPr>
                <w:rFonts w:hint="default" w:ascii="Times New Roman" w:hAnsi="Times New Roman" w:eastAsia="宋体" w:cs="Times New Roman"/>
                <w:color w:val="auto"/>
                <w:sz w:val="24"/>
                <w:szCs w:val="22"/>
                <w:lang w:val="en-US" w:eastAsia="zh-CN"/>
              </w:rPr>
              <w:t>t/a。设置生活垃圾桶进行收集，定期交由环卫部门处置。</w:t>
            </w:r>
          </w:p>
          <w:p w14:paraId="6FC4CFA2">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szCs w:val="22"/>
                <w:lang w:eastAsia="zh-CN"/>
              </w:rPr>
              <w:t>（</w:t>
            </w:r>
            <w:r>
              <w:rPr>
                <w:rFonts w:hint="default" w:ascii="Times New Roman" w:hAnsi="Times New Roman" w:cs="Times New Roman"/>
                <w:color w:val="auto"/>
                <w:sz w:val="24"/>
                <w:szCs w:val="22"/>
                <w:lang w:val="en-US" w:eastAsia="zh-CN"/>
              </w:rPr>
              <w:t>2</w:t>
            </w:r>
            <w:r>
              <w:rPr>
                <w:rFonts w:hint="default" w:ascii="Times New Roman" w:hAnsi="Times New Roman" w:cs="Times New Roman"/>
                <w:color w:val="auto"/>
                <w:sz w:val="24"/>
                <w:szCs w:val="22"/>
                <w:lang w:eastAsia="zh-CN"/>
              </w:rPr>
              <w:t>）</w:t>
            </w:r>
            <w:r>
              <w:rPr>
                <w:rFonts w:hint="default" w:ascii="Times New Roman" w:hAnsi="Times New Roman" w:cs="Times New Roman"/>
                <w:color w:val="auto"/>
                <w:sz w:val="24"/>
              </w:rPr>
              <w:t>一般工业固废</w:t>
            </w:r>
          </w:p>
          <w:p w14:paraId="0EB91857">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2"/>
                <w:lang w:eastAsia="zh-CN"/>
              </w:rPr>
            </w:pPr>
            <w:r>
              <w:rPr>
                <w:rFonts w:hint="default" w:ascii="Times New Roman" w:hAnsi="Times New Roman" w:cs="Times New Roman"/>
                <w:color w:val="auto"/>
                <w:sz w:val="24"/>
                <w:szCs w:val="22"/>
                <w:lang w:eastAsia="zh-CN"/>
              </w:rPr>
              <w:t>①热熔废料及不合格品</w:t>
            </w:r>
          </w:p>
          <w:p w14:paraId="1714FACE">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2"/>
                <w:lang w:eastAsia="zh-CN"/>
              </w:rPr>
            </w:pPr>
            <w:r>
              <w:rPr>
                <w:rFonts w:hint="default" w:ascii="Times New Roman" w:hAnsi="Times New Roman" w:cs="Times New Roman"/>
                <w:color w:val="auto"/>
                <w:sz w:val="24"/>
                <w:szCs w:val="22"/>
                <w:lang w:eastAsia="zh-CN"/>
              </w:rPr>
              <w:t>本项目热熔工序会产生一定的热熔废料，筛分工序会产生一定量的不合格品，主要为废塑料，参考生态环境部发布的《排放源统计调查产排污核算方法和系数手册》（公告2021年第24号）中的《42废弃资源综合利用行业系数手册》中4220非金属废料和碎屑加工处理行业系数表，一般固废产生系数为11.9千克/吨－原料，本项目热熔及筛分工艺产品约5000t，因此，热熔废料及不合格品产生量约为59.5t/a，项目热熔废料及不合格品收集后回用于生产。</w:t>
            </w:r>
          </w:p>
          <w:p w14:paraId="52EE27E6">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2"/>
                <w:lang w:eastAsia="zh-CN"/>
              </w:rPr>
            </w:pPr>
            <w:r>
              <w:rPr>
                <w:rFonts w:hint="default" w:ascii="Times New Roman" w:hAnsi="Times New Roman" w:cs="Times New Roman"/>
                <w:color w:val="auto"/>
                <w:sz w:val="24"/>
                <w:szCs w:val="22"/>
                <w:lang w:eastAsia="zh-CN"/>
              </w:rPr>
              <w:t>②收尘灰</w:t>
            </w:r>
          </w:p>
          <w:p w14:paraId="447CCA18">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szCs w:val="22"/>
                <w:lang w:eastAsia="zh-CN"/>
              </w:rPr>
              <w:t>项目废气治理过程中，布袋除尘器将产生收尘灰，根据废气源强核算分析可知，除尘器收集的粉尘总量约为1.718t/a，收尘灰定期收集清理后，全部回用于生产，不外排。</w:t>
            </w:r>
          </w:p>
          <w:p w14:paraId="77B1E6C1">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）危险废物</w:t>
            </w:r>
          </w:p>
          <w:p w14:paraId="528A246E">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①废活性炭</w:t>
            </w:r>
          </w:p>
          <w:p w14:paraId="6AC9C2B5">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拟设置二级活性炭箱处理收集的有机废气，为保证活性炭的吸附效率，建设单位需使用碘值大于800的活性炭，并定期进行更换。考虑活性炭的劣化，活性炭的设计中有效吸附量为0.3kg/kg活性炭。本项目有机废气治理所需活性炭为10.72t/a，</w:t>
            </w:r>
            <w:r>
              <w:rPr>
                <w:rFonts w:hint="eastAsia" w:cs="Times New Roman"/>
                <w:color w:val="auto"/>
                <w:sz w:val="24"/>
                <w:lang w:eastAsia="zh-CN"/>
              </w:rPr>
              <w:t>吸附有机废气后废活性炭产生量为</w:t>
            </w:r>
            <w:r>
              <w:rPr>
                <w:rFonts w:hint="eastAsia" w:cs="Times New Roman"/>
                <w:color w:val="auto"/>
                <w:sz w:val="24"/>
                <w:lang w:val="en-US" w:eastAsia="zh-CN"/>
              </w:rPr>
              <w:t>13.487t/a，</w:t>
            </w:r>
            <w:r>
              <w:rPr>
                <w:rFonts w:hint="default" w:ascii="Times New Roman" w:hAnsi="Times New Roman" w:cs="Times New Roman"/>
                <w:color w:val="auto"/>
                <w:sz w:val="24"/>
              </w:rPr>
              <w:t>更换产生的废活性炭属于危险废物，经查阅《国家危险废物名录》（2025年版），废活性炭属于“HW49其他废物”中的“900-039-49烟气、VOCs治理过程（不包括餐饮行业油烟治理过程）产生的废活性炭，化学原料和化学制品脱色（不包括有机合成食品添加剂脱色）、除杂、净化过程产生的废活性炭（不包括900-405-06、772-005-18、261-053-29、265-002-29、384-003-29、387-001-29类废物）”。废活性炭收集后妥善暂存于危险废物贮存点，定期交由有资质单位安全处置。</w:t>
            </w:r>
          </w:p>
          <w:p w14:paraId="20ECDDA9">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2"/>
                <w:lang w:val="en-US" w:eastAsia="zh-CN"/>
              </w:rPr>
            </w:pPr>
            <w:r>
              <w:rPr>
                <w:rFonts w:hint="default" w:ascii="Times New Roman" w:hAnsi="Times New Roman" w:cs="Times New Roman"/>
                <w:color w:val="auto"/>
                <w:sz w:val="24"/>
                <w:szCs w:val="22"/>
                <w:lang w:eastAsia="zh-CN"/>
              </w:rPr>
              <w:t>②废</w:t>
            </w:r>
            <w:r>
              <w:rPr>
                <w:rFonts w:hint="default" w:ascii="Times New Roman" w:hAnsi="Times New Roman" w:cs="Times New Roman"/>
                <w:color w:val="auto"/>
                <w:sz w:val="24"/>
                <w:szCs w:val="22"/>
                <w:lang w:val="en-US" w:eastAsia="zh-CN"/>
              </w:rPr>
              <w:t>润滑油、</w:t>
            </w:r>
            <w:r>
              <w:rPr>
                <w:rFonts w:hint="eastAsia" w:cs="Times New Roman"/>
                <w:color w:val="auto"/>
                <w:sz w:val="24"/>
                <w:szCs w:val="22"/>
                <w:lang w:val="en-US" w:eastAsia="zh-CN"/>
              </w:rPr>
              <w:t>废</w:t>
            </w:r>
            <w:r>
              <w:rPr>
                <w:rFonts w:hint="default" w:ascii="Times New Roman" w:hAnsi="Times New Roman" w:cs="Times New Roman"/>
                <w:color w:val="auto"/>
                <w:sz w:val="24"/>
                <w:szCs w:val="22"/>
                <w:lang w:val="en-US" w:eastAsia="zh-CN"/>
              </w:rPr>
              <w:t>油桶</w:t>
            </w:r>
          </w:p>
          <w:p w14:paraId="5B28C02D">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2"/>
                <w:lang w:val="en-US" w:eastAsia="zh-CN"/>
              </w:rPr>
            </w:pPr>
            <w:r>
              <w:rPr>
                <w:rFonts w:hint="default" w:ascii="Times New Roman" w:hAnsi="Times New Roman" w:cs="Times New Roman"/>
                <w:color w:val="auto"/>
                <w:sz w:val="24"/>
                <w:szCs w:val="22"/>
                <w:lang w:val="en-US" w:eastAsia="zh-CN"/>
              </w:rPr>
              <w:t>本项目设备运行需定期使用润滑油保养及维护，产生的废润滑油及废油桶约0.0</w:t>
            </w:r>
            <w:r>
              <w:rPr>
                <w:rFonts w:hint="eastAsia" w:cs="Times New Roman"/>
                <w:color w:val="auto"/>
                <w:sz w:val="24"/>
                <w:szCs w:val="22"/>
                <w:lang w:val="en-US" w:eastAsia="zh-CN"/>
              </w:rPr>
              <w:t>5</w:t>
            </w:r>
            <w:r>
              <w:rPr>
                <w:rFonts w:hint="default" w:ascii="Times New Roman" w:hAnsi="Times New Roman" w:cs="Times New Roman"/>
                <w:color w:val="auto"/>
                <w:sz w:val="24"/>
                <w:szCs w:val="22"/>
                <w:lang w:val="en-US" w:eastAsia="zh-CN"/>
              </w:rPr>
              <w:t>t/a，经查阅《国家危险废物名录》（2025年版），废润滑油及废油桶属于“HW08废矿物油与含矿物油废物”中“900-249-08”。废润滑油、废油桶收集后妥善暂存于危险废物贮存库（现有），定期交由有资质的危废处理单位清运处置。</w:t>
            </w:r>
          </w:p>
          <w:p w14:paraId="3E7AA892">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2"/>
                <w:lang w:eastAsia="zh-CN"/>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5 \* GB3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⑤</w:t>
            </w:r>
            <w:r>
              <w:rPr>
                <w:rFonts w:hint="default" w:ascii="Times New Roman" w:hAnsi="Times New Roman" w:cs="Times New Roman"/>
                <w:color w:val="auto"/>
                <w:sz w:val="24"/>
              </w:rPr>
              <w:fldChar w:fldCharType="end"/>
            </w:r>
            <w:r>
              <w:rPr>
                <w:rFonts w:hint="default" w:ascii="Times New Roman" w:hAnsi="Times New Roman" w:cs="Times New Roman"/>
                <w:color w:val="auto"/>
                <w:sz w:val="24"/>
                <w:szCs w:val="22"/>
                <w:lang w:eastAsia="zh-CN"/>
              </w:rPr>
              <w:t>废含油抹布、手套</w:t>
            </w:r>
          </w:p>
          <w:p w14:paraId="44FD7CDE">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sz w:val="24"/>
                <w:szCs w:val="22"/>
                <w:lang w:eastAsia="zh-CN"/>
              </w:rPr>
              <w:t>企业在零件维修擦拭过程中会有部分沾染在抹布、手套上，废含油抹布、手套产生总量约为</w:t>
            </w:r>
            <w:r>
              <w:rPr>
                <w:rFonts w:hint="default" w:ascii="Times New Roman" w:hAnsi="Times New Roman" w:cs="Times New Roman"/>
                <w:color w:val="auto"/>
                <w:sz w:val="24"/>
                <w:szCs w:val="22"/>
                <w:lang w:val="en-US" w:eastAsia="zh-CN"/>
              </w:rPr>
              <w:t>0.002t/a，属于危险废物，对照《国家危险废物名录》（2025年版），危废代码为“HW49其他废物中900-041-49（含有或沾染毒性、感染性危险废物的废弃包装物、容器、过滤吸附介质）”。废含油抹布、手套采用塑料桶收集，贮存于车间内危险废物暂存间，定期交由有相应资质的危险废物处置单位处置。</w:t>
            </w:r>
          </w:p>
          <w:p w14:paraId="5D83291C">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黑体" w:cs="Times New Roman"/>
                <w:bCs/>
                <w:color w:val="auto"/>
                <w:kern w:val="0"/>
                <w:sz w:val="24"/>
              </w:rPr>
            </w:pPr>
            <w:r>
              <w:rPr>
                <w:rFonts w:hint="default" w:ascii="Times New Roman" w:hAnsi="Times New Roman" w:cs="Times New Roman"/>
                <w:color w:val="auto"/>
                <w:sz w:val="24"/>
                <w:szCs w:val="22"/>
              </w:rPr>
              <w:t>本项目固体废物产生量与处理措施见表4-</w:t>
            </w:r>
            <w:r>
              <w:rPr>
                <w:rFonts w:hint="default" w:ascii="Times New Roman" w:hAnsi="Times New Roman" w:cs="Times New Roman"/>
                <w:color w:val="auto"/>
                <w:sz w:val="24"/>
                <w:szCs w:val="22"/>
                <w:lang w:val="en-US" w:eastAsia="zh-CN"/>
              </w:rPr>
              <w:t>11</w:t>
            </w:r>
            <w:r>
              <w:rPr>
                <w:rFonts w:hint="default" w:ascii="Times New Roman" w:hAnsi="Times New Roman" w:cs="Times New Roman"/>
                <w:color w:val="auto"/>
                <w:sz w:val="24"/>
                <w:szCs w:val="22"/>
              </w:rPr>
              <w:t>。</w:t>
            </w:r>
          </w:p>
          <w:p w14:paraId="6413FCB1">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表4-</w:t>
            </w:r>
            <w:r>
              <w:rPr>
                <w:rFonts w:hint="default" w:ascii="Times New Roman" w:hAnsi="Times New Roman" w:cs="Times New Roman"/>
                <w:b/>
                <w:color w:val="auto"/>
                <w:sz w:val="21"/>
                <w:szCs w:val="21"/>
                <w:lang w:val="en-US" w:eastAsia="zh-CN"/>
              </w:rPr>
              <w:t>11</w:t>
            </w:r>
            <w:r>
              <w:rPr>
                <w:rFonts w:hint="eastAsia" w:cs="Times New Roman"/>
                <w:b/>
                <w:color w:val="auto"/>
                <w:sz w:val="21"/>
                <w:szCs w:val="21"/>
                <w:lang w:val="en-US" w:eastAsia="zh-CN"/>
              </w:rPr>
              <w:t xml:space="preserve">   </w:t>
            </w:r>
            <w:r>
              <w:rPr>
                <w:rFonts w:hint="default" w:ascii="Times New Roman" w:hAnsi="Times New Roman" w:cs="Times New Roman"/>
                <w:b/>
                <w:color w:val="auto"/>
                <w:sz w:val="21"/>
                <w:szCs w:val="21"/>
              </w:rPr>
              <w:t>项目固体废物产生情况一览表</w:t>
            </w:r>
          </w:p>
          <w:tbl>
            <w:tblPr>
              <w:tblStyle w:val="185"/>
              <w:tblW w:w="857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8"/>
              <w:gridCol w:w="855"/>
              <w:gridCol w:w="692"/>
              <w:gridCol w:w="662"/>
              <w:gridCol w:w="652"/>
              <w:gridCol w:w="1540"/>
              <w:gridCol w:w="867"/>
              <w:gridCol w:w="643"/>
              <w:gridCol w:w="879"/>
              <w:gridCol w:w="930"/>
            </w:tblGrid>
            <w:tr w14:paraId="36DF39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858" w:type="dxa"/>
                  <w:tcBorders>
                    <w:top w:val="single" w:color="000000" w:sz="10" w:space="0"/>
                    <w:left w:val="single" w:color="000000" w:sz="10" w:space="0"/>
                  </w:tcBorders>
                  <w:noWrap w:val="0"/>
                  <w:vAlign w:val="top"/>
                </w:tcPr>
                <w:p w14:paraId="2A83D403">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p w14:paraId="464CAE80">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序号</w:t>
                  </w:r>
                </w:p>
              </w:tc>
              <w:tc>
                <w:tcPr>
                  <w:tcW w:w="855" w:type="dxa"/>
                  <w:tcBorders>
                    <w:top w:val="single" w:color="000000" w:sz="10" w:space="0"/>
                  </w:tcBorders>
                  <w:noWrap w:val="0"/>
                  <w:vAlign w:val="top"/>
                </w:tcPr>
                <w:p w14:paraId="794AB477">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p w14:paraId="6CFCC619">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名称</w:t>
                  </w:r>
                </w:p>
              </w:tc>
              <w:tc>
                <w:tcPr>
                  <w:tcW w:w="692" w:type="dxa"/>
                  <w:tcBorders>
                    <w:top w:val="single" w:color="000000" w:sz="10" w:space="0"/>
                  </w:tcBorders>
                  <w:noWrap w:val="0"/>
                  <w:vAlign w:val="top"/>
                </w:tcPr>
                <w:p w14:paraId="0F09147A">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产生环节</w:t>
                  </w:r>
                </w:p>
              </w:tc>
              <w:tc>
                <w:tcPr>
                  <w:tcW w:w="662" w:type="dxa"/>
                  <w:tcBorders>
                    <w:top w:val="single" w:color="000000" w:sz="10" w:space="0"/>
                  </w:tcBorders>
                  <w:noWrap w:val="0"/>
                  <w:vAlign w:val="top"/>
                </w:tcPr>
                <w:p w14:paraId="75712A29">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物理形态</w:t>
                  </w:r>
                </w:p>
              </w:tc>
              <w:tc>
                <w:tcPr>
                  <w:tcW w:w="652" w:type="dxa"/>
                  <w:tcBorders>
                    <w:top w:val="single" w:color="000000" w:sz="10" w:space="0"/>
                  </w:tcBorders>
                  <w:noWrap w:val="0"/>
                  <w:vAlign w:val="top"/>
                </w:tcPr>
                <w:p w14:paraId="435FE9A0">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p w14:paraId="55642075">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属性</w:t>
                  </w:r>
                </w:p>
              </w:tc>
              <w:tc>
                <w:tcPr>
                  <w:tcW w:w="1540" w:type="dxa"/>
                  <w:tcBorders>
                    <w:top w:val="single" w:color="000000" w:sz="10" w:space="0"/>
                  </w:tcBorders>
                  <w:noWrap w:val="0"/>
                  <w:vAlign w:val="top"/>
                </w:tcPr>
                <w:p w14:paraId="00AB1D91">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p w14:paraId="3CA0E256">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废物代码</w:t>
                  </w:r>
                </w:p>
              </w:tc>
              <w:tc>
                <w:tcPr>
                  <w:tcW w:w="867" w:type="dxa"/>
                  <w:tcBorders>
                    <w:top w:val="single" w:color="000000" w:sz="10" w:space="0"/>
                  </w:tcBorders>
                  <w:noWrap w:val="0"/>
                  <w:vAlign w:val="top"/>
                </w:tcPr>
                <w:p w14:paraId="67EF6A35">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产生量（t/a）</w:t>
                  </w:r>
                </w:p>
              </w:tc>
              <w:tc>
                <w:tcPr>
                  <w:tcW w:w="643" w:type="dxa"/>
                  <w:tcBorders>
                    <w:top w:val="single" w:color="000000" w:sz="10" w:space="0"/>
                  </w:tcBorders>
                  <w:noWrap w:val="0"/>
                  <w:vAlign w:val="top"/>
                </w:tcPr>
                <w:p w14:paraId="08A5AD53">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贮存方式</w:t>
                  </w:r>
                </w:p>
              </w:tc>
              <w:tc>
                <w:tcPr>
                  <w:tcW w:w="879" w:type="dxa"/>
                  <w:tcBorders>
                    <w:top w:val="single" w:color="000000" w:sz="10" w:space="0"/>
                  </w:tcBorders>
                  <w:noWrap w:val="0"/>
                  <w:vAlign w:val="top"/>
                </w:tcPr>
                <w:p w14:paraId="61AC22BE">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利用处</w:t>
                  </w:r>
                </w:p>
                <w:p w14:paraId="3E691B0D">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置方式</w:t>
                  </w:r>
                </w:p>
                <w:p w14:paraId="5E26B074">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和去向</w:t>
                  </w:r>
                </w:p>
              </w:tc>
              <w:tc>
                <w:tcPr>
                  <w:tcW w:w="930" w:type="dxa"/>
                  <w:tcBorders>
                    <w:top w:val="single" w:color="000000" w:sz="10" w:space="0"/>
                    <w:right w:val="single" w:color="000000" w:sz="10" w:space="0"/>
                  </w:tcBorders>
                  <w:noWrap w:val="0"/>
                  <w:vAlign w:val="top"/>
                </w:tcPr>
                <w:p w14:paraId="3216529C">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利用或</w:t>
                  </w:r>
                </w:p>
                <w:p w14:paraId="218DB760">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处置量（t/a）</w:t>
                  </w:r>
                </w:p>
              </w:tc>
            </w:tr>
            <w:tr w14:paraId="22DF8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858" w:type="dxa"/>
                  <w:tcBorders>
                    <w:left w:val="single" w:color="000000" w:sz="10" w:space="0"/>
                  </w:tcBorders>
                  <w:noWrap w:val="0"/>
                  <w:vAlign w:val="top"/>
                </w:tcPr>
                <w:p w14:paraId="076EC289">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w:t>
                  </w:r>
                </w:p>
              </w:tc>
              <w:tc>
                <w:tcPr>
                  <w:tcW w:w="7720" w:type="dxa"/>
                  <w:gridSpan w:val="9"/>
                  <w:tcBorders>
                    <w:right w:val="single" w:color="000000" w:sz="10" w:space="0"/>
                  </w:tcBorders>
                  <w:noWrap w:val="0"/>
                  <w:vAlign w:val="top"/>
                </w:tcPr>
                <w:p w14:paraId="0D66556A">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一般固体废物</w:t>
                  </w:r>
                </w:p>
              </w:tc>
            </w:tr>
            <w:tr w14:paraId="288A9C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858" w:type="dxa"/>
                  <w:tcBorders>
                    <w:left w:val="single" w:color="000000" w:sz="10" w:space="0"/>
                  </w:tcBorders>
                  <w:noWrap w:val="0"/>
                  <w:vAlign w:val="top"/>
                </w:tcPr>
                <w:p w14:paraId="029CFAD8">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p w14:paraId="06FA0995">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855" w:type="dxa"/>
                  <w:noWrap w:val="0"/>
                  <w:vAlign w:val="top"/>
                </w:tcPr>
                <w:p w14:paraId="39C77F38">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热熔废</w:t>
                  </w:r>
                </w:p>
                <w:p w14:paraId="7564EDED">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料及不</w:t>
                  </w:r>
                </w:p>
                <w:p w14:paraId="3B03EAB9">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合格品</w:t>
                  </w:r>
                </w:p>
              </w:tc>
              <w:tc>
                <w:tcPr>
                  <w:tcW w:w="692" w:type="dxa"/>
                  <w:noWrap w:val="0"/>
                  <w:vAlign w:val="top"/>
                </w:tcPr>
                <w:p w14:paraId="6615F868">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p w14:paraId="5022760E">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筛分</w:t>
                  </w:r>
                </w:p>
              </w:tc>
              <w:tc>
                <w:tcPr>
                  <w:tcW w:w="662" w:type="dxa"/>
                  <w:noWrap w:val="0"/>
                  <w:vAlign w:val="top"/>
                </w:tcPr>
                <w:p w14:paraId="181E398D">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p w14:paraId="0A708BE3">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652" w:type="dxa"/>
                  <w:noWrap w:val="0"/>
                  <w:vAlign w:val="top"/>
                </w:tcPr>
                <w:p w14:paraId="6484A806">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一般固废</w:t>
                  </w:r>
                </w:p>
              </w:tc>
              <w:tc>
                <w:tcPr>
                  <w:tcW w:w="1540" w:type="dxa"/>
                  <w:noWrap w:val="0"/>
                  <w:vAlign w:val="top"/>
                </w:tcPr>
                <w:p w14:paraId="5E57DAE4">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SW17</w:t>
                  </w:r>
                </w:p>
                <w:p w14:paraId="4E78852A">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900-003-S17</w:t>
                  </w:r>
                </w:p>
              </w:tc>
              <w:tc>
                <w:tcPr>
                  <w:tcW w:w="867" w:type="dxa"/>
                  <w:noWrap w:val="0"/>
                  <w:vAlign w:val="top"/>
                </w:tcPr>
                <w:p w14:paraId="1FFBD342">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p w14:paraId="467724AA">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59.5</w:t>
                  </w:r>
                </w:p>
              </w:tc>
              <w:tc>
                <w:tcPr>
                  <w:tcW w:w="643" w:type="dxa"/>
                  <w:noWrap w:val="0"/>
                  <w:vAlign w:val="top"/>
                </w:tcPr>
                <w:p w14:paraId="42024F01">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筛分网</w:t>
                  </w:r>
                </w:p>
              </w:tc>
              <w:tc>
                <w:tcPr>
                  <w:tcW w:w="879" w:type="dxa"/>
                  <w:noWrap w:val="0"/>
                  <w:vAlign w:val="top"/>
                </w:tcPr>
                <w:p w14:paraId="3CAA29FB">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回用于生产</w:t>
                  </w:r>
                </w:p>
              </w:tc>
              <w:tc>
                <w:tcPr>
                  <w:tcW w:w="930" w:type="dxa"/>
                  <w:tcBorders>
                    <w:right w:val="single" w:color="000000" w:sz="10" w:space="0"/>
                  </w:tcBorders>
                  <w:noWrap w:val="0"/>
                  <w:vAlign w:val="top"/>
                </w:tcPr>
                <w:p w14:paraId="0F021A9C">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p w14:paraId="3D525A90">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59.5</w:t>
                  </w:r>
                </w:p>
              </w:tc>
            </w:tr>
            <w:tr w14:paraId="42827F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858" w:type="dxa"/>
                  <w:tcBorders>
                    <w:left w:val="single" w:color="000000" w:sz="10" w:space="0"/>
                  </w:tcBorders>
                  <w:noWrap w:val="0"/>
                  <w:vAlign w:val="top"/>
                </w:tcPr>
                <w:p w14:paraId="714CAD5A">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p w14:paraId="2C93D699">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855" w:type="dxa"/>
                  <w:noWrap w:val="0"/>
                  <w:vAlign w:val="top"/>
                </w:tcPr>
                <w:p w14:paraId="05CFF660">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p w14:paraId="2EF6E015">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收尘灰</w:t>
                  </w:r>
                </w:p>
              </w:tc>
              <w:tc>
                <w:tcPr>
                  <w:tcW w:w="692" w:type="dxa"/>
                  <w:noWrap w:val="0"/>
                  <w:vAlign w:val="top"/>
                </w:tcPr>
                <w:p w14:paraId="51F1CA73">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废气治理</w:t>
                  </w:r>
                </w:p>
              </w:tc>
              <w:tc>
                <w:tcPr>
                  <w:tcW w:w="662" w:type="dxa"/>
                  <w:noWrap w:val="0"/>
                  <w:vAlign w:val="top"/>
                </w:tcPr>
                <w:p w14:paraId="56B404BD">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p w14:paraId="21F1E4F6">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652" w:type="dxa"/>
                  <w:noWrap w:val="0"/>
                  <w:vAlign w:val="top"/>
                </w:tcPr>
                <w:p w14:paraId="445E74C4">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一般固废</w:t>
                  </w:r>
                </w:p>
              </w:tc>
              <w:tc>
                <w:tcPr>
                  <w:tcW w:w="1540" w:type="dxa"/>
                  <w:noWrap w:val="0"/>
                  <w:vAlign w:val="top"/>
                </w:tcPr>
                <w:p w14:paraId="354EC568">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p w14:paraId="5E454B3A">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SW17</w:t>
                  </w:r>
                </w:p>
                <w:p w14:paraId="02DF4AB9">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900-003-S17</w:t>
                  </w:r>
                </w:p>
              </w:tc>
              <w:tc>
                <w:tcPr>
                  <w:tcW w:w="867" w:type="dxa"/>
                  <w:noWrap w:val="0"/>
                  <w:vAlign w:val="top"/>
                </w:tcPr>
                <w:p w14:paraId="2905856C">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p w14:paraId="319CFC69">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1.718</w:t>
                  </w:r>
                </w:p>
              </w:tc>
              <w:tc>
                <w:tcPr>
                  <w:tcW w:w="643" w:type="dxa"/>
                  <w:noWrap w:val="0"/>
                  <w:vAlign w:val="top"/>
                </w:tcPr>
                <w:p w14:paraId="0549EAA0">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布袋</w:t>
                  </w:r>
                </w:p>
                <w:p w14:paraId="37E9FE47">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除尘器</w:t>
                  </w:r>
                </w:p>
              </w:tc>
              <w:tc>
                <w:tcPr>
                  <w:tcW w:w="879" w:type="dxa"/>
                  <w:noWrap w:val="0"/>
                  <w:vAlign w:val="top"/>
                </w:tcPr>
                <w:p w14:paraId="5A3F788F">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回用于生产</w:t>
                  </w:r>
                </w:p>
              </w:tc>
              <w:tc>
                <w:tcPr>
                  <w:tcW w:w="930" w:type="dxa"/>
                  <w:tcBorders>
                    <w:right w:val="single" w:color="000000" w:sz="10" w:space="0"/>
                  </w:tcBorders>
                  <w:noWrap w:val="0"/>
                  <w:vAlign w:val="top"/>
                </w:tcPr>
                <w:p w14:paraId="263B040D">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p w14:paraId="0E2FCDB5">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1.718</w:t>
                  </w:r>
                </w:p>
              </w:tc>
            </w:tr>
            <w:tr w14:paraId="389BE2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858" w:type="dxa"/>
                  <w:tcBorders>
                    <w:left w:val="single" w:color="000000" w:sz="10" w:space="0"/>
                  </w:tcBorders>
                  <w:noWrap w:val="0"/>
                  <w:vAlign w:val="top"/>
                </w:tcPr>
                <w:p w14:paraId="4BED1E12">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w:t>
                  </w:r>
                </w:p>
              </w:tc>
              <w:tc>
                <w:tcPr>
                  <w:tcW w:w="7720" w:type="dxa"/>
                  <w:gridSpan w:val="9"/>
                  <w:tcBorders>
                    <w:right w:val="single" w:color="000000" w:sz="10" w:space="0"/>
                  </w:tcBorders>
                  <w:noWrap w:val="0"/>
                  <w:vAlign w:val="top"/>
                </w:tcPr>
                <w:p w14:paraId="2277DFCE">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w:t>
                  </w:r>
                </w:p>
              </w:tc>
            </w:tr>
            <w:tr w14:paraId="710328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858" w:type="dxa"/>
                  <w:tcBorders>
                    <w:left w:val="single" w:color="000000" w:sz="10" w:space="0"/>
                  </w:tcBorders>
                  <w:noWrap w:val="0"/>
                  <w:vAlign w:val="top"/>
                </w:tcPr>
                <w:p w14:paraId="1A1CD255">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p w14:paraId="46C2204F">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855" w:type="dxa"/>
                  <w:noWrap w:val="0"/>
                  <w:vAlign w:val="top"/>
                </w:tcPr>
                <w:p w14:paraId="72D6E648">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p w14:paraId="40C9729A">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废活性炭</w:t>
                  </w:r>
                </w:p>
              </w:tc>
              <w:tc>
                <w:tcPr>
                  <w:tcW w:w="692" w:type="dxa"/>
                  <w:noWrap w:val="0"/>
                  <w:vAlign w:val="top"/>
                </w:tcPr>
                <w:p w14:paraId="31B7E8C5">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p w14:paraId="7CFC591E">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废气治理</w:t>
                  </w:r>
                </w:p>
              </w:tc>
              <w:tc>
                <w:tcPr>
                  <w:tcW w:w="662" w:type="dxa"/>
                  <w:noWrap w:val="0"/>
                  <w:vAlign w:val="top"/>
                </w:tcPr>
                <w:p w14:paraId="7AD0BE3A">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p w14:paraId="13CDFF60">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652" w:type="dxa"/>
                  <w:noWrap w:val="0"/>
                  <w:vAlign w:val="top"/>
                </w:tcPr>
                <w:p w14:paraId="4057BED4">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p w14:paraId="37AEA457">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w:t>
                  </w:r>
                </w:p>
              </w:tc>
              <w:tc>
                <w:tcPr>
                  <w:tcW w:w="1540" w:type="dxa"/>
                  <w:noWrap w:val="0"/>
                  <w:vAlign w:val="top"/>
                </w:tcPr>
                <w:p w14:paraId="1D87A3A2">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p w14:paraId="49CF67E7">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HW49</w:t>
                  </w:r>
                </w:p>
                <w:p w14:paraId="4BF693A1">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900-039-49</w:t>
                  </w:r>
                </w:p>
              </w:tc>
              <w:tc>
                <w:tcPr>
                  <w:tcW w:w="867" w:type="dxa"/>
                  <w:noWrap w:val="0"/>
                  <w:vAlign w:val="top"/>
                </w:tcPr>
                <w:p w14:paraId="46B01CC8">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p w14:paraId="0406638F">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13.487</w:t>
                  </w:r>
                </w:p>
              </w:tc>
              <w:tc>
                <w:tcPr>
                  <w:tcW w:w="643" w:type="dxa"/>
                  <w:noWrap w:val="0"/>
                  <w:vAlign w:val="top"/>
                </w:tcPr>
                <w:p w14:paraId="3C240658">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w:t>
                  </w:r>
                </w:p>
                <w:p w14:paraId="357FCC25">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废物</w:t>
                  </w:r>
                </w:p>
                <w:p w14:paraId="79EA27B4">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贮存</w:t>
                  </w:r>
                </w:p>
                <w:p w14:paraId="142F8C5C">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设施</w:t>
                  </w:r>
                </w:p>
              </w:tc>
              <w:tc>
                <w:tcPr>
                  <w:tcW w:w="879" w:type="dxa"/>
                  <w:noWrap w:val="0"/>
                  <w:vAlign w:val="top"/>
                </w:tcPr>
                <w:p w14:paraId="07D0D5E5">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有资质</w:t>
                  </w:r>
                </w:p>
                <w:p w14:paraId="701D8C03">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单位处置</w:t>
                  </w:r>
                </w:p>
              </w:tc>
              <w:tc>
                <w:tcPr>
                  <w:tcW w:w="930" w:type="dxa"/>
                  <w:tcBorders>
                    <w:right w:val="single" w:color="000000" w:sz="10" w:space="0"/>
                  </w:tcBorders>
                  <w:noWrap w:val="0"/>
                  <w:vAlign w:val="top"/>
                </w:tcPr>
                <w:p w14:paraId="3290095D">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p w14:paraId="46000BF3">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13.487</w:t>
                  </w:r>
                </w:p>
              </w:tc>
            </w:tr>
            <w:tr w14:paraId="0F05C9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858" w:type="dxa"/>
                  <w:tcBorders>
                    <w:left w:val="single" w:color="000000" w:sz="10" w:space="0"/>
                  </w:tcBorders>
                  <w:noWrap w:val="0"/>
                  <w:vAlign w:val="top"/>
                </w:tcPr>
                <w:p w14:paraId="4E4CB353">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p w14:paraId="27FB2D6D">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855" w:type="dxa"/>
                  <w:noWrap w:val="0"/>
                  <w:vAlign w:val="top"/>
                </w:tcPr>
                <w:p w14:paraId="61AF4630">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废机油</w:t>
                  </w:r>
                </w:p>
                <w:p w14:paraId="6BD31136">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及废油桶</w:t>
                  </w:r>
                </w:p>
              </w:tc>
              <w:tc>
                <w:tcPr>
                  <w:tcW w:w="692" w:type="dxa"/>
                  <w:noWrap w:val="0"/>
                  <w:vAlign w:val="top"/>
                </w:tcPr>
                <w:p w14:paraId="717D69EF">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设备</w:t>
                  </w:r>
                </w:p>
                <w:p w14:paraId="3EA1386A">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维护、</w:t>
                  </w:r>
                </w:p>
                <w:p w14:paraId="7CD9F6FF">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保养</w:t>
                  </w:r>
                </w:p>
              </w:tc>
              <w:tc>
                <w:tcPr>
                  <w:tcW w:w="662" w:type="dxa"/>
                  <w:noWrap w:val="0"/>
                  <w:vAlign w:val="top"/>
                </w:tcPr>
                <w:p w14:paraId="1946FEE5">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液态、</w:t>
                  </w:r>
                </w:p>
                <w:p w14:paraId="1249D052">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652" w:type="dxa"/>
                  <w:noWrap w:val="0"/>
                  <w:vAlign w:val="top"/>
                </w:tcPr>
                <w:p w14:paraId="447DC2DB">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p w14:paraId="5FB02B31">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w:t>
                  </w:r>
                </w:p>
              </w:tc>
              <w:tc>
                <w:tcPr>
                  <w:tcW w:w="1540" w:type="dxa"/>
                  <w:noWrap w:val="0"/>
                  <w:vAlign w:val="top"/>
                </w:tcPr>
                <w:p w14:paraId="7E3FA455">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p w14:paraId="185E7EFB">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HW08</w:t>
                  </w:r>
                </w:p>
                <w:p w14:paraId="476BBBCA">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900-249-08</w:t>
                  </w:r>
                </w:p>
              </w:tc>
              <w:tc>
                <w:tcPr>
                  <w:tcW w:w="867" w:type="dxa"/>
                  <w:noWrap w:val="0"/>
                  <w:vAlign w:val="top"/>
                </w:tcPr>
                <w:p w14:paraId="1A2E8E7F">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p w14:paraId="4ACF5649">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0.15</w:t>
                  </w:r>
                </w:p>
              </w:tc>
              <w:tc>
                <w:tcPr>
                  <w:tcW w:w="643" w:type="dxa"/>
                  <w:noWrap w:val="0"/>
                  <w:vAlign w:val="top"/>
                </w:tcPr>
                <w:p w14:paraId="12B1C47A">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w:t>
                  </w:r>
                </w:p>
                <w:p w14:paraId="2E245C91">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废物</w:t>
                  </w:r>
                </w:p>
                <w:p w14:paraId="6A4A89AC">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贮存</w:t>
                  </w:r>
                </w:p>
                <w:p w14:paraId="50AB0C8D">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设施</w:t>
                  </w:r>
                </w:p>
              </w:tc>
              <w:tc>
                <w:tcPr>
                  <w:tcW w:w="879" w:type="dxa"/>
                  <w:noWrap w:val="0"/>
                  <w:vAlign w:val="top"/>
                </w:tcPr>
                <w:p w14:paraId="33F5CC18">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有资质</w:t>
                  </w:r>
                </w:p>
                <w:p w14:paraId="05EC4806">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单位处置</w:t>
                  </w:r>
                </w:p>
              </w:tc>
              <w:tc>
                <w:tcPr>
                  <w:tcW w:w="930" w:type="dxa"/>
                  <w:tcBorders>
                    <w:right w:val="single" w:color="000000" w:sz="10" w:space="0"/>
                  </w:tcBorders>
                  <w:noWrap w:val="0"/>
                  <w:vAlign w:val="top"/>
                </w:tcPr>
                <w:p w14:paraId="2EC1053F">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p w14:paraId="241A6365">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0.15</w:t>
                  </w:r>
                </w:p>
              </w:tc>
            </w:tr>
            <w:tr w14:paraId="49936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858" w:type="dxa"/>
                  <w:tcBorders>
                    <w:left w:val="single" w:color="000000" w:sz="10" w:space="0"/>
                  </w:tcBorders>
                  <w:noWrap w:val="0"/>
                  <w:vAlign w:val="top"/>
                </w:tcPr>
                <w:p w14:paraId="5A939348">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（三）</w:t>
                  </w:r>
                </w:p>
              </w:tc>
              <w:tc>
                <w:tcPr>
                  <w:tcW w:w="7720" w:type="dxa"/>
                  <w:gridSpan w:val="9"/>
                  <w:tcBorders>
                    <w:right w:val="single" w:color="000000" w:sz="10" w:space="0"/>
                  </w:tcBorders>
                  <w:noWrap w:val="0"/>
                  <w:vAlign w:val="top"/>
                </w:tcPr>
                <w:p w14:paraId="1733970C">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w:t>
                  </w:r>
                </w:p>
              </w:tc>
            </w:tr>
            <w:tr w14:paraId="121392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858" w:type="dxa"/>
                  <w:tcBorders>
                    <w:left w:val="single" w:color="000000" w:sz="10" w:space="0"/>
                    <w:bottom w:val="single" w:color="000000" w:sz="10" w:space="0"/>
                  </w:tcBorders>
                  <w:noWrap w:val="0"/>
                  <w:vAlign w:val="top"/>
                </w:tcPr>
                <w:p w14:paraId="304CF755">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p w14:paraId="73B4F22F">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855" w:type="dxa"/>
                  <w:tcBorders>
                    <w:bottom w:val="single" w:color="000000" w:sz="10" w:space="0"/>
                  </w:tcBorders>
                  <w:noWrap w:val="0"/>
                  <w:vAlign w:val="top"/>
                </w:tcPr>
                <w:p w14:paraId="056124EE">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w:t>
                  </w:r>
                </w:p>
              </w:tc>
              <w:tc>
                <w:tcPr>
                  <w:tcW w:w="692" w:type="dxa"/>
                  <w:tcBorders>
                    <w:bottom w:val="single" w:color="000000" w:sz="10" w:space="0"/>
                  </w:tcBorders>
                  <w:noWrap w:val="0"/>
                  <w:vAlign w:val="top"/>
                </w:tcPr>
                <w:p w14:paraId="3397142D">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职工</w:t>
                  </w:r>
                </w:p>
                <w:p w14:paraId="44747677">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w:t>
                  </w:r>
                </w:p>
                <w:p w14:paraId="3243BFF2">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办公</w:t>
                  </w:r>
                </w:p>
              </w:tc>
              <w:tc>
                <w:tcPr>
                  <w:tcW w:w="662" w:type="dxa"/>
                  <w:tcBorders>
                    <w:bottom w:val="single" w:color="000000" w:sz="10" w:space="0"/>
                  </w:tcBorders>
                  <w:noWrap w:val="0"/>
                  <w:vAlign w:val="top"/>
                </w:tcPr>
                <w:p w14:paraId="32A3B266">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p w14:paraId="46B98BD6">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652" w:type="dxa"/>
                  <w:tcBorders>
                    <w:bottom w:val="single" w:color="000000" w:sz="10" w:space="0"/>
                  </w:tcBorders>
                  <w:noWrap w:val="0"/>
                  <w:vAlign w:val="top"/>
                </w:tcPr>
                <w:p w14:paraId="1B6148B7">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w:t>
                  </w:r>
                </w:p>
              </w:tc>
              <w:tc>
                <w:tcPr>
                  <w:tcW w:w="1540" w:type="dxa"/>
                  <w:tcBorders>
                    <w:bottom w:val="single" w:color="000000" w:sz="10" w:space="0"/>
                  </w:tcBorders>
                  <w:noWrap w:val="0"/>
                  <w:vAlign w:val="top"/>
                </w:tcPr>
                <w:p w14:paraId="5C547082">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p w14:paraId="298B94FA">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SW64</w:t>
                  </w:r>
                </w:p>
                <w:p w14:paraId="1A558D17">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900-099-S64</w:t>
                  </w:r>
                </w:p>
              </w:tc>
              <w:tc>
                <w:tcPr>
                  <w:tcW w:w="867" w:type="dxa"/>
                  <w:tcBorders>
                    <w:bottom w:val="single" w:color="000000" w:sz="10" w:space="0"/>
                  </w:tcBorders>
                  <w:noWrap w:val="0"/>
                  <w:vAlign w:val="top"/>
                </w:tcPr>
                <w:p w14:paraId="173F5C57">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p w14:paraId="3DCE6AEA">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792</w:t>
                  </w:r>
                </w:p>
              </w:tc>
              <w:tc>
                <w:tcPr>
                  <w:tcW w:w="643" w:type="dxa"/>
                  <w:tcBorders>
                    <w:bottom w:val="single" w:color="000000" w:sz="10" w:space="0"/>
                  </w:tcBorders>
                  <w:noWrap w:val="0"/>
                  <w:vAlign w:val="top"/>
                </w:tcPr>
                <w:p w14:paraId="331B4FE6">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收集桶</w:t>
                  </w:r>
                </w:p>
              </w:tc>
              <w:tc>
                <w:tcPr>
                  <w:tcW w:w="879" w:type="dxa"/>
                  <w:tcBorders>
                    <w:bottom w:val="single" w:color="000000" w:sz="10" w:space="0"/>
                  </w:tcBorders>
                  <w:noWrap w:val="0"/>
                  <w:vAlign w:val="top"/>
                </w:tcPr>
                <w:p w14:paraId="7E2C568D">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环卫部</w:t>
                  </w:r>
                </w:p>
                <w:p w14:paraId="3EBE50CF">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门清运处理</w:t>
                  </w:r>
                </w:p>
              </w:tc>
              <w:tc>
                <w:tcPr>
                  <w:tcW w:w="930" w:type="dxa"/>
                  <w:tcBorders>
                    <w:bottom w:val="single" w:color="000000" w:sz="10" w:space="0"/>
                    <w:right w:val="single" w:color="000000" w:sz="10" w:space="0"/>
                  </w:tcBorders>
                  <w:noWrap w:val="0"/>
                  <w:vAlign w:val="top"/>
                </w:tcPr>
                <w:p w14:paraId="57A150C4">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p w14:paraId="474E60B0">
                  <w:pPr>
                    <w:pStyle w:val="128"/>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792</w:t>
                  </w:r>
                </w:p>
              </w:tc>
            </w:tr>
          </w:tbl>
          <w:p w14:paraId="0464E31C">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2.环境管理要求</w:t>
            </w:r>
          </w:p>
          <w:p w14:paraId="059CFB2D">
            <w:pPr>
              <w:pStyle w:val="184"/>
              <w:keepNext w:val="0"/>
              <w:keepLines w:val="0"/>
              <w:suppressLineNumbers w:val="0"/>
              <w:spacing w:before="0" w:beforeAutospacing="0" w:after="0" w:afterAutospacing="0" w:line="360" w:lineRule="auto"/>
              <w:ind w:left="585" w:right="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1）一般工业固体废物</w:t>
            </w:r>
          </w:p>
          <w:p w14:paraId="37DBE5D4">
            <w:pPr>
              <w:pStyle w:val="184"/>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一般工业固体废物主要为热熔废料及不合格品、收尘灰。根据项目特点，项目热熔废料产生于热熔工序，不合格品产生于筛分工序，主要为筛分网上的尺寸大于产品要求的废塑料，热熔废料及不合格品经人工收集后直接回用于热熔工序，不在厂内暂存；项目收尘灰产生于布袋除尘器，布袋除尘器定期清理后收尘灰直接回用于热熔工序，不在厂内暂存。</w:t>
            </w:r>
          </w:p>
          <w:p w14:paraId="7C44EE40">
            <w:pPr>
              <w:pStyle w:val="184"/>
              <w:keepNext w:val="0"/>
              <w:keepLines w:val="0"/>
              <w:suppressLineNumbers w:val="0"/>
              <w:spacing w:before="0" w:beforeAutospacing="0" w:after="0" w:afterAutospacing="0" w:line="360" w:lineRule="auto"/>
              <w:ind w:left="585" w:right="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2）危险废物</w:t>
            </w:r>
          </w:p>
          <w:p w14:paraId="0B2920DC">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项目危险废物经危险废物贮存设施暂存后，交由有资质单位进行处理。项目计划根据《危险废物贮存污染控制标准》（GB18597-2023）及《危险废物识别标志设置技术规范》（HJ1276-2022）相关要求，在厂房东南角新建危废贮存设施一间，</w:t>
            </w:r>
          </w:p>
          <w:p w14:paraId="5042D53B">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highlight w:val="none"/>
                <w:lang w:val="en-US" w:eastAsia="zh-CN" w:bidi="ar-SA"/>
              </w:rPr>
              <w:t>占地面积</w:t>
            </w:r>
            <w:r>
              <w:rPr>
                <w:rFonts w:hint="eastAsia" w:cs="Times New Roman"/>
                <w:color w:val="auto"/>
                <w:kern w:val="0"/>
                <w:sz w:val="24"/>
                <w:szCs w:val="24"/>
                <w:highlight w:val="none"/>
                <w:lang w:val="en-US" w:eastAsia="zh-CN" w:bidi="ar-SA"/>
              </w:rPr>
              <w:t>5</w:t>
            </w:r>
            <w:r>
              <w:rPr>
                <w:rFonts w:hint="default" w:ascii="Times New Roman" w:hAnsi="Times New Roman" w:eastAsia="宋体" w:cs="Times New Roman"/>
                <w:color w:val="auto"/>
                <w:kern w:val="0"/>
                <w:sz w:val="24"/>
                <w:szCs w:val="24"/>
                <w:highlight w:val="none"/>
                <w:lang w:val="en-US" w:eastAsia="zh-CN" w:bidi="ar-SA"/>
              </w:rPr>
              <w:t>m</w:t>
            </w:r>
            <w:r>
              <w:rPr>
                <w:rFonts w:hint="default" w:ascii="Times New Roman" w:hAnsi="Times New Roman" w:eastAsia="宋体" w:cs="Times New Roman"/>
                <w:color w:val="auto"/>
                <w:kern w:val="0"/>
                <w:sz w:val="24"/>
                <w:szCs w:val="24"/>
                <w:highlight w:val="none"/>
                <w:vertAlign w:val="superscript"/>
                <w:lang w:val="en-US" w:eastAsia="zh-CN" w:bidi="ar-SA"/>
              </w:rPr>
              <w:t>2</w:t>
            </w:r>
            <w:r>
              <w:rPr>
                <w:rFonts w:hint="eastAsia"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结合本项目情况，</w:t>
            </w:r>
            <w:r>
              <w:rPr>
                <w:rFonts w:hint="default" w:ascii="Times New Roman" w:hAnsi="Times New Roman" w:cs="Times New Roman"/>
                <w:color w:val="auto"/>
                <w:kern w:val="0"/>
                <w:sz w:val="24"/>
                <w:szCs w:val="24"/>
                <w:lang w:val="en-US" w:eastAsia="zh-CN"/>
              </w:rPr>
              <w:t>危废贮存库</w:t>
            </w:r>
            <w:r>
              <w:rPr>
                <w:rFonts w:hint="default" w:ascii="Times New Roman" w:hAnsi="Times New Roman" w:eastAsia="宋体" w:cs="Times New Roman"/>
                <w:color w:val="auto"/>
                <w:kern w:val="0"/>
                <w:sz w:val="24"/>
                <w:szCs w:val="24"/>
                <w:lang w:val="en-US" w:eastAsia="zh-CN"/>
              </w:rPr>
              <w:t>建设需满足以下要求：</w:t>
            </w:r>
          </w:p>
          <w:p w14:paraId="5FD9184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val="en-US" w:eastAsia="zh-CN"/>
              </w:rPr>
              <w:t>A</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rPr>
              <w:t>收集、管理措施</w:t>
            </w:r>
          </w:p>
          <w:p w14:paraId="2046EA0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建设单位应当以</w:t>
            </w:r>
            <w:r>
              <w:rPr>
                <w:rFonts w:hint="default" w:ascii="Times New Roman" w:hAnsi="Times New Roman" w:eastAsia="宋体" w:cs="Times New Roman"/>
                <w:color w:val="auto"/>
                <w:sz w:val="24"/>
                <w:szCs w:val="24"/>
                <w:lang w:val="en-US" w:eastAsia="zh-CN"/>
              </w:rPr>
              <w:t>控制</w:t>
            </w:r>
            <w:r>
              <w:rPr>
                <w:rFonts w:hint="default" w:ascii="Times New Roman" w:hAnsi="Times New Roman" w:eastAsia="宋体" w:cs="Times New Roman"/>
                <w:color w:val="auto"/>
                <w:sz w:val="24"/>
                <w:szCs w:val="24"/>
              </w:rPr>
              <w:t>危险废物的环境风险为目标，制定危险废物管理计划，建立完善的危险废物管理台账和企业内部产生和收集、贮存部门危险废物交接制度，</w:t>
            </w:r>
            <w:r>
              <w:rPr>
                <w:rFonts w:hint="default" w:ascii="Times New Roman" w:hAnsi="Times New Roman" w:cs="Times New Roman"/>
                <w:color w:val="auto"/>
                <w:sz w:val="24"/>
                <w:szCs w:val="24"/>
                <w:lang w:val="en-US" w:eastAsia="zh-CN"/>
              </w:rPr>
              <w:t>并</w:t>
            </w:r>
            <w:r>
              <w:rPr>
                <w:rFonts w:hint="default" w:ascii="Times New Roman" w:hAnsi="Times New Roman" w:eastAsia="宋体" w:cs="Times New Roman"/>
                <w:color w:val="auto"/>
                <w:sz w:val="24"/>
                <w:szCs w:val="24"/>
              </w:rPr>
              <w:t>严格记录每种危险废物产生量、进出</w:t>
            </w:r>
            <w:r>
              <w:rPr>
                <w:rFonts w:hint="default" w:ascii="Times New Roman" w:hAnsi="Times New Roman" w:eastAsia="宋体" w:cs="Times New Roman"/>
                <w:color w:val="auto"/>
                <w:sz w:val="24"/>
                <w:szCs w:val="24"/>
                <w:lang w:val="en-US" w:eastAsia="zh-CN"/>
              </w:rPr>
              <w:t>危废贮存库</w:t>
            </w:r>
            <w:r>
              <w:rPr>
                <w:rFonts w:hint="default" w:ascii="Times New Roman" w:hAnsi="Times New Roman" w:eastAsia="宋体" w:cs="Times New Roman"/>
                <w:color w:val="auto"/>
                <w:sz w:val="24"/>
                <w:szCs w:val="24"/>
              </w:rPr>
              <w:t>的量、处置量及各个时间节点负责人、用途或处置方式等</w:t>
            </w:r>
            <w:r>
              <w:rPr>
                <w:rFonts w:hint="default" w:ascii="Times New Roman" w:hAnsi="Times New Roman" w:cs="Times New Roman"/>
                <w:color w:val="auto"/>
                <w:sz w:val="24"/>
                <w:szCs w:val="24"/>
                <w:lang w:val="en-US" w:eastAsia="zh-CN"/>
              </w:rPr>
              <w:t>信息</w:t>
            </w:r>
            <w:r>
              <w:rPr>
                <w:rFonts w:hint="default" w:ascii="Times New Roman" w:hAnsi="Times New Roman" w:eastAsia="宋体" w:cs="Times New Roman"/>
                <w:color w:val="auto"/>
                <w:sz w:val="24"/>
                <w:szCs w:val="24"/>
              </w:rPr>
              <w:t>，加强对危险废物包装、贮存的管理，严格执行危险废物转移联单制度。</w:t>
            </w:r>
          </w:p>
          <w:p w14:paraId="44687F5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危险废物在收集时，应清楚废物的类别及</w:t>
            </w:r>
            <w:r>
              <w:rPr>
                <w:rFonts w:hint="default" w:ascii="Times New Roman" w:hAnsi="Times New Roman" w:eastAsia="宋体" w:cs="Times New Roman"/>
                <w:color w:val="auto"/>
                <w:sz w:val="24"/>
                <w:szCs w:val="24"/>
                <w:lang w:eastAsia="zh-CN"/>
              </w:rPr>
              <w:t>主要成分</w:t>
            </w:r>
            <w:r>
              <w:rPr>
                <w:rFonts w:hint="default" w:ascii="Times New Roman" w:hAnsi="Times New Roman" w:eastAsia="宋体" w:cs="Times New Roman"/>
                <w:color w:val="auto"/>
                <w:sz w:val="24"/>
                <w:szCs w:val="24"/>
              </w:rPr>
              <w:t>，以方便委托处理单位处理</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根据危险废物的性质和形态，可采用不同大小和不同材质的容器进行包装，所有包装容器应足够安全，并经过周密检查，严防在装载、搬移或运输途中出现渗漏、溢出、抛洒或挥发等情况。最后按照对危险废物交换和转移管理工作的有关要求，对危险废物进行安全包装，并在包装的明显位置附上危险废物标签</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kern w:val="0"/>
                <w:sz w:val="24"/>
                <w:szCs w:val="24"/>
                <w:highlight w:val="none"/>
                <w:lang w:val="en-US" w:eastAsia="zh-CN"/>
              </w:rPr>
              <w:t>并由有资质单位及时清运</w:t>
            </w:r>
            <w:r>
              <w:rPr>
                <w:rFonts w:hint="default" w:ascii="Times New Roman" w:hAnsi="Times New Roman" w:eastAsia="宋体" w:cs="Times New Roman"/>
                <w:color w:val="auto"/>
                <w:sz w:val="24"/>
                <w:szCs w:val="24"/>
              </w:rPr>
              <w:t>。</w:t>
            </w:r>
          </w:p>
          <w:p w14:paraId="0CD092A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val="en-US" w:eastAsia="zh-CN"/>
              </w:rPr>
              <w:t>B</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rPr>
              <w:t>暂存措施</w:t>
            </w:r>
          </w:p>
          <w:p w14:paraId="56A09BE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建设单位在厂区内按照</w:t>
            </w:r>
            <w:r>
              <w:rPr>
                <w:rFonts w:hint="default" w:ascii="Times New Roman" w:hAnsi="Times New Roman" w:eastAsia="宋体" w:cs="Times New Roman"/>
                <w:bCs/>
                <w:color w:val="auto"/>
                <w:sz w:val="24"/>
                <w:szCs w:val="24"/>
              </w:rPr>
              <w:t>《危险废物贮存污染控制标准》（GB18597-20</w:t>
            </w:r>
            <w:r>
              <w:rPr>
                <w:rFonts w:hint="default" w:ascii="Times New Roman" w:hAnsi="Times New Roman" w:eastAsia="宋体" w:cs="Times New Roman"/>
                <w:bCs/>
                <w:color w:val="auto"/>
                <w:sz w:val="24"/>
                <w:szCs w:val="24"/>
                <w:lang w:val="en-US" w:eastAsia="zh-CN"/>
              </w:rPr>
              <w:t>23</w:t>
            </w:r>
            <w:r>
              <w:rPr>
                <w:rFonts w:hint="default" w:ascii="Times New Roman" w:hAnsi="Times New Roman" w:eastAsia="宋体" w:cs="Times New Roman"/>
                <w:bCs/>
                <w:color w:val="auto"/>
                <w:sz w:val="24"/>
                <w:szCs w:val="24"/>
              </w:rPr>
              <w:t>）</w:t>
            </w:r>
            <w:r>
              <w:rPr>
                <w:rFonts w:hint="default" w:ascii="Times New Roman" w:hAnsi="Times New Roman" w:eastAsia="宋体" w:cs="Times New Roman"/>
                <w:bCs/>
                <w:color w:val="auto"/>
                <w:sz w:val="24"/>
                <w:szCs w:val="24"/>
                <w:lang w:val="en-US" w:eastAsia="zh-CN"/>
              </w:rPr>
              <w:t>及《危险废物识别标志设置技术规范》（HJ 1276-2022）</w:t>
            </w:r>
            <w:r>
              <w:rPr>
                <w:rFonts w:hint="default" w:ascii="Times New Roman" w:hAnsi="Times New Roman" w:eastAsia="宋体" w:cs="Times New Roman"/>
                <w:color w:val="auto"/>
                <w:sz w:val="24"/>
                <w:szCs w:val="24"/>
              </w:rPr>
              <w:t>中的</w:t>
            </w:r>
            <w:r>
              <w:rPr>
                <w:rFonts w:hint="default" w:ascii="Times New Roman" w:hAnsi="Times New Roman" w:eastAsia="宋体" w:cs="Times New Roman"/>
                <w:color w:val="auto"/>
                <w:sz w:val="24"/>
                <w:szCs w:val="24"/>
                <w:lang w:val="en-US" w:eastAsia="zh-CN"/>
              </w:rPr>
              <w:t>建设要求</w:t>
            </w:r>
            <w:r>
              <w:rPr>
                <w:rFonts w:hint="default" w:ascii="Times New Roman" w:hAnsi="Times New Roman" w:eastAsia="宋体" w:cs="Times New Roman"/>
                <w:color w:val="auto"/>
                <w:sz w:val="24"/>
                <w:szCs w:val="24"/>
              </w:rPr>
              <w:t>设置</w:t>
            </w:r>
            <w:r>
              <w:rPr>
                <w:rFonts w:hint="default" w:ascii="Times New Roman" w:hAnsi="Times New Roman" w:cs="Times New Roman"/>
                <w:color w:val="auto"/>
                <w:sz w:val="24"/>
                <w:szCs w:val="24"/>
                <w:lang w:val="en-US" w:eastAsia="zh-CN"/>
              </w:rPr>
              <w:t>危废贮存库</w:t>
            </w:r>
            <w:r>
              <w:rPr>
                <w:rFonts w:hint="default" w:ascii="Times New Roman" w:hAnsi="Times New Roman" w:eastAsia="宋体" w:cs="Times New Roman"/>
                <w:color w:val="auto"/>
                <w:sz w:val="24"/>
                <w:szCs w:val="24"/>
              </w:rPr>
              <w:t>，具体要求如下：</w:t>
            </w:r>
          </w:p>
          <w:p w14:paraId="288554B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①不同类别、形态、物理化学性质的危险废物，其容器和包装物应满足相应的防渗、防漏、防腐和强度等要求。</w:t>
            </w:r>
          </w:p>
          <w:p w14:paraId="08CB424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w:t>
            </w:r>
            <w:r>
              <w:rPr>
                <w:rFonts w:hint="default" w:ascii="Times New Roman" w:hAnsi="Times New Roman" w:cs="Times New Roman"/>
                <w:color w:val="auto"/>
                <w:sz w:val="24"/>
                <w:szCs w:val="24"/>
                <w:lang w:val="en-US" w:eastAsia="zh-CN"/>
              </w:rPr>
              <w:t>危废贮存库</w:t>
            </w:r>
            <w:r>
              <w:rPr>
                <w:rFonts w:hint="default" w:ascii="Times New Roman" w:hAnsi="Times New Roman" w:eastAsia="宋体" w:cs="Times New Roman"/>
                <w:color w:val="auto"/>
                <w:sz w:val="24"/>
                <w:szCs w:val="24"/>
              </w:rPr>
              <w:t>地面、墙面</w:t>
            </w:r>
            <w:r>
              <w:rPr>
                <w:rFonts w:hint="default" w:ascii="Times New Roman" w:hAnsi="Times New Roman" w:cs="Times New Roman"/>
                <w:color w:val="auto"/>
                <w:sz w:val="24"/>
                <w:szCs w:val="24"/>
                <w:lang w:eastAsia="zh-CN"/>
              </w:rPr>
              <w:t>裙角</w:t>
            </w:r>
            <w:r>
              <w:rPr>
                <w:rFonts w:hint="default" w:ascii="Times New Roman" w:hAnsi="Times New Roman" w:eastAsia="宋体" w:cs="Times New Roman"/>
                <w:color w:val="auto"/>
                <w:sz w:val="24"/>
                <w:szCs w:val="24"/>
              </w:rPr>
              <w:t>、堵截泄漏的围堰、接触危险废物的隔板和墙体等应采用坚固的材料建造，表面无裂缝。</w:t>
            </w:r>
          </w:p>
          <w:p w14:paraId="5465624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w:t>
            </w:r>
            <w:r>
              <w:rPr>
                <w:rFonts w:hint="default" w:ascii="Times New Roman" w:hAnsi="Times New Roman" w:cs="Times New Roman"/>
                <w:color w:val="auto"/>
                <w:sz w:val="24"/>
                <w:szCs w:val="24"/>
                <w:lang w:val="en-US" w:eastAsia="zh-CN"/>
              </w:rPr>
              <w:t>危废贮存库</w:t>
            </w:r>
            <w:r>
              <w:rPr>
                <w:rFonts w:hint="default" w:ascii="Times New Roman" w:hAnsi="Times New Roman" w:eastAsia="宋体" w:cs="Times New Roman"/>
                <w:color w:val="auto"/>
                <w:sz w:val="24"/>
                <w:szCs w:val="24"/>
              </w:rPr>
              <w:t>地面与裙脚应采取表面防渗措施；表面防渗材料应与所接触的物料或污染物相容，可采用抗渗混凝土、高密度聚乙烯膜、钠基膨润土</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防水毯或其他防渗性能等效的材料。贮存的危险废物直接接触地面的，还应进行基础防渗，防渗层为至少1m厚黏土层（渗透系数不大于10</w:t>
            </w:r>
            <w:r>
              <w:rPr>
                <w:rFonts w:hint="default" w:ascii="Times New Roman" w:hAnsi="Times New Roman" w:eastAsia="宋体" w:cs="Times New Roman"/>
                <w:color w:val="auto"/>
                <w:sz w:val="24"/>
                <w:szCs w:val="24"/>
                <w:vertAlign w:val="superscript"/>
                <w:lang w:val="en-US" w:eastAsia="zh-CN"/>
              </w:rPr>
              <w:t>-</w:t>
            </w:r>
            <w:r>
              <w:rPr>
                <w:rFonts w:hint="default" w:ascii="Times New Roman" w:hAnsi="Times New Roman" w:eastAsia="宋体" w:cs="Times New Roman"/>
                <w:color w:val="auto"/>
                <w:sz w:val="24"/>
                <w:szCs w:val="24"/>
                <w:vertAlign w:val="superscript"/>
              </w:rPr>
              <w:t>7</w:t>
            </w:r>
            <w:r>
              <w:rPr>
                <w:rFonts w:hint="default" w:ascii="Times New Roman" w:hAnsi="Times New Roman" w:eastAsia="宋体" w:cs="Times New Roman"/>
                <w:color w:val="auto"/>
                <w:sz w:val="24"/>
                <w:szCs w:val="24"/>
              </w:rPr>
              <w:t>cm/s），或至少2mm厚高密度聚乙烯膜等人工防渗材料（渗透系数不大于10</w:t>
            </w:r>
            <w:r>
              <w:rPr>
                <w:rFonts w:hint="default" w:ascii="Times New Roman" w:hAnsi="Times New Roman" w:eastAsia="宋体" w:cs="Times New Roman"/>
                <w:color w:val="auto"/>
                <w:sz w:val="24"/>
                <w:szCs w:val="24"/>
                <w:vertAlign w:val="superscript"/>
              </w:rPr>
              <w:t>-10</w:t>
            </w:r>
            <w:r>
              <w:rPr>
                <w:rFonts w:hint="default" w:ascii="Times New Roman" w:hAnsi="Times New Roman" w:eastAsia="宋体" w:cs="Times New Roman"/>
                <w:color w:val="auto"/>
                <w:sz w:val="24"/>
                <w:szCs w:val="24"/>
              </w:rPr>
              <w:t>cm/s），或其他防渗性能等效的材料。</w:t>
            </w:r>
          </w:p>
          <w:p w14:paraId="53FEC18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④</w:t>
            </w:r>
            <w:r>
              <w:rPr>
                <w:rFonts w:hint="default" w:ascii="Times New Roman" w:hAnsi="Times New Roman" w:cs="Times New Roman"/>
                <w:color w:val="auto"/>
                <w:sz w:val="24"/>
                <w:szCs w:val="24"/>
                <w:lang w:val="en-US" w:eastAsia="zh-CN"/>
              </w:rPr>
              <w:t>危废贮存库</w:t>
            </w:r>
            <w:r>
              <w:rPr>
                <w:rFonts w:hint="default" w:ascii="Times New Roman" w:hAnsi="Times New Roman" w:eastAsia="宋体" w:cs="Times New Roman"/>
                <w:color w:val="auto"/>
                <w:sz w:val="24"/>
                <w:szCs w:val="24"/>
              </w:rPr>
              <w:t>要满足防风、防雨、防晒和防止危险废物流失、扬散。</w:t>
            </w:r>
          </w:p>
          <w:p w14:paraId="3CAB889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⑤</w:t>
            </w:r>
            <w:r>
              <w:rPr>
                <w:rFonts w:hint="default" w:ascii="Times New Roman" w:hAnsi="Times New Roman" w:cs="Times New Roman"/>
                <w:color w:val="auto"/>
                <w:sz w:val="24"/>
                <w:szCs w:val="24"/>
                <w:lang w:val="en-US" w:eastAsia="zh-CN"/>
              </w:rPr>
              <w:t>危废贮存库</w:t>
            </w:r>
            <w:r>
              <w:rPr>
                <w:rFonts w:hint="default" w:ascii="Times New Roman" w:hAnsi="Times New Roman" w:eastAsia="宋体" w:cs="Times New Roman"/>
                <w:color w:val="auto"/>
                <w:sz w:val="24"/>
                <w:szCs w:val="24"/>
              </w:rPr>
              <w:t>、容器和包装物应按</w:t>
            </w:r>
            <w:r>
              <w:rPr>
                <w:rFonts w:hint="default" w:ascii="Times New Roman" w:hAnsi="Times New Roman" w:eastAsia="宋体" w:cs="Times New Roman"/>
                <w:bCs/>
                <w:color w:val="auto"/>
                <w:sz w:val="24"/>
                <w:szCs w:val="24"/>
                <w:lang w:val="en-US" w:eastAsia="zh-CN"/>
              </w:rPr>
              <w:t>《危险废物识别标志设置技术规范》（HJ1276-2022）</w:t>
            </w:r>
            <w:r>
              <w:rPr>
                <w:rFonts w:hint="default" w:ascii="Times New Roman" w:hAnsi="Times New Roman" w:eastAsia="宋体" w:cs="Times New Roman"/>
                <w:color w:val="auto"/>
                <w:sz w:val="24"/>
                <w:szCs w:val="24"/>
              </w:rPr>
              <w:t>要求设置</w:t>
            </w:r>
            <w:r>
              <w:rPr>
                <w:rFonts w:hint="default" w:ascii="Times New Roman" w:hAnsi="Times New Roman" w:cs="Times New Roman"/>
                <w:color w:val="auto"/>
                <w:sz w:val="24"/>
                <w:szCs w:val="24"/>
                <w:lang w:eastAsia="zh-CN"/>
              </w:rPr>
              <w:t>危废贮存库</w:t>
            </w:r>
            <w:r>
              <w:rPr>
                <w:rFonts w:hint="default" w:ascii="Times New Roman" w:hAnsi="Times New Roman" w:eastAsia="宋体" w:cs="Times New Roman"/>
                <w:color w:val="auto"/>
                <w:sz w:val="24"/>
                <w:szCs w:val="24"/>
              </w:rPr>
              <w:t>或场所标志、危险废物贮存分区标志和危险废物标签等识别标志。</w:t>
            </w:r>
          </w:p>
          <w:p w14:paraId="792F00A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⑥使用容器盛装液态危险废物时，容器内部应留有适当的空间，以适应因温度变化等可能引发的收缩和膨胀，防止其导致容器渗漏或永久变形。</w:t>
            </w:r>
          </w:p>
          <w:p w14:paraId="4EAC409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⑦</w:t>
            </w:r>
            <w:r>
              <w:rPr>
                <w:rFonts w:hint="default" w:ascii="Times New Roman" w:hAnsi="Times New Roman" w:cs="Times New Roman"/>
                <w:color w:val="auto"/>
                <w:sz w:val="24"/>
                <w:szCs w:val="24"/>
                <w:lang w:val="en-US" w:eastAsia="zh-CN"/>
              </w:rPr>
              <w:t>危废贮存库</w:t>
            </w:r>
            <w:r>
              <w:rPr>
                <w:rFonts w:hint="default" w:ascii="Times New Roman" w:hAnsi="Times New Roman" w:eastAsia="宋体" w:cs="Times New Roman"/>
                <w:color w:val="auto"/>
                <w:sz w:val="24"/>
                <w:szCs w:val="24"/>
              </w:rPr>
              <w:t>运行期间，应按国家有关标准和规定建立危险废物管理台账并保存。</w:t>
            </w:r>
          </w:p>
          <w:p w14:paraId="338467D5">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通过以上措施，本项目运营期产生的各类固废处置合理可行，去向明确，其处置措施体现了</w:t>
            </w:r>
            <w:r>
              <w:rPr>
                <w:rFonts w:hint="default" w:ascii="Times New Roman" w:hAnsi="Times New Roman"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rPr>
              <w:t>减量化、资源化、无害化</w:t>
            </w:r>
            <w:r>
              <w:rPr>
                <w:rFonts w:hint="default" w:ascii="Times New Roman" w:hAnsi="Times New Roman"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rPr>
              <w:t>的治理原则，对周围环境不会产生明显影响。</w:t>
            </w:r>
          </w:p>
          <w:p w14:paraId="361AC98A">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五、地下水环境影响分析</w:t>
            </w:r>
          </w:p>
          <w:p w14:paraId="6466893E">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工程分析，本项目无生产废水排放。本项目均在生产车间内进行，车间按照标准化厂房建设，具备防渗功能。项目产生的危险废物暂存于危险废物贮存设施内，贮存设施内严格按照相关规范进行重点防渗防腐处理。本项目无地下水污染源，故不进行地下水环境影响分析。</w:t>
            </w:r>
          </w:p>
          <w:p w14:paraId="4A2A5461">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六、土壤环境影响分析</w:t>
            </w:r>
          </w:p>
          <w:p w14:paraId="2F3F90C2">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1"/>
              <w:rPr>
                <w:rFonts w:hint="default" w:ascii="Times New Roman" w:hAnsi="Times New Roman" w:cs="Times New Roman"/>
                <w:color w:val="auto"/>
                <w:sz w:val="24"/>
              </w:rPr>
            </w:pPr>
            <w:r>
              <w:rPr>
                <w:rFonts w:hint="default" w:ascii="Times New Roman" w:hAnsi="Times New Roman" w:cs="Times New Roman"/>
                <w:color w:val="auto"/>
                <w:sz w:val="24"/>
              </w:rPr>
              <w:t>根据工程分析，项目大气沉降污染源为粉碎筛分、热熔挤出等工序，污染物类型为废气污染物，污染物为颗粒物、非甲烷总烃。土壤垂直入渗污染源主要为危险废物贮存设施，污染物为废</w:t>
            </w:r>
            <w:r>
              <w:rPr>
                <w:rFonts w:hint="eastAsia" w:cs="Times New Roman"/>
                <w:color w:val="auto"/>
                <w:sz w:val="24"/>
                <w:lang w:eastAsia="zh-CN"/>
              </w:rPr>
              <w:t>润滑油</w:t>
            </w:r>
            <w:r>
              <w:rPr>
                <w:rFonts w:hint="default" w:ascii="Times New Roman" w:hAnsi="Times New Roman" w:cs="Times New Roman"/>
                <w:color w:val="auto"/>
                <w:sz w:val="24"/>
              </w:rPr>
              <w:t>。</w:t>
            </w:r>
          </w:p>
          <w:p w14:paraId="28B5E55D">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1"/>
              <w:rPr>
                <w:rFonts w:hint="default" w:ascii="Times New Roman" w:hAnsi="Times New Roman" w:cs="Times New Roman"/>
                <w:color w:val="auto"/>
                <w:sz w:val="24"/>
              </w:rPr>
            </w:pPr>
            <w:r>
              <w:rPr>
                <w:rFonts w:hint="default" w:ascii="Times New Roman" w:hAnsi="Times New Roman" w:cs="Times New Roman"/>
                <w:color w:val="auto"/>
                <w:sz w:val="24"/>
              </w:rPr>
              <w:t>项目废机油经收集桶收集后交由有资质单位处理，项目对收集桶周边设置围堰，对危险废物贮存设施地面进行重点防渗处理，可以有效保证污染物不进入土壤环境。</w:t>
            </w:r>
          </w:p>
          <w:p w14:paraId="4C07F38F">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1"/>
              <w:rPr>
                <w:rFonts w:hint="default" w:ascii="Times New Roman" w:hAnsi="Times New Roman" w:cs="Times New Roman"/>
                <w:color w:val="auto"/>
                <w:sz w:val="24"/>
              </w:rPr>
            </w:pPr>
            <w:r>
              <w:rPr>
                <w:rFonts w:hint="default" w:ascii="Times New Roman" w:hAnsi="Times New Roman" w:cs="Times New Roman"/>
                <w:color w:val="auto"/>
                <w:sz w:val="24"/>
              </w:rPr>
              <w:t>项目大气污染物大多会沉降在车间内，项目生产车间地面进行硬化处理，可以有效保证污染物不进入土壤环境。且项目四周均为工业用地，距离土壤环境敏感目标较远，对周边土壤环境影响较小。</w:t>
            </w:r>
          </w:p>
          <w:p w14:paraId="425E96A6">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1"/>
              <w:rPr>
                <w:rFonts w:hint="default" w:ascii="Times New Roman" w:hAnsi="Times New Roman" w:cs="Times New Roman"/>
                <w:color w:val="auto"/>
                <w:sz w:val="24"/>
              </w:rPr>
            </w:pPr>
            <w:r>
              <w:rPr>
                <w:rFonts w:hint="default" w:ascii="Times New Roman" w:hAnsi="Times New Roman" w:cs="Times New Roman"/>
                <w:color w:val="auto"/>
                <w:sz w:val="24"/>
              </w:rPr>
              <w:t>综上所述，本项目对可能产生土壤环境污染影响的各项途径均进行有效预防，在加强维护和厂区环境管理的前提下，可有效控制厂区内的污染物污染土壤环境，项目运营期可不设置跟踪监测要求。</w:t>
            </w:r>
          </w:p>
          <w:p w14:paraId="29D321DD">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七、环境风险</w:t>
            </w:r>
          </w:p>
          <w:p w14:paraId="0ABE00AB">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b w:val="0"/>
                <w:bCs w:val="0"/>
                <w:color w:val="auto"/>
                <w:sz w:val="24"/>
                <w:lang w:val="en-US" w:eastAsia="zh-CN"/>
              </w:rPr>
              <w:t>（1）危险物质</w:t>
            </w:r>
            <w:r>
              <w:rPr>
                <w:rFonts w:hint="eastAsia" w:cs="Times New Roman"/>
                <w:b w:val="0"/>
                <w:bCs w:val="0"/>
                <w:color w:val="auto"/>
                <w:sz w:val="24"/>
                <w:lang w:val="en-US" w:eastAsia="zh-CN"/>
              </w:rPr>
              <w:t>识别</w:t>
            </w:r>
            <w:r>
              <w:rPr>
                <w:rFonts w:hint="default" w:ascii="Times New Roman" w:hAnsi="Times New Roman" w:eastAsia="宋体" w:cs="Times New Roman"/>
                <w:b w:val="0"/>
                <w:bCs w:val="0"/>
                <w:color w:val="auto"/>
                <w:sz w:val="24"/>
                <w:lang w:val="en-US" w:eastAsia="zh-CN"/>
              </w:rPr>
              <w:t>和风险等级评判</w:t>
            </w:r>
          </w:p>
          <w:p w14:paraId="7D85E91D">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依据《建设项目环境风险评价技术导则》（HJ169-2018）要求，结合《企业突发环境事件风险分级方法HJ941-2018》附录A第四部分，本项目生产、使用、储存过程中涉及易燃液态物质润滑油（废），主要对全厂仓库及</w:t>
            </w:r>
            <w:r>
              <w:rPr>
                <w:rFonts w:hint="eastAsia" w:cs="Times New Roman"/>
                <w:color w:val="auto"/>
                <w:sz w:val="24"/>
                <w:lang w:val="en-US" w:eastAsia="zh-CN"/>
              </w:rPr>
              <w:t>危险废物贮存设施</w:t>
            </w:r>
            <w:r>
              <w:rPr>
                <w:rFonts w:hint="default" w:ascii="Times New Roman" w:hAnsi="Times New Roman" w:eastAsia="宋体" w:cs="Times New Roman"/>
                <w:color w:val="auto"/>
                <w:sz w:val="24"/>
                <w:lang w:val="en-US" w:eastAsia="zh-CN"/>
              </w:rPr>
              <w:t>危险废物最大储存量进行风险分析，具体危险特性及分布情况见下表：</w:t>
            </w:r>
          </w:p>
          <w:p w14:paraId="7B7F7AEF">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de-DE" w:eastAsia="zh-CN"/>
              </w:rPr>
            </w:pPr>
            <w:r>
              <w:rPr>
                <w:rFonts w:hint="default" w:ascii="Times New Roman" w:hAnsi="Times New Roman" w:eastAsia="宋体" w:cs="Times New Roman"/>
                <w:b/>
                <w:bCs/>
                <w:color w:val="auto"/>
                <w:sz w:val="21"/>
                <w:szCs w:val="21"/>
                <w:lang w:val="de-DE" w:eastAsia="zh-CN"/>
              </w:rPr>
              <w:t>表4-</w:t>
            </w:r>
            <w:r>
              <w:rPr>
                <w:rFonts w:hint="default" w:ascii="Times New Roman" w:hAnsi="Times New Roman" w:cs="Times New Roman"/>
                <w:b/>
                <w:bCs/>
                <w:color w:val="auto"/>
                <w:sz w:val="21"/>
                <w:szCs w:val="21"/>
                <w:lang w:val="en-US" w:eastAsia="zh-CN"/>
              </w:rPr>
              <w:t>12</w:t>
            </w:r>
            <w:r>
              <w:rPr>
                <w:rFonts w:hint="default" w:ascii="Times New Roman" w:hAnsi="Times New Roman" w:eastAsia="宋体" w:cs="Times New Roman"/>
                <w:b/>
                <w:bCs/>
                <w:color w:val="auto"/>
                <w:sz w:val="21"/>
                <w:szCs w:val="21"/>
                <w:lang w:val="de-DE" w:eastAsia="zh-CN"/>
              </w:rPr>
              <w:t xml:space="preserve">  主要危险物质年用量及存储量一览表</w:t>
            </w:r>
          </w:p>
          <w:tbl>
            <w:tblPr>
              <w:tblStyle w:val="33"/>
              <w:tblW w:w="499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39"/>
              <w:gridCol w:w="584"/>
              <w:gridCol w:w="832"/>
              <w:gridCol w:w="968"/>
              <w:gridCol w:w="1387"/>
              <w:gridCol w:w="967"/>
              <w:gridCol w:w="1109"/>
              <w:gridCol w:w="1735"/>
            </w:tblGrid>
            <w:tr w14:paraId="5699B5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1" w:type="pct"/>
                  <w:tcBorders>
                    <w:tl2br w:val="nil"/>
                    <w:tr2bl w:val="nil"/>
                  </w:tcBorders>
                  <w:noWrap w:val="0"/>
                  <w:vAlign w:val="center"/>
                </w:tcPr>
                <w:p w14:paraId="71667E14">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342" w:type="pct"/>
                  <w:tcBorders>
                    <w:tl2br w:val="nil"/>
                    <w:tr2bl w:val="nil"/>
                  </w:tcBorders>
                  <w:noWrap w:val="0"/>
                  <w:vAlign w:val="center"/>
                </w:tcPr>
                <w:p w14:paraId="53C7E2CC">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形态</w:t>
                  </w:r>
                </w:p>
              </w:tc>
              <w:tc>
                <w:tcPr>
                  <w:tcW w:w="488" w:type="pct"/>
                  <w:tcBorders>
                    <w:tl2br w:val="nil"/>
                    <w:tr2bl w:val="nil"/>
                  </w:tcBorders>
                  <w:noWrap w:val="0"/>
                  <w:vAlign w:val="center"/>
                </w:tcPr>
                <w:p w14:paraId="7E9DC71F">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性质</w:t>
                  </w:r>
                </w:p>
              </w:tc>
              <w:tc>
                <w:tcPr>
                  <w:tcW w:w="568" w:type="pct"/>
                  <w:tcBorders>
                    <w:tl2br w:val="nil"/>
                    <w:tr2bl w:val="nil"/>
                  </w:tcBorders>
                  <w:noWrap w:val="0"/>
                  <w:vAlign w:val="center"/>
                </w:tcPr>
                <w:p w14:paraId="57B055DB">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CAS号</w:t>
                  </w:r>
                </w:p>
              </w:tc>
              <w:tc>
                <w:tcPr>
                  <w:tcW w:w="813" w:type="pct"/>
                  <w:tcBorders>
                    <w:tl2br w:val="nil"/>
                    <w:tr2bl w:val="nil"/>
                  </w:tcBorders>
                  <w:noWrap w:val="0"/>
                  <w:vAlign w:val="center"/>
                </w:tcPr>
                <w:p w14:paraId="64B54EF3">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分布位置</w:t>
                  </w:r>
                </w:p>
              </w:tc>
              <w:tc>
                <w:tcPr>
                  <w:tcW w:w="567" w:type="pct"/>
                  <w:tcBorders>
                    <w:tl2br w:val="nil"/>
                    <w:tr2bl w:val="nil"/>
                  </w:tcBorders>
                  <w:noWrap w:val="0"/>
                  <w:vAlign w:val="center"/>
                </w:tcPr>
                <w:p w14:paraId="7711E864">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最大储存量</w:t>
                  </w:r>
                  <w:r>
                    <w:rPr>
                      <w:rFonts w:hint="default" w:ascii="Times New Roman" w:hAnsi="Times New Roman" w:eastAsia="宋体" w:cs="Times New Roman"/>
                      <w:b/>
                      <w:bCs/>
                      <w:color w:val="auto"/>
                      <w:sz w:val="21"/>
                      <w:szCs w:val="21"/>
                    </w:rPr>
                    <w:t>（t）</w:t>
                  </w:r>
                </w:p>
              </w:tc>
              <w:tc>
                <w:tcPr>
                  <w:tcW w:w="650" w:type="pct"/>
                  <w:tcBorders>
                    <w:tl2br w:val="nil"/>
                    <w:tr2bl w:val="nil"/>
                  </w:tcBorders>
                  <w:noWrap w:val="0"/>
                  <w:vAlign w:val="center"/>
                </w:tcPr>
                <w:p w14:paraId="502A7307">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临界量（t）</w:t>
                  </w:r>
                </w:p>
              </w:tc>
              <w:tc>
                <w:tcPr>
                  <w:tcW w:w="1018" w:type="pct"/>
                  <w:tcBorders>
                    <w:tl2br w:val="nil"/>
                    <w:tr2bl w:val="nil"/>
                  </w:tcBorders>
                  <w:noWrap w:val="0"/>
                  <w:vAlign w:val="center"/>
                </w:tcPr>
                <w:p w14:paraId="294DE782">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eastAsia="zh-CN"/>
                    </w:rPr>
                    <w:t>危险物质</w:t>
                  </w:r>
                  <w:r>
                    <w:rPr>
                      <w:rFonts w:hint="default" w:ascii="Times New Roman" w:hAnsi="Times New Roman" w:eastAsia="宋体" w:cs="Times New Roman"/>
                      <w:b/>
                      <w:bCs/>
                      <w:color w:val="auto"/>
                      <w:sz w:val="21"/>
                      <w:szCs w:val="21"/>
                      <w:lang w:val="en-US" w:eastAsia="zh-CN"/>
                    </w:rPr>
                    <w:t>Q值</w:t>
                  </w:r>
                </w:p>
              </w:tc>
            </w:tr>
            <w:tr w14:paraId="0C021A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1" w:type="pct"/>
                  <w:tcBorders>
                    <w:tl2br w:val="nil"/>
                    <w:tr2bl w:val="nil"/>
                  </w:tcBorders>
                  <w:noWrap w:val="0"/>
                  <w:vAlign w:val="center"/>
                </w:tcPr>
                <w:p w14:paraId="674D9BD8">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矿物油</w:t>
                  </w:r>
                </w:p>
              </w:tc>
              <w:tc>
                <w:tcPr>
                  <w:tcW w:w="342" w:type="pct"/>
                  <w:vMerge w:val="restart"/>
                  <w:tcBorders>
                    <w:tl2br w:val="nil"/>
                    <w:tr2bl w:val="nil"/>
                  </w:tcBorders>
                  <w:noWrap w:val="0"/>
                  <w:vAlign w:val="center"/>
                </w:tcPr>
                <w:p w14:paraId="3276BB93">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液态</w:t>
                  </w:r>
                </w:p>
              </w:tc>
              <w:tc>
                <w:tcPr>
                  <w:tcW w:w="488" w:type="pct"/>
                  <w:vMerge w:val="restart"/>
                  <w:tcBorders>
                    <w:tl2br w:val="nil"/>
                    <w:tr2bl w:val="nil"/>
                  </w:tcBorders>
                  <w:noWrap w:val="0"/>
                  <w:vAlign w:val="center"/>
                </w:tcPr>
                <w:p w14:paraId="28B54422">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易燃</w:t>
                  </w:r>
                </w:p>
                <w:p w14:paraId="52E5F5FE">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物质</w:t>
                  </w:r>
                </w:p>
              </w:tc>
              <w:tc>
                <w:tcPr>
                  <w:tcW w:w="568" w:type="pct"/>
                  <w:tcBorders>
                    <w:tl2br w:val="nil"/>
                    <w:tr2bl w:val="nil"/>
                  </w:tcBorders>
                  <w:noWrap w:val="0"/>
                  <w:vAlign w:val="center"/>
                </w:tcPr>
                <w:p w14:paraId="03BCF51D">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813" w:type="pct"/>
                  <w:tcBorders>
                    <w:tl2br w:val="nil"/>
                    <w:tr2bl w:val="nil"/>
                  </w:tcBorders>
                  <w:noWrap w:val="0"/>
                  <w:vAlign w:val="center"/>
                </w:tcPr>
                <w:p w14:paraId="49E21DE6">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仓库</w:t>
                  </w:r>
                </w:p>
              </w:tc>
              <w:tc>
                <w:tcPr>
                  <w:tcW w:w="567" w:type="pct"/>
                  <w:tcBorders>
                    <w:tl2br w:val="nil"/>
                    <w:tr2bl w:val="nil"/>
                  </w:tcBorders>
                  <w:noWrap w:val="0"/>
                  <w:vAlign w:val="center"/>
                </w:tcPr>
                <w:p w14:paraId="293E0712">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13</w:t>
                  </w:r>
                </w:p>
              </w:tc>
              <w:tc>
                <w:tcPr>
                  <w:tcW w:w="650" w:type="pct"/>
                  <w:tcBorders>
                    <w:tl2br w:val="nil"/>
                    <w:tr2bl w:val="nil"/>
                  </w:tcBorders>
                  <w:noWrap w:val="0"/>
                  <w:vAlign w:val="center"/>
                </w:tcPr>
                <w:p w14:paraId="7A5206E9">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2500</w:t>
                  </w:r>
                </w:p>
              </w:tc>
              <w:tc>
                <w:tcPr>
                  <w:tcW w:w="1018" w:type="pct"/>
                  <w:tcBorders>
                    <w:tl2br w:val="nil"/>
                    <w:tr2bl w:val="nil"/>
                  </w:tcBorders>
                  <w:noWrap w:val="0"/>
                  <w:vAlign w:val="center"/>
                </w:tcPr>
                <w:p w14:paraId="64FC1414">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0.0000</w:t>
                  </w:r>
                  <w:r>
                    <w:rPr>
                      <w:rFonts w:hint="eastAsia" w:cs="Times New Roman"/>
                      <w:color w:val="auto"/>
                      <w:sz w:val="21"/>
                      <w:szCs w:val="21"/>
                      <w:lang w:val="en-US" w:eastAsia="zh-CN"/>
                    </w:rPr>
                    <w:t>52</w:t>
                  </w:r>
                </w:p>
              </w:tc>
            </w:tr>
            <w:tr w14:paraId="30748F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1" w:type="pct"/>
                  <w:tcBorders>
                    <w:tl2br w:val="nil"/>
                    <w:tr2bl w:val="nil"/>
                  </w:tcBorders>
                  <w:noWrap w:val="0"/>
                  <w:vAlign w:val="center"/>
                </w:tcPr>
                <w:p w14:paraId="1E04F225">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废矿物质油</w:t>
                  </w:r>
                </w:p>
              </w:tc>
              <w:tc>
                <w:tcPr>
                  <w:tcW w:w="342" w:type="pct"/>
                  <w:vMerge w:val="continue"/>
                  <w:tcBorders>
                    <w:tl2br w:val="nil"/>
                    <w:tr2bl w:val="nil"/>
                  </w:tcBorders>
                  <w:noWrap w:val="0"/>
                  <w:vAlign w:val="center"/>
                </w:tcPr>
                <w:p w14:paraId="0C637CC1">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eastAsia="zh-CN"/>
                    </w:rPr>
                  </w:pPr>
                </w:p>
              </w:tc>
              <w:tc>
                <w:tcPr>
                  <w:tcW w:w="488" w:type="pct"/>
                  <w:vMerge w:val="continue"/>
                  <w:tcBorders>
                    <w:tl2br w:val="nil"/>
                    <w:tr2bl w:val="nil"/>
                  </w:tcBorders>
                  <w:noWrap w:val="0"/>
                  <w:vAlign w:val="center"/>
                </w:tcPr>
                <w:p w14:paraId="01FF3602">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p>
              </w:tc>
              <w:tc>
                <w:tcPr>
                  <w:tcW w:w="568" w:type="pct"/>
                  <w:tcBorders>
                    <w:tl2br w:val="nil"/>
                    <w:tr2bl w:val="nil"/>
                  </w:tcBorders>
                  <w:noWrap w:val="0"/>
                  <w:vAlign w:val="center"/>
                </w:tcPr>
                <w:p w14:paraId="14786D92">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p>
              </w:tc>
              <w:tc>
                <w:tcPr>
                  <w:tcW w:w="813" w:type="pct"/>
                  <w:tcBorders>
                    <w:tl2br w:val="nil"/>
                    <w:tr2bl w:val="nil"/>
                  </w:tcBorders>
                  <w:noWrap w:val="0"/>
                  <w:vAlign w:val="center"/>
                </w:tcPr>
                <w:p w14:paraId="562A5A0E">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危险废物贮存设施</w:t>
                  </w:r>
                </w:p>
              </w:tc>
              <w:tc>
                <w:tcPr>
                  <w:tcW w:w="567" w:type="pct"/>
                  <w:tcBorders>
                    <w:tl2br w:val="nil"/>
                    <w:tr2bl w:val="nil"/>
                  </w:tcBorders>
                  <w:noWrap w:val="0"/>
                  <w:vAlign w:val="center"/>
                </w:tcPr>
                <w:p w14:paraId="730AD1DA">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0.05</w:t>
                  </w:r>
                </w:p>
              </w:tc>
              <w:tc>
                <w:tcPr>
                  <w:tcW w:w="650" w:type="pct"/>
                  <w:tcBorders>
                    <w:tl2br w:val="nil"/>
                    <w:tr2bl w:val="nil"/>
                  </w:tcBorders>
                  <w:noWrap w:val="0"/>
                  <w:vAlign w:val="center"/>
                </w:tcPr>
                <w:p w14:paraId="778CEE09">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2500</w:t>
                  </w:r>
                </w:p>
              </w:tc>
              <w:tc>
                <w:tcPr>
                  <w:tcW w:w="1018" w:type="pct"/>
                  <w:tcBorders>
                    <w:tl2br w:val="nil"/>
                    <w:tr2bl w:val="nil"/>
                  </w:tcBorders>
                  <w:noWrap w:val="0"/>
                  <w:vAlign w:val="center"/>
                </w:tcPr>
                <w:p w14:paraId="39A84C80">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0.00002</w:t>
                  </w:r>
                </w:p>
              </w:tc>
            </w:tr>
            <w:tr w14:paraId="06B6AF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8"/>
                  <w:tcBorders>
                    <w:tl2br w:val="nil"/>
                    <w:tr2bl w:val="nil"/>
                  </w:tcBorders>
                  <w:noWrap w:val="0"/>
                  <w:vAlign w:val="center"/>
                </w:tcPr>
                <w:p w14:paraId="440C0DC6">
                  <w:pPr>
                    <w:keepNext/>
                    <w:keepLines/>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Q=0.</w:t>
                  </w:r>
                  <w:r>
                    <w:rPr>
                      <w:rFonts w:hint="eastAsia" w:cs="Times New Roman"/>
                      <w:b w:val="0"/>
                      <w:bCs w:val="0"/>
                      <w:color w:val="auto"/>
                      <w:sz w:val="21"/>
                      <w:szCs w:val="21"/>
                      <w:lang w:val="en-US" w:eastAsia="zh-CN"/>
                    </w:rPr>
                    <w:t>000072</w:t>
                  </w:r>
                </w:p>
              </w:tc>
            </w:tr>
          </w:tbl>
          <w:p w14:paraId="63D6CE33">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由《建设项目环境风险评价技术导则》（HJ169-2018）附录C可知，Q值＜1。根据《建设项目环境风险评价技术导则》（HJ169-2018）中项目风险等级判别表可知，评价等级为简单分析</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本次环评环境风险仅需进行简单分析即可。</w:t>
            </w:r>
          </w:p>
          <w:p w14:paraId="26F05F63">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（2）可能影响环境的途径</w:t>
            </w:r>
          </w:p>
          <w:p w14:paraId="0EF1A5A2">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本项目投入的风险物料为生产使用的矿物油。</w:t>
            </w:r>
          </w:p>
          <w:p w14:paraId="59EC4284">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矿物油泄漏可能影响环境的途径为：泄漏后污染导致污染土壤、地下水，如发生泄漏易引起火灾和爆炸的危险，火灾衍生燃烧废气会污染大气环境。</w:t>
            </w:r>
          </w:p>
          <w:p w14:paraId="6D25C3A9">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（3）风险防范措施</w:t>
            </w:r>
          </w:p>
          <w:p w14:paraId="461ED632">
            <w:pPr>
              <w:pStyle w:val="169"/>
              <w:keepNext w:val="0"/>
              <w:keepLines w:val="0"/>
              <w:widowControl w:val="0"/>
              <w:suppressLineNumbers w:val="0"/>
              <w:tabs>
                <w:tab w:val="left" w:pos="1318"/>
              </w:tabs>
              <w:spacing w:before="0" w:beforeAutospacing="0" w:after="0" w:afterAutospacing="0"/>
              <w:ind w:left="0" w:right="0"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1）加强风险管理</w:t>
            </w:r>
          </w:p>
          <w:p w14:paraId="5AAED855">
            <w:pPr>
              <w:pStyle w:val="169"/>
              <w:keepNext w:val="0"/>
              <w:keepLines w:val="0"/>
              <w:widowControl w:val="0"/>
              <w:suppressLineNumbers w:val="0"/>
              <w:tabs>
                <w:tab w:val="left" w:pos="1318"/>
              </w:tabs>
              <w:spacing w:before="0" w:beforeAutospacing="0" w:after="0" w:afterAutospacing="0"/>
              <w:ind w:left="0" w:right="0"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①树立并强化环境风险意识：贯彻“安全第一，预防为主”方针，树立环境风险意识，强化环境风险责任，体现环境保护的内容。</w:t>
            </w:r>
          </w:p>
          <w:p w14:paraId="4A5DAFCB">
            <w:pPr>
              <w:pStyle w:val="169"/>
              <w:keepNext w:val="0"/>
              <w:keepLines w:val="0"/>
              <w:widowControl w:val="0"/>
              <w:suppressLineNumbers w:val="0"/>
              <w:tabs>
                <w:tab w:val="left" w:pos="1318"/>
              </w:tabs>
              <w:spacing w:before="0" w:beforeAutospacing="0" w:after="0" w:afterAutospacing="0"/>
              <w:ind w:left="0" w:right="0"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②实行安全环保管理制度：应针对建设项目开展全面、全员、全过程的系统安全管理，把安全工作的重点放在系统的安全隐患上，并从整体和全局上促进建设项目各个环节的安全操作，并建立监察、检测、管理，实行安全检查目标管理</w:t>
            </w:r>
          </w:p>
          <w:p w14:paraId="5D8AD47A">
            <w:pPr>
              <w:pStyle w:val="169"/>
              <w:keepNext w:val="0"/>
              <w:keepLines w:val="0"/>
              <w:widowControl w:val="0"/>
              <w:suppressLineNumbers w:val="0"/>
              <w:tabs>
                <w:tab w:val="left" w:pos="1318"/>
              </w:tabs>
              <w:spacing w:before="0" w:beforeAutospacing="0" w:after="0" w:afterAutospacing="0"/>
              <w:ind w:left="0" w:right="0"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③规范并强化风险预防措施：为预防安全事故的发生，建设单位应制定安全管理规章制度，并采取相应的预防和处理措施。火灾、爆炸事故的发生，也会产生一定的环境污染，对于这类事故的预防需要制定相应的防范措施，从运输、生产、贮存过程中予以全面考虑，并力求做到规范且可操作性强。</w:t>
            </w:r>
          </w:p>
          <w:p w14:paraId="1942B2DC">
            <w:pPr>
              <w:pStyle w:val="169"/>
              <w:keepNext w:val="0"/>
              <w:keepLines w:val="0"/>
              <w:widowControl w:val="0"/>
              <w:suppressLineNumbers w:val="0"/>
              <w:tabs>
                <w:tab w:val="left" w:pos="1318"/>
              </w:tabs>
              <w:spacing w:before="0" w:beforeAutospacing="0" w:after="0" w:afterAutospacing="0"/>
              <w:ind w:left="0" w:right="0"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④提高生产及管理人员的技术水平：人员的失误也是导致事故发生的重要因素之一。失误的原因主要有技术水平低下、身体状况、工作疏忽等。操作事故是生产过程中发生概率较大的风险事故，而操作及管理人员的技术水平则直接影响到此类事故的发生。建设单位应严格要求操作和管理人员的技术水平，职工上岗前必须参加培训，落实三级安全教育制度。</w:t>
            </w:r>
          </w:p>
          <w:p w14:paraId="704EFB70">
            <w:pPr>
              <w:pStyle w:val="169"/>
              <w:keepNext w:val="0"/>
              <w:keepLines w:val="0"/>
              <w:widowControl w:val="0"/>
              <w:suppressLineNumbers w:val="0"/>
              <w:tabs>
                <w:tab w:val="left" w:pos="1318"/>
              </w:tabs>
              <w:spacing w:before="0" w:beforeAutospacing="0" w:after="0" w:afterAutospacing="0"/>
              <w:ind w:left="0" w:right="0"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2）原料及产品储存风险防范措施</w:t>
            </w:r>
          </w:p>
          <w:p w14:paraId="0D31C020">
            <w:pPr>
              <w:pStyle w:val="169"/>
              <w:keepNext w:val="0"/>
              <w:keepLines w:val="0"/>
              <w:widowControl w:val="0"/>
              <w:suppressLineNumbers w:val="0"/>
              <w:tabs>
                <w:tab w:val="left" w:pos="1318"/>
              </w:tabs>
              <w:spacing w:before="0" w:beforeAutospacing="0" w:after="0" w:afterAutospacing="0"/>
              <w:ind w:left="0" w:right="0"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①加强回收废物的储存管理，储存过程必须严格遵守安全防火规定，原料区及成品区配备防火器材，项目的原料、产品严禁与易燃易爆品混存。</w:t>
            </w:r>
          </w:p>
          <w:p w14:paraId="5B061DE8">
            <w:pPr>
              <w:pStyle w:val="169"/>
              <w:keepNext w:val="0"/>
              <w:keepLines w:val="0"/>
              <w:widowControl w:val="0"/>
              <w:suppressLineNumbers w:val="0"/>
              <w:tabs>
                <w:tab w:val="left" w:pos="1318"/>
              </w:tabs>
              <w:spacing w:before="0" w:beforeAutospacing="0" w:after="0" w:afterAutospacing="0"/>
              <w:ind w:left="0" w:right="0"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②落实责任制，生产区域、原料区及成品区均设置专人看管，确保消防隐患时刻监控，不可利用废物定期清理。</w:t>
            </w:r>
          </w:p>
          <w:p w14:paraId="74855CB4">
            <w:pPr>
              <w:pStyle w:val="169"/>
              <w:keepNext w:val="0"/>
              <w:keepLines w:val="0"/>
              <w:widowControl w:val="0"/>
              <w:suppressLineNumbers w:val="0"/>
              <w:tabs>
                <w:tab w:val="left" w:pos="1318"/>
              </w:tabs>
              <w:spacing w:before="0" w:beforeAutospacing="0" w:after="0" w:afterAutospacing="0"/>
              <w:ind w:left="0" w:right="0"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③原料区及成品区处设置明显的标志。</w:t>
            </w:r>
          </w:p>
          <w:p w14:paraId="18AF6829">
            <w:pPr>
              <w:pStyle w:val="169"/>
              <w:keepNext w:val="0"/>
              <w:keepLines w:val="0"/>
              <w:widowControl w:val="0"/>
              <w:suppressLineNumbers w:val="0"/>
              <w:tabs>
                <w:tab w:val="left" w:pos="1318"/>
              </w:tabs>
              <w:spacing w:before="0" w:beforeAutospacing="0" w:after="0" w:afterAutospacing="0"/>
              <w:ind w:left="0" w:right="0"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④对废塑料泡沫原料按计划采购、分期分批入库，严格控制贮存量。</w:t>
            </w:r>
          </w:p>
          <w:p w14:paraId="3B538408">
            <w:pPr>
              <w:pStyle w:val="169"/>
              <w:keepNext w:val="0"/>
              <w:keepLines w:val="0"/>
              <w:widowControl w:val="0"/>
              <w:suppressLineNumbers w:val="0"/>
              <w:tabs>
                <w:tab w:val="left" w:pos="1318"/>
              </w:tabs>
              <w:spacing w:before="0" w:beforeAutospacing="0" w:after="0" w:afterAutospacing="0"/>
              <w:ind w:left="0" w:right="0"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⑤对各类火种、火源和有散发火花危险的机械设备、作业活动，以及可燃、易燃物品的控制和管理。</w:t>
            </w:r>
          </w:p>
          <w:p w14:paraId="2A735C25">
            <w:pPr>
              <w:pStyle w:val="169"/>
              <w:keepNext w:val="0"/>
              <w:keepLines w:val="0"/>
              <w:widowControl w:val="0"/>
              <w:suppressLineNumbers w:val="0"/>
              <w:tabs>
                <w:tab w:val="left" w:pos="1318"/>
              </w:tabs>
              <w:spacing w:before="0" w:beforeAutospacing="0" w:after="0" w:afterAutospacing="0"/>
              <w:ind w:left="0" w:right="0"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3）泄漏风险防范措施</w:t>
            </w:r>
          </w:p>
          <w:p w14:paraId="28290CD2">
            <w:pPr>
              <w:pStyle w:val="169"/>
              <w:keepNext w:val="0"/>
              <w:keepLines w:val="0"/>
              <w:widowControl w:val="0"/>
              <w:suppressLineNumbers w:val="0"/>
              <w:tabs>
                <w:tab w:val="left" w:pos="1318"/>
              </w:tabs>
              <w:spacing w:before="0" w:beforeAutospacing="0" w:after="0" w:afterAutospacing="0"/>
              <w:ind w:left="0" w:right="0"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在液态危险物质暂存区设置围堰，围堰高度不低于0.5m，围堰有效容积大于1个储油桶全部泄漏量，可确保泄漏物料不进入环境。同时，围堰应做好防渗工作，确保不会对区域地下水带来污染。厂区进行分区防渗。</w:t>
            </w:r>
          </w:p>
          <w:p w14:paraId="4F36596E">
            <w:pPr>
              <w:pStyle w:val="169"/>
              <w:keepNext w:val="0"/>
              <w:keepLines w:val="0"/>
              <w:widowControl w:val="0"/>
              <w:suppressLineNumbers w:val="0"/>
              <w:tabs>
                <w:tab w:val="left" w:pos="1318"/>
              </w:tabs>
              <w:spacing w:before="0" w:beforeAutospacing="0" w:after="0" w:afterAutospacing="0"/>
              <w:ind w:left="0" w:right="0"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4）分区防渗措施</w:t>
            </w:r>
          </w:p>
          <w:p w14:paraId="5DDB8758">
            <w:pPr>
              <w:pStyle w:val="169"/>
              <w:keepNext w:val="0"/>
              <w:keepLines w:val="0"/>
              <w:widowControl w:val="0"/>
              <w:suppressLineNumbers w:val="0"/>
              <w:tabs>
                <w:tab w:val="left" w:pos="1318"/>
              </w:tabs>
              <w:spacing w:before="0" w:beforeAutospacing="0" w:after="0" w:afterAutospacing="0"/>
              <w:ind w:left="0" w:right="0"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项目划分为重点防渗区、一般防渗区。</w:t>
            </w:r>
          </w:p>
          <w:p w14:paraId="3FA2FC66">
            <w:pPr>
              <w:pStyle w:val="169"/>
              <w:keepNext w:val="0"/>
              <w:keepLines w:val="0"/>
              <w:widowControl w:val="0"/>
              <w:suppressLineNumbers w:val="0"/>
              <w:tabs>
                <w:tab w:val="left" w:pos="1318"/>
              </w:tabs>
              <w:spacing w:before="0" w:beforeAutospacing="0" w:after="0" w:afterAutospacing="0"/>
              <w:ind w:left="0" w:right="0"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重点防渗区：本项目危险废物贮存设施所在区域为重点防渗区，采取防渗混凝土+2mm厚环氧树脂防渗，液态危险物质储存区设置围堰，并对围堰四周采取防渗混凝土+2mm厚高密度聚乙烯膜防渗。</w:t>
            </w:r>
          </w:p>
          <w:p w14:paraId="509BFE5D">
            <w:pPr>
              <w:pStyle w:val="169"/>
              <w:keepNext w:val="0"/>
              <w:keepLines w:val="0"/>
              <w:widowControl w:val="0"/>
              <w:suppressLineNumbers w:val="0"/>
              <w:tabs>
                <w:tab w:val="left" w:pos="1318"/>
              </w:tabs>
              <w:spacing w:before="0" w:beforeAutospacing="0" w:after="0" w:afterAutospacing="0"/>
              <w:ind w:left="0" w:right="0"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一般防渗区：生产车间内其他区域为一般防渗区，满足等效黏土防护层Mb≥1.5m，K≤1×10</w:t>
            </w:r>
            <w:r>
              <w:rPr>
                <w:rFonts w:hint="default" w:ascii="Times New Roman" w:hAnsi="Times New Roman" w:cs="Times New Roman"/>
                <w:color w:val="auto"/>
                <w:sz w:val="24"/>
                <w:vertAlign w:val="superscript"/>
              </w:rPr>
              <w:t>-7</w:t>
            </w:r>
            <w:r>
              <w:rPr>
                <w:rFonts w:hint="default" w:ascii="Times New Roman" w:hAnsi="Times New Roman" w:cs="Times New Roman"/>
                <w:color w:val="auto"/>
                <w:sz w:val="24"/>
              </w:rPr>
              <w:t>cm/s的一般防渗区防渗要求。</w:t>
            </w:r>
          </w:p>
          <w:p w14:paraId="4DA3526B">
            <w:pPr>
              <w:pStyle w:val="169"/>
              <w:keepNext w:val="0"/>
              <w:keepLines w:val="0"/>
              <w:widowControl w:val="0"/>
              <w:suppressLineNumbers w:val="0"/>
              <w:tabs>
                <w:tab w:val="left" w:pos="1318"/>
              </w:tabs>
              <w:spacing w:before="0" w:beforeAutospacing="0" w:after="0" w:afterAutospacing="0"/>
              <w:ind w:left="0" w:right="0"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（3）应急预案</w:t>
            </w:r>
          </w:p>
          <w:p w14:paraId="7E82B0A6">
            <w:pPr>
              <w:pStyle w:val="169"/>
              <w:keepNext w:val="0"/>
              <w:keepLines w:val="0"/>
              <w:widowControl w:val="0"/>
              <w:suppressLineNumbers w:val="0"/>
              <w:tabs>
                <w:tab w:val="left" w:pos="1318"/>
              </w:tabs>
              <w:spacing w:before="0" w:beforeAutospacing="0" w:after="0" w:afterAutospacing="0"/>
              <w:ind w:left="0" w:right="0"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①编制安全管理制度和安全操作规程；</w:t>
            </w:r>
          </w:p>
          <w:p w14:paraId="6610A35C">
            <w:pPr>
              <w:pStyle w:val="169"/>
              <w:keepNext w:val="0"/>
              <w:keepLines w:val="0"/>
              <w:widowControl w:val="0"/>
              <w:suppressLineNumbers w:val="0"/>
              <w:tabs>
                <w:tab w:val="left" w:pos="1318"/>
              </w:tabs>
              <w:spacing w:before="0" w:beforeAutospacing="0" w:after="0" w:afterAutospacing="0"/>
              <w:ind w:left="0" w:right="0"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②制定岗位安全应急处置卡，说明厂内的突发环境事件岗位应急处置措施；</w:t>
            </w:r>
          </w:p>
          <w:p w14:paraId="77B4C5D1">
            <w:pPr>
              <w:pStyle w:val="169"/>
              <w:keepNext w:val="0"/>
              <w:keepLines w:val="0"/>
              <w:widowControl w:val="0"/>
              <w:suppressLineNumbers w:val="0"/>
              <w:tabs>
                <w:tab w:val="left" w:pos="1318"/>
              </w:tabs>
              <w:spacing w:before="0" w:beforeAutospacing="0" w:after="0" w:afterAutospacing="0"/>
              <w:ind w:left="0" w:right="0"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③加强对员工的安全教育培训；</w:t>
            </w:r>
          </w:p>
          <w:p w14:paraId="25B17D9A">
            <w:pPr>
              <w:pStyle w:val="169"/>
              <w:keepNext w:val="0"/>
              <w:keepLines w:val="0"/>
              <w:widowControl w:val="0"/>
              <w:suppressLineNumbers w:val="0"/>
              <w:tabs>
                <w:tab w:val="left" w:pos="1318"/>
              </w:tabs>
              <w:spacing w:before="0" w:beforeAutospacing="0" w:after="0" w:afterAutospacing="0"/>
              <w:ind w:left="0" w:right="0"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④对应急设施定期进行安全检查；</w:t>
            </w:r>
          </w:p>
          <w:p w14:paraId="6B89EDCC">
            <w:pPr>
              <w:pStyle w:val="169"/>
              <w:keepNext w:val="0"/>
              <w:keepLines w:val="0"/>
              <w:widowControl w:val="0"/>
              <w:suppressLineNumbers w:val="0"/>
              <w:tabs>
                <w:tab w:val="left" w:pos="1318"/>
              </w:tabs>
              <w:spacing w:before="0" w:beforeAutospacing="0" w:after="0" w:afterAutospacing="0"/>
              <w:ind w:left="0" w:right="0"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⑤物料储存严格按照储存场所的储存能力进行储存物料，严禁超量储存物料；</w:t>
            </w:r>
          </w:p>
          <w:p w14:paraId="6E7DAE37">
            <w:pPr>
              <w:pStyle w:val="169"/>
              <w:keepNext w:val="0"/>
              <w:keepLines w:val="0"/>
              <w:widowControl w:val="0"/>
              <w:suppressLineNumbers w:val="0"/>
              <w:tabs>
                <w:tab w:val="left" w:pos="1318"/>
              </w:tabs>
              <w:spacing w:before="0" w:beforeAutospacing="0" w:after="0" w:afterAutospacing="0"/>
              <w:ind w:left="0" w:right="0"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⑥将各岗位的安全操作规程上墙公开，以便随时提醒现场作业人员，避免错误或违章操作事件的发生。</w:t>
            </w:r>
          </w:p>
          <w:p w14:paraId="04F1480E">
            <w:pPr>
              <w:pStyle w:val="169"/>
              <w:keepNext w:val="0"/>
              <w:keepLines w:val="0"/>
              <w:widowControl w:val="0"/>
              <w:suppressLineNumbers w:val="0"/>
              <w:tabs>
                <w:tab w:val="left" w:pos="1318"/>
              </w:tabs>
              <w:spacing w:before="0" w:beforeAutospacing="0" w:after="0" w:afterAutospacing="0"/>
              <w:ind w:left="0" w:right="0"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⑦厂区配备必要的应急物资，主要包括灭火器、安全帽、防护手套、应急照明灯、医疗急救物品等。</w:t>
            </w:r>
          </w:p>
          <w:p w14:paraId="11A46EFC">
            <w:pPr>
              <w:pStyle w:val="169"/>
              <w:keepNext w:val="0"/>
              <w:keepLines w:val="0"/>
              <w:widowControl w:val="0"/>
              <w:suppressLineNumbers w:val="0"/>
              <w:tabs>
                <w:tab w:val="left" w:pos="1318"/>
              </w:tabs>
              <w:spacing w:before="0" w:beforeAutospacing="0" w:after="0" w:afterAutospacing="0"/>
              <w:ind w:left="0" w:right="0"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（4）环境风险评价结论</w:t>
            </w:r>
          </w:p>
          <w:p w14:paraId="7B97CCF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风险物质与其临界量比值Q＜1，建设单位制定完善安全管理、降低风险规章制度，在管理、控制及监督、生产和维护方面采取成熟的降低事故风险的经验和措施。在落实各项措施的前提下，项目安全性将得到有效保证，环境风险事故发生概率较小，环境风险属可接受水平。</w:t>
            </w:r>
          </w:p>
          <w:p w14:paraId="0651E10A">
            <w:pPr>
              <w:keepNext w:val="0"/>
              <w:keepLines w:val="0"/>
              <w:suppressLineNumbers w:val="0"/>
              <w:spacing w:before="0" w:beforeAutospacing="0" w:after="0" w:afterAutospacing="0"/>
              <w:ind w:left="0" w:right="0"/>
              <w:rPr>
                <w:rFonts w:hint="default" w:ascii="Times New Roman" w:hAnsi="Times New Roman" w:cs="Times New Roman"/>
                <w:color w:val="auto"/>
              </w:rPr>
            </w:pPr>
          </w:p>
        </w:tc>
      </w:tr>
    </w:tbl>
    <w:p w14:paraId="79FCABB3">
      <w:pPr>
        <w:adjustRightInd w:val="0"/>
        <w:snapToGrid w:val="0"/>
        <w:spacing w:line="360" w:lineRule="auto"/>
        <w:rPr>
          <w:rFonts w:hint="default" w:ascii="Times New Roman" w:hAnsi="Times New Roman" w:cs="Times New Roman"/>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2E424CD4">
      <w:pPr>
        <w:pStyle w:val="27"/>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五、</w:t>
      </w:r>
      <w:bookmarkStart w:id="4" w:name="_Hlk54167917"/>
      <w:r>
        <w:rPr>
          <w:rFonts w:hint="default" w:ascii="Times New Roman" w:hAnsi="Times New Roman" w:eastAsia="黑体" w:cs="Times New Roman"/>
          <w:snapToGrid w:val="0"/>
          <w:color w:val="auto"/>
          <w:sz w:val="30"/>
          <w:szCs w:val="30"/>
        </w:rPr>
        <w:t>环境保护措施监督检查清单</w:t>
      </w:r>
      <w:bookmarkEnd w:id="4"/>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392"/>
        <w:gridCol w:w="1245"/>
        <w:gridCol w:w="933"/>
        <w:gridCol w:w="2445"/>
        <w:gridCol w:w="2752"/>
      </w:tblGrid>
      <w:tr w14:paraId="5D0BCF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tcBorders>
              <w:tl2br w:val="single" w:color="auto" w:sz="4" w:space="0"/>
            </w:tcBorders>
            <w:noWrap w:val="0"/>
            <w:vAlign w:val="center"/>
          </w:tcPr>
          <w:p w14:paraId="068EB1F7">
            <w:pPr>
              <w:keepNext w:val="0"/>
              <w:keepLines w:val="0"/>
              <w:suppressLineNumbers w:val="0"/>
              <w:adjustRightInd w:val="0"/>
              <w:snapToGrid w:val="0"/>
              <w:spacing w:before="0" w:beforeAutospacing="0" w:after="0" w:afterAutospacing="0"/>
              <w:ind w:left="0" w:right="0" w:firstLine="632" w:firstLineChars="300"/>
              <w:jc w:val="both"/>
              <w:rPr>
                <w:rFonts w:hint="default" w:ascii="Times New Roman" w:hAnsi="Times New Roman" w:cs="Times New Roman"/>
                <w:b/>
                <w:bCs/>
                <w:color w:val="auto"/>
                <w:szCs w:val="21"/>
              </w:rPr>
            </w:pPr>
            <w:r>
              <w:rPr>
                <w:rFonts w:hint="default" w:ascii="Times New Roman" w:hAnsi="Times New Roman" w:cs="Times New Roman"/>
                <w:b/>
                <w:bCs/>
                <w:color w:val="auto"/>
                <w:szCs w:val="21"/>
              </w:rPr>
              <w:t>内容</w:t>
            </w:r>
          </w:p>
          <w:p w14:paraId="669A41F0">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b/>
                <w:bCs/>
                <w:color w:val="auto"/>
                <w:szCs w:val="21"/>
              </w:rPr>
            </w:pPr>
            <w:r>
              <w:rPr>
                <w:rFonts w:hint="default" w:ascii="Times New Roman" w:hAnsi="Times New Roman" w:cs="Times New Roman"/>
                <w:b/>
                <w:bCs/>
                <w:color w:val="auto"/>
                <w:szCs w:val="21"/>
              </w:rPr>
              <w:t>要素</w:t>
            </w:r>
          </w:p>
        </w:tc>
        <w:tc>
          <w:tcPr>
            <w:tcW w:w="1637" w:type="dxa"/>
            <w:gridSpan w:val="2"/>
            <w:noWrap w:val="0"/>
            <w:vAlign w:val="center"/>
          </w:tcPr>
          <w:p w14:paraId="1377FC9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排放口</w:t>
            </w:r>
            <w:r>
              <w:rPr>
                <w:rFonts w:hint="default" w:ascii="Times New Roman" w:hAnsi="Times New Roman" w:cs="Times New Roman"/>
                <w:b/>
                <w:bCs/>
                <w:color w:val="auto"/>
                <w:szCs w:val="21"/>
                <w:lang w:eastAsia="zh-CN"/>
              </w:rPr>
              <w:t>（</w:t>
            </w:r>
            <w:r>
              <w:rPr>
                <w:rFonts w:hint="default" w:ascii="Times New Roman" w:hAnsi="Times New Roman" w:cs="Times New Roman"/>
                <w:b/>
                <w:bCs/>
                <w:color w:val="auto"/>
                <w:szCs w:val="21"/>
              </w:rPr>
              <w:t>编号、名称</w:t>
            </w:r>
            <w:r>
              <w:rPr>
                <w:rFonts w:hint="default" w:ascii="Times New Roman" w:hAnsi="Times New Roman" w:cs="Times New Roman"/>
                <w:b/>
                <w:bCs/>
                <w:color w:val="auto"/>
                <w:szCs w:val="21"/>
                <w:lang w:eastAsia="zh-CN"/>
              </w:rPr>
              <w:t>）</w:t>
            </w:r>
            <w:r>
              <w:rPr>
                <w:rFonts w:hint="default" w:ascii="Times New Roman" w:hAnsi="Times New Roman" w:cs="Times New Roman"/>
                <w:b/>
                <w:bCs/>
                <w:color w:val="auto"/>
                <w:szCs w:val="21"/>
              </w:rPr>
              <w:t>/污染源</w:t>
            </w:r>
          </w:p>
        </w:tc>
        <w:tc>
          <w:tcPr>
            <w:tcW w:w="933" w:type="dxa"/>
            <w:noWrap w:val="0"/>
            <w:vAlign w:val="center"/>
          </w:tcPr>
          <w:p w14:paraId="2142F49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污染物项目</w:t>
            </w:r>
          </w:p>
        </w:tc>
        <w:tc>
          <w:tcPr>
            <w:tcW w:w="2445" w:type="dxa"/>
            <w:noWrap w:val="0"/>
            <w:vAlign w:val="center"/>
          </w:tcPr>
          <w:p w14:paraId="16B6464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环境保护措施</w:t>
            </w:r>
          </w:p>
        </w:tc>
        <w:tc>
          <w:tcPr>
            <w:tcW w:w="2752" w:type="dxa"/>
            <w:noWrap w:val="0"/>
            <w:vAlign w:val="center"/>
          </w:tcPr>
          <w:p w14:paraId="5EC810F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执行标准</w:t>
            </w:r>
          </w:p>
        </w:tc>
      </w:tr>
      <w:tr w14:paraId="10CDDA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restart"/>
            <w:noWrap w:val="0"/>
            <w:vAlign w:val="center"/>
          </w:tcPr>
          <w:p w14:paraId="7DBA3253">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大气环境</w:t>
            </w:r>
          </w:p>
        </w:tc>
        <w:tc>
          <w:tcPr>
            <w:tcW w:w="392" w:type="dxa"/>
            <w:vMerge w:val="restart"/>
            <w:noWrap w:val="0"/>
            <w:vAlign w:val="center"/>
          </w:tcPr>
          <w:p w14:paraId="40D83712">
            <w:pPr>
              <w:pStyle w:val="97"/>
              <w:keepNext w:val="0"/>
              <w:keepLines w:val="0"/>
              <w:suppressLineNumbers w:val="0"/>
              <w:adjustRightInd w:val="0"/>
              <w:snapToGrid w:val="0"/>
              <w:spacing w:before="0" w:beforeAutospacing="0" w:after="0" w:afterAutospacing="0"/>
              <w:ind w:left="0" w:right="0"/>
              <w:contextualSpacing/>
              <w:jc w:val="both"/>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有组织废气</w:t>
            </w:r>
          </w:p>
        </w:tc>
        <w:tc>
          <w:tcPr>
            <w:tcW w:w="1245" w:type="dxa"/>
            <w:noWrap w:val="0"/>
            <w:vAlign w:val="center"/>
          </w:tcPr>
          <w:p w14:paraId="0A1ED4FD">
            <w:pPr>
              <w:pStyle w:val="97"/>
              <w:keepNext w:val="0"/>
              <w:keepLines w:val="0"/>
              <w:suppressLineNumbers w:val="0"/>
              <w:adjustRightInd w:val="0"/>
              <w:snapToGrid w:val="0"/>
              <w:spacing w:before="0" w:beforeAutospacing="0" w:after="0" w:afterAutospacing="0"/>
              <w:ind w:left="0" w:right="0"/>
              <w:contextualSpacing/>
              <w:jc w:val="both"/>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粉碎</w:t>
            </w:r>
          </w:p>
          <w:p w14:paraId="6CA21C4B">
            <w:pPr>
              <w:pStyle w:val="97"/>
              <w:keepNext w:val="0"/>
              <w:keepLines w:val="0"/>
              <w:suppressLineNumbers w:val="0"/>
              <w:adjustRightInd w:val="0"/>
              <w:snapToGrid w:val="0"/>
              <w:spacing w:before="0" w:beforeAutospacing="0" w:after="0" w:afterAutospacing="0"/>
              <w:ind w:left="0" w:right="0"/>
              <w:contextualSpacing/>
              <w:jc w:val="both"/>
              <w:rPr>
                <w:rFonts w:hint="default" w:ascii="Times New Roman" w:hAnsi="Times New Roman" w:cs="Times New Roman"/>
                <w:b w:val="0"/>
                <w:bCs w:val="0"/>
                <w:color w:val="auto"/>
                <w:szCs w:val="21"/>
                <w:lang w:val="en-US" w:eastAsia="zh-CN"/>
              </w:rPr>
            </w:pPr>
            <w:r>
              <w:rPr>
                <w:rFonts w:hint="eastAsia" w:cs="Times New Roman"/>
                <w:b w:val="0"/>
                <w:bCs w:val="0"/>
                <w:color w:val="auto"/>
                <w:szCs w:val="21"/>
                <w:lang w:val="en-US" w:eastAsia="zh-CN"/>
              </w:rPr>
              <w:t>(</w:t>
            </w:r>
            <w:r>
              <w:rPr>
                <w:rFonts w:hint="default" w:ascii="Times New Roman" w:hAnsi="Times New Roman" w:cs="Times New Roman"/>
                <w:b w:val="0"/>
                <w:bCs w:val="0"/>
                <w:color w:val="auto"/>
                <w:szCs w:val="21"/>
                <w:lang w:val="en-US" w:eastAsia="zh-CN"/>
              </w:rPr>
              <w:t>DA001</w:t>
            </w:r>
            <w:r>
              <w:rPr>
                <w:rFonts w:hint="eastAsia" w:cs="Times New Roman"/>
                <w:b w:val="0"/>
                <w:bCs w:val="0"/>
                <w:color w:val="auto"/>
                <w:szCs w:val="21"/>
                <w:lang w:val="en-US" w:eastAsia="zh-CN"/>
              </w:rPr>
              <w:t>)</w:t>
            </w:r>
          </w:p>
        </w:tc>
        <w:tc>
          <w:tcPr>
            <w:tcW w:w="933" w:type="dxa"/>
            <w:noWrap w:val="0"/>
            <w:vAlign w:val="center"/>
          </w:tcPr>
          <w:p w14:paraId="43651ED7">
            <w:pPr>
              <w:pStyle w:val="97"/>
              <w:keepNext w:val="0"/>
              <w:keepLines w:val="0"/>
              <w:suppressLineNumbers w:val="0"/>
              <w:adjustRightInd w:val="0"/>
              <w:snapToGrid w:val="0"/>
              <w:spacing w:before="0" w:beforeAutospacing="0" w:after="0" w:afterAutospacing="0"/>
              <w:ind w:left="0" w:right="0"/>
              <w:contextualSpacing/>
              <w:jc w:val="both"/>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颗粒物</w:t>
            </w:r>
          </w:p>
        </w:tc>
        <w:tc>
          <w:tcPr>
            <w:tcW w:w="2445" w:type="dxa"/>
            <w:noWrap w:val="0"/>
            <w:vAlign w:val="center"/>
          </w:tcPr>
          <w:p w14:paraId="77641B6F">
            <w:pPr>
              <w:pStyle w:val="97"/>
              <w:keepNext w:val="0"/>
              <w:keepLines w:val="0"/>
              <w:suppressLineNumbers w:val="0"/>
              <w:adjustRightInd w:val="0"/>
              <w:snapToGrid w:val="0"/>
              <w:spacing w:before="0" w:beforeAutospacing="0" w:after="0" w:afterAutospacing="0"/>
              <w:ind w:left="0" w:right="0"/>
              <w:contextualSpacing/>
              <w:jc w:val="both"/>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集气罩+布袋除尘器</w:t>
            </w:r>
          </w:p>
          <w:p w14:paraId="38D419BE">
            <w:pPr>
              <w:pStyle w:val="97"/>
              <w:keepNext w:val="0"/>
              <w:keepLines w:val="0"/>
              <w:suppressLineNumbers w:val="0"/>
              <w:adjustRightInd w:val="0"/>
              <w:snapToGrid w:val="0"/>
              <w:spacing w:before="0" w:beforeAutospacing="0" w:after="0" w:afterAutospacing="0"/>
              <w:ind w:left="0" w:right="0"/>
              <w:contextualSpacing/>
              <w:jc w:val="both"/>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+15m排气筒（DA001）</w:t>
            </w:r>
          </w:p>
        </w:tc>
        <w:tc>
          <w:tcPr>
            <w:tcW w:w="2752" w:type="dxa"/>
            <w:vMerge w:val="restart"/>
            <w:noWrap w:val="0"/>
            <w:vAlign w:val="center"/>
          </w:tcPr>
          <w:p w14:paraId="02D2338F">
            <w:pPr>
              <w:pStyle w:val="97"/>
              <w:keepNext w:val="0"/>
              <w:keepLines w:val="0"/>
              <w:suppressLineNumbers w:val="0"/>
              <w:adjustRightInd w:val="0"/>
              <w:snapToGrid w:val="0"/>
              <w:spacing w:before="0" w:beforeAutospacing="0" w:after="0" w:afterAutospacing="0"/>
              <w:ind w:left="0" w:right="0"/>
              <w:contextualSpacing/>
              <w:jc w:val="both"/>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《合成树脂工业污染物排放标准》（GB31572-2015）及其修改单</w:t>
            </w:r>
          </w:p>
        </w:tc>
      </w:tr>
      <w:tr w14:paraId="4FA2C3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continue"/>
            <w:noWrap w:val="0"/>
            <w:vAlign w:val="center"/>
          </w:tcPr>
          <w:p w14:paraId="162F87AF">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auto"/>
                <w:szCs w:val="21"/>
                <w:lang w:eastAsia="zh-CN"/>
              </w:rPr>
            </w:pPr>
          </w:p>
        </w:tc>
        <w:tc>
          <w:tcPr>
            <w:tcW w:w="392" w:type="dxa"/>
            <w:vMerge w:val="continue"/>
            <w:noWrap w:val="0"/>
            <w:vAlign w:val="center"/>
          </w:tcPr>
          <w:p w14:paraId="6A886ECE">
            <w:pPr>
              <w:pStyle w:val="97"/>
              <w:keepNext w:val="0"/>
              <w:keepLines w:val="0"/>
              <w:suppressLineNumbers w:val="0"/>
              <w:adjustRightInd w:val="0"/>
              <w:snapToGrid w:val="0"/>
              <w:spacing w:before="0" w:beforeAutospacing="0" w:after="0" w:afterAutospacing="0"/>
              <w:ind w:left="0" w:right="0"/>
              <w:contextualSpacing/>
              <w:jc w:val="both"/>
              <w:rPr>
                <w:rFonts w:hint="default" w:ascii="Times New Roman" w:hAnsi="Times New Roman" w:cs="Times New Roman"/>
                <w:b w:val="0"/>
                <w:bCs w:val="0"/>
                <w:color w:val="auto"/>
                <w:szCs w:val="21"/>
                <w:lang w:val="en-US" w:eastAsia="zh-CN"/>
              </w:rPr>
            </w:pPr>
          </w:p>
        </w:tc>
        <w:tc>
          <w:tcPr>
            <w:tcW w:w="1245" w:type="dxa"/>
            <w:noWrap w:val="0"/>
            <w:vAlign w:val="center"/>
          </w:tcPr>
          <w:p w14:paraId="0ACD4B78">
            <w:pPr>
              <w:pStyle w:val="97"/>
              <w:keepNext w:val="0"/>
              <w:keepLines w:val="0"/>
              <w:suppressLineNumbers w:val="0"/>
              <w:adjustRightInd w:val="0"/>
              <w:snapToGrid w:val="0"/>
              <w:spacing w:before="0" w:beforeAutospacing="0" w:after="0" w:afterAutospacing="0"/>
              <w:ind w:left="0" w:right="0"/>
              <w:contextualSpacing/>
              <w:jc w:val="both"/>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挤出造粒（DA002）</w:t>
            </w:r>
          </w:p>
        </w:tc>
        <w:tc>
          <w:tcPr>
            <w:tcW w:w="933" w:type="dxa"/>
            <w:noWrap w:val="0"/>
            <w:vAlign w:val="center"/>
          </w:tcPr>
          <w:p w14:paraId="457268AB">
            <w:pPr>
              <w:pStyle w:val="97"/>
              <w:keepNext w:val="0"/>
              <w:keepLines w:val="0"/>
              <w:suppressLineNumbers w:val="0"/>
              <w:adjustRightInd w:val="0"/>
              <w:snapToGrid w:val="0"/>
              <w:spacing w:before="0" w:beforeAutospacing="0" w:after="0" w:afterAutospacing="0"/>
              <w:ind w:left="0" w:right="0"/>
              <w:contextualSpacing/>
              <w:jc w:val="both"/>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非甲烷总烃</w:t>
            </w:r>
          </w:p>
        </w:tc>
        <w:tc>
          <w:tcPr>
            <w:tcW w:w="2445" w:type="dxa"/>
            <w:noWrap w:val="0"/>
            <w:vAlign w:val="center"/>
          </w:tcPr>
          <w:p w14:paraId="51F21DD4">
            <w:pPr>
              <w:pStyle w:val="97"/>
              <w:keepNext w:val="0"/>
              <w:keepLines w:val="0"/>
              <w:suppressLineNumbers w:val="0"/>
              <w:adjustRightInd w:val="0"/>
              <w:snapToGrid w:val="0"/>
              <w:spacing w:before="0" w:beforeAutospacing="0" w:after="0" w:afterAutospacing="0"/>
              <w:ind w:left="0" w:right="0"/>
              <w:contextualSpacing/>
              <w:jc w:val="both"/>
              <w:rPr>
                <w:rFonts w:hint="default" w:ascii="Times New Roman" w:hAnsi="Times New Roman" w:cs="Times New Roman"/>
                <w:b w:val="0"/>
                <w:bCs w:val="0"/>
                <w:color w:val="auto"/>
                <w:szCs w:val="21"/>
                <w:lang w:val="en-US" w:eastAsia="zh-CN"/>
              </w:rPr>
            </w:pPr>
            <w:r>
              <w:rPr>
                <w:rFonts w:hint="eastAsia" w:cs="Times New Roman"/>
                <w:b w:val="0"/>
                <w:bCs w:val="0"/>
                <w:color w:val="auto"/>
                <w:szCs w:val="21"/>
                <w:lang w:val="en-US" w:eastAsia="zh-CN"/>
              </w:rPr>
              <w:t>集气罩</w:t>
            </w:r>
            <w:r>
              <w:rPr>
                <w:rFonts w:hint="default" w:ascii="Times New Roman" w:hAnsi="Times New Roman" w:cs="Times New Roman"/>
                <w:b w:val="0"/>
                <w:bCs w:val="0"/>
                <w:color w:val="auto"/>
                <w:szCs w:val="21"/>
                <w:lang w:val="en-US" w:eastAsia="zh-CN"/>
              </w:rPr>
              <w:t>+二级活性炭吸附+15m排气筒（DA002）</w:t>
            </w:r>
          </w:p>
        </w:tc>
        <w:tc>
          <w:tcPr>
            <w:tcW w:w="2752" w:type="dxa"/>
            <w:vMerge w:val="continue"/>
            <w:noWrap w:val="0"/>
            <w:vAlign w:val="center"/>
          </w:tcPr>
          <w:p w14:paraId="1D65C30F">
            <w:pPr>
              <w:pStyle w:val="97"/>
              <w:keepNext w:val="0"/>
              <w:keepLines w:val="0"/>
              <w:suppressLineNumbers w:val="0"/>
              <w:adjustRightInd w:val="0"/>
              <w:snapToGrid w:val="0"/>
              <w:spacing w:before="0" w:beforeAutospacing="0" w:after="0" w:afterAutospacing="0"/>
              <w:ind w:left="0" w:right="0"/>
              <w:contextualSpacing/>
              <w:jc w:val="both"/>
              <w:rPr>
                <w:rFonts w:hint="default" w:ascii="Times New Roman" w:hAnsi="Times New Roman" w:cs="Times New Roman"/>
                <w:b w:val="0"/>
                <w:bCs w:val="0"/>
                <w:color w:val="auto"/>
                <w:szCs w:val="21"/>
                <w:lang w:val="en-US" w:eastAsia="zh-CN"/>
              </w:rPr>
            </w:pPr>
          </w:p>
        </w:tc>
      </w:tr>
      <w:tr w14:paraId="4593DC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restart"/>
            <w:noWrap w:val="0"/>
            <w:vAlign w:val="center"/>
          </w:tcPr>
          <w:p w14:paraId="6BBEC12C">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地表水环境</w:t>
            </w:r>
          </w:p>
        </w:tc>
        <w:tc>
          <w:tcPr>
            <w:tcW w:w="1637" w:type="dxa"/>
            <w:gridSpan w:val="2"/>
            <w:noWrap w:val="0"/>
            <w:vAlign w:val="center"/>
          </w:tcPr>
          <w:p w14:paraId="18846775">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生活污水</w:t>
            </w:r>
          </w:p>
        </w:tc>
        <w:tc>
          <w:tcPr>
            <w:tcW w:w="933" w:type="dxa"/>
            <w:noWrap w:val="0"/>
            <w:vAlign w:val="center"/>
          </w:tcPr>
          <w:p w14:paraId="05B735FA">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highlight w:val="none"/>
                <w:lang w:val="en-US" w:eastAsia="zh-CN"/>
              </w:rPr>
              <w:t>COD、BOD</w:t>
            </w:r>
            <w:r>
              <w:rPr>
                <w:rFonts w:hint="default" w:ascii="Times New Roman" w:hAnsi="Times New Roman" w:cs="Times New Roman"/>
                <w:color w:val="auto"/>
                <w:sz w:val="21"/>
                <w:szCs w:val="21"/>
                <w:highlight w:val="none"/>
                <w:vertAlign w:val="subscript"/>
                <w:lang w:val="en-US" w:eastAsia="zh-CN"/>
              </w:rPr>
              <w:t>5</w:t>
            </w:r>
            <w:r>
              <w:rPr>
                <w:rFonts w:hint="default" w:ascii="Times New Roman" w:hAnsi="Times New Roman" w:cs="Times New Roman"/>
                <w:color w:val="auto"/>
                <w:sz w:val="21"/>
                <w:szCs w:val="21"/>
                <w:highlight w:val="none"/>
                <w:lang w:val="en-US" w:eastAsia="zh-CN"/>
              </w:rPr>
              <w:t>、SS、氨氮</w:t>
            </w:r>
          </w:p>
        </w:tc>
        <w:tc>
          <w:tcPr>
            <w:tcW w:w="2445" w:type="dxa"/>
            <w:noWrap w:val="0"/>
            <w:vAlign w:val="center"/>
          </w:tcPr>
          <w:p w14:paraId="2BC67537">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经厂区内化粪池预处理后通过市政污水管网排至</w:t>
            </w:r>
            <w:r>
              <w:rPr>
                <w:rFonts w:hint="eastAsia" w:cs="Times New Roman"/>
                <w:color w:val="auto"/>
                <w:sz w:val="21"/>
                <w:szCs w:val="21"/>
                <w:highlight w:val="none"/>
                <w:lang w:val="en-US" w:eastAsia="zh-CN"/>
              </w:rPr>
              <w:t>污水处理厂</w:t>
            </w:r>
          </w:p>
        </w:tc>
        <w:tc>
          <w:tcPr>
            <w:tcW w:w="2752" w:type="dxa"/>
            <w:noWrap w:val="0"/>
            <w:vAlign w:val="center"/>
          </w:tcPr>
          <w:p w14:paraId="1F155D58">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《污水综合排放标准》（GB8978-1996）表4中的三级标准、（GB/T31962-2015）《污水排入城镇下水道水质标准》B等级标准</w:t>
            </w:r>
          </w:p>
        </w:tc>
      </w:tr>
      <w:tr w14:paraId="0539C7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continue"/>
            <w:noWrap w:val="0"/>
            <w:vAlign w:val="center"/>
          </w:tcPr>
          <w:p w14:paraId="28C1AA81">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auto"/>
                <w:szCs w:val="21"/>
                <w:lang w:eastAsia="zh-CN"/>
              </w:rPr>
            </w:pPr>
          </w:p>
        </w:tc>
        <w:tc>
          <w:tcPr>
            <w:tcW w:w="1637" w:type="dxa"/>
            <w:gridSpan w:val="2"/>
            <w:noWrap w:val="0"/>
            <w:vAlign w:val="center"/>
          </w:tcPr>
          <w:p w14:paraId="2356CF08">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冷却水</w:t>
            </w:r>
          </w:p>
        </w:tc>
        <w:tc>
          <w:tcPr>
            <w:tcW w:w="933" w:type="dxa"/>
            <w:noWrap w:val="0"/>
            <w:vAlign w:val="center"/>
          </w:tcPr>
          <w:p w14:paraId="49A58F83">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SS</w:t>
            </w:r>
          </w:p>
        </w:tc>
        <w:tc>
          <w:tcPr>
            <w:tcW w:w="2445" w:type="dxa"/>
            <w:noWrap w:val="0"/>
            <w:vAlign w:val="top"/>
          </w:tcPr>
          <w:p w14:paraId="2FDE2E74">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循环使用不外排</w:t>
            </w:r>
          </w:p>
        </w:tc>
        <w:tc>
          <w:tcPr>
            <w:tcW w:w="2752" w:type="dxa"/>
            <w:noWrap w:val="0"/>
            <w:vAlign w:val="top"/>
          </w:tcPr>
          <w:p w14:paraId="15BB9625">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不外排</w:t>
            </w:r>
          </w:p>
        </w:tc>
      </w:tr>
      <w:tr w14:paraId="2540B7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3" w:type="dxa"/>
            <w:noWrap w:val="0"/>
            <w:vAlign w:val="center"/>
          </w:tcPr>
          <w:p w14:paraId="357CEA1C">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声环境</w:t>
            </w:r>
          </w:p>
        </w:tc>
        <w:tc>
          <w:tcPr>
            <w:tcW w:w="1637" w:type="dxa"/>
            <w:gridSpan w:val="2"/>
            <w:noWrap w:val="0"/>
            <w:vAlign w:val="center"/>
          </w:tcPr>
          <w:p w14:paraId="14968174">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设备噪声</w:t>
            </w:r>
          </w:p>
        </w:tc>
        <w:tc>
          <w:tcPr>
            <w:tcW w:w="933" w:type="dxa"/>
            <w:noWrap w:val="0"/>
            <w:vAlign w:val="center"/>
          </w:tcPr>
          <w:p w14:paraId="77065A1F">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噪声</w:t>
            </w:r>
          </w:p>
        </w:tc>
        <w:tc>
          <w:tcPr>
            <w:tcW w:w="2445" w:type="dxa"/>
            <w:noWrap w:val="0"/>
            <w:vAlign w:val="center"/>
          </w:tcPr>
          <w:p w14:paraId="1D238594">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厂房墙体隔声</w:t>
            </w:r>
            <w:r>
              <w:rPr>
                <w:rFonts w:hint="default" w:ascii="Times New Roman" w:hAnsi="Times New Roman" w:cs="Times New Roman"/>
                <w:color w:val="auto"/>
                <w:szCs w:val="21"/>
                <w:lang w:eastAsia="zh-CN"/>
              </w:rPr>
              <w:t>、加强设备润滑、距离衰减等，</w:t>
            </w:r>
            <w:r>
              <w:rPr>
                <w:rFonts w:hint="default" w:ascii="Times New Roman" w:hAnsi="Times New Roman" w:cs="Times New Roman"/>
                <w:color w:val="auto"/>
                <w:szCs w:val="21"/>
                <w:lang w:val="en-US" w:eastAsia="zh-CN"/>
              </w:rPr>
              <w:t>风机设隔声罩</w:t>
            </w:r>
          </w:p>
        </w:tc>
        <w:tc>
          <w:tcPr>
            <w:tcW w:w="2752" w:type="dxa"/>
            <w:noWrap w:val="0"/>
            <w:vAlign w:val="center"/>
          </w:tcPr>
          <w:p w14:paraId="50C7E143">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eastAsia="zh-CN"/>
              </w:rPr>
              <w:t>《工业企业厂界环境噪声排放标准》（GB12348-2008）</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lang w:eastAsia="zh-CN"/>
              </w:rPr>
              <w:t>类标准；</w:t>
            </w:r>
          </w:p>
        </w:tc>
      </w:tr>
      <w:tr w14:paraId="792909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3" w:type="dxa"/>
            <w:noWrap w:val="0"/>
            <w:vAlign w:val="center"/>
          </w:tcPr>
          <w:p w14:paraId="06424606">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auto"/>
                <w:szCs w:val="21"/>
              </w:rPr>
            </w:pPr>
            <w:r>
              <w:rPr>
                <w:rFonts w:hint="default" w:ascii="Times New Roman" w:hAnsi="Times New Roman" w:cs="Times New Roman"/>
                <w:color w:val="auto"/>
                <w:szCs w:val="21"/>
              </w:rPr>
              <w:t>固体废物</w:t>
            </w:r>
          </w:p>
        </w:tc>
        <w:tc>
          <w:tcPr>
            <w:tcW w:w="7767" w:type="dxa"/>
            <w:gridSpan w:val="5"/>
            <w:noWrap w:val="0"/>
            <w:vAlign w:val="center"/>
          </w:tcPr>
          <w:p w14:paraId="2C476A2A">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生活垃圾：员工生活垃圾设置生活垃圾桶（带盖）进行收集，由环卫部门统一清运，做到日产日清；</w:t>
            </w:r>
          </w:p>
          <w:p w14:paraId="7CF7DFDE">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一般固废：设置一般固废暂存区对其暂存，定期外售至物资回收公司；</w:t>
            </w:r>
          </w:p>
          <w:p w14:paraId="125F554F">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危险废物：设置危废暂存库对危险废物进行暂存，定期交由有资质单位转运处置。</w:t>
            </w:r>
          </w:p>
        </w:tc>
      </w:tr>
      <w:tr w14:paraId="5C9435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noWrap w:val="0"/>
            <w:vAlign w:val="center"/>
          </w:tcPr>
          <w:p w14:paraId="10E9C076">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auto"/>
                <w:szCs w:val="21"/>
              </w:rPr>
            </w:pPr>
            <w:r>
              <w:rPr>
                <w:rFonts w:hint="default" w:ascii="Times New Roman" w:hAnsi="Times New Roman" w:cs="Times New Roman"/>
                <w:color w:val="auto"/>
                <w:szCs w:val="21"/>
              </w:rPr>
              <w:t>土壤及地下水污染防治措施</w:t>
            </w:r>
          </w:p>
        </w:tc>
        <w:tc>
          <w:tcPr>
            <w:tcW w:w="7767" w:type="dxa"/>
            <w:gridSpan w:val="5"/>
            <w:noWrap w:val="0"/>
            <w:vAlign w:val="center"/>
          </w:tcPr>
          <w:p w14:paraId="5E7AE327">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厂内做好分区防渗措施，危废贮存库对危废盛装容器下方设置托盘等，厂内设立完善的管理制度，并安排专人对厂内进行管理，一旦发生泄漏事故，能够做到及时发现，并将污染控制在最低程度。</w:t>
            </w:r>
          </w:p>
        </w:tc>
      </w:tr>
      <w:tr w14:paraId="683234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noWrap w:val="0"/>
            <w:vAlign w:val="center"/>
          </w:tcPr>
          <w:p w14:paraId="31759499">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auto"/>
                <w:szCs w:val="21"/>
              </w:rPr>
            </w:pPr>
            <w:r>
              <w:rPr>
                <w:rFonts w:hint="default" w:ascii="Times New Roman" w:hAnsi="Times New Roman" w:cs="Times New Roman"/>
                <w:color w:val="auto"/>
                <w:szCs w:val="21"/>
              </w:rPr>
              <w:t>生态保护措施</w:t>
            </w:r>
          </w:p>
        </w:tc>
        <w:tc>
          <w:tcPr>
            <w:tcW w:w="7767" w:type="dxa"/>
            <w:gridSpan w:val="5"/>
            <w:noWrap w:val="0"/>
            <w:vAlign w:val="center"/>
          </w:tcPr>
          <w:p w14:paraId="13F69325">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lang w:eastAsia="zh-CN"/>
              </w:rPr>
            </w:pPr>
            <w:r>
              <w:rPr>
                <w:rFonts w:hint="default" w:ascii="Times New Roman" w:hAnsi="Times New Roman" w:cs="Times New Roman"/>
                <w:color w:val="auto"/>
                <w:lang w:val="en-US" w:eastAsia="zh-CN"/>
              </w:rPr>
              <w:t>/</w:t>
            </w:r>
          </w:p>
        </w:tc>
      </w:tr>
      <w:tr w14:paraId="7D0F48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noWrap w:val="0"/>
            <w:vAlign w:val="center"/>
          </w:tcPr>
          <w:p w14:paraId="2223AD83">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环境风险</w:t>
            </w:r>
          </w:p>
          <w:p w14:paraId="0001E657">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防范措施</w:t>
            </w:r>
          </w:p>
        </w:tc>
        <w:tc>
          <w:tcPr>
            <w:tcW w:w="7767" w:type="dxa"/>
            <w:gridSpan w:val="5"/>
            <w:noWrap w:val="0"/>
            <w:vAlign w:val="center"/>
          </w:tcPr>
          <w:p w14:paraId="447C11FC">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auto"/>
                <w:szCs w:val="21"/>
              </w:rPr>
            </w:pPr>
            <w:r>
              <w:rPr>
                <w:rFonts w:hint="default" w:ascii="Times New Roman" w:hAnsi="Times New Roman" w:cs="Times New Roman"/>
                <w:color w:val="auto"/>
                <w:szCs w:val="21"/>
              </w:rPr>
              <w:t>严格控制厂内风险物质暂存量，</w:t>
            </w:r>
            <w:r>
              <w:rPr>
                <w:rFonts w:hint="eastAsia" w:cs="Times New Roman"/>
                <w:color w:val="auto"/>
                <w:szCs w:val="21"/>
                <w:lang w:eastAsia="zh-CN"/>
              </w:rPr>
              <w:t>从</w:t>
            </w:r>
            <w:r>
              <w:rPr>
                <w:rFonts w:hint="default" w:ascii="Times New Roman" w:hAnsi="Times New Roman" w:cs="Times New Roman"/>
                <w:color w:val="auto"/>
                <w:szCs w:val="21"/>
              </w:rPr>
              <w:t>源头降低风险源；厂区内地面已进行硬化处理，能有效防止其风险物质的跑冒滴漏渗入土壤，造成土壤、地下水污染；并定期对生产设施进行维护保养，确保正常运行；设置专人对危废贮存库进行定期检查，防止暂存的废机油、废切削液泄漏。</w:t>
            </w:r>
          </w:p>
        </w:tc>
      </w:tr>
      <w:tr w14:paraId="490993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noWrap w:val="0"/>
            <w:vAlign w:val="center"/>
          </w:tcPr>
          <w:p w14:paraId="5498B552">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其他环境</w:t>
            </w:r>
          </w:p>
          <w:p w14:paraId="51787E89">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管理要求</w:t>
            </w:r>
          </w:p>
        </w:tc>
        <w:tc>
          <w:tcPr>
            <w:tcW w:w="7767" w:type="dxa"/>
            <w:gridSpan w:val="5"/>
            <w:noWrap w:val="0"/>
            <w:vAlign w:val="center"/>
          </w:tcPr>
          <w:p w14:paraId="1D56F48B">
            <w:pPr>
              <w:keepNext w:val="0"/>
              <w:keepLines w:val="0"/>
              <w:suppressLineNumbers w:val="0"/>
              <w:adjustRightInd w:val="0"/>
              <w:snapToGrid w:val="0"/>
              <w:spacing w:before="0" w:beforeAutospacing="0" w:after="0" w:afterAutospacing="0" w:line="360" w:lineRule="auto"/>
              <w:ind w:left="0" w:right="0" w:firstLine="422" w:firstLineChars="200"/>
              <w:jc w:val="both"/>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1.环境管理</w:t>
            </w:r>
          </w:p>
          <w:p w14:paraId="556F9985">
            <w:pPr>
              <w:keepNext w:val="0"/>
              <w:keepLines w:val="0"/>
              <w:suppressLineNumbers w:val="0"/>
              <w:adjustRightInd w:val="0"/>
              <w:snapToGrid w:val="0"/>
              <w:spacing w:before="0" w:beforeAutospacing="0" w:after="0" w:afterAutospacing="0" w:line="360" w:lineRule="auto"/>
              <w:ind w:left="0" w:right="0" w:firstLine="420" w:firstLineChars="200"/>
              <w:jc w:val="both"/>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本项目的污染物排放水平与厂区环境管理水平密切相关，因此在采取环境保护工程措施和生态保护措施的同时，必须加强环境管理。</w:t>
            </w:r>
          </w:p>
          <w:p w14:paraId="7F8B75F2">
            <w:pPr>
              <w:keepNext w:val="0"/>
              <w:keepLines w:val="0"/>
              <w:suppressLineNumbers w:val="0"/>
              <w:adjustRightInd w:val="0"/>
              <w:snapToGrid w:val="0"/>
              <w:spacing w:before="0" w:beforeAutospacing="0" w:after="0" w:afterAutospacing="0" w:line="360" w:lineRule="auto"/>
              <w:ind w:left="0" w:right="0" w:firstLine="420" w:firstLineChars="200"/>
              <w:jc w:val="both"/>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（1）</w:t>
            </w:r>
            <w:r>
              <w:rPr>
                <w:rFonts w:hint="default" w:ascii="Times New Roman" w:hAnsi="Times New Roman" w:cs="Times New Roman"/>
                <w:color w:val="auto"/>
                <w:sz w:val="21"/>
                <w:szCs w:val="21"/>
              </w:rPr>
              <w:t>按照自行监测方案开展自行监测。</w:t>
            </w:r>
          </w:p>
          <w:p w14:paraId="0ED4C498">
            <w:pPr>
              <w:keepNext w:val="0"/>
              <w:keepLines w:val="0"/>
              <w:suppressLineNumbers w:val="0"/>
              <w:adjustRightInd w:val="0"/>
              <w:snapToGrid w:val="0"/>
              <w:spacing w:before="0" w:beforeAutospacing="0" w:after="0" w:afterAutospacing="0" w:line="360" w:lineRule="auto"/>
              <w:ind w:left="0" w:right="0" w:firstLine="420" w:firstLineChars="200"/>
              <w:jc w:val="both"/>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（2）</w:t>
            </w:r>
            <w:r>
              <w:rPr>
                <w:rFonts w:hint="default" w:ascii="Times New Roman" w:hAnsi="Times New Roman" w:cs="Times New Roman"/>
                <w:color w:val="auto"/>
                <w:sz w:val="21"/>
                <w:szCs w:val="21"/>
              </w:rPr>
              <w:t>定期检查各设备运行情况，杜绝事故发生。</w:t>
            </w:r>
          </w:p>
          <w:p w14:paraId="7845AE0A">
            <w:pPr>
              <w:keepNext w:val="0"/>
              <w:keepLines w:val="0"/>
              <w:suppressLineNumbers w:val="0"/>
              <w:adjustRightInd w:val="0"/>
              <w:snapToGrid w:val="0"/>
              <w:spacing w:before="0" w:beforeAutospacing="0" w:after="0" w:afterAutospacing="0" w:line="360" w:lineRule="auto"/>
              <w:ind w:left="0" w:right="0" w:firstLine="420" w:firstLineChars="20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（3）</w:t>
            </w:r>
            <w:r>
              <w:rPr>
                <w:rFonts w:hint="default" w:ascii="Times New Roman" w:hAnsi="Times New Roman" w:cs="Times New Roman"/>
                <w:color w:val="auto"/>
                <w:sz w:val="21"/>
                <w:szCs w:val="21"/>
              </w:rPr>
              <w:t>做好环境管理台账记录，主要内容包括加工信息、原辅材料使用情况、污染防治设施运行记录、监测数据等。</w:t>
            </w:r>
          </w:p>
          <w:p w14:paraId="13F73A66">
            <w:pPr>
              <w:keepNext w:val="0"/>
              <w:keepLines w:val="0"/>
              <w:suppressLineNumbers w:val="0"/>
              <w:adjustRightInd w:val="0"/>
              <w:snapToGrid w:val="0"/>
              <w:spacing w:before="0" w:beforeAutospacing="0" w:after="0" w:afterAutospacing="0" w:line="360" w:lineRule="auto"/>
              <w:ind w:left="0" w:right="0" w:firstLine="420" w:firstLineChars="20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（4）</w:t>
            </w:r>
            <w:r>
              <w:rPr>
                <w:rFonts w:hint="default" w:ascii="Times New Roman" w:hAnsi="Times New Roman" w:cs="Times New Roman"/>
                <w:color w:val="auto"/>
                <w:sz w:val="21"/>
                <w:szCs w:val="21"/>
              </w:rPr>
              <w:t>定期在国家排污许可证管理信息平台填报信息，编制排污许可证执行报告，及时报送有核发权的环境保护主管部门并公开。</w:t>
            </w:r>
          </w:p>
          <w:p w14:paraId="6A9DE8D6">
            <w:pPr>
              <w:keepNext w:val="0"/>
              <w:keepLines w:val="0"/>
              <w:suppressLineNumbers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根据《排污单位污染物排放口监测点位设置技术规范》（HJ1405-2024）中对废气排放口监测点位、工作平台等要求进行建设。</w:t>
            </w:r>
          </w:p>
          <w:p w14:paraId="6C60C57A">
            <w:pPr>
              <w:keepNext w:val="0"/>
              <w:keepLines w:val="0"/>
              <w:suppressLineNumbers w:val="0"/>
              <w:adjustRightInd w:val="0"/>
              <w:snapToGrid w:val="0"/>
              <w:spacing w:before="0" w:beforeAutospacing="0" w:after="0" w:afterAutospacing="0" w:line="360" w:lineRule="auto"/>
              <w:ind w:left="0" w:right="0" w:firstLine="422" w:firstLineChars="200"/>
              <w:jc w:val="both"/>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2.环境保护图形标志</w:t>
            </w:r>
          </w:p>
          <w:p w14:paraId="2ABAFB76">
            <w:pPr>
              <w:keepNext w:val="0"/>
              <w:keepLines w:val="0"/>
              <w:suppressLineNumbers w:val="0"/>
              <w:adjustRightInd w:val="0"/>
              <w:snapToGrid w:val="0"/>
              <w:spacing w:before="0" w:beforeAutospacing="0" w:after="0" w:afterAutospacing="0" w:line="360" w:lineRule="auto"/>
              <w:ind w:left="0" w:right="0" w:firstLine="420" w:firstLineChars="20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按照《危险废物识别标志设置技术规范》（HJ1276—2022）及《环境保护图形标志固体废物贮存（处置）场》（GB15562.2—1995）（2023修改单）对现有危废贮存库各种标志进行规范设置。</w:t>
            </w:r>
          </w:p>
          <w:p w14:paraId="6DA5846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5-1</w:t>
            </w:r>
            <w:r>
              <w:rPr>
                <w:rFonts w:hint="eastAsia" w:cs="Times New Roman"/>
                <w:b/>
                <w:bCs/>
                <w:color w:val="auto"/>
                <w:sz w:val="21"/>
                <w:szCs w:val="21"/>
                <w:lang w:val="en-US" w:eastAsia="zh-CN"/>
              </w:rPr>
              <w:t xml:space="preserve">    </w:t>
            </w:r>
            <w:r>
              <w:rPr>
                <w:rFonts w:hint="default" w:ascii="Times New Roman" w:hAnsi="Times New Roman" w:cs="Times New Roman"/>
                <w:b/>
                <w:bCs/>
                <w:color w:val="auto"/>
                <w:sz w:val="21"/>
                <w:szCs w:val="21"/>
              </w:rPr>
              <w:t>环境保护图形符号一览表</w:t>
            </w:r>
          </w:p>
          <w:tbl>
            <w:tblPr>
              <w:tblStyle w:val="33"/>
              <w:tblW w:w="4997"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9"/>
              <w:gridCol w:w="2865"/>
              <w:gridCol w:w="2982"/>
            </w:tblGrid>
            <w:tr w14:paraId="2CA8E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0" w:type="pct"/>
                  <w:noWrap w:val="0"/>
                  <w:vAlign w:val="center"/>
                </w:tcPr>
                <w:p w14:paraId="07F421BB">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图形标志</w:t>
                  </w:r>
                </w:p>
              </w:tc>
              <w:tc>
                <w:tcPr>
                  <w:tcW w:w="1900" w:type="pct"/>
                  <w:noWrap w:val="0"/>
                  <w:vAlign w:val="center"/>
                </w:tcPr>
                <w:p w14:paraId="65581373">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图形代表意义</w:t>
                  </w:r>
                </w:p>
              </w:tc>
              <w:tc>
                <w:tcPr>
                  <w:tcW w:w="1978" w:type="pct"/>
                  <w:noWrap w:val="0"/>
                  <w:vAlign w:val="center"/>
                </w:tcPr>
                <w:p w14:paraId="1D670D6F">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符号简介</w:t>
                  </w:r>
                </w:p>
              </w:tc>
            </w:tr>
            <w:tr w14:paraId="72C26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 w:hRule="atLeast"/>
              </w:trPr>
              <w:tc>
                <w:tcPr>
                  <w:tcW w:w="1120" w:type="pct"/>
                  <w:shd w:val="clear" w:color="auto" w:fill="auto"/>
                  <w:noWrap w:val="0"/>
                  <w:vAlign w:val="center"/>
                </w:tcPr>
                <w:p w14:paraId="67CE7566">
                  <w:pPr>
                    <w:pStyle w:val="12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Times New Roman" w:cs="Times New Roman"/>
                      <w:color w:val="auto"/>
                      <w:kern w:val="0"/>
                      <w:sz w:val="21"/>
                      <w:szCs w:val="21"/>
                      <w:lang w:val="en-US" w:eastAsia="zh-CN" w:bidi="ar-SA"/>
                    </w:rPr>
                  </w:pPr>
                  <w:r>
                    <w:rPr>
                      <w:rFonts w:hint="default" w:ascii="Times New Roman" w:hAnsi="Times New Roman" w:cs="Times New Roman" w:eastAsiaTheme="minorEastAsia"/>
                      <w:color w:val="auto"/>
                      <w:sz w:val="24"/>
                      <w:szCs w:val="24"/>
                    </w:rPr>
                    <w:drawing>
                      <wp:anchor distT="0" distB="0" distL="0" distR="0" simplePos="0" relativeHeight="251662336" behindDoc="1" locked="0" layoutInCell="1" allowOverlap="1">
                        <wp:simplePos x="0" y="0"/>
                        <wp:positionH relativeFrom="column">
                          <wp:posOffset>74930</wp:posOffset>
                        </wp:positionH>
                        <wp:positionV relativeFrom="paragraph">
                          <wp:posOffset>18415</wp:posOffset>
                        </wp:positionV>
                        <wp:extent cx="744220" cy="755650"/>
                        <wp:effectExtent l="0" t="0" r="17780" b="6350"/>
                        <wp:wrapNone/>
                        <wp:docPr id="132"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07.jpeg"/>
                                <pic:cNvPicPr>
                                  <a:picLocks noChangeAspect="1"/>
                                </pic:cNvPicPr>
                              </pic:nvPicPr>
                              <pic:blipFill>
                                <a:blip r:embed="rId17" cstate="print"/>
                                <a:stretch>
                                  <a:fillRect/>
                                </a:stretch>
                              </pic:blipFill>
                              <pic:spPr>
                                <a:xfrm>
                                  <a:off x="0" y="0"/>
                                  <a:ext cx="744220" cy="755650"/>
                                </a:xfrm>
                                <a:prstGeom prst="rect">
                                  <a:avLst/>
                                </a:prstGeom>
                              </pic:spPr>
                            </pic:pic>
                          </a:graphicData>
                        </a:graphic>
                      </wp:anchor>
                    </w:drawing>
                  </w:r>
                </w:p>
              </w:tc>
              <w:tc>
                <w:tcPr>
                  <w:tcW w:w="1900" w:type="pct"/>
                  <w:shd w:val="clear" w:color="auto" w:fill="auto"/>
                  <w:noWrap w:val="0"/>
                  <w:vAlign w:val="center"/>
                </w:tcPr>
                <w:p w14:paraId="4D1234D5">
                  <w:pPr>
                    <w:pStyle w:val="12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Times New Roman" w:cs="Times New Roman"/>
                      <w:color w:val="auto"/>
                      <w:kern w:val="0"/>
                      <w:sz w:val="21"/>
                      <w:szCs w:val="21"/>
                      <w:lang w:val="en-US" w:eastAsia="en-US" w:bidi="ar-SA"/>
                    </w:rPr>
                  </w:pPr>
                  <w:r>
                    <w:rPr>
                      <w:rFonts w:hint="default" w:ascii="Times New Roman" w:hAnsi="Times New Roman" w:cs="Times New Roman" w:eastAsiaTheme="minorEastAsia"/>
                      <w:color w:val="auto"/>
                      <w:sz w:val="21"/>
                      <w:szCs w:val="21"/>
                    </w:rPr>
                    <w:t>标志名称：废气排放口国标代码：GB15562.1-1995</w:t>
                  </w:r>
                </w:p>
              </w:tc>
              <w:tc>
                <w:tcPr>
                  <w:tcW w:w="1978" w:type="pct"/>
                  <w:shd w:val="clear" w:color="auto" w:fill="auto"/>
                  <w:noWrap w:val="0"/>
                  <w:vAlign w:val="center"/>
                </w:tcPr>
                <w:p w14:paraId="264B3867">
                  <w:pPr>
                    <w:pStyle w:val="12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34" w:rightChars="0"/>
                    <w:jc w:val="both"/>
                    <w:textAlignment w:val="auto"/>
                    <w:rPr>
                      <w:rFonts w:hint="default" w:ascii="Times New Roman" w:hAnsi="Times New Roman" w:eastAsia="Times New Roman" w:cs="Times New Roman"/>
                      <w:color w:val="auto"/>
                      <w:kern w:val="0"/>
                      <w:sz w:val="21"/>
                      <w:szCs w:val="21"/>
                      <w:lang w:val="en-US" w:eastAsia="en-US" w:bidi="ar-SA"/>
                    </w:rPr>
                  </w:pPr>
                  <w:r>
                    <w:rPr>
                      <w:rFonts w:hint="default" w:ascii="Times New Roman" w:hAnsi="Times New Roman" w:cs="Times New Roman" w:eastAsiaTheme="minorEastAsia"/>
                      <w:color w:val="auto"/>
                      <w:sz w:val="21"/>
                      <w:szCs w:val="21"/>
                    </w:rPr>
                    <w:t>提示图形符号废气排放口表示废气向大气环境排放</w:t>
                  </w:r>
                </w:p>
              </w:tc>
            </w:tr>
            <w:tr w14:paraId="66BD9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trPr>
              <w:tc>
                <w:tcPr>
                  <w:tcW w:w="1120" w:type="pct"/>
                  <w:noWrap w:val="0"/>
                  <w:vAlign w:val="center"/>
                </w:tcPr>
                <w:p w14:paraId="438C3FF7">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drawing>
                      <wp:anchor distT="0" distB="0" distL="114300" distR="114300" simplePos="0" relativeHeight="251660288" behindDoc="0" locked="0" layoutInCell="1" allowOverlap="1">
                        <wp:simplePos x="0" y="0"/>
                        <wp:positionH relativeFrom="column">
                          <wp:posOffset>66040</wp:posOffset>
                        </wp:positionH>
                        <wp:positionV relativeFrom="paragraph">
                          <wp:posOffset>19685</wp:posOffset>
                        </wp:positionV>
                        <wp:extent cx="706120" cy="558800"/>
                        <wp:effectExtent l="0" t="0" r="17780" b="12700"/>
                        <wp:wrapNone/>
                        <wp:docPr id="11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56"/>
                                <pic:cNvPicPr>
                                  <a:picLocks noChangeAspect="1"/>
                                </pic:cNvPicPr>
                              </pic:nvPicPr>
                              <pic:blipFill>
                                <a:blip r:embed="rId18"/>
                                <a:stretch>
                                  <a:fillRect/>
                                </a:stretch>
                              </pic:blipFill>
                              <pic:spPr>
                                <a:xfrm>
                                  <a:off x="0" y="0"/>
                                  <a:ext cx="706120" cy="558800"/>
                                </a:xfrm>
                                <a:prstGeom prst="rect">
                                  <a:avLst/>
                                </a:prstGeom>
                                <a:noFill/>
                                <a:ln>
                                  <a:noFill/>
                                </a:ln>
                              </pic:spPr>
                            </pic:pic>
                          </a:graphicData>
                        </a:graphic>
                      </wp:anchor>
                    </w:drawing>
                  </w:r>
                </w:p>
              </w:tc>
              <w:tc>
                <w:tcPr>
                  <w:tcW w:w="1900" w:type="pct"/>
                  <w:noWrap w:val="0"/>
                  <w:vAlign w:val="center"/>
                </w:tcPr>
                <w:p w14:paraId="064B7D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标志名称：噪声排放源</w:t>
                  </w:r>
                </w:p>
                <w:p w14:paraId="4C0FBC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国标代码：GB15562.1-1995</w:t>
                  </w:r>
                </w:p>
              </w:tc>
              <w:tc>
                <w:tcPr>
                  <w:tcW w:w="1978" w:type="pct"/>
                  <w:noWrap w:val="0"/>
                  <w:vAlign w:val="center"/>
                </w:tcPr>
                <w:p w14:paraId="089E45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提示图形符号噪声排放源标识噪声向外环境排放</w:t>
                  </w:r>
                </w:p>
              </w:tc>
            </w:tr>
            <w:tr w14:paraId="1A79F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trPr>
              <w:tc>
                <w:tcPr>
                  <w:tcW w:w="1120" w:type="pct"/>
                  <w:shd w:val="clear" w:color="auto" w:fill="auto"/>
                  <w:noWrap w:val="0"/>
                  <w:vAlign w:val="center"/>
                </w:tcPr>
                <w:p w14:paraId="07B0A3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rPr>
                  </w:pPr>
                </w:p>
                <w:p w14:paraId="7B3DE9E0">
                  <w:pPr>
                    <w:pStyle w:val="24"/>
                    <w:keepNext w:val="0"/>
                    <w:keepLines w:val="0"/>
                    <w:suppressLineNumbers w:val="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drawing>
                      <wp:anchor distT="0" distB="0" distL="114300" distR="114300" simplePos="0" relativeHeight="251661312" behindDoc="0" locked="0" layoutInCell="1" allowOverlap="1">
                        <wp:simplePos x="0" y="0"/>
                        <wp:positionH relativeFrom="column">
                          <wp:posOffset>56515</wp:posOffset>
                        </wp:positionH>
                        <wp:positionV relativeFrom="paragraph">
                          <wp:posOffset>8255</wp:posOffset>
                        </wp:positionV>
                        <wp:extent cx="744855" cy="526415"/>
                        <wp:effectExtent l="0" t="0" r="17145" b="6985"/>
                        <wp:wrapNone/>
                        <wp:docPr id="9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57"/>
                                <pic:cNvPicPr>
                                  <a:picLocks noChangeAspect="1"/>
                                </pic:cNvPicPr>
                              </pic:nvPicPr>
                              <pic:blipFill>
                                <a:blip r:embed="rId19"/>
                                <a:stretch>
                                  <a:fillRect/>
                                </a:stretch>
                              </pic:blipFill>
                              <pic:spPr>
                                <a:xfrm>
                                  <a:off x="0" y="0"/>
                                  <a:ext cx="744855" cy="526415"/>
                                </a:xfrm>
                                <a:prstGeom prst="rect">
                                  <a:avLst/>
                                </a:prstGeom>
                                <a:noFill/>
                                <a:ln>
                                  <a:noFill/>
                                </a:ln>
                              </pic:spPr>
                            </pic:pic>
                          </a:graphicData>
                        </a:graphic>
                      </wp:anchor>
                    </w:drawing>
                  </w:r>
                </w:p>
                <w:p w14:paraId="2F25AB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900" w:type="pct"/>
                  <w:shd w:val="clear" w:color="auto" w:fill="auto"/>
                  <w:noWrap w:val="0"/>
                  <w:vAlign w:val="center"/>
                </w:tcPr>
                <w:p w14:paraId="4C88D4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标志名称：固体废物提示</w:t>
                  </w:r>
                </w:p>
                <w:p w14:paraId="26A0AB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国标代码：GB15562.1-1995</w:t>
                  </w:r>
                </w:p>
              </w:tc>
              <w:tc>
                <w:tcPr>
                  <w:tcW w:w="1978" w:type="pct"/>
                  <w:shd w:val="clear" w:color="auto" w:fill="auto"/>
                  <w:noWrap w:val="0"/>
                  <w:vAlign w:val="center"/>
                </w:tcPr>
                <w:p w14:paraId="3DE7E4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固体废物提示</w:t>
                  </w:r>
                </w:p>
              </w:tc>
            </w:tr>
            <w:tr w14:paraId="4CB76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0" w:type="pct"/>
                  <w:noWrap w:val="0"/>
                  <w:vAlign w:val="center"/>
                </w:tcPr>
                <w:p w14:paraId="00FE9A4A">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rPr>
                    <w:drawing>
                      <wp:inline distT="0" distB="0" distL="114300" distR="114300">
                        <wp:extent cx="873125" cy="544195"/>
                        <wp:effectExtent l="0" t="0" r="3175" b="8255"/>
                        <wp:docPr id="1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
                                <pic:cNvPicPr>
                                  <a:picLocks noChangeAspect="1"/>
                                </pic:cNvPicPr>
                              </pic:nvPicPr>
                              <pic:blipFill>
                                <a:blip r:embed="rId20"/>
                                <a:stretch>
                                  <a:fillRect/>
                                </a:stretch>
                              </pic:blipFill>
                              <pic:spPr>
                                <a:xfrm>
                                  <a:off x="0" y="0"/>
                                  <a:ext cx="873125" cy="544195"/>
                                </a:xfrm>
                                <a:prstGeom prst="rect">
                                  <a:avLst/>
                                </a:prstGeom>
                                <a:noFill/>
                                <a:ln>
                                  <a:noFill/>
                                </a:ln>
                              </pic:spPr>
                            </pic:pic>
                          </a:graphicData>
                        </a:graphic>
                      </wp:inline>
                    </w:drawing>
                  </w:r>
                </w:p>
              </w:tc>
              <w:tc>
                <w:tcPr>
                  <w:tcW w:w="1900" w:type="pct"/>
                  <w:noWrap w:val="0"/>
                  <w:vAlign w:val="center"/>
                </w:tcPr>
                <w:p w14:paraId="4A4668E2">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标志名称：危险废物</w:t>
                  </w:r>
                </w:p>
                <w:p w14:paraId="1836DE1A">
                  <w:pPr>
                    <w:keepNext w:val="0"/>
                    <w:keepLines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国标代码：</w:t>
                  </w:r>
                  <w:r>
                    <w:rPr>
                      <w:rFonts w:hint="default" w:ascii="Times New Roman" w:hAnsi="Times New Roman" w:eastAsia="宋体" w:cs="Times New Roman"/>
                      <w:color w:val="auto"/>
                      <w:sz w:val="21"/>
                      <w:szCs w:val="21"/>
                      <w:lang w:val="en-US" w:eastAsia="zh-CN"/>
                    </w:rPr>
                    <w:t>《危险废物识别标志设置技术规范》（HJ1276-2022）</w:t>
                  </w:r>
                </w:p>
              </w:tc>
              <w:tc>
                <w:tcPr>
                  <w:tcW w:w="1978" w:type="pct"/>
                  <w:noWrap w:val="0"/>
                  <w:vAlign w:val="center"/>
                </w:tcPr>
                <w:p w14:paraId="62781308">
                  <w:pPr>
                    <w:keepNext w:val="0"/>
                    <w:keepLines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表示危险废物贮存、处置场</w:t>
                  </w:r>
                </w:p>
              </w:tc>
            </w:tr>
          </w:tbl>
          <w:p w14:paraId="127C403E">
            <w:pPr>
              <w:keepNext w:val="0"/>
              <w:keepLines w:val="0"/>
              <w:suppressLineNumbers w:val="0"/>
              <w:adjustRightInd w:val="0"/>
              <w:snapToGrid w:val="0"/>
              <w:spacing w:before="0" w:beforeAutospacing="0" w:after="0" w:afterAutospacing="0" w:line="360" w:lineRule="auto"/>
              <w:ind w:left="0" w:right="0" w:firstLine="422" w:firstLineChars="200"/>
              <w:jc w:val="both"/>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3.例行监测计划</w:t>
            </w:r>
          </w:p>
          <w:p w14:paraId="1919FED5">
            <w:pPr>
              <w:keepNext w:val="0"/>
              <w:keepLines w:val="0"/>
              <w:suppressLineNumbers w:val="0"/>
              <w:adjustRightInd w:val="0"/>
              <w:snapToGrid w:val="0"/>
              <w:spacing w:before="0" w:beforeAutospacing="0" w:after="0" w:afterAutospacing="0" w:line="360" w:lineRule="auto"/>
              <w:ind w:left="0" w:right="0" w:firstLine="420" w:firstLineChars="200"/>
              <w:jc w:val="both"/>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监测工作可委托有资质单位完成，具体监测计划详见表4-6、4-9。</w:t>
            </w:r>
          </w:p>
          <w:p w14:paraId="193A9D10">
            <w:pPr>
              <w:keepNext w:val="0"/>
              <w:keepLines w:val="0"/>
              <w:suppressLineNumbers w:val="0"/>
              <w:adjustRightInd w:val="0"/>
              <w:snapToGrid w:val="0"/>
              <w:spacing w:before="0" w:beforeAutospacing="0" w:after="0" w:afterAutospacing="0" w:line="360" w:lineRule="auto"/>
              <w:ind w:left="0" w:right="0" w:firstLine="422" w:firstLineChars="200"/>
              <w:jc w:val="both"/>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4.填报排污许可证</w:t>
            </w:r>
          </w:p>
          <w:p w14:paraId="63573CD0">
            <w:pPr>
              <w:keepNext w:val="0"/>
              <w:keepLines w:val="0"/>
              <w:suppressLineNumbers w:val="0"/>
              <w:adjustRightInd w:val="0"/>
              <w:snapToGrid w:val="0"/>
              <w:spacing w:before="0" w:beforeAutospacing="0" w:after="0" w:afterAutospacing="0" w:line="360" w:lineRule="auto"/>
              <w:ind w:left="0" w:right="0" w:firstLine="420" w:firstLineChars="200"/>
              <w:jc w:val="both"/>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建设单位在验收投产前需取得排污许可证，按照《固定污染源排污许可分类管理名录》（2019年版）的要求，在全国排污许可证管理平台填报。</w:t>
            </w:r>
          </w:p>
          <w:p w14:paraId="1F0C6DD7">
            <w:pPr>
              <w:keepNext w:val="0"/>
              <w:keepLines w:val="0"/>
              <w:suppressLineNumbers w:val="0"/>
              <w:adjustRightInd w:val="0"/>
              <w:snapToGrid w:val="0"/>
              <w:spacing w:before="0" w:beforeAutospacing="0" w:after="0" w:afterAutospacing="0" w:line="360" w:lineRule="auto"/>
              <w:ind w:left="0" w:right="0" w:firstLine="422" w:firstLineChars="200"/>
              <w:jc w:val="both"/>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5.编制突发环境事件应急预案</w:t>
            </w:r>
          </w:p>
          <w:p w14:paraId="57735B33">
            <w:pPr>
              <w:keepNext w:val="0"/>
              <w:keepLines w:val="0"/>
              <w:suppressLineNumbers w:val="0"/>
              <w:adjustRightInd w:val="0"/>
              <w:snapToGrid w:val="0"/>
              <w:spacing w:before="0" w:beforeAutospacing="0" w:after="0" w:afterAutospacing="0" w:line="360" w:lineRule="auto"/>
              <w:ind w:left="0" w:right="0" w:firstLine="420" w:firstLineChars="20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建设单位在验收投产前需编制突发环境事件应急预案，并报宝鸡市生态环境局陈仓分局进行备案。</w:t>
            </w:r>
          </w:p>
          <w:p w14:paraId="64B8D00A">
            <w:pPr>
              <w:keepNext w:val="0"/>
              <w:keepLines w:val="0"/>
              <w:suppressLineNumbers w:val="0"/>
              <w:adjustRightInd w:val="0"/>
              <w:snapToGrid w:val="0"/>
              <w:spacing w:before="0" w:beforeAutospacing="0" w:after="0" w:afterAutospacing="0" w:line="360" w:lineRule="auto"/>
              <w:ind w:left="0" w:right="0" w:firstLine="422" w:firstLineChars="200"/>
              <w:jc w:val="both"/>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6.竣工验收</w:t>
            </w:r>
          </w:p>
          <w:p w14:paraId="6BAE4820">
            <w:pPr>
              <w:keepNext w:val="0"/>
              <w:keepLines w:val="0"/>
              <w:suppressLineNumbers w:val="0"/>
              <w:adjustRightInd w:val="0"/>
              <w:snapToGrid w:val="0"/>
              <w:spacing w:before="0" w:beforeAutospacing="0" w:after="0" w:afterAutospacing="0" w:line="360" w:lineRule="auto"/>
              <w:ind w:left="0" w:right="0" w:firstLine="420" w:firstLineChars="20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根</w:t>
            </w:r>
            <w:r>
              <w:rPr>
                <w:rFonts w:hint="default" w:ascii="Times New Roman" w:hAnsi="Times New Roman" w:cs="Times New Roman"/>
                <w:color w:val="auto"/>
                <w:sz w:val="21"/>
                <w:szCs w:val="21"/>
              </w:rPr>
              <w:t>据《建设项目竣工环境保护验收暂行办法》</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国环规环评</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2017</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rPr>
              <w:t>号</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，建设单位自行验收。验收合格后，方可投入生产或使用。</w:t>
            </w:r>
          </w:p>
          <w:p w14:paraId="4A0572D4">
            <w:pPr>
              <w:keepNext w:val="0"/>
              <w:keepLines w:val="0"/>
              <w:suppressLineNumbers w:val="0"/>
              <w:adjustRightInd w:val="0"/>
              <w:snapToGrid w:val="0"/>
              <w:spacing w:before="0" w:beforeAutospacing="0" w:after="0" w:afterAutospacing="0" w:line="360" w:lineRule="auto"/>
              <w:ind w:left="0" w:right="0"/>
              <w:jc w:val="both"/>
              <w:rPr>
                <w:rFonts w:hint="default" w:ascii="Times New Roman" w:hAnsi="Times New Roman" w:cs="Times New Roman"/>
                <w:color w:val="auto"/>
                <w:szCs w:val="21"/>
              </w:rPr>
            </w:pPr>
          </w:p>
          <w:p w14:paraId="155D1477">
            <w:pPr>
              <w:pStyle w:val="32"/>
              <w:keepNext w:val="0"/>
              <w:keepLines w:val="0"/>
              <w:suppressLineNumbers w:val="0"/>
              <w:spacing w:before="0" w:beforeAutospacing="0" w:after="0" w:afterAutospacing="0"/>
              <w:ind w:left="0" w:right="0"/>
              <w:jc w:val="both"/>
              <w:rPr>
                <w:rFonts w:hint="default" w:ascii="Times New Roman" w:hAnsi="Times New Roman" w:cs="Times New Roman"/>
                <w:color w:val="auto"/>
                <w:szCs w:val="21"/>
              </w:rPr>
            </w:pPr>
          </w:p>
          <w:p w14:paraId="588CBAB5">
            <w:pPr>
              <w:keepNext w:val="0"/>
              <w:keepLines w:val="0"/>
              <w:suppressLineNumbers w:val="0"/>
              <w:spacing w:before="0" w:beforeAutospacing="0" w:after="0" w:afterAutospacing="0"/>
              <w:ind w:left="0" w:right="0"/>
              <w:jc w:val="both"/>
              <w:rPr>
                <w:rFonts w:hint="default" w:ascii="Times New Roman" w:hAnsi="Times New Roman" w:cs="Times New Roman"/>
                <w:color w:val="auto"/>
                <w:szCs w:val="21"/>
              </w:rPr>
            </w:pPr>
          </w:p>
          <w:p w14:paraId="582DA6FC">
            <w:pPr>
              <w:pStyle w:val="32"/>
              <w:keepNext w:val="0"/>
              <w:keepLines w:val="0"/>
              <w:suppressLineNumbers w:val="0"/>
              <w:spacing w:before="0" w:beforeAutospacing="0" w:after="0" w:afterAutospacing="0"/>
              <w:ind w:left="0" w:right="0"/>
              <w:jc w:val="both"/>
              <w:rPr>
                <w:rFonts w:hint="default" w:ascii="Times New Roman" w:hAnsi="Times New Roman" w:cs="Times New Roman"/>
                <w:color w:val="auto"/>
                <w:szCs w:val="21"/>
              </w:rPr>
            </w:pPr>
          </w:p>
          <w:p w14:paraId="609360B8">
            <w:pPr>
              <w:keepNext w:val="0"/>
              <w:keepLines w:val="0"/>
              <w:suppressLineNumbers w:val="0"/>
              <w:spacing w:before="0" w:beforeAutospacing="0" w:after="0" w:afterAutospacing="0"/>
              <w:ind w:left="0" w:right="0"/>
              <w:jc w:val="both"/>
              <w:rPr>
                <w:rFonts w:hint="default" w:ascii="Times New Roman" w:hAnsi="Times New Roman" w:cs="Times New Roman"/>
                <w:color w:val="auto"/>
                <w:szCs w:val="21"/>
              </w:rPr>
            </w:pPr>
          </w:p>
          <w:p w14:paraId="2D9BED91">
            <w:pPr>
              <w:pStyle w:val="32"/>
              <w:keepNext w:val="0"/>
              <w:keepLines w:val="0"/>
              <w:suppressLineNumbers w:val="0"/>
              <w:spacing w:before="0" w:beforeAutospacing="0" w:after="0" w:afterAutospacing="0"/>
              <w:ind w:left="0" w:right="0"/>
              <w:jc w:val="both"/>
              <w:rPr>
                <w:rFonts w:hint="default" w:ascii="Times New Roman" w:hAnsi="Times New Roman" w:cs="Times New Roman"/>
                <w:color w:val="auto"/>
                <w:szCs w:val="21"/>
              </w:rPr>
            </w:pPr>
          </w:p>
          <w:p w14:paraId="13DDDE2D">
            <w:pPr>
              <w:keepNext w:val="0"/>
              <w:keepLines w:val="0"/>
              <w:suppressLineNumbers w:val="0"/>
              <w:spacing w:before="0" w:beforeAutospacing="0" w:after="0" w:afterAutospacing="0"/>
              <w:ind w:left="0" w:right="0"/>
              <w:jc w:val="both"/>
              <w:rPr>
                <w:rFonts w:hint="default" w:ascii="Times New Roman" w:hAnsi="Times New Roman" w:cs="Times New Roman"/>
                <w:color w:val="auto"/>
                <w:szCs w:val="21"/>
              </w:rPr>
            </w:pPr>
          </w:p>
          <w:p w14:paraId="7822F726">
            <w:pPr>
              <w:keepNext w:val="0"/>
              <w:keepLines w:val="0"/>
              <w:suppressLineNumbers w:val="0"/>
              <w:spacing w:before="0" w:beforeAutospacing="0" w:after="0" w:afterAutospacing="0"/>
              <w:ind w:left="0" w:right="0"/>
              <w:jc w:val="both"/>
              <w:rPr>
                <w:rFonts w:hint="default" w:ascii="Times New Roman" w:hAnsi="Times New Roman" w:cs="Times New Roman"/>
                <w:color w:val="auto"/>
              </w:rPr>
            </w:pPr>
          </w:p>
        </w:tc>
      </w:tr>
    </w:tbl>
    <w:p w14:paraId="79DB056B">
      <w:pPr>
        <w:pStyle w:val="27"/>
        <w:jc w:val="center"/>
        <w:outlineLvl w:val="0"/>
        <w:rPr>
          <w:rFonts w:hint="default" w:ascii="Times New Roman" w:hAnsi="Times New Roman" w:eastAsia="黑体" w:cs="Times New Roman"/>
          <w:snapToGrid w:val="0"/>
          <w:color w:val="auto"/>
          <w:sz w:val="30"/>
          <w:szCs w:val="30"/>
        </w:rPr>
        <w:sectPr>
          <w:pgSz w:w="11906" w:h="16838"/>
          <w:pgMar w:top="1417" w:right="1531" w:bottom="141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06CA13C8">
      <w:pPr>
        <w:pStyle w:val="27"/>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六、结论</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000C6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24" w:hRule="atLeast"/>
        </w:trPr>
        <w:tc>
          <w:tcPr>
            <w:tcW w:w="9060" w:type="dxa"/>
            <w:noWrap w:val="0"/>
            <w:vAlign w:val="top"/>
          </w:tcPr>
          <w:p w14:paraId="7AE97DF0">
            <w:pPr>
              <w:keepNext w:val="0"/>
              <w:keepLines w:val="0"/>
              <w:widowControl/>
              <w:suppressLineNumbers w:val="0"/>
              <w:adjustRightInd w:val="0"/>
              <w:spacing w:before="0" w:beforeAutospacing="0" w:after="0" w:afterAutospacing="0" w:line="360" w:lineRule="auto"/>
              <w:ind w:left="0" w:right="0" w:firstLine="480" w:firstLineChars="200"/>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从环境影响的角度分析，项目建设环境影响是可行的。</w:t>
            </w:r>
          </w:p>
          <w:p w14:paraId="41728975">
            <w:pPr>
              <w:pStyle w:val="27"/>
              <w:keepNext w:val="0"/>
              <w:keepLines w:val="0"/>
              <w:suppressLineNumbers w:val="0"/>
              <w:ind w:left="0" w:right="0"/>
              <w:jc w:val="center"/>
              <w:outlineLvl w:val="0"/>
              <w:rPr>
                <w:rFonts w:hint="default" w:ascii="Times New Roman" w:hAnsi="Times New Roman" w:eastAsia="黑体" w:cs="Times New Roman"/>
                <w:snapToGrid w:val="0"/>
                <w:color w:val="auto"/>
                <w:sz w:val="30"/>
                <w:szCs w:val="30"/>
              </w:rPr>
            </w:pPr>
          </w:p>
        </w:tc>
      </w:tr>
    </w:tbl>
    <w:p w14:paraId="1E1026BB">
      <w:pPr>
        <w:pStyle w:val="27"/>
        <w:jc w:val="center"/>
        <w:outlineLvl w:val="0"/>
        <w:rPr>
          <w:rFonts w:hint="default" w:ascii="Times New Roman" w:hAnsi="Times New Roman" w:eastAsia="黑体" w:cs="Times New Roman"/>
          <w:snapToGrid w:val="0"/>
          <w:color w:val="auto"/>
          <w:sz w:val="30"/>
          <w:szCs w:val="30"/>
        </w:rPr>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0E1A26A1">
      <w:pPr>
        <w:pStyle w:val="27"/>
        <w:adjustRightInd w:val="0"/>
        <w:snapToGrid w:val="0"/>
        <w:spacing w:before="0" w:beforeAutospacing="0" w:after="0" w:afterAutospacing="0"/>
        <w:jc w:val="center"/>
        <w:outlineLvl w:val="0"/>
        <w:rPr>
          <w:rFonts w:hint="default" w:ascii="Times New Roman" w:hAnsi="Times New Roman" w:eastAsia="方正小标宋_GBK" w:cs="Times New Roman"/>
          <w:snapToGrid w:val="0"/>
          <w:color w:val="auto"/>
          <w:sz w:val="38"/>
          <w:szCs w:val="38"/>
        </w:rPr>
      </w:pPr>
      <w:r>
        <w:rPr>
          <w:rFonts w:hint="default" w:ascii="Times New Roman" w:hAnsi="Times New Roman" w:eastAsia="方正小标宋_GBK" w:cs="Times New Roman"/>
          <w:snapToGrid w:val="0"/>
          <w:color w:val="auto"/>
          <w:sz w:val="38"/>
          <w:szCs w:val="38"/>
        </w:rPr>
        <w:t>建设项目污染物排放量汇总表</w:t>
      </w:r>
    </w:p>
    <w:tbl>
      <w:tblPr>
        <w:tblStyle w:val="33"/>
        <w:tblpPr w:leftFromText="180" w:rightFromText="180" w:vertAnchor="text" w:tblpXSpec="center" w:tblpY="1"/>
        <w:tblOverlap w:val="never"/>
        <w:tblW w:w="1347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95"/>
        <w:gridCol w:w="1807"/>
        <w:gridCol w:w="1422"/>
        <w:gridCol w:w="1123"/>
        <w:gridCol w:w="1663"/>
        <w:gridCol w:w="1524"/>
        <w:gridCol w:w="1722"/>
        <w:gridCol w:w="1593"/>
        <w:gridCol w:w="1128"/>
      </w:tblGrid>
      <w:tr w14:paraId="359F22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tcBorders>
              <w:tl2br w:val="single" w:color="auto" w:sz="4" w:space="0"/>
            </w:tcBorders>
            <w:noWrap w:val="0"/>
            <w:tcMar>
              <w:left w:w="28" w:type="dxa"/>
              <w:right w:w="28" w:type="dxa"/>
            </w:tcMar>
            <w:vAlign w:val="center"/>
          </w:tcPr>
          <w:p w14:paraId="612E1923">
            <w:pPr>
              <w:pStyle w:val="73"/>
              <w:keepNext w:val="0"/>
              <w:keepLines w:val="0"/>
              <w:suppressLineNumbers w:val="0"/>
              <w:spacing w:before="0" w:beforeLines="0" w:beforeAutospacing="0" w:after="0" w:afterLines="0" w:afterAutospacing="0" w:line="240" w:lineRule="auto"/>
              <w:ind w:left="0" w:right="0"/>
              <w:jc w:val="right"/>
              <w:rPr>
                <w:rFonts w:hint="default" w:ascii="Times New Roman" w:hAnsi="Times New Roman" w:cs="Times New Roman"/>
                <w:b w:val="0"/>
                <w:bCs w:val="0"/>
                <w:snapToGrid w:val="0"/>
                <w:color w:val="auto"/>
                <w:spacing w:val="-6"/>
                <w:kern w:val="21"/>
                <w:sz w:val="21"/>
                <w:szCs w:val="21"/>
              </w:rPr>
            </w:pPr>
            <w:r>
              <w:rPr>
                <w:rFonts w:hint="default" w:ascii="Times New Roman" w:hAnsi="Times New Roman" w:cs="Times New Roman"/>
                <w:b w:val="0"/>
                <w:bCs w:val="0"/>
                <w:snapToGrid w:val="0"/>
                <w:color w:val="auto"/>
                <w:spacing w:val="-6"/>
                <w:kern w:val="21"/>
                <w:sz w:val="21"/>
                <w:szCs w:val="21"/>
              </w:rPr>
              <w:t>项目</w:t>
            </w:r>
          </w:p>
          <w:p w14:paraId="6A02E917">
            <w:pPr>
              <w:pStyle w:val="73"/>
              <w:keepNext w:val="0"/>
              <w:keepLines w:val="0"/>
              <w:suppressLineNumbers w:val="0"/>
              <w:spacing w:before="0" w:beforeLines="0" w:beforeAutospacing="0" w:after="0" w:afterLines="0" w:afterAutospacing="0" w:line="240" w:lineRule="auto"/>
              <w:ind w:left="0" w:right="0"/>
              <w:jc w:val="left"/>
              <w:rPr>
                <w:rFonts w:hint="default" w:ascii="Times New Roman" w:hAnsi="Times New Roman" w:cs="Times New Roman"/>
                <w:b w:val="0"/>
                <w:bCs w:val="0"/>
                <w:snapToGrid w:val="0"/>
                <w:color w:val="auto"/>
                <w:spacing w:val="-6"/>
                <w:kern w:val="21"/>
                <w:sz w:val="21"/>
                <w:szCs w:val="21"/>
              </w:rPr>
            </w:pPr>
            <w:r>
              <w:rPr>
                <w:rFonts w:hint="default" w:ascii="Times New Roman" w:hAnsi="Times New Roman" w:cs="Times New Roman"/>
                <w:b w:val="0"/>
                <w:bCs w:val="0"/>
                <w:snapToGrid w:val="0"/>
                <w:color w:val="auto"/>
                <w:spacing w:val="-6"/>
                <w:kern w:val="21"/>
                <w:sz w:val="21"/>
                <w:szCs w:val="21"/>
              </w:rPr>
              <w:t>分类</w:t>
            </w:r>
          </w:p>
        </w:tc>
        <w:tc>
          <w:tcPr>
            <w:tcW w:w="1807" w:type="dxa"/>
            <w:noWrap w:val="0"/>
            <w:tcMar>
              <w:left w:w="28" w:type="dxa"/>
              <w:right w:w="28" w:type="dxa"/>
            </w:tcMar>
            <w:vAlign w:val="center"/>
          </w:tcPr>
          <w:p w14:paraId="55C8FD8E">
            <w:pPr>
              <w:pStyle w:val="7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b w:val="0"/>
                <w:bCs w:val="0"/>
                <w:snapToGrid w:val="0"/>
                <w:color w:val="auto"/>
                <w:spacing w:val="-6"/>
                <w:kern w:val="21"/>
                <w:sz w:val="21"/>
                <w:szCs w:val="21"/>
              </w:rPr>
            </w:pPr>
            <w:r>
              <w:rPr>
                <w:rFonts w:hint="default" w:ascii="Times New Roman" w:hAnsi="Times New Roman" w:cs="Times New Roman"/>
                <w:b w:val="0"/>
                <w:bCs w:val="0"/>
                <w:snapToGrid w:val="0"/>
                <w:color w:val="auto"/>
                <w:spacing w:val="-6"/>
                <w:kern w:val="21"/>
                <w:sz w:val="21"/>
                <w:szCs w:val="21"/>
              </w:rPr>
              <w:t>污染物名称</w:t>
            </w:r>
          </w:p>
        </w:tc>
        <w:tc>
          <w:tcPr>
            <w:tcW w:w="1422" w:type="dxa"/>
            <w:noWrap w:val="0"/>
            <w:tcMar>
              <w:left w:w="28" w:type="dxa"/>
              <w:right w:w="28" w:type="dxa"/>
            </w:tcMar>
            <w:vAlign w:val="center"/>
          </w:tcPr>
          <w:p w14:paraId="07EAAF84">
            <w:pPr>
              <w:pStyle w:val="7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b w:val="0"/>
                <w:bCs w:val="0"/>
                <w:snapToGrid w:val="0"/>
                <w:color w:val="auto"/>
                <w:spacing w:val="-6"/>
                <w:kern w:val="21"/>
                <w:sz w:val="21"/>
                <w:szCs w:val="21"/>
              </w:rPr>
            </w:pPr>
            <w:r>
              <w:rPr>
                <w:rFonts w:hint="default" w:ascii="Times New Roman" w:hAnsi="Times New Roman" w:cs="Times New Roman"/>
                <w:b w:val="0"/>
                <w:bCs w:val="0"/>
                <w:snapToGrid w:val="0"/>
                <w:color w:val="auto"/>
                <w:spacing w:val="-6"/>
                <w:kern w:val="21"/>
                <w:sz w:val="21"/>
                <w:szCs w:val="21"/>
              </w:rPr>
              <w:t>现有工程</w:t>
            </w:r>
          </w:p>
          <w:p w14:paraId="1284F415">
            <w:pPr>
              <w:pStyle w:val="7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b w:val="0"/>
                <w:bCs w:val="0"/>
                <w:snapToGrid w:val="0"/>
                <w:color w:val="auto"/>
                <w:spacing w:val="-6"/>
                <w:kern w:val="21"/>
                <w:sz w:val="21"/>
                <w:szCs w:val="21"/>
              </w:rPr>
            </w:pPr>
            <w:r>
              <w:rPr>
                <w:rFonts w:hint="default" w:ascii="Times New Roman" w:hAnsi="Times New Roman" w:cs="Times New Roman"/>
                <w:b w:val="0"/>
                <w:bCs w:val="0"/>
                <w:snapToGrid w:val="0"/>
                <w:color w:val="auto"/>
                <w:spacing w:val="-6"/>
                <w:kern w:val="21"/>
                <w:sz w:val="21"/>
                <w:szCs w:val="21"/>
              </w:rPr>
              <w:t>排放量（固体废物产生量）</w:t>
            </w:r>
            <w:r>
              <w:rPr>
                <w:rFonts w:hint="default" w:ascii="Times New Roman" w:hAnsi="Times New Roman" w:cs="Times New Roman"/>
                <w:b w:val="0"/>
                <w:bCs w:val="0"/>
                <w:snapToGrid w:val="0"/>
                <w:color w:val="auto"/>
                <w:spacing w:val="-6"/>
                <w:kern w:val="21"/>
                <w:sz w:val="21"/>
                <w:szCs w:val="21"/>
              </w:rPr>
              <w:fldChar w:fldCharType="begin"/>
            </w:r>
            <w:r>
              <w:rPr>
                <w:rFonts w:hint="default" w:ascii="Times New Roman" w:hAnsi="Times New Roman" w:cs="Times New Roman"/>
                <w:b w:val="0"/>
                <w:bCs w:val="0"/>
                <w:snapToGrid w:val="0"/>
                <w:color w:val="auto"/>
                <w:spacing w:val="-6"/>
                <w:kern w:val="21"/>
                <w:sz w:val="21"/>
                <w:szCs w:val="21"/>
              </w:rPr>
              <w:instrText xml:space="preserve"> = 1 \* GB3 \* MERGEFORMAT </w:instrText>
            </w:r>
            <w:r>
              <w:rPr>
                <w:rFonts w:hint="default" w:ascii="Times New Roman" w:hAnsi="Times New Roman" w:cs="Times New Roman"/>
                <w:b w:val="0"/>
                <w:bCs w:val="0"/>
                <w:snapToGrid w:val="0"/>
                <w:color w:val="auto"/>
                <w:spacing w:val="-6"/>
                <w:kern w:val="21"/>
                <w:sz w:val="21"/>
                <w:szCs w:val="21"/>
              </w:rPr>
              <w:fldChar w:fldCharType="separate"/>
            </w:r>
            <w:r>
              <w:rPr>
                <w:rFonts w:hint="default" w:ascii="Times New Roman" w:hAnsi="Times New Roman" w:cs="Times New Roman"/>
                <w:b w:val="0"/>
                <w:bCs w:val="0"/>
                <w:color w:val="auto"/>
                <w:kern w:val="2"/>
                <w:sz w:val="21"/>
                <w:szCs w:val="21"/>
              </w:rPr>
              <w:t>①</w:t>
            </w:r>
            <w:r>
              <w:rPr>
                <w:rFonts w:hint="default" w:ascii="Times New Roman" w:hAnsi="Times New Roman" w:cs="Times New Roman"/>
                <w:b w:val="0"/>
                <w:bCs w:val="0"/>
                <w:snapToGrid w:val="0"/>
                <w:color w:val="auto"/>
                <w:spacing w:val="-6"/>
                <w:kern w:val="21"/>
                <w:sz w:val="21"/>
                <w:szCs w:val="21"/>
              </w:rPr>
              <w:fldChar w:fldCharType="end"/>
            </w:r>
          </w:p>
        </w:tc>
        <w:tc>
          <w:tcPr>
            <w:tcW w:w="1123" w:type="dxa"/>
            <w:noWrap w:val="0"/>
            <w:tcMar>
              <w:left w:w="28" w:type="dxa"/>
              <w:right w:w="28" w:type="dxa"/>
            </w:tcMar>
            <w:vAlign w:val="center"/>
          </w:tcPr>
          <w:p w14:paraId="1728982D">
            <w:pPr>
              <w:pStyle w:val="7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b w:val="0"/>
                <w:bCs w:val="0"/>
                <w:snapToGrid w:val="0"/>
                <w:color w:val="auto"/>
                <w:spacing w:val="-6"/>
                <w:kern w:val="21"/>
                <w:sz w:val="21"/>
                <w:szCs w:val="21"/>
              </w:rPr>
            </w:pPr>
            <w:r>
              <w:rPr>
                <w:rFonts w:hint="default" w:ascii="Times New Roman" w:hAnsi="Times New Roman" w:cs="Times New Roman"/>
                <w:b w:val="0"/>
                <w:bCs w:val="0"/>
                <w:snapToGrid w:val="0"/>
                <w:color w:val="auto"/>
                <w:spacing w:val="-6"/>
                <w:kern w:val="21"/>
                <w:sz w:val="21"/>
                <w:szCs w:val="21"/>
              </w:rPr>
              <w:t>现有工程</w:t>
            </w:r>
          </w:p>
          <w:p w14:paraId="6D393C4A">
            <w:pPr>
              <w:pStyle w:val="7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b w:val="0"/>
                <w:bCs w:val="0"/>
                <w:snapToGrid w:val="0"/>
                <w:color w:val="auto"/>
                <w:spacing w:val="-6"/>
                <w:kern w:val="21"/>
                <w:sz w:val="21"/>
                <w:szCs w:val="21"/>
              </w:rPr>
            </w:pPr>
            <w:r>
              <w:rPr>
                <w:rFonts w:hint="default" w:ascii="Times New Roman" w:hAnsi="Times New Roman" w:cs="Times New Roman"/>
                <w:b w:val="0"/>
                <w:bCs w:val="0"/>
                <w:snapToGrid w:val="0"/>
                <w:color w:val="auto"/>
                <w:spacing w:val="-6"/>
                <w:kern w:val="21"/>
                <w:sz w:val="21"/>
                <w:szCs w:val="21"/>
              </w:rPr>
              <w:t>许可排放量</w:t>
            </w:r>
          </w:p>
          <w:p w14:paraId="315BB901">
            <w:pPr>
              <w:pStyle w:val="73"/>
              <w:keepNext w:val="0"/>
              <w:keepLines w:val="0"/>
              <w:suppressLineNumbers w:val="0"/>
              <w:spacing w:before="0" w:beforeLines="0" w:beforeAutospacing="0" w:after="0" w:afterLines="0" w:afterAutospacing="0"/>
              <w:ind w:left="0" w:right="0"/>
              <w:rPr>
                <w:rFonts w:hint="default" w:ascii="Times New Roman" w:hAnsi="Times New Roman" w:cs="Times New Roman"/>
                <w:b w:val="0"/>
                <w:bCs w:val="0"/>
                <w:snapToGrid w:val="0"/>
                <w:color w:val="auto"/>
                <w:spacing w:val="-6"/>
                <w:kern w:val="21"/>
                <w:sz w:val="21"/>
                <w:szCs w:val="21"/>
              </w:rPr>
            </w:pPr>
            <w:r>
              <w:rPr>
                <w:rFonts w:hint="default" w:ascii="Times New Roman" w:hAnsi="Times New Roman" w:cs="Times New Roman"/>
                <w:b w:val="0"/>
                <w:bCs w:val="0"/>
                <w:snapToGrid w:val="0"/>
                <w:color w:val="auto"/>
                <w:spacing w:val="-6"/>
                <w:kern w:val="21"/>
                <w:sz w:val="21"/>
                <w:szCs w:val="21"/>
              </w:rPr>
              <w:fldChar w:fldCharType="begin"/>
            </w:r>
            <w:r>
              <w:rPr>
                <w:rFonts w:hint="default" w:ascii="Times New Roman" w:hAnsi="Times New Roman" w:cs="Times New Roman"/>
                <w:b w:val="0"/>
                <w:bCs w:val="0"/>
                <w:snapToGrid w:val="0"/>
                <w:color w:val="auto"/>
                <w:spacing w:val="-6"/>
                <w:kern w:val="21"/>
                <w:sz w:val="21"/>
                <w:szCs w:val="21"/>
              </w:rPr>
              <w:instrText xml:space="preserve"> = 2 \* GB3 \* MERGEFORMAT </w:instrText>
            </w:r>
            <w:r>
              <w:rPr>
                <w:rFonts w:hint="default" w:ascii="Times New Roman" w:hAnsi="Times New Roman" w:cs="Times New Roman"/>
                <w:b w:val="0"/>
                <w:bCs w:val="0"/>
                <w:snapToGrid w:val="0"/>
                <w:color w:val="auto"/>
                <w:spacing w:val="-6"/>
                <w:kern w:val="21"/>
                <w:sz w:val="21"/>
                <w:szCs w:val="21"/>
              </w:rPr>
              <w:fldChar w:fldCharType="separate"/>
            </w:r>
            <w:r>
              <w:rPr>
                <w:rFonts w:hint="default" w:ascii="Times New Roman" w:hAnsi="Times New Roman" w:cs="Times New Roman"/>
                <w:b w:val="0"/>
                <w:bCs w:val="0"/>
                <w:snapToGrid w:val="0"/>
                <w:color w:val="auto"/>
                <w:spacing w:val="-6"/>
                <w:kern w:val="21"/>
                <w:sz w:val="21"/>
                <w:szCs w:val="21"/>
              </w:rPr>
              <w:t>②</w:t>
            </w:r>
            <w:r>
              <w:rPr>
                <w:rFonts w:hint="default" w:ascii="Times New Roman" w:hAnsi="Times New Roman" w:cs="Times New Roman"/>
                <w:b w:val="0"/>
                <w:bCs w:val="0"/>
                <w:snapToGrid w:val="0"/>
                <w:color w:val="auto"/>
                <w:spacing w:val="-6"/>
                <w:kern w:val="21"/>
                <w:sz w:val="21"/>
                <w:szCs w:val="21"/>
              </w:rPr>
              <w:fldChar w:fldCharType="end"/>
            </w:r>
          </w:p>
        </w:tc>
        <w:tc>
          <w:tcPr>
            <w:tcW w:w="1663" w:type="dxa"/>
            <w:noWrap w:val="0"/>
            <w:tcMar>
              <w:left w:w="28" w:type="dxa"/>
              <w:right w:w="28" w:type="dxa"/>
            </w:tcMar>
            <w:vAlign w:val="center"/>
          </w:tcPr>
          <w:p w14:paraId="77C55ACB">
            <w:pPr>
              <w:pStyle w:val="7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b w:val="0"/>
                <w:bCs w:val="0"/>
                <w:snapToGrid w:val="0"/>
                <w:color w:val="auto"/>
                <w:spacing w:val="-6"/>
                <w:kern w:val="21"/>
                <w:sz w:val="21"/>
                <w:szCs w:val="21"/>
              </w:rPr>
            </w:pPr>
            <w:r>
              <w:rPr>
                <w:rFonts w:hint="default" w:ascii="Times New Roman" w:hAnsi="Times New Roman" w:cs="Times New Roman"/>
                <w:b w:val="0"/>
                <w:bCs w:val="0"/>
                <w:snapToGrid w:val="0"/>
                <w:color w:val="auto"/>
                <w:spacing w:val="-6"/>
                <w:kern w:val="21"/>
                <w:sz w:val="21"/>
                <w:szCs w:val="21"/>
              </w:rPr>
              <w:t>在建工程</w:t>
            </w:r>
          </w:p>
          <w:p w14:paraId="4DF902AF">
            <w:pPr>
              <w:pStyle w:val="7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b w:val="0"/>
                <w:bCs w:val="0"/>
                <w:snapToGrid w:val="0"/>
                <w:color w:val="auto"/>
                <w:spacing w:val="-6"/>
                <w:kern w:val="21"/>
                <w:sz w:val="21"/>
                <w:szCs w:val="21"/>
              </w:rPr>
            </w:pPr>
            <w:r>
              <w:rPr>
                <w:rFonts w:hint="default" w:ascii="Times New Roman" w:hAnsi="Times New Roman" w:cs="Times New Roman"/>
                <w:b w:val="0"/>
                <w:bCs w:val="0"/>
                <w:snapToGrid w:val="0"/>
                <w:color w:val="auto"/>
                <w:spacing w:val="-6"/>
                <w:kern w:val="21"/>
                <w:sz w:val="21"/>
                <w:szCs w:val="21"/>
              </w:rPr>
              <w:t>排放量（固体废物产生量）</w:t>
            </w:r>
            <w:r>
              <w:rPr>
                <w:rFonts w:hint="default" w:ascii="Times New Roman" w:hAnsi="Times New Roman" w:cs="Times New Roman"/>
                <w:b w:val="0"/>
                <w:bCs w:val="0"/>
                <w:snapToGrid w:val="0"/>
                <w:color w:val="auto"/>
                <w:spacing w:val="-6"/>
                <w:kern w:val="21"/>
                <w:sz w:val="21"/>
                <w:szCs w:val="21"/>
              </w:rPr>
              <w:fldChar w:fldCharType="begin"/>
            </w:r>
            <w:r>
              <w:rPr>
                <w:rFonts w:hint="default" w:ascii="Times New Roman" w:hAnsi="Times New Roman" w:cs="Times New Roman"/>
                <w:b w:val="0"/>
                <w:bCs w:val="0"/>
                <w:snapToGrid w:val="0"/>
                <w:color w:val="auto"/>
                <w:spacing w:val="-6"/>
                <w:kern w:val="21"/>
                <w:sz w:val="21"/>
                <w:szCs w:val="21"/>
              </w:rPr>
              <w:instrText xml:space="preserve"> = 3 \* GB3 \* MERGEFORMAT </w:instrText>
            </w:r>
            <w:r>
              <w:rPr>
                <w:rFonts w:hint="default" w:ascii="Times New Roman" w:hAnsi="Times New Roman" w:cs="Times New Roman"/>
                <w:b w:val="0"/>
                <w:bCs w:val="0"/>
                <w:snapToGrid w:val="0"/>
                <w:color w:val="auto"/>
                <w:spacing w:val="-6"/>
                <w:kern w:val="21"/>
                <w:sz w:val="21"/>
                <w:szCs w:val="21"/>
              </w:rPr>
              <w:fldChar w:fldCharType="separate"/>
            </w:r>
            <w:r>
              <w:rPr>
                <w:rFonts w:hint="default" w:ascii="Times New Roman" w:hAnsi="Times New Roman" w:cs="Times New Roman"/>
                <w:b w:val="0"/>
                <w:bCs w:val="0"/>
                <w:color w:val="auto"/>
                <w:kern w:val="2"/>
                <w:sz w:val="21"/>
                <w:szCs w:val="21"/>
              </w:rPr>
              <w:t>③</w:t>
            </w:r>
            <w:r>
              <w:rPr>
                <w:rFonts w:hint="default" w:ascii="Times New Roman" w:hAnsi="Times New Roman" w:cs="Times New Roman"/>
                <w:b w:val="0"/>
                <w:bCs w:val="0"/>
                <w:snapToGrid w:val="0"/>
                <w:color w:val="auto"/>
                <w:spacing w:val="-6"/>
                <w:kern w:val="21"/>
                <w:sz w:val="21"/>
                <w:szCs w:val="21"/>
              </w:rPr>
              <w:fldChar w:fldCharType="end"/>
            </w:r>
          </w:p>
        </w:tc>
        <w:tc>
          <w:tcPr>
            <w:tcW w:w="1524" w:type="dxa"/>
            <w:noWrap w:val="0"/>
            <w:tcMar>
              <w:left w:w="28" w:type="dxa"/>
              <w:right w:w="28" w:type="dxa"/>
            </w:tcMar>
            <w:vAlign w:val="center"/>
          </w:tcPr>
          <w:p w14:paraId="6B6C00F4">
            <w:pPr>
              <w:pStyle w:val="7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b w:val="0"/>
                <w:bCs w:val="0"/>
                <w:snapToGrid w:val="0"/>
                <w:color w:val="auto"/>
                <w:spacing w:val="-6"/>
                <w:kern w:val="21"/>
                <w:sz w:val="21"/>
                <w:szCs w:val="21"/>
              </w:rPr>
            </w:pPr>
            <w:r>
              <w:rPr>
                <w:rFonts w:hint="default" w:ascii="Times New Roman" w:hAnsi="Times New Roman" w:cs="Times New Roman"/>
                <w:b w:val="0"/>
                <w:bCs w:val="0"/>
                <w:snapToGrid w:val="0"/>
                <w:color w:val="auto"/>
                <w:spacing w:val="-6"/>
                <w:kern w:val="21"/>
                <w:sz w:val="21"/>
                <w:szCs w:val="21"/>
              </w:rPr>
              <w:t>本项目</w:t>
            </w:r>
          </w:p>
          <w:p w14:paraId="0864ACF8">
            <w:pPr>
              <w:pStyle w:val="7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b w:val="0"/>
                <w:bCs w:val="0"/>
                <w:snapToGrid w:val="0"/>
                <w:color w:val="auto"/>
                <w:spacing w:val="-6"/>
                <w:kern w:val="21"/>
                <w:sz w:val="21"/>
                <w:szCs w:val="21"/>
              </w:rPr>
            </w:pPr>
            <w:r>
              <w:rPr>
                <w:rFonts w:hint="default" w:ascii="Times New Roman" w:hAnsi="Times New Roman" w:cs="Times New Roman"/>
                <w:b w:val="0"/>
                <w:bCs w:val="0"/>
                <w:snapToGrid w:val="0"/>
                <w:color w:val="auto"/>
                <w:spacing w:val="-6"/>
                <w:kern w:val="21"/>
                <w:sz w:val="21"/>
                <w:szCs w:val="21"/>
              </w:rPr>
              <w:t>排放量（固体废物产生量）</w:t>
            </w:r>
            <w:r>
              <w:rPr>
                <w:rFonts w:hint="default" w:ascii="Times New Roman" w:hAnsi="Times New Roman" w:cs="Times New Roman"/>
                <w:b w:val="0"/>
                <w:bCs w:val="0"/>
                <w:snapToGrid w:val="0"/>
                <w:color w:val="auto"/>
                <w:spacing w:val="-6"/>
                <w:kern w:val="21"/>
                <w:sz w:val="21"/>
                <w:szCs w:val="21"/>
              </w:rPr>
              <w:fldChar w:fldCharType="begin"/>
            </w:r>
            <w:r>
              <w:rPr>
                <w:rFonts w:hint="default" w:ascii="Times New Roman" w:hAnsi="Times New Roman" w:cs="Times New Roman"/>
                <w:b w:val="0"/>
                <w:bCs w:val="0"/>
                <w:snapToGrid w:val="0"/>
                <w:color w:val="auto"/>
                <w:spacing w:val="-6"/>
                <w:kern w:val="21"/>
                <w:sz w:val="21"/>
                <w:szCs w:val="21"/>
              </w:rPr>
              <w:instrText xml:space="preserve"> = 4 \* GB3 \* MERGEFORMAT </w:instrText>
            </w:r>
            <w:r>
              <w:rPr>
                <w:rFonts w:hint="default" w:ascii="Times New Roman" w:hAnsi="Times New Roman" w:cs="Times New Roman"/>
                <w:b w:val="0"/>
                <w:bCs w:val="0"/>
                <w:snapToGrid w:val="0"/>
                <w:color w:val="auto"/>
                <w:spacing w:val="-6"/>
                <w:kern w:val="21"/>
                <w:sz w:val="21"/>
                <w:szCs w:val="21"/>
              </w:rPr>
              <w:fldChar w:fldCharType="separate"/>
            </w:r>
            <w:r>
              <w:rPr>
                <w:rFonts w:hint="default" w:ascii="Times New Roman" w:hAnsi="Times New Roman" w:cs="Times New Roman"/>
                <w:b w:val="0"/>
                <w:bCs w:val="0"/>
                <w:color w:val="auto"/>
                <w:kern w:val="2"/>
                <w:sz w:val="21"/>
                <w:szCs w:val="21"/>
              </w:rPr>
              <w:t>④</w:t>
            </w:r>
            <w:r>
              <w:rPr>
                <w:rFonts w:hint="default" w:ascii="Times New Roman" w:hAnsi="Times New Roman" w:cs="Times New Roman"/>
                <w:b w:val="0"/>
                <w:bCs w:val="0"/>
                <w:snapToGrid w:val="0"/>
                <w:color w:val="auto"/>
                <w:spacing w:val="-6"/>
                <w:kern w:val="21"/>
                <w:sz w:val="21"/>
                <w:szCs w:val="21"/>
              </w:rPr>
              <w:fldChar w:fldCharType="end"/>
            </w:r>
          </w:p>
        </w:tc>
        <w:tc>
          <w:tcPr>
            <w:tcW w:w="1722" w:type="dxa"/>
            <w:noWrap w:val="0"/>
            <w:tcMar>
              <w:left w:w="28" w:type="dxa"/>
              <w:right w:w="28" w:type="dxa"/>
            </w:tcMar>
            <w:vAlign w:val="center"/>
          </w:tcPr>
          <w:p w14:paraId="51C45122">
            <w:pPr>
              <w:pStyle w:val="7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b w:val="0"/>
                <w:bCs w:val="0"/>
                <w:snapToGrid w:val="0"/>
                <w:color w:val="auto"/>
                <w:spacing w:val="-16"/>
                <w:kern w:val="21"/>
                <w:sz w:val="21"/>
                <w:szCs w:val="21"/>
              </w:rPr>
            </w:pPr>
            <w:r>
              <w:rPr>
                <w:rFonts w:hint="default" w:ascii="Times New Roman" w:hAnsi="Times New Roman" w:cs="Times New Roman"/>
                <w:b w:val="0"/>
                <w:bCs w:val="0"/>
                <w:snapToGrid w:val="0"/>
                <w:color w:val="auto"/>
                <w:spacing w:val="-16"/>
                <w:kern w:val="21"/>
                <w:sz w:val="21"/>
                <w:szCs w:val="21"/>
              </w:rPr>
              <w:t>以新带老削减量</w:t>
            </w:r>
          </w:p>
          <w:p w14:paraId="6E4271B5">
            <w:pPr>
              <w:pStyle w:val="7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b w:val="0"/>
                <w:bCs w:val="0"/>
                <w:snapToGrid w:val="0"/>
                <w:color w:val="auto"/>
                <w:spacing w:val="-16"/>
                <w:kern w:val="21"/>
                <w:sz w:val="21"/>
                <w:szCs w:val="21"/>
              </w:rPr>
            </w:pPr>
            <w:r>
              <w:rPr>
                <w:rFonts w:hint="default" w:ascii="Times New Roman" w:hAnsi="Times New Roman" w:cs="Times New Roman"/>
                <w:b w:val="0"/>
                <w:bCs w:val="0"/>
                <w:snapToGrid w:val="0"/>
                <w:color w:val="auto"/>
                <w:spacing w:val="-16"/>
                <w:kern w:val="21"/>
                <w:sz w:val="21"/>
                <w:szCs w:val="21"/>
              </w:rPr>
              <w:t>（新建项目不填）</w:t>
            </w:r>
            <w:r>
              <w:rPr>
                <w:rFonts w:hint="default" w:ascii="Times New Roman" w:hAnsi="Times New Roman" w:cs="Times New Roman"/>
                <w:b w:val="0"/>
                <w:bCs w:val="0"/>
                <w:snapToGrid w:val="0"/>
                <w:color w:val="auto"/>
                <w:spacing w:val="-16"/>
                <w:kern w:val="21"/>
                <w:sz w:val="21"/>
                <w:szCs w:val="21"/>
              </w:rPr>
              <w:fldChar w:fldCharType="begin"/>
            </w:r>
            <w:r>
              <w:rPr>
                <w:rFonts w:hint="default" w:ascii="Times New Roman" w:hAnsi="Times New Roman" w:cs="Times New Roman"/>
                <w:b w:val="0"/>
                <w:bCs w:val="0"/>
                <w:snapToGrid w:val="0"/>
                <w:color w:val="auto"/>
                <w:spacing w:val="-16"/>
                <w:kern w:val="21"/>
                <w:sz w:val="21"/>
                <w:szCs w:val="21"/>
              </w:rPr>
              <w:instrText xml:space="preserve"> = 5 \* GB3 \* MERGEFORMAT </w:instrText>
            </w:r>
            <w:r>
              <w:rPr>
                <w:rFonts w:hint="default" w:ascii="Times New Roman" w:hAnsi="Times New Roman" w:cs="Times New Roman"/>
                <w:b w:val="0"/>
                <w:bCs w:val="0"/>
                <w:snapToGrid w:val="0"/>
                <w:color w:val="auto"/>
                <w:spacing w:val="-16"/>
                <w:kern w:val="21"/>
                <w:sz w:val="21"/>
                <w:szCs w:val="21"/>
              </w:rPr>
              <w:fldChar w:fldCharType="separate"/>
            </w:r>
            <w:r>
              <w:rPr>
                <w:rFonts w:hint="default" w:ascii="Times New Roman" w:hAnsi="Times New Roman" w:cs="Times New Roman"/>
                <w:b w:val="0"/>
                <w:bCs w:val="0"/>
                <w:color w:val="auto"/>
                <w:kern w:val="2"/>
                <w:sz w:val="21"/>
                <w:szCs w:val="21"/>
              </w:rPr>
              <w:t>⑤</w:t>
            </w:r>
            <w:r>
              <w:rPr>
                <w:rFonts w:hint="default" w:ascii="Times New Roman" w:hAnsi="Times New Roman" w:cs="Times New Roman"/>
                <w:b w:val="0"/>
                <w:bCs w:val="0"/>
                <w:snapToGrid w:val="0"/>
                <w:color w:val="auto"/>
                <w:spacing w:val="-16"/>
                <w:kern w:val="21"/>
                <w:sz w:val="21"/>
                <w:szCs w:val="21"/>
              </w:rPr>
              <w:fldChar w:fldCharType="end"/>
            </w:r>
          </w:p>
        </w:tc>
        <w:tc>
          <w:tcPr>
            <w:tcW w:w="1593" w:type="dxa"/>
            <w:noWrap w:val="0"/>
            <w:tcMar>
              <w:left w:w="28" w:type="dxa"/>
              <w:right w:w="28" w:type="dxa"/>
            </w:tcMar>
            <w:vAlign w:val="center"/>
          </w:tcPr>
          <w:p w14:paraId="62CE7E91">
            <w:pPr>
              <w:pStyle w:val="7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b w:val="0"/>
                <w:bCs w:val="0"/>
                <w:snapToGrid w:val="0"/>
                <w:color w:val="auto"/>
                <w:spacing w:val="-16"/>
                <w:kern w:val="21"/>
                <w:sz w:val="21"/>
                <w:szCs w:val="21"/>
              </w:rPr>
            </w:pPr>
            <w:r>
              <w:rPr>
                <w:rFonts w:hint="default" w:ascii="Times New Roman" w:hAnsi="Times New Roman" w:cs="Times New Roman"/>
                <w:b w:val="0"/>
                <w:bCs w:val="0"/>
                <w:snapToGrid w:val="0"/>
                <w:color w:val="auto"/>
                <w:spacing w:val="-16"/>
                <w:kern w:val="21"/>
                <w:sz w:val="21"/>
                <w:szCs w:val="21"/>
              </w:rPr>
              <w:t>本项目建成后</w:t>
            </w:r>
          </w:p>
          <w:p w14:paraId="5030187A">
            <w:pPr>
              <w:pStyle w:val="7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b w:val="0"/>
                <w:bCs w:val="0"/>
                <w:snapToGrid w:val="0"/>
                <w:color w:val="auto"/>
                <w:spacing w:val="-16"/>
                <w:kern w:val="21"/>
                <w:sz w:val="21"/>
                <w:szCs w:val="21"/>
              </w:rPr>
            </w:pPr>
            <w:r>
              <w:rPr>
                <w:rFonts w:hint="default" w:ascii="Times New Roman" w:hAnsi="Times New Roman" w:cs="Times New Roman"/>
                <w:b w:val="0"/>
                <w:bCs w:val="0"/>
                <w:snapToGrid w:val="0"/>
                <w:color w:val="auto"/>
                <w:spacing w:val="-16"/>
                <w:kern w:val="21"/>
                <w:sz w:val="21"/>
                <w:szCs w:val="21"/>
              </w:rPr>
              <w:t>全厂排放量（固体废物产生量）</w:t>
            </w:r>
            <w:r>
              <w:rPr>
                <w:rFonts w:hint="default" w:ascii="Times New Roman" w:hAnsi="Times New Roman" w:cs="Times New Roman"/>
                <w:b w:val="0"/>
                <w:bCs w:val="0"/>
                <w:snapToGrid w:val="0"/>
                <w:color w:val="auto"/>
                <w:spacing w:val="-16"/>
                <w:kern w:val="21"/>
                <w:sz w:val="21"/>
                <w:szCs w:val="21"/>
              </w:rPr>
              <w:fldChar w:fldCharType="begin"/>
            </w:r>
            <w:r>
              <w:rPr>
                <w:rFonts w:hint="default" w:ascii="Times New Roman" w:hAnsi="Times New Roman" w:cs="Times New Roman"/>
                <w:b w:val="0"/>
                <w:bCs w:val="0"/>
                <w:snapToGrid w:val="0"/>
                <w:color w:val="auto"/>
                <w:spacing w:val="-16"/>
                <w:kern w:val="21"/>
                <w:sz w:val="21"/>
                <w:szCs w:val="21"/>
              </w:rPr>
              <w:instrText xml:space="preserve"> = 6 \* GB3 \* MERGEFORMAT </w:instrText>
            </w:r>
            <w:r>
              <w:rPr>
                <w:rFonts w:hint="default" w:ascii="Times New Roman" w:hAnsi="Times New Roman" w:cs="Times New Roman"/>
                <w:b w:val="0"/>
                <w:bCs w:val="0"/>
                <w:snapToGrid w:val="0"/>
                <w:color w:val="auto"/>
                <w:spacing w:val="-16"/>
                <w:kern w:val="21"/>
                <w:sz w:val="21"/>
                <w:szCs w:val="21"/>
              </w:rPr>
              <w:fldChar w:fldCharType="separate"/>
            </w:r>
            <w:r>
              <w:rPr>
                <w:rFonts w:hint="default" w:ascii="Times New Roman" w:hAnsi="Times New Roman" w:cs="Times New Roman"/>
                <w:b w:val="0"/>
                <w:bCs w:val="0"/>
                <w:color w:val="auto"/>
                <w:kern w:val="2"/>
                <w:sz w:val="21"/>
                <w:szCs w:val="21"/>
              </w:rPr>
              <w:t>⑥</w:t>
            </w:r>
            <w:r>
              <w:rPr>
                <w:rFonts w:hint="default" w:ascii="Times New Roman" w:hAnsi="Times New Roman" w:cs="Times New Roman"/>
                <w:b w:val="0"/>
                <w:bCs w:val="0"/>
                <w:snapToGrid w:val="0"/>
                <w:color w:val="auto"/>
                <w:spacing w:val="-16"/>
                <w:kern w:val="21"/>
                <w:sz w:val="21"/>
                <w:szCs w:val="21"/>
              </w:rPr>
              <w:fldChar w:fldCharType="end"/>
            </w:r>
          </w:p>
        </w:tc>
        <w:tc>
          <w:tcPr>
            <w:tcW w:w="1128" w:type="dxa"/>
            <w:noWrap w:val="0"/>
            <w:tcMar>
              <w:left w:w="28" w:type="dxa"/>
              <w:right w:w="28" w:type="dxa"/>
            </w:tcMar>
            <w:vAlign w:val="center"/>
          </w:tcPr>
          <w:p w14:paraId="50E979B3">
            <w:pPr>
              <w:pStyle w:val="7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b w:val="0"/>
                <w:bCs w:val="0"/>
                <w:snapToGrid w:val="0"/>
                <w:color w:val="auto"/>
                <w:spacing w:val="-6"/>
                <w:kern w:val="21"/>
                <w:sz w:val="21"/>
                <w:szCs w:val="21"/>
              </w:rPr>
            </w:pPr>
            <w:r>
              <w:rPr>
                <w:rFonts w:hint="default" w:ascii="Times New Roman" w:hAnsi="Times New Roman" w:cs="Times New Roman"/>
                <w:b w:val="0"/>
                <w:bCs w:val="0"/>
                <w:snapToGrid w:val="0"/>
                <w:color w:val="auto"/>
                <w:spacing w:val="-6"/>
                <w:kern w:val="21"/>
                <w:sz w:val="21"/>
                <w:szCs w:val="21"/>
              </w:rPr>
              <w:t>变化量</w:t>
            </w:r>
          </w:p>
          <w:p w14:paraId="1CF644EE">
            <w:pPr>
              <w:pStyle w:val="7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b w:val="0"/>
                <w:bCs w:val="0"/>
                <w:snapToGrid w:val="0"/>
                <w:color w:val="auto"/>
                <w:spacing w:val="-6"/>
                <w:kern w:val="21"/>
                <w:sz w:val="21"/>
                <w:szCs w:val="21"/>
              </w:rPr>
            </w:pPr>
            <w:r>
              <w:rPr>
                <w:rFonts w:hint="default" w:ascii="Times New Roman" w:hAnsi="Times New Roman" w:cs="Times New Roman"/>
                <w:b w:val="0"/>
                <w:bCs w:val="0"/>
                <w:snapToGrid w:val="0"/>
                <w:color w:val="auto"/>
                <w:spacing w:val="-6"/>
                <w:kern w:val="21"/>
                <w:sz w:val="21"/>
                <w:szCs w:val="21"/>
              </w:rPr>
              <w:fldChar w:fldCharType="begin"/>
            </w:r>
            <w:r>
              <w:rPr>
                <w:rFonts w:hint="default" w:ascii="Times New Roman" w:hAnsi="Times New Roman" w:cs="Times New Roman"/>
                <w:b w:val="0"/>
                <w:bCs w:val="0"/>
                <w:snapToGrid w:val="0"/>
                <w:color w:val="auto"/>
                <w:spacing w:val="-6"/>
                <w:kern w:val="21"/>
                <w:sz w:val="21"/>
                <w:szCs w:val="21"/>
              </w:rPr>
              <w:instrText xml:space="preserve"> = 7 \* GB3 \* MERGEFORMAT </w:instrText>
            </w:r>
            <w:r>
              <w:rPr>
                <w:rFonts w:hint="default" w:ascii="Times New Roman" w:hAnsi="Times New Roman" w:cs="Times New Roman"/>
                <w:b w:val="0"/>
                <w:bCs w:val="0"/>
                <w:snapToGrid w:val="0"/>
                <w:color w:val="auto"/>
                <w:spacing w:val="-6"/>
                <w:kern w:val="21"/>
                <w:sz w:val="21"/>
                <w:szCs w:val="21"/>
              </w:rPr>
              <w:fldChar w:fldCharType="separate"/>
            </w:r>
            <w:r>
              <w:rPr>
                <w:rFonts w:hint="default" w:ascii="Times New Roman" w:hAnsi="Times New Roman" w:cs="Times New Roman"/>
                <w:b w:val="0"/>
                <w:bCs w:val="0"/>
                <w:color w:val="auto"/>
                <w:kern w:val="2"/>
                <w:sz w:val="21"/>
                <w:szCs w:val="21"/>
              </w:rPr>
              <w:t>⑦</w:t>
            </w:r>
            <w:r>
              <w:rPr>
                <w:rFonts w:hint="default" w:ascii="Times New Roman" w:hAnsi="Times New Roman" w:cs="Times New Roman"/>
                <w:b w:val="0"/>
                <w:bCs w:val="0"/>
                <w:snapToGrid w:val="0"/>
                <w:color w:val="auto"/>
                <w:spacing w:val="-6"/>
                <w:kern w:val="21"/>
                <w:sz w:val="21"/>
                <w:szCs w:val="21"/>
              </w:rPr>
              <w:fldChar w:fldCharType="end"/>
            </w:r>
          </w:p>
        </w:tc>
      </w:tr>
      <w:tr w14:paraId="60FDA3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restart"/>
            <w:noWrap w:val="0"/>
            <w:vAlign w:val="center"/>
          </w:tcPr>
          <w:p w14:paraId="04588A58">
            <w:pPr>
              <w:pStyle w:val="7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b w:val="0"/>
                <w:bCs w:val="0"/>
                <w:snapToGrid w:val="0"/>
                <w:color w:val="auto"/>
                <w:kern w:val="21"/>
                <w:sz w:val="21"/>
                <w:szCs w:val="21"/>
              </w:rPr>
            </w:pPr>
            <w:r>
              <w:rPr>
                <w:rFonts w:hint="default" w:ascii="Times New Roman" w:hAnsi="Times New Roman" w:cs="Times New Roman"/>
                <w:b w:val="0"/>
                <w:bCs w:val="0"/>
                <w:snapToGrid w:val="0"/>
                <w:color w:val="auto"/>
                <w:kern w:val="21"/>
                <w:sz w:val="21"/>
                <w:szCs w:val="21"/>
              </w:rPr>
              <w:t>废气</w:t>
            </w:r>
          </w:p>
        </w:tc>
        <w:tc>
          <w:tcPr>
            <w:tcW w:w="1807" w:type="dxa"/>
            <w:noWrap w:val="0"/>
            <w:vAlign w:val="center"/>
          </w:tcPr>
          <w:p w14:paraId="21E1591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snapToGrid w:val="0"/>
                <w:color w:val="auto"/>
                <w:kern w:val="21"/>
                <w:sz w:val="21"/>
                <w:szCs w:val="21"/>
                <w:lang w:val="en-US" w:eastAsia="zh-CN"/>
              </w:rPr>
            </w:pPr>
            <w:r>
              <w:rPr>
                <w:rFonts w:hint="default" w:ascii="Times New Roman" w:hAnsi="Times New Roman" w:eastAsia="宋体" w:cs="Times New Roman"/>
                <w:color w:val="auto"/>
                <w:sz w:val="21"/>
                <w:szCs w:val="21"/>
              </w:rPr>
              <w:t>颗粒物</w:t>
            </w:r>
          </w:p>
        </w:tc>
        <w:tc>
          <w:tcPr>
            <w:tcW w:w="1422" w:type="dxa"/>
            <w:noWrap w:val="0"/>
            <w:vAlign w:val="center"/>
          </w:tcPr>
          <w:p w14:paraId="1B059F6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snapToGrid w:val="0"/>
                <w:color w:val="auto"/>
                <w:kern w:val="21"/>
                <w:sz w:val="21"/>
                <w:szCs w:val="21"/>
                <w:lang w:val="en-US"/>
              </w:rPr>
            </w:pPr>
          </w:p>
        </w:tc>
        <w:tc>
          <w:tcPr>
            <w:tcW w:w="1123" w:type="dxa"/>
            <w:noWrap w:val="0"/>
            <w:vAlign w:val="center"/>
          </w:tcPr>
          <w:p w14:paraId="0F1CB90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snapToGrid w:val="0"/>
                <w:color w:val="auto"/>
                <w:kern w:val="21"/>
                <w:sz w:val="21"/>
                <w:szCs w:val="21"/>
                <w:lang w:val="en-US" w:eastAsia="zh-CN"/>
              </w:rPr>
            </w:pPr>
          </w:p>
        </w:tc>
        <w:tc>
          <w:tcPr>
            <w:tcW w:w="1663" w:type="dxa"/>
            <w:noWrap w:val="0"/>
            <w:vAlign w:val="center"/>
          </w:tcPr>
          <w:p w14:paraId="57290C0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snapToGrid w:val="0"/>
                <w:color w:val="auto"/>
                <w:kern w:val="21"/>
                <w:sz w:val="21"/>
                <w:szCs w:val="21"/>
              </w:rPr>
            </w:pPr>
          </w:p>
        </w:tc>
        <w:tc>
          <w:tcPr>
            <w:tcW w:w="1524" w:type="dxa"/>
            <w:noWrap w:val="0"/>
            <w:vAlign w:val="center"/>
          </w:tcPr>
          <w:p w14:paraId="228BE79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snapToGrid w:val="0"/>
                <w:color w:val="auto"/>
                <w:kern w:val="21"/>
                <w:sz w:val="21"/>
                <w:szCs w:val="21"/>
                <w:lang w:val="en-US" w:eastAsia="zh-CN"/>
              </w:rPr>
            </w:pPr>
            <w:r>
              <w:rPr>
                <w:rFonts w:hint="default" w:ascii="Times New Roman" w:hAnsi="Times New Roman" w:eastAsia="宋体" w:cs="Times New Roman"/>
                <w:color w:val="auto"/>
                <w:sz w:val="21"/>
                <w:szCs w:val="21"/>
              </w:rPr>
              <w:t>0.09t/a</w:t>
            </w:r>
          </w:p>
        </w:tc>
        <w:tc>
          <w:tcPr>
            <w:tcW w:w="1722" w:type="dxa"/>
            <w:noWrap w:val="0"/>
            <w:vAlign w:val="center"/>
          </w:tcPr>
          <w:p w14:paraId="10620A1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snapToGrid w:val="0"/>
                <w:color w:val="auto"/>
                <w:kern w:val="21"/>
                <w:sz w:val="21"/>
                <w:szCs w:val="21"/>
                <w:lang w:val="en-US" w:eastAsia="zh-CN"/>
              </w:rPr>
            </w:pPr>
          </w:p>
        </w:tc>
        <w:tc>
          <w:tcPr>
            <w:tcW w:w="1593" w:type="dxa"/>
            <w:noWrap w:val="0"/>
            <w:vAlign w:val="center"/>
          </w:tcPr>
          <w:p w14:paraId="476307A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snapToGrid w:val="0"/>
                <w:color w:val="auto"/>
                <w:kern w:val="21"/>
                <w:sz w:val="21"/>
                <w:szCs w:val="21"/>
                <w:lang w:val="en-US" w:eastAsia="zh-CN"/>
              </w:rPr>
            </w:pPr>
            <w:r>
              <w:rPr>
                <w:rFonts w:hint="default" w:ascii="Times New Roman" w:hAnsi="Times New Roman" w:eastAsia="宋体" w:cs="Times New Roman"/>
                <w:color w:val="auto"/>
                <w:sz w:val="21"/>
                <w:szCs w:val="21"/>
              </w:rPr>
              <w:t>0.09t/a</w:t>
            </w:r>
          </w:p>
        </w:tc>
        <w:tc>
          <w:tcPr>
            <w:tcW w:w="1128" w:type="dxa"/>
            <w:noWrap w:val="0"/>
            <w:vAlign w:val="center"/>
          </w:tcPr>
          <w:p w14:paraId="6518837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snapToGrid w:val="0"/>
                <w:color w:val="auto"/>
                <w:kern w:val="21"/>
                <w:sz w:val="21"/>
                <w:szCs w:val="21"/>
                <w:lang w:val="en-US" w:eastAsia="zh-CN"/>
              </w:rPr>
            </w:pP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0.09t/a</w:t>
            </w:r>
          </w:p>
        </w:tc>
      </w:tr>
      <w:tr w14:paraId="5194B8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continue"/>
            <w:noWrap w:val="0"/>
            <w:vAlign w:val="center"/>
          </w:tcPr>
          <w:p w14:paraId="6402C4F8">
            <w:pPr>
              <w:pStyle w:val="7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b w:val="0"/>
                <w:bCs w:val="0"/>
                <w:snapToGrid w:val="0"/>
                <w:color w:val="auto"/>
                <w:kern w:val="21"/>
                <w:sz w:val="21"/>
                <w:szCs w:val="21"/>
              </w:rPr>
            </w:pPr>
          </w:p>
        </w:tc>
        <w:tc>
          <w:tcPr>
            <w:tcW w:w="1807" w:type="dxa"/>
            <w:noWrap w:val="0"/>
            <w:vAlign w:val="center"/>
          </w:tcPr>
          <w:p w14:paraId="64C8342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snapToGrid w:val="0"/>
                <w:color w:val="auto"/>
                <w:kern w:val="21"/>
                <w:sz w:val="21"/>
                <w:szCs w:val="21"/>
                <w:lang w:val="en-US" w:eastAsia="zh-CN"/>
              </w:rPr>
            </w:pPr>
            <w:r>
              <w:rPr>
                <w:rFonts w:hint="default" w:ascii="Times New Roman" w:hAnsi="Times New Roman" w:eastAsia="宋体" w:cs="Times New Roman"/>
                <w:color w:val="auto"/>
                <w:sz w:val="21"/>
                <w:szCs w:val="21"/>
              </w:rPr>
              <w:t>非甲烷总烃</w:t>
            </w:r>
          </w:p>
        </w:tc>
        <w:tc>
          <w:tcPr>
            <w:tcW w:w="1422" w:type="dxa"/>
            <w:noWrap w:val="0"/>
            <w:vAlign w:val="center"/>
          </w:tcPr>
          <w:p w14:paraId="496C1FF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snapToGrid w:val="0"/>
                <w:color w:val="auto"/>
                <w:kern w:val="21"/>
                <w:sz w:val="21"/>
                <w:szCs w:val="21"/>
                <w:lang w:val="en-US" w:eastAsia="zh-CN"/>
              </w:rPr>
            </w:pPr>
          </w:p>
        </w:tc>
        <w:tc>
          <w:tcPr>
            <w:tcW w:w="1123" w:type="dxa"/>
            <w:noWrap w:val="0"/>
            <w:vAlign w:val="center"/>
          </w:tcPr>
          <w:p w14:paraId="3B5CAC1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snapToGrid w:val="0"/>
                <w:color w:val="auto"/>
                <w:kern w:val="21"/>
                <w:sz w:val="21"/>
                <w:szCs w:val="21"/>
              </w:rPr>
            </w:pPr>
          </w:p>
        </w:tc>
        <w:tc>
          <w:tcPr>
            <w:tcW w:w="1663" w:type="dxa"/>
            <w:noWrap w:val="0"/>
            <w:vAlign w:val="center"/>
          </w:tcPr>
          <w:p w14:paraId="6988B81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snapToGrid w:val="0"/>
                <w:color w:val="auto"/>
                <w:kern w:val="21"/>
                <w:sz w:val="21"/>
                <w:szCs w:val="21"/>
              </w:rPr>
            </w:pPr>
          </w:p>
        </w:tc>
        <w:tc>
          <w:tcPr>
            <w:tcW w:w="1524" w:type="dxa"/>
            <w:noWrap w:val="0"/>
            <w:vAlign w:val="center"/>
          </w:tcPr>
          <w:p w14:paraId="4BA8C7D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snapToGrid w:val="0"/>
                <w:color w:val="auto"/>
                <w:kern w:val="21"/>
                <w:sz w:val="21"/>
                <w:szCs w:val="21"/>
                <w:lang w:val="en-US" w:eastAsia="zh-CN"/>
              </w:rPr>
            </w:pPr>
            <w:r>
              <w:rPr>
                <w:rFonts w:hint="default" w:ascii="Times New Roman" w:hAnsi="Times New Roman" w:eastAsia="宋体" w:cs="Times New Roman"/>
                <w:color w:val="auto"/>
                <w:sz w:val="21"/>
                <w:szCs w:val="21"/>
              </w:rPr>
              <w:t>0.</w:t>
            </w:r>
            <w:r>
              <w:rPr>
                <w:rFonts w:hint="eastAsia" w:cs="Times New Roman"/>
                <w:color w:val="auto"/>
                <w:sz w:val="21"/>
                <w:szCs w:val="21"/>
                <w:lang w:val="en-US" w:eastAsia="zh-CN"/>
              </w:rPr>
              <w:t>855</w:t>
            </w:r>
            <w:r>
              <w:rPr>
                <w:rFonts w:hint="default" w:ascii="Times New Roman" w:hAnsi="Times New Roman" w:eastAsia="宋体" w:cs="Times New Roman"/>
                <w:color w:val="auto"/>
                <w:sz w:val="21"/>
                <w:szCs w:val="21"/>
              </w:rPr>
              <w:t>t/a</w:t>
            </w:r>
          </w:p>
        </w:tc>
        <w:tc>
          <w:tcPr>
            <w:tcW w:w="1722" w:type="dxa"/>
            <w:noWrap w:val="0"/>
            <w:vAlign w:val="center"/>
          </w:tcPr>
          <w:p w14:paraId="1368989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snapToGrid w:val="0"/>
                <w:color w:val="auto"/>
                <w:kern w:val="21"/>
                <w:sz w:val="21"/>
                <w:szCs w:val="21"/>
                <w:lang w:val="en-US" w:eastAsia="zh-CN"/>
              </w:rPr>
            </w:pPr>
          </w:p>
        </w:tc>
        <w:tc>
          <w:tcPr>
            <w:tcW w:w="1593" w:type="dxa"/>
            <w:noWrap w:val="0"/>
            <w:vAlign w:val="center"/>
          </w:tcPr>
          <w:p w14:paraId="4C74938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snapToGrid w:val="0"/>
                <w:color w:val="auto"/>
                <w:kern w:val="21"/>
                <w:sz w:val="21"/>
                <w:szCs w:val="21"/>
                <w:lang w:val="en-US" w:eastAsia="zh-CN"/>
              </w:rPr>
            </w:pPr>
            <w:r>
              <w:rPr>
                <w:rFonts w:hint="default" w:ascii="Times New Roman" w:hAnsi="Times New Roman" w:eastAsia="宋体" w:cs="Times New Roman"/>
                <w:color w:val="auto"/>
                <w:sz w:val="21"/>
                <w:szCs w:val="21"/>
              </w:rPr>
              <w:t>0.</w:t>
            </w:r>
            <w:r>
              <w:rPr>
                <w:rFonts w:hint="eastAsia" w:cs="Times New Roman"/>
                <w:color w:val="auto"/>
                <w:sz w:val="21"/>
                <w:szCs w:val="21"/>
                <w:lang w:val="en-US" w:eastAsia="zh-CN"/>
              </w:rPr>
              <w:t>855</w:t>
            </w:r>
            <w:r>
              <w:rPr>
                <w:rFonts w:hint="default" w:ascii="Times New Roman" w:hAnsi="Times New Roman" w:eastAsia="宋体" w:cs="Times New Roman"/>
                <w:color w:val="auto"/>
                <w:sz w:val="21"/>
                <w:szCs w:val="21"/>
              </w:rPr>
              <w:t>t/a</w:t>
            </w:r>
          </w:p>
        </w:tc>
        <w:tc>
          <w:tcPr>
            <w:tcW w:w="1128" w:type="dxa"/>
            <w:noWrap w:val="0"/>
            <w:vAlign w:val="center"/>
          </w:tcPr>
          <w:p w14:paraId="614A401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snapToGrid w:val="0"/>
                <w:color w:val="auto"/>
                <w:kern w:val="21"/>
                <w:sz w:val="21"/>
                <w:szCs w:val="21"/>
                <w:lang w:val="en-US" w:eastAsia="zh-CN"/>
              </w:rPr>
            </w:pP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0.</w:t>
            </w:r>
            <w:r>
              <w:rPr>
                <w:rFonts w:hint="eastAsia" w:cs="Times New Roman"/>
                <w:color w:val="auto"/>
                <w:sz w:val="21"/>
                <w:szCs w:val="21"/>
                <w:lang w:val="en-US" w:eastAsia="zh-CN"/>
              </w:rPr>
              <w:t>855</w:t>
            </w:r>
            <w:r>
              <w:rPr>
                <w:rFonts w:hint="default" w:ascii="Times New Roman" w:hAnsi="Times New Roman" w:eastAsia="宋体" w:cs="Times New Roman"/>
                <w:color w:val="auto"/>
                <w:sz w:val="21"/>
                <w:szCs w:val="21"/>
              </w:rPr>
              <w:t>t/a</w:t>
            </w:r>
          </w:p>
        </w:tc>
      </w:tr>
      <w:tr w14:paraId="6D81BC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restart"/>
            <w:noWrap w:val="0"/>
            <w:vAlign w:val="center"/>
          </w:tcPr>
          <w:p w14:paraId="115E7752">
            <w:pPr>
              <w:pStyle w:val="7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b w:val="0"/>
                <w:bCs w:val="0"/>
                <w:snapToGrid w:val="0"/>
                <w:color w:val="auto"/>
                <w:kern w:val="21"/>
                <w:sz w:val="21"/>
                <w:szCs w:val="21"/>
              </w:rPr>
            </w:pPr>
            <w:r>
              <w:rPr>
                <w:rFonts w:hint="default" w:ascii="Times New Roman" w:hAnsi="Times New Roman" w:cs="Times New Roman"/>
                <w:b w:val="0"/>
                <w:bCs w:val="0"/>
                <w:snapToGrid w:val="0"/>
                <w:color w:val="auto"/>
                <w:kern w:val="21"/>
                <w:sz w:val="21"/>
                <w:szCs w:val="21"/>
              </w:rPr>
              <w:t>废水</w:t>
            </w:r>
          </w:p>
        </w:tc>
        <w:tc>
          <w:tcPr>
            <w:tcW w:w="1807" w:type="dxa"/>
            <w:noWrap w:val="0"/>
            <w:vAlign w:val="center"/>
          </w:tcPr>
          <w:p w14:paraId="617B734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snapToGrid w:val="0"/>
                <w:color w:val="auto"/>
                <w:kern w:val="21"/>
                <w:sz w:val="21"/>
                <w:szCs w:val="21"/>
                <w:lang w:eastAsia="zh-CN"/>
              </w:rPr>
            </w:pPr>
            <w:r>
              <w:rPr>
                <w:rFonts w:hint="default" w:ascii="Times New Roman" w:hAnsi="Times New Roman" w:eastAsia="宋体" w:cs="Times New Roman"/>
                <w:color w:val="auto"/>
                <w:sz w:val="21"/>
                <w:szCs w:val="21"/>
              </w:rPr>
              <w:t>COD</w:t>
            </w:r>
          </w:p>
        </w:tc>
        <w:tc>
          <w:tcPr>
            <w:tcW w:w="1422" w:type="dxa"/>
            <w:noWrap w:val="0"/>
            <w:vAlign w:val="center"/>
          </w:tcPr>
          <w:p w14:paraId="4D7B278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snapToGrid w:val="0"/>
                <w:color w:val="auto"/>
                <w:kern w:val="21"/>
                <w:sz w:val="21"/>
                <w:szCs w:val="21"/>
                <w:lang w:val="en-US" w:eastAsia="zh-CN"/>
              </w:rPr>
            </w:pPr>
          </w:p>
        </w:tc>
        <w:tc>
          <w:tcPr>
            <w:tcW w:w="1123" w:type="dxa"/>
            <w:noWrap w:val="0"/>
            <w:vAlign w:val="center"/>
          </w:tcPr>
          <w:p w14:paraId="657E138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snapToGrid w:val="0"/>
                <w:color w:val="auto"/>
                <w:kern w:val="21"/>
                <w:sz w:val="21"/>
                <w:szCs w:val="21"/>
                <w:lang w:val="en-US" w:eastAsia="zh-CN"/>
              </w:rPr>
            </w:pPr>
          </w:p>
        </w:tc>
        <w:tc>
          <w:tcPr>
            <w:tcW w:w="1663" w:type="dxa"/>
            <w:noWrap w:val="0"/>
            <w:vAlign w:val="center"/>
          </w:tcPr>
          <w:p w14:paraId="0CAA0C3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snapToGrid w:val="0"/>
                <w:color w:val="auto"/>
                <w:kern w:val="21"/>
                <w:sz w:val="21"/>
                <w:szCs w:val="21"/>
              </w:rPr>
            </w:pPr>
          </w:p>
        </w:tc>
        <w:tc>
          <w:tcPr>
            <w:tcW w:w="1524" w:type="dxa"/>
            <w:noWrap w:val="0"/>
            <w:vAlign w:val="center"/>
          </w:tcPr>
          <w:p w14:paraId="2CACA08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snapToGrid w:val="0"/>
                <w:color w:val="auto"/>
                <w:kern w:val="21"/>
                <w:sz w:val="21"/>
                <w:szCs w:val="21"/>
                <w:lang w:val="en-US" w:eastAsia="zh-CN"/>
              </w:rPr>
            </w:pPr>
            <w:r>
              <w:rPr>
                <w:rFonts w:hint="default" w:ascii="Times New Roman" w:hAnsi="Times New Roman" w:eastAsia="宋体" w:cs="Times New Roman"/>
                <w:color w:val="auto"/>
                <w:sz w:val="21"/>
                <w:szCs w:val="21"/>
              </w:rPr>
              <w:t>0.02t/a</w:t>
            </w:r>
          </w:p>
        </w:tc>
        <w:tc>
          <w:tcPr>
            <w:tcW w:w="1722" w:type="dxa"/>
            <w:noWrap w:val="0"/>
            <w:vAlign w:val="center"/>
          </w:tcPr>
          <w:p w14:paraId="09E5522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snapToGrid w:val="0"/>
                <w:color w:val="auto"/>
                <w:kern w:val="21"/>
                <w:sz w:val="21"/>
                <w:szCs w:val="21"/>
              </w:rPr>
            </w:pPr>
          </w:p>
        </w:tc>
        <w:tc>
          <w:tcPr>
            <w:tcW w:w="1593" w:type="dxa"/>
            <w:noWrap w:val="0"/>
            <w:vAlign w:val="center"/>
          </w:tcPr>
          <w:p w14:paraId="5E4CA70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snapToGrid w:val="0"/>
                <w:color w:val="auto"/>
                <w:kern w:val="21"/>
                <w:sz w:val="21"/>
                <w:szCs w:val="21"/>
                <w:lang w:val="en-US" w:eastAsia="zh-CN"/>
              </w:rPr>
            </w:pPr>
            <w:r>
              <w:rPr>
                <w:rFonts w:hint="default" w:ascii="Times New Roman" w:hAnsi="Times New Roman" w:eastAsia="宋体" w:cs="Times New Roman"/>
                <w:color w:val="auto"/>
                <w:sz w:val="21"/>
                <w:szCs w:val="21"/>
              </w:rPr>
              <w:t>0.02t/a</w:t>
            </w:r>
          </w:p>
        </w:tc>
        <w:tc>
          <w:tcPr>
            <w:tcW w:w="1128" w:type="dxa"/>
            <w:noWrap w:val="0"/>
            <w:vAlign w:val="center"/>
          </w:tcPr>
          <w:p w14:paraId="34B9C5E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snapToGrid w:val="0"/>
                <w:color w:val="auto"/>
                <w:kern w:val="21"/>
                <w:sz w:val="21"/>
                <w:szCs w:val="21"/>
                <w:lang w:val="en-US"/>
              </w:rPr>
            </w:pP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0.02t/a</w:t>
            </w:r>
          </w:p>
        </w:tc>
      </w:tr>
      <w:tr w14:paraId="53A32B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continue"/>
            <w:noWrap w:val="0"/>
            <w:vAlign w:val="center"/>
          </w:tcPr>
          <w:p w14:paraId="47D9A63D">
            <w:pPr>
              <w:pStyle w:val="7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b w:val="0"/>
                <w:bCs w:val="0"/>
                <w:snapToGrid w:val="0"/>
                <w:color w:val="auto"/>
                <w:kern w:val="21"/>
                <w:sz w:val="21"/>
                <w:szCs w:val="21"/>
              </w:rPr>
            </w:pPr>
          </w:p>
        </w:tc>
        <w:tc>
          <w:tcPr>
            <w:tcW w:w="1807" w:type="dxa"/>
            <w:noWrap w:val="0"/>
            <w:vAlign w:val="center"/>
          </w:tcPr>
          <w:p w14:paraId="45B93A6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snapToGrid w:val="0"/>
                <w:color w:val="auto"/>
                <w:kern w:val="21"/>
                <w:sz w:val="21"/>
                <w:szCs w:val="21"/>
                <w:lang w:val="en-US" w:eastAsia="zh-CN"/>
              </w:rPr>
            </w:pPr>
            <w:r>
              <w:rPr>
                <w:rFonts w:hint="default" w:ascii="Times New Roman" w:hAnsi="Times New Roman" w:eastAsia="宋体" w:cs="Times New Roman"/>
                <w:color w:val="auto"/>
                <w:sz w:val="21"/>
                <w:szCs w:val="21"/>
              </w:rPr>
              <w:t>氨氮</w:t>
            </w:r>
          </w:p>
        </w:tc>
        <w:tc>
          <w:tcPr>
            <w:tcW w:w="1422" w:type="dxa"/>
            <w:noWrap w:val="0"/>
            <w:vAlign w:val="center"/>
          </w:tcPr>
          <w:p w14:paraId="401EE65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snapToGrid w:val="0"/>
                <w:color w:val="auto"/>
                <w:kern w:val="21"/>
                <w:sz w:val="21"/>
                <w:szCs w:val="21"/>
              </w:rPr>
            </w:pPr>
          </w:p>
        </w:tc>
        <w:tc>
          <w:tcPr>
            <w:tcW w:w="1123" w:type="dxa"/>
            <w:noWrap w:val="0"/>
            <w:vAlign w:val="center"/>
          </w:tcPr>
          <w:p w14:paraId="7E1DBBD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snapToGrid w:val="0"/>
                <w:color w:val="auto"/>
                <w:kern w:val="21"/>
                <w:sz w:val="21"/>
                <w:szCs w:val="21"/>
              </w:rPr>
            </w:pPr>
          </w:p>
        </w:tc>
        <w:tc>
          <w:tcPr>
            <w:tcW w:w="1663" w:type="dxa"/>
            <w:noWrap w:val="0"/>
            <w:vAlign w:val="center"/>
          </w:tcPr>
          <w:p w14:paraId="5130ADF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snapToGrid w:val="0"/>
                <w:color w:val="auto"/>
                <w:kern w:val="21"/>
                <w:sz w:val="21"/>
                <w:szCs w:val="21"/>
              </w:rPr>
            </w:pPr>
          </w:p>
        </w:tc>
        <w:tc>
          <w:tcPr>
            <w:tcW w:w="1524" w:type="dxa"/>
            <w:noWrap w:val="0"/>
            <w:vAlign w:val="center"/>
          </w:tcPr>
          <w:p w14:paraId="76E6051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snapToGrid w:val="0"/>
                <w:color w:val="auto"/>
                <w:kern w:val="21"/>
                <w:sz w:val="21"/>
                <w:szCs w:val="21"/>
              </w:rPr>
            </w:pPr>
            <w:r>
              <w:rPr>
                <w:rFonts w:hint="default" w:ascii="Times New Roman" w:hAnsi="Times New Roman" w:eastAsia="宋体" w:cs="Times New Roman"/>
                <w:color w:val="auto"/>
                <w:sz w:val="21"/>
                <w:szCs w:val="21"/>
              </w:rPr>
              <w:t>0.00</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t/a</w:t>
            </w:r>
          </w:p>
        </w:tc>
        <w:tc>
          <w:tcPr>
            <w:tcW w:w="1722" w:type="dxa"/>
            <w:noWrap w:val="0"/>
            <w:vAlign w:val="center"/>
          </w:tcPr>
          <w:p w14:paraId="61890B4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snapToGrid w:val="0"/>
                <w:color w:val="auto"/>
                <w:kern w:val="21"/>
                <w:sz w:val="21"/>
                <w:szCs w:val="21"/>
                <w:lang w:val="en-US" w:eastAsia="zh-CN"/>
              </w:rPr>
            </w:pPr>
          </w:p>
        </w:tc>
        <w:tc>
          <w:tcPr>
            <w:tcW w:w="1593" w:type="dxa"/>
            <w:noWrap w:val="0"/>
            <w:vAlign w:val="center"/>
          </w:tcPr>
          <w:p w14:paraId="77A372C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snapToGrid w:val="0"/>
                <w:color w:val="auto"/>
                <w:kern w:val="21"/>
                <w:sz w:val="21"/>
                <w:szCs w:val="21"/>
              </w:rPr>
            </w:pPr>
            <w:r>
              <w:rPr>
                <w:rFonts w:hint="default" w:ascii="Times New Roman" w:hAnsi="Times New Roman" w:eastAsia="宋体" w:cs="Times New Roman"/>
                <w:color w:val="auto"/>
                <w:sz w:val="21"/>
                <w:szCs w:val="21"/>
              </w:rPr>
              <w:t>0.00</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t/a</w:t>
            </w:r>
          </w:p>
        </w:tc>
        <w:tc>
          <w:tcPr>
            <w:tcW w:w="1128" w:type="dxa"/>
            <w:noWrap w:val="0"/>
            <w:vAlign w:val="center"/>
          </w:tcPr>
          <w:p w14:paraId="626BB8F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snapToGrid w:val="0"/>
                <w:color w:val="auto"/>
                <w:kern w:val="21"/>
                <w:sz w:val="21"/>
                <w:szCs w:val="21"/>
              </w:rPr>
            </w:pP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0.00</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t/a</w:t>
            </w:r>
          </w:p>
        </w:tc>
      </w:tr>
      <w:tr w14:paraId="726830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restart"/>
            <w:noWrap w:val="0"/>
            <w:vAlign w:val="center"/>
          </w:tcPr>
          <w:p w14:paraId="16A77F32">
            <w:pPr>
              <w:pStyle w:val="7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b w:val="0"/>
                <w:bCs w:val="0"/>
                <w:snapToGrid w:val="0"/>
                <w:color w:val="auto"/>
                <w:kern w:val="21"/>
                <w:sz w:val="21"/>
                <w:szCs w:val="21"/>
              </w:rPr>
            </w:pPr>
            <w:r>
              <w:rPr>
                <w:rFonts w:hint="default" w:ascii="Times New Roman" w:hAnsi="Times New Roman" w:cs="Times New Roman"/>
                <w:b w:val="0"/>
                <w:bCs w:val="0"/>
                <w:snapToGrid w:val="0"/>
                <w:color w:val="auto"/>
                <w:kern w:val="21"/>
                <w:sz w:val="21"/>
                <w:szCs w:val="21"/>
              </w:rPr>
              <w:t>一般工业</w:t>
            </w:r>
          </w:p>
          <w:p w14:paraId="2C296D5E">
            <w:pPr>
              <w:pStyle w:val="7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b w:val="0"/>
                <w:bCs w:val="0"/>
                <w:snapToGrid w:val="0"/>
                <w:color w:val="auto"/>
                <w:kern w:val="21"/>
                <w:sz w:val="21"/>
                <w:szCs w:val="21"/>
              </w:rPr>
            </w:pPr>
            <w:r>
              <w:rPr>
                <w:rFonts w:hint="default" w:ascii="Times New Roman" w:hAnsi="Times New Roman" w:cs="Times New Roman"/>
                <w:b w:val="0"/>
                <w:bCs w:val="0"/>
                <w:snapToGrid w:val="0"/>
                <w:color w:val="auto"/>
                <w:kern w:val="21"/>
                <w:sz w:val="21"/>
                <w:szCs w:val="21"/>
              </w:rPr>
              <w:t>固体废物</w:t>
            </w:r>
          </w:p>
        </w:tc>
        <w:tc>
          <w:tcPr>
            <w:tcW w:w="1807" w:type="dxa"/>
            <w:noWrap w:val="0"/>
            <w:vAlign w:val="center"/>
          </w:tcPr>
          <w:p w14:paraId="5400CD5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snapToGrid w:val="0"/>
                <w:color w:val="auto"/>
                <w:kern w:val="21"/>
                <w:sz w:val="21"/>
                <w:szCs w:val="21"/>
                <w:lang w:eastAsia="zh-CN"/>
              </w:rPr>
            </w:pPr>
            <w:r>
              <w:rPr>
                <w:rFonts w:hint="default" w:ascii="Times New Roman" w:hAnsi="Times New Roman" w:eastAsia="宋体" w:cs="Times New Roman"/>
                <w:color w:val="auto"/>
                <w:sz w:val="21"/>
                <w:szCs w:val="21"/>
              </w:rPr>
              <w:t>热熔废料及不合格品</w:t>
            </w:r>
          </w:p>
        </w:tc>
        <w:tc>
          <w:tcPr>
            <w:tcW w:w="1422" w:type="dxa"/>
            <w:noWrap w:val="0"/>
            <w:vAlign w:val="center"/>
          </w:tcPr>
          <w:p w14:paraId="7B4568C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snapToGrid w:val="0"/>
                <w:color w:val="auto"/>
                <w:kern w:val="21"/>
                <w:sz w:val="21"/>
                <w:szCs w:val="21"/>
                <w:lang w:val="en-US" w:eastAsia="zh-CN"/>
              </w:rPr>
            </w:pPr>
          </w:p>
        </w:tc>
        <w:tc>
          <w:tcPr>
            <w:tcW w:w="1123" w:type="dxa"/>
            <w:noWrap w:val="0"/>
            <w:vAlign w:val="center"/>
          </w:tcPr>
          <w:p w14:paraId="349A5C1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snapToGrid w:val="0"/>
                <w:color w:val="auto"/>
                <w:kern w:val="21"/>
                <w:sz w:val="21"/>
                <w:szCs w:val="21"/>
                <w:lang w:eastAsia="zh-CN"/>
              </w:rPr>
            </w:pPr>
          </w:p>
        </w:tc>
        <w:tc>
          <w:tcPr>
            <w:tcW w:w="1663" w:type="dxa"/>
            <w:noWrap w:val="0"/>
            <w:vAlign w:val="center"/>
          </w:tcPr>
          <w:p w14:paraId="1A3A9B7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snapToGrid w:val="0"/>
                <w:color w:val="auto"/>
                <w:kern w:val="21"/>
                <w:sz w:val="21"/>
                <w:szCs w:val="21"/>
              </w:rPr>
            </w:pPr>
          </w:p>
        </w:tc>
        <w:tc>
          <w:tcPr>
            <w:tcW w:w="1524" w:type="dxa"/>
            <w:noWrap w:val="0"/>
            <w:vAlign w:val="center"/>
          </w:tcPr>
          <w:p w14:paraId="1A82AD5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snapToGrid w:val="0"/>
                <w:color w:val="auto"/>
                <w:kern w:val="21"/>
                <w:sz w:val="21"/>
                <w:szCs w:val="21"/>
                <w:lang w:val="en-US" w:eastAsia="zh-CN"/>
              </w:rPr>
            </w:pPr>
            <w:r>
              <w:rPr>
                <w:rFonts w:hint="default" w:ascii="Times New Roman" w:hAnsi="Times New Roman" w:eastAsia="宋体" w:cs="Times New Roman"/>
                <w:color w:val="auto"/>
                <w:sz w:val="21"/>
                <w:szCs w:val="21"/>
              </w:rPr>
              <w:t>59.5t/a</w:t>
            </w:r>
          </w:p>
        </w:tc>
        <w:tc>
          <w:tcPr>
            <w:tcW w:w="1722" w:type="dxa"/>
            <w:noWrap w:val="0"/>
            <w:vAlign w:val="center"/>
          </w:tcPr>
          <w:p w14:paraId="4687B1E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snapToGrid w:val="0"/>
                <w:color w:val="auto"/>
                <w:kern w:val="21"/>
                <w:sz w:val="21"/>
                <w:szCs w:val="21"/>
              </w:rPr>
            </w:pPr>
          </w:p>
        </w:tc>
        <w:tc>
          <w:tcPr>
            <w:tcW w:w="1593" w:type="dxa"/>
            <w:noWrap w:val="0"/>
            <w:vAlign w:val="center"/>
          </w:tcPr>
          <w:p w14:paraId="3E720A6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snapToGrid w:val="0"/>
                <w:color w:val="auto"/>
                <w:kern w:val="21"/>
                <w:sz w:val="21"/>
                <w:szCs w:val="21"/>
                <w:lang w:val="en-US" w:eastAsia="zh-CN"/>
              </w:rPr>
            </w:pPr>
            <w:r>
              <w:rPr>
                <w:rFonts w:hint="default" w:ascii="Times New Roman" w:hAnsi="Times New Roman" w:eastAsia="宋体" w:cs="Times New Roman"/>
                <w:color w:val="auto"/>
                <w:sz w:val="21"/>
                <w:szCs w:val="21"/>
              </w:rPr>
              <w:t>59.5t/a</w:t>
            </w:r>
          </w:p>
        </w:tc>
        <w:tc>
          <w:tcPr>
            <w:tcW w:w="1128" w:type="dxa"/>
            <w:noWrap w:val="0"/>
            <w:vAlign w:val="center"/>
          </w:tcPr>
          <w:p w14:paraId="48044C1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snapToGrid w:val="0"/>
                <w:color w:val="auto"/>
                <w:kern w:val="21"/>
                <w:sz w:val="21"/>
                <w:szCs w:val="21"/>
                <w:lang w:val="en-US"/>
              </w:rPr>
            </w:pP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59.5t/a</w:t>
            </w:r>
          </w:p>
        </w:tc>
      </w:tr>
      <w:tr w14:paraId="567243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continue"/>
            <w:noWrap w:val="0"/>
            <w:vAlign w:val="center"/>
          </w:tcPr>
          <w:p w14:paraId="54A12014">
            <w:pPr>
              <w:pStyle w:val="7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b w:val="0"/>
                <w:bCs w:val="0"/>
                <w:snapToGrid w:val="0"/>
                <w:color w:val="auto"/>
                <w:kern w:val="21"/>
                <w:sz w:val="21"/>
                <w:szCs w:val="21"/>
              </w:rPr>
            </w:pPr>
          </w:p>
        </w:tc>
        <w:tc>
          <w:tcPr>
            <w:tcW w:w="1807" w:type="dxa"/>
            <w:noWrap w:val="0"/>
            <w:vAlign w:val="center"/>
          </w:tcPr>
          <w:p w14:paraId="4AB7B3C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snapToGrid w:val="0"/>
                <w:color w:val="auto"/>
                <w:kern w:val="21"/>
                <w:sz w:val="21"/>
                <w:szCs w:val="21"/>
                <w:lang w:eastAsia="zh-CN"/>
              </w:rPr>
            </w:pPr>
            <w:r>
              <w:rPr>
                <w:rFonts w:hint="default" w:ascii="Times New Roman" w:hAnsi="Times New Roman" w:eastAsia="宋体" w:cs="Times New Roman"/>
                <w:color w:val="auto"/>
                <w:sz w:val="21"/>
                <w:szCs w:val="21"/>
              </w:rPr>
              <w:t>收尘灰</w:t>
            </w:r>
          </w:p>
        </w:tc>
        <w:tc>
          <w:tcPr>
            <w:tcW w:w="1422" w:type="dxa"/>
            <w:noWrap w:val="0"/>
            <w:vAlign w:val="center"/>
          </w:tcPr>
          <w:p w14:paraId="4931553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snapToGrid w:val="0"/>
                <w:color w:val="auto"/>
                <w:kern w:val="21"/>
                <w:sz w:val="21"/>
                <w:szCs w:val="21"/>
              </w:rPr>
            </w:pPr>
          </w:p>
        </w:tc>
        <w:tc>
          <w:tcPr>
            <w:tcW w:w="1123" w:type="dxa"/>
            <w:noWrap w:val="0"/>
            <w:vAlign w:val="center"/>
          </w:tcPr>
          <w:p w14:paraId="6E6581F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snapToGrid w:val="0"/>
                <w:color w:val="auto"/>
                <w:kern w:val="21"/>
                <w:sz w:val="21"/>
                <w:szCs w:val="21"/>
                <w:lang w:val="en-US" w:eastAsia="zh-CN"/>
              </w:rPr>
            </w:pPr>
          </w:p>
        </w:tc>
        <w:tc>
          <w:tcPr>
            <w:tcW w:w="1663" w:type="dxa"/>
            <w:noWrap w:val="0"/>
            <w:vAlign w:val="center"/>
          </w:tcPr>
          <w:p w14:paraId="1F52884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snapToGrid w:val="0"/>
                <w:color w:val="auto"/>
                <w:kern w:val="21"/>
                <w:sz w:val="21"/>
                <w:szCs w:val="21"/>
              </w:rPr>
            </w:pPr>
          </w:p>
        </w:tc>
        <w:tc>
          <w:tcPr>
            <w:tcW w:w="1524" w:type="dxa"/>
            <w:noWrap w:val="0"/>
            <w:vAlign w:val="center"/>
          </w:tcPr>
          <w:p w14:paraId="0936364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snapToGrid w:val="0"/>
                <w:color w:val="auto"/>
                <w:kern w:val="21"/>
                <w:sz w:val="21"/>
                <w:szCs w:val="21"/>
                <w:lang w:val="en-US" w:eastAsia="zh-CN"/>
              </w:rPr>
            </w:pPr>
            <w:r>
              <w:rPr>
                <w:rFonts w:hint="default" w:ascii="Times New Roman" w:hAnsi="Times New Roman" w:eastAsia="宋体" w:cs="Times New Roman"/>
                <w:color w:val="auto"/>
                <w:sz w:val="21"/>
                <w:szCs w:val="21"/>
              </w:rPr>
              <w:t>1.718t/a</w:t>
            </w:r>
          </w:p>
        </w:tc>
        <w:tc>
          <w:tcPr>
            <w:tcW w:w="1722" w:type="dxa"/>
            <w:noWrap w:val="0"/>
            <w:vAlign w:val="center"/>
          </w:tcPr>
          <w:p w14:paraId="7708388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snapToGrid w:val="0"/>
                <w:color w:val="auto"/>
                <w:kern w:val="21"/>
                <w:sz w:val="21"/>
                <w:szCs w:val="21"/>
              </w:rPr>
            </w:pPr>
          </w:p>
        </w:tc>
        <w:tc>
          <w:tcPr>
            <w:tcW w:w="1593" w:type="dxa"/>
            <w:noWrap w:val="0"/>
            <w:vAlign w:val="center"/>
          </w:tcPr>
          <w:p w14:paraId="4F439EF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snapToGrid w:val="0"/>
                <w:color w:val="auto"/>
                <w:kern w:val="21"/>
                <w:sz w:val="21"/>
                <w:szCs w:val="21"/>
                <w:lang w:val="en-US" w:eastAsia="zh-CN"/>
              </w:rPr>
            </w:pPr>
            <w:r>
              <w:rPr>
                <w:rFonts w:hint="default" w:ascii="Times New Roman" w:hAnsi="Times New Roman" w:eastAsia="宋体" w:cs="Times New Roman"/>
                <w:color w:val="auto"/>
                <w:sz w:val="21"/>
                <w:szCs w:val="21"/>
              </w:rPr>
              <w:t>1.718t/a</w:t>
            </w:r>
          </w:p>
        </w:tc>
        <w:tc>
          <w:tcPr>
            <w:tcW w:w="1128" w:type="dxa"/>
            <w:noWrap w:val="0"/>
            <w:vAlign w:val="center"/>
          </w:tcPr>
          <w:p w14:paraId="65235B7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snapToGrid w:val="0"/>
                <w:color w:val="auto"/>
                <w:kern w:val="21"/>
                <w:sz w:val="21"/>
                <w:szCs w:val="21"/>
                <w:lang w:val="en-US" w:eastAsia="zh-CN"/>
              </w:rPr>
            </w:pP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1.718t/a</w:t>
            </w:r>
          </w:p>
        </w:tc>
      </w:tr>
      <w:tr w14:paraId="3AD363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restart"/>
            <w:noWrap w:val="0"/>
            <w:vAlign w:val="center"/>
          </w:tcPr>
          <w:p w14:paraId="311B8C8D">
            <w:pPr>
              <w:pStyle w:val="7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b w:val="0"/>
                <w:bCs w:val="0"/>
                <w:snapToGrid w:val="0"/>
                <w:color w:val="auto"/>
                <w:kern w:val="21"/>
                <w:sz w:val="21"/>
                <w:szCs w:val="21"/>
              </w:rPr>
            </w:pPr>
            <w:r>
              <w:rPr>
                <w:rFonts w:hint="default" w:ascii="Times New Roman" w:hAnsi="Times New Roman" w:cs="Times New Roman"/>
                <w:b w:val="0"/>
                <w:bCs w:val="0"/>
                <w:snapToGrid w:val="0"/>
                <w:color w:val="auto"/>
                <w:kern w:val="21"/>
                <w:sz w:val="21"/>
                <w:szCs w:val="21"/>
              </w:rPr>
              <w:t>危险废物</w:t>
            </w:r>
          </w:p>
        </w:tc>
        <w:tc>
          <w:tcPr>
            <w:tcW w:w="1807" w:type="dxa"/>
            <w:noWrap w:val="0"/>
            <w:vAlign w:val="center"/>
          </w:tcPr>
          <w:p w14:paraId="79552D2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snapToGrid w:val="0"/>
                <w:color w:val="auto"/>
                <w:kern w:val="21"/>
                <w:sz w:val="21"/>
                <w:szCs w:val="21"/>
                <w:lang w:eastAsia="zh-CN"/>
              </w:rPr>
            </w:pPr>
            <w:r>
              <w:rPr>
                <w:rFonts w:hint="default" w:ascii="Times New Roman" w:hAnsi="Times New Roman" w:eastAsia="宋体" w:cs="Times New Roman"/>
                <w:color w:val="auto"/>
                <w:sz w:val="21"/>
                <w:szCs w:val="21"/>
              </w:rPr>
              <w:t>废活性炭</w:t>
            </w:r>
          </w:p>
        </w:tc>
        <w:tc>
          <w:tcPr>
            <w:tcW w:w="1422" w:type="dxa"/>
            <w:noWrap w:val="0"/>
            <w:vAlign w:val="center"/>
          </w:tcPr>
          <w:p w14:paraId="7826360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snapToGrid w:val="0"/>
                <w:color w:val="auto"/>
                <w:kern w:val="21"/>
                <w:sz w:val="21"/>
                <w:szCs w:val="21"/>
              </w:rPr>
            </w:pPr>
          </w:p>
        </w:tc>
        <w:tc>
          <w:tcPr>
            <w:tcW w:w="1123" w:type="dxa"/>
            <w:noWrap w:val="0"/>
            <w:vAlign w:val="center"/>
          </w:tcPr>
          <w:p w14:paraId="7125885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snapToGrid w:val="0"/>
                <w:color w:val="auto"/>
                <w:kern w:val="21"/>
                <w:sz w:val="21"/>
                <w:szCs w:val="21"/>
                <w:lang w:val="en-US" w:eastAsia="zh-CN"/>
              </w:rPr>
            </w:pPr>
          </w:p>
        </w:tc>
        <w:tc>
          <w:tcPr>
            <w:tcW w:w="1663" w:type="dxa"/>
            <w:noWrap w:val="0"/>
            <w:vAlign w:val="center"/>
          </w:tcPr>
          <w:p w14:paraId="2A25B52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snapToGrid w:val="0"/>
                <w:color w:val="auto"/>
                <w:kern w:val="21"/>
                <w:sz w:val="21"/>
                <w:szCs w:val="21"/>
              </w:rPr>
            </w:pPr>
          </w:p>
        </w:tc>
        <w:tc>
          <w:tcPr>
            <w:tcW w:w="1524" w:type="dxa"/>
            <w:noWrap w:val="0"/>
            <w:vAlign w:val="center"/>
          </w:tcPr>
          <w:p w14:paraId="276706A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snapToGrid w:val="0"/>
                <w:color w:val="auto"/>
                <w:kern w:val="21"/>
                <w:sz w:val="21"/>
                <w:szCs w:val="21"/>
                <w:lang w:val="en-US" w:eastAsia="zh-CN"/>
              </w:rPr>
            </w:pPr>
            <w:r>
              <w:rPr>
                <w:rFonts w:hint="eastAsia" w:cs="Times New Roman"/>
                <w:color w:val="auto"/>
                <w:sz w:val="21"/>
                <w:szCs w:val="21"/>
                <w:lang w:val="en-US" w:eastAsia="zh-CN"/>
              </w:rPr>
              <w:t>13.487</w:t>
            </w:r>
            <w:r>
              <w:rPr>
                <w:rFonts w:hint="default" w:ascii="Times New Roman" w:hAnsi="Times New Roman" w:eastAsia="宋体" w:cs="Times New Roman"/>
                <w:color w:val="auto"/>
                <w:sz w:val="21"/>
                <w:szCs w:val="21"/>
              </w:rPr>
              <w:t>t/a</w:t>
            </w:r>
          </w:p>
        </w:tc>
        <w:tc>
          <w:tcPr>
            <w:tcW w:w="1722" w:type="dxa"/>
            <w:noWrap w:val="0"/>
            <w:vAlign w:val="center"/>
          </w:tcPr>
          <w:p w14:paraId="56442B0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snapToGrid w:val="0"/>
                <w:color w:val="auto"/>
                <w:kern w:val="21"/>
                <w:sz w:val="21"/>
                <w:szCs w:val="21"/>
              </w:rPr>
            </w:pPr>
          </w:p>
        </w:tc>
        <w:tc>
          <w:tcPr>
            <w:tcW w:w="1593" w:type="dxa"/>
            <w:noWrap w:val="0"/>
            <w:vAlign w:val="center"/>
          </w:tcPr>
          <w:p w14:paraId="0847F68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snapToGrid w:val="0"/>
                <w:color w:val="auto"/>
                <w:kern w:val="21"/>
                <w:sz w:val="21"/>
                <w:szCs w:val="21"/>
                <w:lang w:val="en-US" w:eastAsia="zh-CN"/>
              </w:rPr>
            </w:pPr>
            <w:r>
              <w:rPr>
                <w:rFonts w:hint="eastAsia" w:cs="Times New Roman"/>
                <w:color w:val="auto"/>
                <w:sz w:val="21"/>
                <w:szCs w:val="21"/>
                <w:lang w:val="en-US" w:eastAsia="zh-CN"/>
              </w:rPr>
              <w:t>13.487</w:t>
            </w:r>
            <w:r>
              <w:rPr>
                <w:rFonts w:hint="default" w:ascii="Times New Roman" w:hAnsi="Times New Roman" w:eastAsia="宋体" w:cs="Times New Roman"/>
                <w:color w:val="auto"/>
                <w:sz w:val="21"/>
                <w:szCs w:val="21"/>
              </w:rPr>
              <w:t>t/a</w:t>
            </w:r>
          </w:p>
        </w:tc>
        <w:tc>
          <w:tcPr>
            <w:tcW w:w="1128" w:type="dxa"/>
            <w:noWrap w:val="0"/>
            <w:vAlign w:val="center"/>
          </w:tcPr>
          <w:p w14:paraId="0A8CD18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snapToGrid w:val="0"/>
                <w:color w:val="auto"/>
                <w:kern w:val="21"/>
                <w:sz w:val="21"/>
                <w:szCs w:val="21"/>
                <w:lang w:val="en-US" w:eastAsia="zh-CN"/>
              </w:rPr>
            </w:pP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13.487</w:t>
            </w:r>
            <w:r>
              <w:rPr>
                <w:rFonts w:hint="default" w:ascii="Times New Roman" w:hAnsi="Times New Roman" w:eastAsia="宋体" w:cs="Times New Roman"/>
                <w:color w:val="auto"/>
                <w:sz w:val="21"/>
                <w:szCs w:val="21"/>
              </w:rPr>
              <w:t>t/a</w:t>
            </w:r>
          </w:p>
        </w:tc>
      </w:tr>
      <w:tr w14:paraId="424D28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continue"/>
            <w:noWrap w:val="0"/>
            <w:vAlign w:val="center"/>
          </w:tcPr>
          <w:p w14:paraId="72DF0DF4">
            <w:pPr>
              <w:pStyle w:val="73"/>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b w:val="0"/>
                <w:bCs w:val="0"/>
                <w:snapToGrid w:val="0"/>
                <w:color w:val="auto"/>
                <w:kern w:val="21"/>
                <w:sz w:val="21"/>
                <w:szCs w:val="21"/>
              </w:rPr>
            </w:pPr>
          </w:p>
        </w:tc>
        <w:tc>
          <w:tcPr>
            <w:tcW w:w="1807" w:type="dxa"/>
            <w:noWrap w:val="0"/>
            <w:vAlign w:val="center"/>
          </w:tcPr>
          <w:p w14:paraId="0981475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snapToGrid w:val="0"/>
                <w:color w:val="auto"/>
                <w:kern w:val="21"/>
                <w:sz w:val="21"/>
                <w:szCs w:val="21"/>
              </w:rPr>
            </w:pPr>
            <w:r>
              <w:rPr>
                <w:rFonts w:hint="default" w:ascii="Times New Roman" w:hAnsi="Times New Roman" w:eastAsia="宋体" w:cs="Times New Roman"/>
                <w:color w:val="auto"/>
                <w:sz w:val="21"/>
                <w:szCs w:val="21"/>
              </w:rPr>
              <w:t>废机油及废油桶</w:t>
            </w:r>
          </w:p>
        </w:tc>
        <w:tc>
          <w:tcPr>
            <w:tcW w:w="1422" w:type="dxa"/>
            <w:noWrap w:val="0"/>
            <w:vAlign w:val="center"/>
          </w:tcPr>
          <w:p w14:paraId="0C0F333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snapToGrid w:val="0"/>
                <w:color w:val="auto"/>
                <w:kern w:val="21"/>
                <w:sz w:val="21"/>
                <w:szCs w:val="21"/>
                <w:lang w:val="en-US" w:eastAsia="zh-CN"/>
              </w:rPr>
            </w:pPr>
          </w:p>
        </w:tc>
        <w:tc>
          <w:tcPr>
            <w:tcW w:w="1123" w:type="dxa"/>
            <w:noWrap w:val="0"/>
            <w:vAlign w:val="center"/>
          </w:tcPr>
          <w:p w14:paraId="43B5EA7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snapToGrid w:val="0"/>
                <w:color w:val="auto"/>
                <w:kern w:val="21"/>
                <w:sz w:val="21"/>
                <w:szCs w:val="21"/>
                <w:lang w:val="en-US" w:eastAsia="zh-CN"/>
              </w:rPr>
            </w:pPr>
          </w:p>
        </w:tc>
        <w:tc>
          <w:tcPr>
            <w:tcW w:w="1663" w:type="dxa"/>
            <w:noWrap w:val="0"/>
            <w:vAlign w:val="center"/>
          </w:tcPr>
          <w:p w14:paraId="104FDD5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snapToGrid w:val="0"/>
                <w:color w:val="auto"/>
                <w:kern w:val="21"/>
                <w:sz w:val="21"/>
                <w:szCs w:val="21"/>
              </w:rPr>
            </w:pPr>
          </w:p>
        </w:tc>
        <w:tc>
          <w:tcPr>
            <w:tcW w:w="1524" w:type="dxa"/>
            <w:noWrap w:val="0"/>
            <w:vAlign w:val="center"/>
          </w:tcPr>
          <w:p w14:paraId="552DBC7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snapToGrid w:val="0"/>
                <w:color w:val="auto"/>
                <w:kern w:val="21"/>
                <w:sz w:val="21"/>
                <w:szCs w:val="21"/>
                <w:lang w:val="en-US" w:eastAsia="zh-CN"/>
              </w:rPr>
            </w:pPr>
            <w:r>
              <w:rPr>
                <w:rFonts w:hint="default" w:ascii="Times New Roman" w:hAnsi="Times New Roman" w:eastAsia="宋体" w:cs="Times New Roman"/>
                <w:color w:val="auto"/>
                <w:sz w:val="21"/>
                <w:szCs w:val="21"/>
              </w:rPr>
              <w:t xml:space="preserve">0. </w:t>
            </w:r>
            <w:r>
              <w:rPr>
                <w:rFonts w:hint="eastAsia"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5t/a</w:t>
            </w:r>
          </w:p>
        </w:tc>
        <w:tc>
          <w:tcPr>
            <w:tcW w:w="1722" w:type="dxa"/>
            <w:noWrap w:val="0"/>
            <w:vAlign w:val="center"/>
          </w:tcPr>
          <w:p w14:paraId="5DE3F3C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snapToGrid w:val="0"/>
                <w:color w:val="auto"/>
                <w:kern w:val="21"/>
                <w:sz w:val="21"/>
                <w:szCs w:val="21"/>
              </w:rPr>
            </w:pPr>
          </w:p>
        </w:tc>
        <w:tc>
          <w:tcPr>
            <w:tcW w:w="1593" w:type="dxa"/>
            <w:noWrap w:val="0"/>
            <w:vAlign w:val="center"/>
          </w:tcPr>
          <w:p w14:paraId="62E2C94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snapToGrid w:val="0"/>
                <w:color w:val="auto"/>
                <w:kern w:val="21"/>
                <w:sz w:val="21"/>
                <w:szCs w:val="21"/>
                <w:lang w:val="en-US" w:eastAsia="zh-CN"/>
              </w:rPr>
            </w:pPr>
            <w:r>
              <w:rPr>
                <w:rFonts w:hint="default" w:ascii="Times New Roman" w:hAnsi="Times New Roman" w:eastAsia="宋体" w:cs="Times New Roman"/>
                <w:color w:val="auto"/>
                <w:sz w:val="21"/>
                <w:szCs w:val="21"/>
              </w:rPr>
              <w:t xml:space="preserve">0. </w:t>
            </w:r>
            <w:r>
              <w:rPr>
                <w:rFonts w:hint="eastAsia"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5t/a</w:t>
            </w:r>
          </w:p>
        </w:tc>
        <w:tc>
          <w:tcPr>
            <w:tcW w:w="1128" w:type="dxa"/>
            <w:noWrap w:val="0"/>
            <w:vAlign w:val="center"/>
          </w:tcPr>
          <w:p w14:paraId="2F54F8D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snapToGrid w:val="0"/>
                <w:color w:val="auto"/>
                <w:kern w:val="21"/>
                <w:sz w:val="21"/>
                <w:szCs w:val="21"/>
                <w:lang w:val="en-US"/>
              </w:rPr>
            </w:pP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 xml:space="preserve">0. </w:t>
            </w:r>
            <w:r>
              <w:rPr>
                <w:rFonts w:hint="eastAsia"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5t/a</w:t>
            </w:r>
          </w:p>
        </w:tc>
      </w:tr>
    </w:tbl>
    <w:p w14:paraId="614702DB">
      <w:pPr>
        <w:pStyle w:val="73"/>
        <w:spacing w:before="192" w:beforeLines="80" w:after="24"/>
        <w:jc w:val="left"/>
        <w:rPr>
          <w:rFonts w:hint="default" w:ascii="Times New Roman" w:hAnsi="Times New Roman" w:cs="Times New Roman"/>
          <w:color w:val="auto"/>
          <w:lang w:val="en-US" w:eastAsia="zh-CN"/>
        </w:rPr>
      </w:pPr>
      <w:r>
        <w:rPr>
          <w:rFonts w:hint="default" w:ascii="Times New Roman" w:hAnsi="Times New Roman" w:cs="Times New Roman"/>
          <w:snapToGrid w:val="0"/>
          <w:color w:val="auto"/>
          <w:kern w:val="21"/>
          <w:szCs w:val="21"/>
        </w:rPr>
        <w:t>注：</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3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③</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4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④</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5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⑤</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7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⑦</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p>
    <w:sectPr>
      <w:footerReference r:id="rId7" w:type="default"/>
      <w:pgSz w:w="16838" w:h="11906" w:orient="landscape"/>
      <w:pgMar w:top="1083" w:right="1080" w:bottom="1083" w:left="1080"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9CD7F1C9-8B37-42D3-A400-1B6A5AA859E2}"/>
  </w:font>
  <w:font w:name="黑体">
    <w:panose1 w:val="02010609060101010101"/>
    <w:charset w:val="86"/>
    <w:family w:val="auto"/>
    <w:pitch w:val="default"/>
    <w:sig w:usb0="800002BF" w:usb1="38CF7CFA" w:usb2="00000016" w:usb3="00000000" w:csb0="00040001" w:csb1="00000000"/>
    <w:embedRegular r:id="rId2" w:fontKey="{A7259B7D-4DD9-4CED-BB89-B3967332067E}"/>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auto"/>
    <w:pitch w:val="default"/>
    <w:sig w:usb0="00000001" w:usb1="080E0000" w:usb2="00000000" w:usb3="00000000" w:csb0="00040000" w:csb1="00000000"/>
    <w:embedRegular r:id="rId3" w:fontKey="{4EFB2CF5-B6F7-4D87-ABCC-8AAEC1452434}"/>
  </w:font>
  <w:font w:name="MingLiU">
    <w:panose1 w:val="02020509000000000000"/>
    <w:charset w:val="88"/>
    <w:family w:val="modern"/>
    <w:pitch w:val="default"/>
    <w:sig w:usb0="A00002FF" w:usb1="28CFFCFA" w:usb2="00000016" w:usb3="00000000" w:csb0="00100001" w:csb1="00000000"/>
  </w:font>
  <w:font w:name="仿宋体">
    <w:altName w:val="仿宋"/>
    <w:panose1 w:val="00000000000000000000"/>
    <w:charset w:val="86"/>
    <w:family w:val="swiss"/>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embedRegular r:id="rId4" w:fontKey="{456A09BB-2624-4202-BC89-749A377ADC2E}"/>
  </w:font>
  <w:font w:name="Microsoft YaHei UI">
    <w:altName w:val="宋体"/>
    <w:panose1 w:val="020B0503020204020204"/>
    <w:charset w:val="86"/>
    <w:family w:val="swiss"/>
    <w:pitch w:val="default"/>
    <w:sig w:usb0="00000000" w:usb1="00000000" w:usb2="00000016" w:usb3="00000000" w:csb0="0004001F" w:csb1="00000000"/>
  </w:font>
  <w:font w:name="Arial Unicode MS">
    <w:panose1 w:val="020B0604020202020204"/>
    <w:charset w:val="86"/>
    <w:family w:val="swiss"/>
    <w:pitch w:val="default"/>
    <w:sig w:usb0="FFFFFFFF" w:usb1="E9FFFFFF" w:usb2="0000003F" w:usb3="00000000" w:csb0="603F01FF" w:csb1="FFFF0000"/>
  </w:font>
  <w:font w:name="楷体_GB2312">
    <w:panose1 w:val="02010609030101010101"/>
    <w:charset w:val="86"/>
    <w:family w:val="modern"/>
    <w:pitch w:val="default"/>
    <w:sig w:usb0="00000001" w:usb1="080E0000" w:usb2="00000000" w:usb3="00000000" w:csb0="00040000" w:csb1="00000000"/>
    <w:embedRegular r:id="rId5" w:fontKey="{D54CEC65-B159-4C7C-85CF-144EF5D9A7EF}"/>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embedRegular r:id="rId6" w:fontKey="{8DF1D1CB-8561-4DB2-B1B7-3134E0010489}"/>
  </w:font>
  <w:font w:name="华文仿宋">
    <w:panose1 w:val="02010600040101010101"/>
    <w:charset w:val="86"/>
    <w:family w:val="auto"/>
    <w:pitch w:val="default"/>
    <w:sig w:usb0="00000287" w:usb1="080F0000" w:usb2="00000000" w:usb3="00000000" w:csb0="0004009F" w:csb1="DFD70000"/>
    <w:embedRegular r:id="rId7" w:fontKey="{2E5EE43E-8C8C-40B1-A82E-0F51D0AF8AE9}"/>
  </w:font>
  <w:font w:name="Wingdings 2">
    <w:panose1 w:val="05020102010507070707"/>
    <w:charset w:val="02"/>
    <w:family w:val="auto"/>
    <w:pitch w:val="default"/>
    <w:sig w:usb0="00000000" w:usb1="00000000" w:usb2="00000000" w:usb3="00000000" w:csb0="80000000" w:csb1="00000000"/>
    <w:embedRegular r:id="rId8" w:fontKey="{D696698B-D468-4720-8C39-020B8EC0F5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A6F0C">
    <w:pPr>
      <w:pStyle w:val="2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F7283">
    <w:pPr>
      <w:pStyle w:val="20"/>
      <w:framePr w:wrap="around" w:vAnchor="text" w:hAnchor="margin" w:xAlign="center" w:y="1"/>
      <w:rPr>
        <w:rStyle w:val="37"/>
      </w:rPr>
    </w:pPr>
    <w:r>
      <w:fldChar w:fldCharType="begin"/>
    </w:r>
    <w:r>
      <w:rPr>
        <w:rStyle w:val="37"/>
      </w:rPr>
      <w:instrText xml:space="preserve">PAGE  </w:instrText>
    </w:r>
    <w:r>
      <w:fldChar w:fldCharType="end"/>
    </w:r>
  </w:p>
  <w:p w14:paraId="4762F99F">
    <w:pPr>
      <w:pStyle w:val="2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EE263">
    <w:pPr>
      <w:pStyle w:val="20"/>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6AC809">
                          <w:pPr>
                            <w:pStyle w:val="20"/>
                            <w:rPr>
                              <w:rStyle w:val="37"/>
                              <w:rFonts w:ascii="宋体" w:hAnsi="宋体"/>
                              <w:sz w:val="28"/>
                              <w:szCs w:val="28"/>
                            </w:rPr>
                          </w:pPr>
                          <w:r>
                            <w:rPr>
                              <w:rStyle w:val="37"/>
                              <w:rFonts w:hint="eastAsia" w:ascii="宋体" w:hAnsi="宋体"/>
                              <w:sz w:val="28"/>
                              <w:szCs w:val="28"/>
                            </w:rPr>
                            <w:t>—</w:t>
                          </w:r>
                          <w:r>
                            <w:rPr>
                              <w:rStyle w:val="37"/>
                              <w:rFonts w:hint="eastAsia" w:ascii="宋体" w:hAnsi="宋体"/>
                              <w:sz w:val="20"/>
                            </w:rPr>
                            <w:t xml:space="preserve">  </w:t>
                          </w:r>
                          <w:r>
                            <w:rPr>
                              <w:rFonts w:ascii="宋体" w:hAnsi="宋体"/>
                              <w:sz w:val="26"/>
                              <w:szCs w:val="26"/>
                            </w:rPr>
                            <w:fldChar w:fldCharType="begin"/>
                          </w:r>
                          <w:r>
                            <w:rPr>
                              <w:rStyle w:val="37"/>
                              <w:rFonts w:ascii="宋体" w:hAnsi="宋体"/>
                              <w:sz w:val="26"/>
                              <w:szCs w:val="26"/>
                            </w:rPr>
                            <w:instrText xml:space="preserve">PAGE  </w:instrText>
                          </w:r>
                          <w:r>
                            <w:rPr>
                              <w:rFonts w:ascii="宋体" w:hAnsi="宋体"/>
                              <w:sz w:val="26"/>
                              <w:szCs w:val="26"/>
                            </w:rPr>
                            <w:fldChar w:fldCharType="separate"/>
                          </w:r>
                          <w:r>
                            <w:rPr>
                              <w:rStyle w:val="37"/>
                              <w:rFonts w:ascii="宋体" w:hAnsi="宋体"/>
                              <w:sz w:val="26"/>
                              <w:szCs w:val="26"/>
                            </w:rPr>
                            <w:t>9</w:t>
                          </w:r>
                          <w:r>
                            <w:rPr>
                              <w:rFonts w:ascii="宋体" w:hAnsi="宋体"/>
                              <w:sz w:val="26"/>
                              <w:szCs w:val="26"/>
                            </w:rPr>
                            <w:fldChar w:fldCharType="end"/>
                          </w:r>
                          <w:r>
                            <w:rPr>
                              <w:rStyle w:val="37"/>
                              <w:rFonts w:hint="eastAsia" w:ascii="宋体" w:hAnsi="宋体"/>
                              <w:sz w:val="20"/>
                            </w:rPr>
                            <w:t xml:space="preserve">  </w:t>
                          </w:r>
                          <w:r>
                            <w:rPr>
                              <w:rStyle w:val="37"/>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76AC809">
                    <w:pPr>
                      <w:pStyle w:val="20"/>
                      <w:rPr>
                        <w:rStyle w:val="37"/>
                        <w:rFonts w:ascii="宋体" w:hAnsi="宋体"/>
                        <w:sz w:val="28"/>
                        <w:szCs w:val="28"/>
                      </w:rPr>
                    </w:pPr>
                    <w:r>
                      <w:rPr>
                        <w:rStyle w:val="37"/>
                        <w:rFonts w:hint="eastAsia" w:ascii="宋体" w:hAnsi="宋体"/>
                        <w:sz w:val="28"/>
                        <w:szCs w:val="28"/>
                      </w:rPr>
                      <w:t>—</w:t>
                    </w:r>
                    <w:r>
                      <w:rPr>
                        <w:rStyle w:val="37"/>
                        <w:rFonts w:hint="eastAsia" w:ascii="宋体" w:hAnsi="宋体"/>
                        <w:sz w:val="20"/>
                      </w:rPr>
                      <w:t xml:space="preserve">  </w:t>
                    </w:r>
                    <w:r>
                      <w:rPr>
                        <w:rFonts w:ascii="宋体" w:hAnsi="宋体"/>
                        <w:sz w:val="26"/>
                        <w:szCs w:val="26"/>
                      </w:rPr>
                      <w:fldChar w:fldCharType="begin"/>
                    </w:r>
                    <w:r>
                      <w:rPr>
                        <w:rStyle w:val="37"/>
                        <w:rFonts w:ascii="宋体" w:hAnsi="宋体"/>
                        <w:sz w:val="26"/>
                        <w:szCs w:val="26"/>
                      </w:rPr>
                      <w:instrText xml:space="preserve">PAGE  </w:instrText>
                    </w:r>
                    <w:r>
                      <w:rPr>
                        <w:rFonts w:ascii="宋体" w:hAnsi="宋体"/>
                        <w:sz w:val="26"/>
                        <w:szCs w:val="26"/>
                      </w:rPr>
                      <w:fldChar w:fldCharType="separate"/>
                    </w:r>
                    <w:r>
                      <w:rPr>
                        <w:rStyle w:val="37"/>
                        <w:rFonts w:ascii="宋体" w:hAnsi="宋体"/>
                        <w:sz w:val="26"/>
                        <w:szCs w:val="26"/>
                      </w:rPr>
                      <w:t>9</w:t>
                    </w:r>
                    <w:r>
                      <w:rPr>
                        <w:rFonts w:ascii="宋体" w:hAnsi="宋体"/>
                        <w:sz w:val="26"/>
                        <w:szCs w:val="26"/>
                      </w:rPr>
                      <w:fldChar w:fldCharType="end"/>
                    </w:r>
                    <w:r>
                      <w:rPr>
                        <w:rStyle w:val="37"/>
                        <w:rFonts w:hint="eastAsia" w:ascii="宋体" w:hAnsi="宋体"/>
                        <w:sz w:val="20"/>
                      </w:rPr>
                      <w:t xml:space="preserve">  </w:t>
                    </w:r>
                    <w:r>
                      <w:rPr>
                        <w:rStyle w:val="37"/>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6890A">
    <w:pPr>
      <w:pStyle w:val="20"/>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63A24E">
                          <w:pPr>
                            <w:pStyle w:val="20"/>
                            <w:rPr>
                              <w:rStyle w:val="37"/>
                              <w:rFonts w:ascii="宋体" w:hAnsi="宋体"/>
                              <w:sz w:val="28"/>
                              <w:szCs w:val="28"/>
                            </w:rPr>
                          </w:pPr>
                          <w:r>
                            <w:rPr>
                              <w:rStyle w:val="37"/>
                              <w:rFonts w:hint="eastAsia" w:ascii="宋体" w:hAnsi="宋体"/>
                              <w:sz w:val="28"/>
                              <w:szCs w:val="28"/>
                            </w:rPr>
                            <w:t>—</w:t>
                          </w:r>
                          <w:r>
                            <w:rPr>
                              <w:rStyle w:val="37"/>
                              <w:rFonts w:hint="eastAsia" w:ascii="宋体" w:hAnsi="宋体"/>
                              <w:sz w:val="20"/>
                            </w:rPr>
                            <w:t xml:space="preserve">  </w:t>
                          </w:r>
                          <w:r>
                            <w:rPr>
                              <w:rFonts w:ascii="宋体" w:hAnsi="宋体"/>
                              <w:sz w:val="26"/>
                              <w:szCs w:val="26"/>
                            </w:rPr>
                            <w:fldChar w:fldCharType="begin"/>
                          </w:r>
                          <w:r>
                            <w:rPr>
                              <w:rStyle w:val="37"/>
                              <w:rFonts w:ascii="宋体" w:hAnsi="宋体"/>
                              <w:sz w:val="26"/>
                              <w:szCs w:val="26"/>
                            </w:rPr>
                            <w:instrText xml:space="preserve">PAGE  </w:instrText>
                          </w:r>
                          <w:r>
                            <w:rPr>
                              <w:rFonts w:ascii="宋体" w:hAnsi="宋体"/>
                              <w:sz w:val="26"/>
                              <w:szCs w:val="26"/>
                            </w:rPr>
                            <w:fldChar w:fldCharType="separate"/>
                          </w:r>
                          <w:r>
                            <w:rPr>
                              <w:rStyle w:val="37"/>
                              <w:rFonts w:ascii="宋体" w:hAnsi="宋体"/>
                              <w:sz w:val="26"/>
                              <w:szCs w:val="26"/>
                            </w:rPr>
                            <w:t>11</w:t>
                          </w:r>
                          <w:r>
                            <w:rPr>
                              <w:rFonts w:ascii="宋体" w:hAnsi="宋体"/>
                              <w:sz w:val="26"/>
                              <w:szCs w:val="26"/>
                            </w:rPr>
                            <w:fldChar w:fldCharType="end"/>
                          </w:r>
                          <w:r>
                            <w:rPr>
                              <w:rStyle w:val="37"/>
                              <w:rFonts w:hint="eastAsia" w:ascii="宋体" w:hAnsi="宋体"/>
                              <w:sz w:val="20"/>
                            </w:rPr>
                            <w:t xml:space="preserve">  </w:t>
                          </w:r>
                          <w:r>
                            <w:rPr>
                              <w:rStyle w:val="37"/>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2263A24E">
                    <w:pPr>
                      <w:pStyle w:val="20"/>
                      <w:rPr>
                        <w:rStyle w:val="37"/>
                        <w:rFonts w:ascii="宋体" w:hAnsi="宋体"/>
                        <w:sz w:val="28"/>
                        <w:szCs w:val="28"/>
                      </w:rPr>
                    </w:pPr>
                    <w:r>
                      <w:rPr>
                        <w:rStyle w:val="37"/>
                        <w:rFonts w:hint="eastAsia" w:ascii="宋体" w:hAnsi="宋体"/>
                        <w:sz w:val="28"/>
                        <w:szCs w:val="28"/>
                      </w:rPr>
                      <w:t>—</w:t>
                    </w:r>
                    <w:r>
                      <w:rPr>
                        <w:rStyle w:val="37"/>
                        <w:rFonts w:hint="eastAsia" w:ascii="宋体" w:hAnsi="宋体"/>
                        <w:sz w:val="20"/>
                      </w:rPr>
                      <w:t xml:space="preserve">  </w:t>
                    </w:r>
                    <w:r>
                      <w:rPr>
                        <w:rFonts w:ascii="宋体" w:hAnsi="宋体"/>
                        <w:sz w:val="26"/>
                        <w:szCs w:val="26"/>
                      </w:rPr>
                      <w:fldChar w:fldCharType="begin"/>
                    </w:r>
                    <w:r>
                      <w:rPr>
                        <w:rStyle w:val="37"/>
                        <w:rFonts w:ascii="宋体" w:hAnsi="宋体"/>
                        <w:sz w:val="26"/>
                        <w:szCs w:val="26"/>
                      </w:rPr>
                      <w:instrText xml:space="preserve">PAGE  </w:instrText>
                    </w:r>
                    <w:r>
                      <w:rPr>
                        <w:rFonts w:ascii="宋体" w:hAnsi="宋体"/>
                        <w:sz w:val="26"/>
                        <w:szCs w:val="26"/>
                      </w:rPr>
                      <w:fldChar w:fldCharType="separate"/>
                    </w:r>
                    <w:r>
                      <w:rPr>
                        <w:rStyle w:val="37"/>
                        <w:rFonts w:ascii="宋体" w:hAnsi="宋体"/>
                        <w:sz w:val="26"/>
                        <w:szCs w:val="26"/>
                      </w:rPr>
                      <w:t>11</w:t>
                    </w:r>
                    <w:r>
                      <w:rPr>
                        <w:rFonts w:ascii="宋体" w:hAnsi="宋体"/>
                        <w:sz w:val="26"/>
                        <w:szCs w:val="26"/>
                      </w:rPr>
                      <w:fldChar w:fldCharType="end"/>
                    </w:r>
                    <w:r>
                      <w:rPr>
                        <w:rStyle w:val="37"/>
                        <w:rFonts w:hint="eastAsia" w:ascii="宋体" w:hAnsi="宋体"/>
                        <w:sz w:val="20"/>
                      </w:rPr>
                      <w:t xml:space="preserve">  </w:t>
                    </w:r>
                    <w:r>
                      <w:rPr>
                        <w:rStyle w:val="37"/>
                        <w:rFonts w:hint="eastAsia" w:ascii="宋体" w:hAnsi="宋体"/>
                        <w:sz w:val="28"/>
                        <w:szCs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1DAB9">
    <w:pPr>
      <w:pStyle w:val="20"/>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88B49D"/>
    <w:multiLevelType w:val="singleLevel"/>
    <w:tmpl w:val="8F88B49D"/>
    <w:lvl w:ilvl="0" w:tentative="0">
      <w:start w:val="1"/>
      <w:numFmt w:val="decimal"/>
      <w:suff w:val="nothing"/>
      <w:lvlText w:val="（%1）"/>
      <w:lvlJc w:val="left"/>
    </w:lvl>
  </w:abstractNum>
  <w:abstractNum w:abstractNumId="1">
    <w:nsid w:val="BCF2BB88"/>
    <w:multiLevelType w:val="singleLevel"/>
    <w:tmpl w:val="BCF2BB88"/>
    <w:lvl w:ilvl="0" w:tentative="0">
      <w:start w:val="2"/>
      <w:numFmt w:val="decimal"/>
      <w:lvlText w:val="%1."/>
      <w:lvlJc w:val="left"/>
      <w:pPr>
        <w:tabs>
          <w:tab w:val="left" w:pos="312"/>
        </w:tabs>
      </w:pPr>
    </w:lvl>
  </w:abstractNum>
  <w:abstractNum w:abstractNumId="2">
    <w:nsid w:val="C8EEE82D"/>
    <w:multiLevelType w:val="singleLevel"/>
    <w:tmpl w:val="C8EEE82D"/>
    <w:lvl w:ilvl="0" w:tentative="0">
      <w:start w:val="1"/>
      <w:numFmt w:val="bullet"/>
      <w:pStyle w:val="16"/>
      <w:lvlText w:val=""/>
      <w:lvlJc w:val="left"/>
      <w:pPr>
        <w:tabs>
          <w:tab w:val="left" w:pos="2040"/>
        </w:tabs>
        <w:ind w:left="2040" w:hanging="360"/>
      </w:pPr>
      <w:rPr>
        <w:rFonts w:hint="default" w:ascii="Wingdings" w:hAnsi="Wingdings"/>
      </w:rPr>
    </w:lvl>
  </w:abstractNum>
  <w:abstractNum w:abstractNumId="3">
    <w:nsid w:val="179C7773"/>
    <w:multiLevelType w:val="singleLevel"/>
    <w:tmpl w:val="179C7773"/>
    <w:lvl w:ilvl="0" w:tentative="0">
      <w:start w:val="2"/>
      <w:numFmt w:val="decimal"/>
      <w:suff w:val="nothing"/>
      <w:lvlText w:val="（%1）"/>
      <w:lvlJc w:val="left"/>
    </w:lvl>
  </w:abstractNum>
  <w:abstractNum w:abstractNumId="4">
    <w:nsid w:val="2276BCE0"/>
    <w:multiLevelType w:val="singleLevel"/>
    <w:tmpl w:val="2276BCE0"/>
    <w:lvl w:ilvl="0" w:tentative="0">
      <w:start w:val="1"/>
      <w:numFmt w:val="decimal"/>
      <w:suff w:val="nothing"/>
      <w:lvlText w:val="（%1）"/>
      <w:lvlJc w:val="left"/>
    </w:lvl>
  </w:abstractNum>
  <w:abstractNum w:abstractNumId="5">
    <w:nsid w:val="4FF68305"/>
    <w:multiLevelType w:val="singleLevel"/>
    <w:tmpl w:val="4FF68305"/>
    <w:lvl w:ilvl="0" w:tentative="0">
      <w:start w:val="1"/>
      <w:numFmt w:val="decimal"/>
      <w:lvlText w:val="%1."/>
      <w:lvlJc w:val="left"/>
      <w:pPr>
        <w:tabs>
          <w:tab w:val="left" w:pos="312"/>
        </w:tabs>
      </w:pPr>
    </w:lvl>
  </w:abstractNum>
  <w:abstractNum w:abstractNumId="6">
    <w:nsid w:val="5410A253"/>
    <w:multiLevelType w:val="singleLevel"/>
    <w:tmpl w:val="5410A253"/>
    <w:lvl w:ilvl="0" w:tentative="0">
      <w:start w:val="1"/>
      <w:numFmt w:val="decimal"/>
      <w:suff w:val="nothing"/>
      <w:lvlText w:val="（%1）"/>
      <w:lvlJc w:val="left"/>
    </w:lvl>
  </w:abstractNum>
  <w:abstractNum w:abstractNumId="7">
    <w:nsid w:val="74108B9F"/>
    <w:multiLevelType w:val="singleLevel"/>
    <w:tmpl w:val="74108B9F"/>
    <w:lvl w:ilvl="0" w:tentative="0">
      <w:start w:val="2"/>
      <w:numFmt w:val="decimal"/>
      <w:suff w:val="nothing"/>
      <w:lvlText w:val="（%1）"/>
      <w:lvlJc w:val="left"/>
    </w:lvl>
  </w:abstractNum>
  <w:num w:numId="1">
    <w:abstractNumId w:val="2"/>
  </w:num>
  <w:num w:numId="2">
    <w:abstractNumId w:val="1"/>
  </w:num>
  <w:num w:numId="3">
    <w:abstractNumId w:val="7"/>
  </w:num>
  <w:num w:numId="4">
    <w:abstractNumId w:val="3"/>
  </w:num>
  <w:num w:numId="5">
    <w:abstractNumId w:val="4"/>
  </w:num>
  <w:num w:numId="6">
    <w:abstractNumId w:val="6"/>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JkNTgzMzNiZWFlOGNkNDQ1ZDYxM2FjN2JhNjhiZDYifQ=="/>
    <w:docVar w:name="KSO_WPS_MARK_KEY" w:val="5045ee9b-cb94-4ae9-aa46-808226a9b1dd"/>
  </w:docVars>
  <w:rsids>
    <w:rsidRoot w:val="00A14947"/>
    <w:rsid w:val="000024CA"/>
    <w:rsid w:val="00003A56"/>
    <w:rsid w:val="000042CF"/>
    <w:rsid w:val="000060B3"/>
    <w:rsid w:val="0000692E"/>
    <w:rsid w:val="00006DD7"/>
    <w:rsid w:val="0000720D"/>
    <w:rsid w:val="000104F5"/>
    <w:rsid w:val="00014BFF"/>
    <w:rsid w:val="000179DA"/>
    <w:rsid w:val="0002062A"/>
    <w:rsid w:val="000210C9"/>
    <w:rsid w:val="00022A20"/>
    <w:rsid w:val="000234DA"/>
    <w:rsid w:val="00023B6E"/>
    <w:rsid w:val="00024475"/>
    <w:rsid w:val="00024952"/>
    <w:rsid w:val="00024A08"/>
    <w:rsid w:val="00024C9A"/>
    <w:rsid w:val="0002508B"/>
    <w:rsid w:val="00025EE5"/>
    <w:rsid w:val="00036091"/>
    <w:rsid w:val="000362B7"/>
    <w:rsid w:val="000372F3"/>
    <w:rsid w:val="00040326"/>
    <w:rsid w:val="00041DE2"/>
    <w:rsid w:val="00042DAF"/>
    <w:rsid w:val="0004364B"/>
    <w:rsid w:val="0004437C"/>
    <w:rsid w:val="000448D5"/>
    <w:rsid w:val="00044CBB"/>
    <w:rsid w:val="00044DBF"/>
    <w:rsid w:val="00044DF7"/>
    <w:rsid w:val="00046198"/>
    <w:rsid w:val="00051598"/>
    <w:rsid w:val="0005449A"/>
    <w:rsid w:val="00054E77"/>
    <w:rsid w:val="000550AF"/>
    <w:rsid w:val="00055E4D"/>
    <w:rsid w:val="000607AF"/>
    <w:rsid w:val="00061B1F"/>
    <w:rsid w:val="00064763"/>
    <w:rsid w:val="000650C3"/>
    <w:rsid w:val="00066C2F"/>
    <w:rsid w:val="00066CCC"/>
    <w:rsid w:val="0006731D"/>
    <w:rsid w:val="00067A5B"/>
    <w:rsid w:val="00070862"/>
    <w:rsid w:val="000712FA"/>
    <w:rsid w:val="00072144"/>
    <w:rsid w:val="000729D7"/>
    <w:rsid w:val="000733C4"/>
    <w:rsid w:val="0007367F"/>
    <w:rsid w:val="00074339"/>
    <w:rsid w:val="00074783"/>
    <w:rsid w:val="000750FB"/>
    <w:rsid w:val="00076777"/>
    <w:rsid w:val="00077D4F"/>
    <w:rsid w:val="0008070B"/>
    <w:rsid w:val="000810AC"/>
    <w:rsid w:val="00081A02"/>
    <w:rsid w:val="00082231"/>
    <w:rsid w:val="00082F99"/>
    <w:rsid w:val="0008385E"/>
    <w:rsid w:val="00084414"/>
    <w:rsid w:val="000855A8"/>
    <w:rsid w:val="000855C9"/>
    <w:rsid w:val="00085A2B"/>
    <w:rsid w:val="00086746"/>
    <w:rsid w:val="000868D4"/>
    <w:rsid w:val="00087700"/>
    <w:rsid w:val="0009272D"/>
    <w:rsid w:val="00092D38"/>
    <w:rsid w:val="0009377B"/>
    <w:rsid w:val="00095637"/>
    <w:rsid w:val="00096B18"/>
    <w:rsid w:val="00097992"/>
    <w:rsid w:val="000979D7"/>
    <w:rsid w:val="00097B04"/>
    <w:rsid w:val="00097ECA"/>
    <w:rsid w:val="000A137B"/>
    <w:rsid w:val="000A16F7"/>
    <w:rsid w:val="000A20C9"/>
    <w:rsid w:val="000A3DB5"/>
    <w:rsid w:val="000A4D25"/>
    <w:rsid w:val="000A6D7E"/>
    <w:rsid w:val="000A71C6"/>
    <w:rsid w:val="000B058F"/>
    <w:rsid w:val="000B0B45"/>
    <w:rsid w:val="000B1E8C"/>
    <w:rsid w:val="000B23B3"/>
    <w:rsid w:val="000B404D"/>
    <w:rsid w:val="000B4467"/>
    <w:rsid w:val="000B464C"/>
    <w:rsid w:val="000B46F2"/>
    <w:rsid w:val="000B4DB9"/>
    <w:rsid w:val="000B5742"/>
    <w:rsid w:val="000B6934"/>
    <w:rsid w:val="000B75FF"/>
    <w:rsid w:val="000B7C53"/>
    <w:rsid w:val="000C09AC"/>
    <w:rsid w:val="000C104F"/>
    <w:rsid w:val="000C1BD7"/>
    <w:rsid w:val="000C27CF"/>
    <w:rsid w:val="000C572F"/>
    <w:rsid w:val="000C5880"/>
    <w:rsid w:val="000C767F"/>
    <w:rsid w:val="000C778A"/>
    <w:rsid w:val="000C7BA6"/>
    <w:rsid w:val="000D0407"/>
    <w:rsid w:val="000D0D23"/>
    <w:rsid w:val="000D1D65"/>
    <w:rsid w:val="000D4DC6"/>
    <w:rsid w:val="000D527D"/>
    <w:rsid w:val="000D5A44"/>
    <w:rsid w:val="000D7239"/>
    <w:rsid w:val="000D7C14"/>
    <w:rsid w:val="000E0454"/>
    <w:rsid w:val="000E06B1"/>
    <w:rsid w:val="000E0C50"/>
    <w:rsid w:val="000E20DC"/>
    <w:rsid w:val="000E2A9B"/>
    <w:rsid w:val="000E2B27"/>
    <w:rsid w:val="000E3ED2"/>
    <w:rsid w:val="000E46D8"/>
    <w:rsid w:val="000E7207"/>
    <w:rsid w:val="000E7954"/>
    <w:rsid w:val="000E7A6D"/>
    <w:rsid w:val="000E7ADA"/>
    <w:rsid w:val="000F1F73"/>
    <w:rsid w:val="000F4AD6"/>
    <w:rsid w:val="00100C6D"/>
    <w:rsid w:val="00100E31"/>
    <w:rsid w:val="001010ED"/>
    <w:rsid w:val="001011A5"/>
    <w:rsid w:val="00101524"/>
    <w:rsid w:val="00102278"/>
    <w:rsid w:val="00103567"/>
    <w:rsid w:val="0010475F"/>
    <w:rsid w:val="001049E0"/>
    <w:rsid w:val="00105558"/>
    <w:rsid w:val="001059C2"/>
    <w:rsid w:val="00110552"/>
    <w:rsid w:val="00115E11"/>
    <w:rsid w:val="00116A47"/>
    <w:rsid w:val="001221D8"/>
    <w:rsid w:val="00123D41"/>
    <w:rsid w:val="00124058"/>
    <w:rsid w:val="00124C4B"/>
    <w:rsid w:val="00131EF2"/>
    <w:rsid w:val="00131F42"/>
    <w:rsid w:val="00132D25"/>
    <w:rsid w:val="001342A4"/>
    <w:rsid w:val="0013473A"/>
    <w:rsid w:val="0013476E"/>
    <w:rsid w:val="001357F1"/>
    <w:rsid w:val="00137FD6"/>
    <w:rsid w:val="00140461"/>
    <w:rsid w:val="0014073E"/>
    <w:rsid w:val="00140B46"/>
    <w:rsid w:val="00140FA8"/>
    <w:rsid w:val="00141E24"/>
    <w:rsid w:val="0014231F"/>
    <w:rsid w:val="00142FEB"/>
    <w:rsid w:val="00143A2D"/>
    <w:rsid w:val="00144B14"/>
    <w:rsid w:val="0014577A"/>
    <w:rsid w:val="00145A41"/>
    <w:rsid w:val="00146A7D"/>
    <w:rsid w:val="00146B26"/>
    <w:rsid w:val="00147B88"/>
    <w:rsid w:val="0015042F"/>
    <w:rsid w:val="00151134"/>
    <w:rsid w:val="00151675"/>
    <w:rsid w:val="00151E25"/>
    <w:rsid w:val="00151EAD"/>
    <w:rsid w:val="001531C5"/>
    <w:rsid w:val="00153273"/>
    <w:rsid w:val="00157435"/>
    <w:rsid w:val="0015762C"/>
    <w:rsid w:val="0016186F"/>
    <w:rsid w:val="00161BFF"/>
    <w:rsid w:val="00165172"/>
    <w:rsid w:val="001669EA"/>
    <w:rsid w:val="00166DA0"/>
    <w:rsid w:val="00167101"/>
    <w:rsid w:val="00171B60"/>
    <w:rsid w:val="00172A69"/>
    <w:rsid w:val="00173398"/>
    <w:rsid w:val="00174EFB"/>
    <w:rsid w:val="0017504D"/>
    <w:rsid w:val="001753DD"/>
    <w:rsid w:val="00176017"/>
    <w:rsid w:val="0017671A"/>
    <w:rsid w:val="00177422"/>
    <w:rsid w:val="00177838"/>
    <w:rsid w:val="001803C2"/>
    <w:rsid w:val="00180895"/>
    <w:rsid w:val="00183C6C"/>
    <w:rsid w:val="00184590"/>
    <w:rsid w:val="001856C3"/>
    <w:rsid w:val="001870D1"/>
    <w:rsid w:val="0018781E"/>
    <w:rsid w:val="00187D1C"/>
    <w:rsid w:val="001900B1"/>
    <w:rsid w:val="001901CC"/>
    <w:rsid w:val="00190711"/>
    <w:rsid w:val="00190CB7"/>
    <w:rsid w:val="001913F5"/>
    <w:rsid w:val="0019262D"/>
    <w:rsid w:val="001941E5"/>
    <w:rsid w:val="00194275"/>
    <w:rsid w:val="00194CAF"/>
    <w:rsid w:val="001950DD"/>
    <w:rsid w:val="00195607"/>
    <w:rsid w:val="00196349"/>
    <w:rsid w:val="0019651E"/>
    <w:rsid w:val="001976F9"/>
    <w:rsid w:val="00197AF4"/>
    <w:rsid w:val="001A0B11"/>
    <w:rsid w:val="001A0D0C"/>
    <w:rsid w:val="001A10FD"/>
    <w:rsid w:val="001A19F5"/>
    <w:rsid w:val="001A1B35"/>
    <w:rsid w:val="001A2C2D"/>
    <w:rsid w:val="001A3334"/>
    <w:rsid w:val="001A342B"/>
    <w:rsid w:val="001A48A2"/>
    <w:rsid w:val="001A4E6A"/>
    <w:rsid w:val="001A6BCB"/>
    <w:rsid w:val="001A6F61"/>
    <w:rsid w:val="001A7B46"/>
    <w:rsid w:val="001B0FA6"/>
    <w:rsid w:val="001B1589"/>
    <w:rsid w:val="001B3676"/>
    <w:rsid w:val="001B4027"/>
    <w:rsid w:val="001B47CF"/>
    <w:rsid w:val="001B54D2"/>
    <w:rsid w:val="001B5688"/>
    <w:rsid w:val="001B5E58"/>
    <w:rsid w:val="001B72B8"/>
    <w:rsid w:val="001C02FE"/>
    <w:rsid w:val="001C10B3"/>
    <w:rsid w:val="001C66CD"/>
    <w:rsid w:val="001C69B3"/>
    <w:rsid w:val="001C7448"/>
    <w:rsid w:val="001D23B8"/>
    <w:rsid w:val="001D37C1"/>
    <w:rsid w:val="001D427E"/>
    <w:rsid w:val="001D4C2A"/>
    <w:rsid w:val="001D5198"/>
    <w:rsid w:val="001D5595"/>
    <w:rsid w:val="001D6534"/>
    <w:rsid w:val="001D671A"/>
    <w:rsid w:val="001D7874"/>
    <w:rsid w:val="001D7F22"/>
    <w:rsid w:val="001E0941"/>
    <w:rsid w:val="001E13F9"/>
    <w:rsid w:val="001E15CC"/>
    <w:rsid w:val="001E1EE9"/>
    <w:rsid w:val="001E2D1B"/>
    <w:rsid w:val="001E2E98"/>
    <w:rsid w:val="001E55BC"/>
    <w:rsid w:val="001E7727"/>
    <w:rsid w:val="001F0F17"/>
    <w:rsid w:val="001F235A"/>
    <w:rsid w:val="001F2DDA"/>
    <w:rsid w:val="001F3347"/>
    <w:rsid w:val="001F3682"/>
    <w:rsid w:val="001F40B3"/>
    <w:rsid w:val="001F59C0"/>
    <w:rsid w:val="001F6747"/>
    <w:rsid w:val="001F69E4"/>
    <w:rsid w:val="00200C06"/>
    <w:rsid w:val="00201EEC"/>
    <w:rsid w:val="002041DA"/>
    <w:rsid w:val="00204363"/>
    <w:rsid w:val="00212251"/>
    <w:rsid w:val="002125B4"/>
    <w:rsid w:val="00213D81"/>
    <w:rsid w:val="0021498F"/>
    <w:rsid w:val="002155B8"/>
    <w:rsid w:val="00215A52"/>
    <w:rsid w:val="00215C87"/>
    <w:rsid w:val="00220204"/>
    <w:rsid w:val="002202C1"/>
    <w:rsid w:val="00220361"/>
    <w:rsid w:val="00220ED0"/>
    <w:rsid w:val="002212DF"/>
    <w:rsid w:val="00221DDC"/>
    <w:rsid w:val="00222917"/>
    <w:rsid w:val="00224839"/>
    <w:rsid w:val="002249B2"/>
    <w:rsid w:val="00224DE2"/>
    <w:rsid w:val="00224EFB"/>
    <w:rsid w:val="00225218"/>
    <w:rsid w:val="00226574"/>
    <w:rsid w:val="002266F6"/>
    <w:rsid w:val="002278EC"/>
    <w:rsid w:val="00230234"/>
    <w:rsid w:val="0023280E"/>
    <w:rsid w:val="0023362E"/>
    <w:rsid w:val="00233C56"/>
    <w:rsid w:val="0023499C"/>
    <w:rsid w:val="00234CD7"/>
    <w:rsid w:val="00234D1E"/>
    <w:rsid w:val="0023649C"/>
    <w:rsid w:val="002377D1"/>
    <w:rsid w:val="0024066D"/>
    <w:rsid w:val="00241A1A"/>
    <w:rsid w:val="00242F53"/>
    <w:rsid w:val="002438EF"/>
    <w:rsid w:val="00243AC5"/>
    <w:rsid w:val="00244E74"/>
    <w:rsid w:val="00245FBE"/>
    <w:rsid w:val="002506BC"/>
    <w:rsid w:val="002526BE"/>
    <w:rsid w:val="00253243"/>
    <w:rsid w:val="0025415B"/>
    <w:rsid w:val="00254345"/>
    <w:rsid w:val="0025557A"/>
    <w:rsid w:val="002559A6"/>
    <w:rsid w:val="00260630"/>
    <w:rsid w:val="0026348D"/>
    <w:rsid w:val="00264557"/>
    <w:rsid w:val="00264A67"/>
    <w:rsid w:val="00266913"/>
    <w:rsid w:val="00270066"/>
    <w:rsid w:val="00270E4B"/>
    <w:rsid w:val="00274FA1"/>
    <w:rsid w:val="0027535D"/>
    <w:rsid w:val="00275558"/>
    <w:rsid w:val="00275CDA"/>
    <w:rsid w:val="00276052"/>
    <w:rsid w:val="002805AB"/>
    <w:rsid w:val="0028097C"/>
    <w:rsid w:val="0028214C"/>
    <w:rsid w:val="002836D4"/>
    <w:rsid w:val="00284204"/>
    <w:rsid w:val="00284EAE"/>
    <w:rsid w:val="002861E9"/>
    <w:rsid w:val="00287111"/>
    <w:rsid w:val="00287534"/>
    <w:rsid w:val="00287936"/>
    <w:rsid w:val="00291773"/>
    <w:rsid w:val="00292362"/>
    <w:rsid w:val="00293EAB"/>
    <w:rsid w:val="00293F59"/>
    <w:rsid w:val="00295DAE"/>
    <w:rsid w:val="00296403"/>
    <w:rsid w:val="002A1034"/>
    <w:rsid w:val="002A1606"/>
    <w:rsid w:val="002A168C"/>
    <w:rsid w:val="002A36C6"/>
    <w:rsid w:val="002A3DC7"/>
    <w:rsid w:val="002A4E08"/>
    <w:rsid w:val="002A5864"/>
    <w:rsid w:val="002A5981"/>
    <w:rsid w:val="002B2ED7"/>
    <w:rsid w:val="002B40B9"/>
    <w:rsid w:val="002B49E2"/>
    <w:rsid w:val="002B4B61"/>
    <w:rsid w:val="002B5464"/>
    <w:rsid w:val="002B7B00"/>
    <w:rsid w:val="002B7C44"/>
    <w:rsid w:val="002C0E46"/>
    <w:rsid w:val="002C0F2D"/>
    <w:rsid w:val="002C2B17"/>
    <w:rsid w:val="002C4268"/>
    <w:rsid w:val="002C544A"/>
    <w:rsid w:val="002C5F55"/>
    <w:rsid w:val="002C63CF"/>
    <w:rsid w:val="002C7083"/>
    <w:rsid w:val="002D0889"/>
    <w:rsid w:val="002D175F"/>
    <w:rsid w:val="002D2D01"/>
    <w:rsid w:val="002D37B1"/>
    <w:rsid w:val="002D3DD0"/>
    <w:rsid w:val="002D408E"/>
    <w:rsid w:val="002D41E3"/>
    <w:rsid w:val="002D5337"/>
    <w:rsid w:val="002D6185"/>
    <w:rsid w:val="002D6A7C"/>
    <w:rsid w:val="002E1F3A"/>
    <w:rsid w:val="002E298A"/>
    <w:rsid w:val="002E2B38"/>
    <w:rsid w:val="002E2DC2"/>
    <w:rsid w:val="002E51A9"/>
    <w:rsid w:val="002E754C"/>
    <w:rsid w:val="002E7736"/>
    <w:rsid w:val="002F18E4"/>
    <w:rsid w:val="002F1DD7"/>
    <w:rsid w:val="002F21A1"/>
    <w:rsid w:val="002F3BF8"/>
    <w:rsid w:val="002F6924"/>
    <w:rsid w:val="002F75F3"/>
    <w:rsid w:val="00301978"/>
    <w:rsid w:val="00302058"/>
    <w:rsid w:val="00302206"/>
    <w:rsid w:val="0030332C"/>
    <w:rsid w:val="003051C2"/>
    <w:rsid w:val="00306697"/>
    <w:rsid w:val="00306B08"/>
    <w:rsid w:val="003079BA"/>
    <w:rsid w:val="003106B4"/>
    <w:rsid w:val="00310799"/>
    <w:rsid w:val="00311EA8"/>
    <w:rsid w:val="003121AC"/>
    <w:rsid w:val="00312296"/>
    <w:rsid w:val="00313FB3"/>
    <w:rsid w:val="00314F0E"/>
    <w:rsid w:val="00315238"/>
    <w:rsid w:val="003169EE"/>
    <w:rsid w:val="00321D8E"/>
    <w:rsid w:val="00322F97"/>
    <w:rsid w:val="00323999"/>
    <w:rsid w:val="00325684"/>
    <w:rsid w:val="003256D5"/>
    <w:rsid w:val="0032579C"/>
    <w:rsid w:val="00325928"/>
    <w:rsid w:val="00325B1A"/>
    <w:rsid w:val="00325F44"/>
    <w:rsid w:val="0033014A"/>
    <w:rsid w:val="003313DA"/>
    <w:rsid w:val="00332863"/>
    <w:rsid w:val="00335235"/>
    <w:rsid w:val="003360D8"/>
    <w:rsid w:val="0033677A"/>
    <w:rsid w:val="0033684D"/>
    <w:rsid w:val="00337B42"/>
    <w:rsid w:val="00341B42"/>
    <w:rsid w:val="003420EB"/>
    <w:rsid w:val="00342DD7"/>
    <w:rsid w:val="0034348F"/>
    <w:rsid w:val="00344C13"/>
    <w:rsid w:val="0035163A"/>
    <w:rsid w:val="00356653"/>
    <w:rsid w:val="0035743F"/>
    <w:rsid w:val="003574B8"/>
    <w:rsid w:val="00357BE2"/>
    <w:rsid w:val="0036130F"/>
    <w:rsid w:val="0036170C"/>
    <w:rsid w:val="00361BD8"/>
    <w:rsid w:val="00362414"/>
    <w:rsid w:val="0036278F"/>
    <w:rsid w:val="00363B32"/>
    <w:rsid w:val="00363E49"/>
    <w:rsid w:val="0036636F"/>
    <w:rsid w:val="0036649C"/>
    <w:rsid w:val="00366E0F"/>
    <w:rsid w:val="0036717A"/>
    <w:rsid w:val="00370B8C"/>
    <w:rsid w:val="00372822"/>
    <w:rsid w:val="0037353B"/>
    <w:rsid w:val="003745AB"/>
    <w:rsid w:val="0037568E"/>
    <w:rsid w:val="00375E8F"/>
    <w:rsid w:val="00376247"/>
    <w:rsid w:val="00376682"/>
    <w:rsid w:val="00376D26"/>
    <w:rsid w:val="00381A72"/>
    <w:rsid w:val="00382D0F"/>
    <w:rsid w:val="00384676"/>
    <w:rsid w:val="0038505D"/>
    <w:rsid w:val="00385CA8"/>
    <w:rsid w:val="00386463"/>
    <w:rsid w:val="00386C28"/>
    <w:rsid w:val="00390857"/>
    <w:rsid w:val="00391329"/>
    <w:rsid w:val="00391947"/>
    <w:rsid w:val="003946CF"/>
    <w:rsid w:val="003946E0"/>
    <w:rsid w:val="003A111F"/>
    <w:rsid w:val="003A1449"/>
    <w:rsid w:val="003A2D66"/>
    <w:rsid w:val="003A4875"/>
    <w:rsid w:val="003A4BF3"/>
    <w:rsid w:val="003B020A"/>
    <w:rsid w:val="003B0E60"/>
    <w:rsid w:val="003B1814"/>
    <w:rsid w:val="003B26C0"/>
    <w:rsid w:val="003B2C17"/>
    <w:rsid w:val="003B3D15"/>
    <w:rsid w:val="003B3F78"/>
    <w:rsid w:val="003B420D"/>
    <w:rsid w:val="003B666A"/>
    <w:rsid w:val="003B6746"/>
    <w:rsid w:val="003B761F"/>
    <w:rsid w:val="003B7639"/>
    <w:rsid w:val="003C11D2"/>
    <w:rsid w:val="003C19B5"/>
    <w:rsid w:val="003C244B"/>
    <w:rsid w:val="003C24B7"/>
    <w:rsid w:val="003C25CA"/>
    <w:rsid w:val="003C2E7E"/>
    <w:rsid w:val="003C4893"/>
    <w:rsid w:val="003C52F9"/>
    <w:rsid w:val="003C6C16"/>
    <w:rsid w:val="003C6E24"/>
    <w:rsid w:val="003C7823"/>
    <w:rsid w:val="003D0A19"/>
    <w:rsid w:val="003D222C"/>
    <w:rsid w:val="003D387C"/>
    <w:rsid w:val="003D5269"/>
    <w:rsid w:val="003D746A"/>
    <w:rsid w:val="003D794D"/>
    <w:rsid w:val="003E098E"/>
    <w:rsid w:val="003E1673"/>
    <w:rsid w:val="003E21C4"/>
    <w:rsid w:val="003E3058"/>
    <w:rsid w:val="003E3260"/>
    <w:rsid w:val="003E342C"/>
    <w:rsid w:val="003E37E5"/>
    <w:rsid w:val="003E3F62"/>
    <w:rsid w:val="003E63B1"/>
    <w:rsid w:val="003E6CF8"/>
    <w:rsid w:val="003E732C"/>
    <w:rsid w:val="003E76A9"/>
    <w:rsid w:val="003F0809"/>
    <w:rsid w:val="003F0BAA"/>
    <w:rsid w:val="003F1CB5"/>
    <w:rsid w:val="003F1F09"/>
    <w:rsid w:val="003F20A3"/>
    <w:rsid w:val="003F42AE"/>
    <w:rsid w:val="003F6A8C"/>
    <w:rsid w:val="003F6F54"/>
    <w:rsid w:val="003F755C"/>
    <w:rsid w:val="004029D2"/>
    <w:rsid w:val="00404516"/>
    <w:rsid w:val="00404A99"/>
    <w:rsid w:val="00406752"/>
    <w:rsid w:val="0040696C"/>
    <w:rsid w:val="00406F01"/>
    <w:rsid w:val="00410BCC"/>
    <w:rsid w:val="00410D19"/>
    <w:rsid w:val="00415140"/>
    <w:rsid w:val="00415A06"/>
    <w:rsid w:val="00415EC9"/>
    <w:rsid w:val="00416D50"/>
    <w:rsid w:val="00416FD5"/>
    <w:rsid w:val="004172B1"/>
    <w:rsid w:val="00417772"/>
    <w:rsid w:val="00420053"/>
    <w:rsid w:val="004208C9"/>
    <w:rsid w:val="00420E6A"/>
    <w:rsid w:val="00420F68"/>
    <w:rsid w:val="00422E59"/>
    <w:rsid w:val="004233FA"/>
    <w:rsid w:val="00425210"/>
    <w:rsid w:val="00425A9E"/>
    <w:rsid w:val="00426D6B"/>
    <w:rsid w:val="004273D0"/>
    <w:rsid w:val="00431BBF"/>
    <w:rsid w:val="00431E6C"/>
    <w:rsid w:val="00433717"/>
    <w:rsid w:val="00433CE7"/>
    <w:rsid w:val="0043455C"/>
    <w:rsid w:val="00434E07"/>
    <w:rsid w:val="004368A9"/>
    <w:rsid w:val="004378E7"/>
    <w:rsid w:val="004428A9"/>
    <w:rsid w:val="004433F7"/>
    <w:rsid w:val="00445AD8"/>
    <w:rsid w:val="004462D9"/>
    <w:rsid w:val="00447570"/>
    <w:rsid w:val="004500EC"/>
    <w:rsid w:val="00451027"/>
    <w:rsid w:val="0045105D"/>
    <w:rsid w:val="00452738"/>
    <w:rsid w:val="00452ED5"/>
    <w:rsid w:val="00456091"/>
    <w:rsid w:val="00460966"/>
    <w:rsid w:val="004640E3"/>
    <w:rsid w:val="00465751"/>
    <w:rsid w:val="00465E7A"/>
    <w:rsid w:val="00466031"/>
    <w:rsid w:val="00466321"/>
    <w:rsid w:val="00470059"/>
    <w:rsid w:val="00470952"/>
    <w:rsid w:val="00472C41"/>
    <w:rsid w:val="00477E90"/>
    <w:rsid w:val="00480A1E"/>
    <w:rsid w:val="0048103E"/>
    <w:rsid w:val="00482028"/>
    <w:rsid w:val="00483FAC"/>
    <w:rsid w:val="00484B9B"/>
    <w:rsid w:val="00484BA5"/>
    <w:rsid w:val="00485460"/>
    <w:rsid w:val="004855F6"/>
    <w:rsid w:val="0048661E"/>
    <w:rsid w:val="004874F0"/>
    <w:rsid w:val="004933A4"/>
    <w:rsid w:val="00493B61"/>
    <w:rsid w:val="004942D8"/>
    <w:rsid w:val="004945A5"/>
    <w:rsid w:val="00494670"/>
    <w:rsid w:val="00494C40"/>
    <w:rsid w:val="00495C81"/>
    <w:rsid w:val="00496240"/>
    <w:rsid w:val="004A3823"/>
    <w:rsid w:val="004A5172"/>
    <w:rsid w:val="004A59B8"/>
    <w:rsid w:val="004B02A4"/>
    <w:rsid w:val="004B0CC2"/>
    <w:rsid w:val="004B1688"/>
    <w:rsid w:val="004B4836"/>
    <w:rsid w:val="004B5A13"/>
    <w:rsid w:val="004B5A4C"/>
    <w:rsid w:val="004B626E"/>
    <w:rsid w:val="004B732E"/>
    <w:rsid w:val="004C0B1D"/>
    <w:rsid w:val="004C189F"/>
    <w:rsid w:val="004C2490"/>
    <w:rsid w:val="004C27AA"/>
    <w:rsid w:val="004C30A0"/>
    <w:rsid w:val="004C37A2"/>
    <w:rsid w:val="004C57B2"/>
    <w:rsid w:val="004C64A6"/>
    <w:rsid w:val="004C6BA4"/>
    <w:rsid w:val="004D17D7"/>
    <w:rsid w:val="004D2717"/>
    <w:rsid w:val="004D39A8"/>
    <w:rsid w:val="004D5E01"/>
    <w:rsid w:val="004D5F2D"/>
    <w:rsid w:val="004D747E"/>
    <w:rsid w:val="004E2E5F"/>
    <w:rsid w:val="004E5622"/>
    <w:rsid w:val="004E620A"/>
    <w:rsid w:val="004E6946"/>
    <w:rsid w:val="004F0CF3"/>
    <w:rsid w:val="004F1A71"/>
    <w:rsid w:val="004F1AD8"/>
    <w:rsid w:val="004F2B58"/>
    <w:rsid w:val="004F3C84"/>
    <w:rsid w:val="004F3F5A"/>
    <w:rsid w:val="004F787B"/>
    <w:rsid w:val="005029C4"/>
    <w:rsid w:val="005039CB"/>
    <w:rsid w:val="0050558F"/>
    <w:rsid w:val="00506286"/>
    <w:rsid w:val="00506455"/>
    <w:rsid w:val="00507FA0"/>
    <w:rsid w:val="00510813"/>
    <w:rsid w:val="00510BFB"/>
    <w:rsid w:val="005117F8"/>
    <w:rsid w:val="00511990"/>
    <w:rsid w:val="00511DE0"/>
    <w:rsid w:val="00514870"/>
    <w:rsid w:val="00514B9B"/>
    <w:rsid w:val="005155A7"/>
    <w:rsid w:val="00517F02"/>
    <w:rsid w:val="00520F5C"/>
    <w:rsid w:val="00521C85"/>
    <w:rsid w:val="00522E5E"/>
    <w:rsid w:val="00524303"/>
    <w:rsid w:val="005258A2"/>
    <w:rsid w:val="00525CD7"/>
    <w:rsid w:val="005270C9"/>
    <w:rsid w:val="0052716B"/>
    <w:rsid w:val="00527EA0"/>
    <w:rsid w:val="005303C2"/>
    <w:rsid w:val="0053110E"/>
    <w:rsid w:val="00531B11"/>
    <w:rsid w:val="00532DB4"/>
    <w:rsid w:val="00534229"/>
    <w:rsid w:val="00534B39"/>
    <w:rsid w:val="00535F07"/>
    <w:rsid w:val="00536F3E"/>
    <w:rsid w:val="005401AE"/>
    <w:rsid w:val="0054108F"/>
    <w:rsid w:val="0054159A"/>
    <w:rsid w:val="00542E07"/>
    <w:rsid w:val="00542F96"/>
    <w:rsid w:val="00544562"/>
    <w:rsid w:val="0054501D"/>
    <w:rsid w:val="00545424"/>
    <w:rsid w:val="00546459"/>
    <w:rsid w:val="00546483"/>
    <w:rsid w:val="00546DB1"/>
    <w:rsid w:val="00547170"/>
    <w:rsid w:val="00554A7B"/>
    <w:rsid w:val="0055572C"/>
    <w:rsid w:val="005600E0"/>
    <w:rsid w:val="00560564"/>
    <w:rsid w:val="005609B8"/>
    <w:rsid w:val="0056106A"/>
    <w:rsid w:val="00561733"/>
    <w:rsid w:val="00562EFA"/>
    <w:rsid w:val="005630E6"/>
    <w:rsid w:val="0056445B"/>
    <w:rsid w:val="00564C0C"/>
    <w:rsid w:val="00566847"/>
    <w:rsid w:val="00566C49"/>
    <w:rsid w:val="00567152"/>
    <w:rsid w:val="00567D1D"/>
    <w:rsid w:val="005720AE"/>
    <w:rsid w:val="00574397"/>
    <w:rsid w:val="0057450A"/>
    <w:rsid w:val="00575185"/>
    <w:rsid w:val="00576DBA"/>
    <w:rsid w:val="00577135"/>
    <w:rsid w:val="00581771"/>
    <w:rsid w:val="00582AE4"/>
    <w:rsid w:val="0058365B"/>
    <w:rsid w:val="0058391B"/>
    <w:rsid w:val="00583B02"/>
    <w:rsid w:val="005848C7"/>
    <w:rsid w:val="00585C76"/>
    <w:rsid w:val="00585CAA"/>
    <w:rsid w:val="00585EBB"/>
    <w:rsid w:val="00586B62"/>
    <w:rsid w:val="00586E65"/>
    <w:rsid w:val="005905F5"/>
    <w:rsid w:val="00590B4B"/>
    <w:rsid w:val="005910D5"/>
    <w:rsid w:val="005912A8"/>
    <w:rsid w:val="00594D77"/>
    <w:rsid w:val="005963C3"/>
    <w:rsid w:val="005969E4"/>
    <w:rsid w:val="00597C1B"/>
    <w:rsid w:val="005A0035"/>
    <w:rsid w:val="005A06B7"/>
    <w:rsid w:val="005A07DC"/>
    <w:rsid w:val="005A0FB0"/>
    <w:rsid w:val="005A14D1"/>
    <w:rsid w:val="005A1759"/>
    <w:rsid w:val="005A1CC0"/>
    <w:rsid w:val="005A2846"/>
    <w:rsid w:val="005A2BAA"/>
    <w:rsid w:val="005A2EB4"/>
    <w:rsid w:val="005A68A7"/>
    <w:rsid w:val="005B266E"/>
    <w:rsid w:val="005B5F39"/>
    <w:rsid w:val="005B6035"/>
    <w:rsid w:val="005C0234"/>
    <w:rsid w:val="005C13C8"/>
    <w:rsid w:val="005C1BA4"/>
    <w:rsid w:val="005C40DB"/>
    <w:rsid w:val="005C59AC"/>
    <w:rsid w:val="005C715B"/>
    <w:rsid w:val="005C794F"/>
    <w:rsid w:val="005D1BBD"/>
    <w:rsid w:val="005D25A3"/>
    <w:rsid w:val="005D28E6"/>
    <w:rsid w:val="005D2C69"/>
    <w:rsid w:val="005D36AB"/>
    <w:rsid w:val="005D3B29"/>
    <w:rsid w:val="005D3E54"/>
    <w:rsid w:val="005D53B0"/>
    <w:rsid w:val="005D5D24"/>
    <w:rsid w:val="005D6839"/>
    <w:rsid w:val="005D6F80"/>
    <w:rsid w:val="005E07E3"/>
    <w:rsid w:val="005E12E5"/>
    <w:rsid w:val="005E30E5"/>
    <w:rsid w:val="005E58A0"/>
    <w:rsid w:val="005E6BE1"/>
    <w:rsid w:val="005E7BF9"/>
    <w:rsid w:val="005F12DC"/>
    <w:rsid w:val="005F1C91"/>
    <w:rsid w:val="005F1D4C"/>
    <w:rsid w:val="005F2AE1"/>
    <w:rsid w:val="005F38F6"/>
    <w:rsid w:val="005F3F0E"/>
    <w:rsid w:val="005F4D16"/>
    <w:rsid w:val="005F4EE3"/>
    <w:rsid w:val="005F53F4"/>
    <w:rsid w:val="005F60A2"/>
    <w:rsid w:val="005F7B9D"/>
    <w:rsid w:val="00601737"/>
    <w:rsid w:val="0060193A"/>
    <w:rsid w:val="00602B06"/>
    <w:rsid w:val="006075C1"/>
    <w:rsid w:val="00607D7C"/>
    <w:rsid w:val="006107C8"/>
    <w:rsid w:val="00610F05"/>
    <w:rsid w:val="00612B09"/>
    <w:rsid w:val="0061342E"/>
    <w:rsid w:val="00614CD4"/>
    <w:rsid w:val="006150DC"/>
    <w:rsid w:val="0061539A"/>
    <w:rsid w:val="00615952"/>
    <w:rsid w:val="00617CC3"/>
    <w:rsid w:val="00623AF7"/>
    <w:rsid w:val="00636753"/>
    <w:rsid w:val="00636807"/>
    <w:rsid w:val="006377A6"/>
    <w:rsid w:val="00637A3D"/>
    <w:rsid w:val="00637DCE"/>
    <w:rsid w:val="006411EF"/>
    <w:rsid w:val="0064470F"/>
    <w:rsid w:val="0064795B"/>
    <w:rsid w:val="006508A9"/>
    <w:rsid w:val="00651452"/>
    <w:rsid w:val="00653BC1"/>
    <w:rsid w:val="00654F08"/>
    <w:rsid w:val="006552F2"/>
    <w:rsid w:val="00657118"/>
    <w:rsid w:val="00657361"/>
    <w:rsid w:val="00661015"/>
    <w:rsid w:val="006635FE"/>
    <w:rsid w:val="00666156"/>
    <w:rsid w:val="006669E5"/>
    <w:rsid w:val="00672FE8"/>
    <w:rsid w:val="00672FF0"/>
    <w:rsid w:val="00673F16"/>
    <w:rsid w:val="006748B8"/>
    <w:rsid w:val="006758FB"/>
    <w:rsid w:val="0067705E"/>
    <w:rsid w:val="006775C3"/>
    <w:rsid w:val="00682A62"/>
    <w:rsid w:val="00685C37"/>
    <w:rsid w:val="00687226"/>
    <w:rsid w:val="00691732"/>
    <w:rsid w:val="006918EF"/>
    <w:rsid w:val="0069290A"/>
    <w:rsid w:val="00692B95"/>
    <w:rsid w:val="00693D55"/>
    <w:rsid w:val="00695F40"/>
    <w:rsid w:val="0069693F"/>
    <w:rsid w:val="0069775A"/>
    <w:rsid w:val="00697813"/>
    <w:rsid w:val="0069794D"/>
    <w:rsid w:val="00697E0F"/>
    <w:rsid w:val="006A0AD8"/>
    <w:rsid w:val="006A0F96"/>
    <w:rsid w:val="006A0FE3"/>
    <w:rsid w:val="006A2B27"/>
    <w:rsid w:val="006A2DE5"/>
    <w:rsid w:val="006A3EE8"/>
    <w:rsid w:val="006A552A"/>
    <w:rsid w:val="006A6348"/>
    <w:rsid w:val="006A688F"/>
    <w:rsid w:val="006A7186"/>
    <w:rsid w:val="006A72BF"/>
    <w:rsid w:val="006A74D9"/>
    <w:rsid w:val="006B03F2"/>
    <w:rsid w:val="006B07CD"/>
    <w:rsid w:val="006B37DC"/>
    <w:rsid w:val="006B4F68"/>
    <w:rsid w:val="006B574E"/>
    <w:rsid w:val="006B77B1"/>
    <w:rsid w:val="006B7BC1"/>
    <w:rsid w:val="006C0592"/>
    <w:rsid w:val="006C1E62"/>
    <w:rsid w:val="006C272E"/>
    <w:rsid w:val="006C320E"/>
    <w:rsid w:val="006C534E"/>
    <w:rsid w:val="006C5479"/>
    <w:rsid w:val="006C5A46"/>
    <w:rsid w:val="006D13B5"/>
    <w:rsid w:val="006D4182"/>
    <w:rsid w:val="006D7B85"/>
    <w:rsid w:val="006E12FF"/>
    <w:rsid w:val="006E607E"/>
    <w:rsid w:val="006E6417"/>
    <w:rsid w:val="006E7312"/>
    <w:rsid w:val="006E7719"/>
    <w:rsid w:val="006F1974"/>
    <w:rsid w:val="006F4333"/>
    <w:rsid w:val="007008A0"/>
    <w:rsid w:val="007017D8"/>
    <w:rsid w:val="007040A1"/>
    <w:rsid w:val="00704634"/>
    <w:rsid w:val="00704CEF"/>
    <w:rsid w:val="00704EB4"/>
    <w:rsid w:val="007053B6"/>
    <w:rsid w:val="007057C5"/>
    <w:rsid w:val="007067A5"/>
    <w:rsid w:val="00706C5D"/>
    <w:rsid w:val="00710CC7"/>
    <w:rsid w:val="00712689"/>
    <w:rsid w:val="00712AF4"/>
    <w:rsid w:val="0071473D"/>
    <w:rsid w:val="00715F2E"/>
    <w:rsid w:val="00715FB3"/>
    <w:rsid w:val="00716612"/>
    <w:rsid w:val="00716BC7"/>
    <w:rsid w:val="00717131"/>
    <w:rsid w:val="00720700"/>
    <w:rsid w:val="0072175A"/>
    <w:rsid w:val="00721935"/>
    <w:rsid w:val="00723349"/>
    <w:rsid w:val="00723A49"/>
    <w:rsid w:val="00724283"/>
    <w:rsid w:val="0072622C"/>
    <w:rsid w:val="007267F5"/>
    <w:rsid w:val="00727F39"/>
    <w:rsid w:val="00730ADD"/>
    <w:rsid w:val="00732922"/>
    <w:rsid w:val="007340AF"/>
    <w:rsid w:val="00734E03"/>
    <w:rsid w:val="0073529F"/>
    <w:rsid w:val="0073554E"/>
    <w:rsid w:val="007417AE"/>
    <w:rsid w:val="00741B84"/>
    <w:rsid w:val="00743592"/>
    <w:rsid w:val="00743D48"/>
    <w:rsid w:val="0074454E"/>
    <w:rsid w:val="00745B6D"/>
    <w:rsid w:val="00745E33"/>
    <w:rsid w:val="00750C6A"/>
    <w:rsid w:val="0075154A"/>
    <w:rsid w:val="0075162E"/>
    <w:rsid w:val="00751729"/>
    <w:rsid w:val="00751C3B"/>
    <w:rsid w:val="00751FF2"/>
    <w:rsid w:val="00754034"/>
    <w:rsid w:val="007556B4"/>
    <w:rsid w:val="00756556"/>
    <w:rsid w:val="007565DA"/>
    <w:rsid w:val="007574CD"/>
    <w:rsid w:val="00757B48"/>
    <w:rsid w:val="00757B9E"/>
    <w:rsid w:val="00757CC1"/>
    <w:rsid w:val="0076010E"/>
    <w:rsid w:val="007618C4"/>
    <w:rsid w:val="007629B1"/>
    <w:rsid w:val="00763BF4"/>
    <w:rsid w:val="0076407D"/>
    <w:rsid w:val="0076469E"/>
    <w:rsid w:val="0076681F"/>
    <w:rsid w:val="00767980"/>
    <w:rsid w:val="00770B19"/>
    <w:rsid w:val="00770BA3"/>
    <w:rsid w:val="00771FB3"/>
    <w:rsid w:val="00772434"/>
    <w:rsid w:val="007737E1"/>
    <w:rsid w:val="0077463F"/>
    <w:rsid w:val="00777529"/>
    <w:rsid w:val="00781CB3"/>
    <w:rsid w:val="0078278A"/>
    <w:rsid w:val="00782BF2"/>
    <w:rsid w:val="007836EA"/>
    <w:rsid w:val="00783F2F"/>
    <w:rsid w:val="00784CDA"/>
    <w:rsid w:val="00785460"/>
    <w:rsid w:val="00785931"/>
    <w:rsid w:val="0078646A"/>
    <w:rsid w:val="00787833"/>
    <w:rsid w:val="00787B94"/>
    <w:rsid w:val="00787BAA"/>
    <w:rsid w:val="007906C4"/>
    <w:rsid w:val="007940EA"/>
    <w:rsid w:val="00795785"/>
    <w:rsid w:val="00796076"/>
    <w:rsid w:val="00796204"/>
    <w:rsid w:val="007967E8"/>
    <w:rsid w:val="007972F4"/>
    <w:rsid w:val="007A0B84"/>
    <w:rsid w:val="007A1967"/>
    <w:rsid w:val="007A1CBB"/>
    <w:rsid w:val="007A2170"/>
    <w:rsid w:val="007A22BF"/>
    <w:rsid w:val="007A3323"/>
    <w:rsid w:val="007A3DA4"/>
    <w:rsid w:val="007A7279"/>
    <w:rsid w:val="007B0BFA"/>
    <w:rsid w:val="007B1F32"/>
    <w:rsid w:val="007B2828"/>
    <w:rsid w:val="007B3E8F"/>
    <w:rsid w:val="007B4224"/>
    <w:rsid w:val="007B480B"/>
    <w:rsid w:val="007B4F77"/>
    <w:rsid w:val="007B52A3"/>
    <w:rsid w:val="007B5BE7"/>
    <w:rsid w:val="007B5FB7"/>
    <w:rsid w:val="007B6163"/>
    <w:rsid w:val="007B6E4D"/>
    <w:rsid w:val="007B72B8"/>
    <w:rsid w:val="007B7A58"/>
    <w:rsid w:val="007C0254"/>
    <w:rsid w:val="007C08D2"/>
    <w:rsid w:val="007C0ECF"/>
    <w:rsid w:val="007C135B"/>
    <w:rsid w:val="007C1C30"/>
    <w:rsid w:val="007C1EB9"/>
    <w:rsid w:val="007C21B5"/>
    <w:rsid w:val="007C4570"/>
    <w:rsid w:val="007C500E"/>
    <w:rsid w:val="007D31A4"/>
    <w:rsid w:val="007E06B2"/>
    <w:rsid w:val="007E0D5B"/>
    <w:rsid w:val="007E1BD6"/>
    <w:rsid w:val="007E1C6B"/>
    <w:rsid w:val="007E36B8"/>
    <w:rsid w:val="007E4BD2"/>
    <w:rsid w:val="007E6C02"/>
    <w:rsid w:val="007F1634"/>
    <w:rsid w:val="007F258A"/>
    <w:rsid w:val="007F4A33"/>
    <w:rsid w:val="007F58DB"/>
    <w:rsid w:val="007F708D"/>
    <w:rsid w:val="007F7090"/>
    <w:rsid w:val="007F7D0A"/>
    <w:rsid w:val="008009B9"/>
    <w:rsid w:val="00801393"/>
    <w:rsid w:val="0080184D"/>
    <w:rsid w:val="008027DD"/>
    <w:rsid w:val="00802B19"/>
    <w:rsid w:val="00802F88"/>
    <w:rsid w:val="00804137"/>
    <w:rsid w:val="0080662F"/>
    <w:rsid w:val="00810304"/>
    <w:rsid w:val="00810BE8"/>
    <w:rsid w:val="0081293E"/>
    <w:rsid w:val="00812C41"/>
    <w:rsid w:val="0081375E"/>
    <w:rsid w:val="008138EB"/>
    <w:rsid w:val="008149F2"/>
    <w:rsid w:val="0081541B"/>
    <w:rsid w:val="00815465"/>
    <w:rsid w:val="00817E9A"/>
    <w:rsid w:val="00821384"/>
    <w:rsid w:val="0082543D"/>
    <w:rsid w:val="00825646"/>
    <w:rsid w:val="00826876"/>
    <w:rsid w:val="00827CA2"/>
    <w:rsid w:val="00827E73"/>
    <w:rsid w:val="0083016D"/>
    <w:rsid w:val="008306BD"/>
    <w:rsid w:val="00830B71"/>
    <w:rsid w:val="008317E1"/>
    <w:rsid w:val="00831A80"/>
    <w:rsid w:val="00833743"/>
    <w:rsid w:val="008340A4"/>
    <w:rsid w:val="00835030"/>
    <w:rsid w:val="00835D32"/>
    <w:rsid w:val="0083631C"/>
    <w:rsid w:val="0083668D"/>
    <w:rsid w:val="0083744F"/>
    <w:rsid w:val="00841684"/>
    <w:rsid w:val="008422E3"/>
    <w:rsid w:val="00842D5F"/>
    <w:rsid w:val="008430BF"/>
    <w:rsid w:val="00843E9F"/>
    <w:rsid w:val="00844E8C"/>
    <w:rsid w:val="008451A8"/>
    <w:rsid w:val="008469F9"/>
    <w:rsid w:val="00846F3E"/>
    <w:rsid w:val="00847D17"/>
    <w:rsid w:val="0085010C"/>
    <w:rsid w:val="00851CED"/>
    <w:rsid w:val="0085312C"/>
    <w:rsid w:val="00855C16"/>
    <w:rsid w:val="00856AD1"/>
    <w:rsid w:val="0086130A"/>
    <w:rsid w:val="008628AF"/>
    <w:rsid w:val="008634B0"/>
    <w:rsid w:val="00864F67"/>
    <w:rsid w:val="00865781"/>
    <w:rsid w:val="0086630A"/>
    <w:rsid w:val="00866DC5"/>
    <w:rsid w:val="0086786D"/>
    <w:rsid w:val="00870791"/>
    <w:rsid w:val="00870FB4"/>
    <w:rsid w:val="0087135F"/>
    <w:rsid w:val="00872D94"/>
    <w:rsid w:val="00874445"/>
    <w:rsid w:val="008762A1"/>
    <w:rsid w:val="00880364"/>
    <w:rsid w:val="0088203D"/>
    <w:rsid w:val="00882966"/>
    <w:rsid w:val="0088312F"/>
    <w:rsid w:val="00883849"/>
    <w:rsid w:val="008841AF"/>
    <w:rsid w:val="00884E95"/>
    <w:rsid w:val="00885180"/>
    <w:rsid w:val="00885E5D"/>
    <w:rsid w:val="00886300"/>
    <w:rsid w:val="00891592"/>
    <w:rsid w:val="00891E9E"/>
    <w:rsid w:val="00892020"/>
    <w:rsid w:val="00896137"/>
    <w:rsid w:val="00896234"/>
    <w:rsid w:val="0089625A"/>
    <w:rsid w:val="0089702C"/>
    <w:rsid w:val="008A1BC1"/>
    <w:rsid w:val="008A2931"/>
    <w:rsid w:val="008A2A99"/>
    <w:rsid w:val="008A2F68"/>
    <w:rsid w:val="008A458A"/>
    <w:rsid w:val="008A5A22"/>
    <w:rsid w:val="008A603C"/>
    <w:rsid w:val="008A616E"/>
    <w:rsid w:val="008A72D9"/>
    <w:rsid w:val="008A73EB"/>
    <w:rsid w:val="008A78F9"/>
    <w:rsid w:val="008B1329"/>
    <w:rsid w:val="008B1BBA"/>
    <w:rsid w:val="008B21A9"/>
    <w:rsid w:val="008B3568"/>
    <w:rsid w:val="008B4FA6"/>
    <w:rsid w:val="008B51A2"/>
    <w:rsid w:val="008B5282"/>
    <w:rsid w:val="008B5566"/>
    <w:rsid w:val="008B7C17"/>
    <w:rsid w:val="008B7D71"/>
    <w:rsid w:val="008C2D01"/>
    <w:rsid w:val="008C40E6"/>
    <w:rsid w:val="008C4DDA"/>
    <w:rsid w:val="008C5390"/>
    <w:rsid w:val="008C72CB"/>
    <w:rsid w:val="008D0F7A"/>
    <w:rsid w:val="008D1B17"/>
    <w:rsid w:val="008D68CF"/>
    <w:rsid w:val="008D68E4"/>
    <w:rsid w:val="008E0506"/>
    <w:rsid w:val="008E0CFF"/>
    <w:rsid w:val="008E3187"/>
    <w:rsid w:val="008E476D"/>
    <w:rsid w:val="008E50D7"/>
    <w:rsid w:val="008E5D6B"/>
    <w:rsid w:val="008E5E30"/>
    <w:rsid w:val="008E65A7"/>
    <w:rsid w:val="008E667F"/>
    <w:rsid w:val="008E66DB"/>
    <w:rsid w:val="008E70FD"/>
    <w:rsid w:val="008E76F0"/>
    <w:rsid w:val="008E7CBE"/>
    <w:rsid w:val="008F15FE"/>
    <w:rsid w:val="008F2D29"/>
    <w:rsid w:val="008F4D1F"/>
    <w:rsid w:val="008F5187"/>
    <w:rsid w:val="008F53F7"/>
    <w:rsid w:val="008F584A"/>
    <w:rsid w:val="008F60D8"/>
    <w:rsid w:val="008F7C0D"/>
    <w:rsid w:val="008F7C8F"/>
    <w:rsid w:val="00900738"/>
    <w:rsid w:val="00901170"/>
    <w:rsid w:val="009023E7"/>
    <w:rsid w:val="00902727"/>
    <w:rsid w:val="0090312B"/>
    <w:rsid w:val="0090454D"/>
    <w:rsid w:val="00904CDA"/>
    <w:rsid w:val="00906021"/>
    <w:rsid w:val="00907678"/>
    <w:rsid w:val="009104B2"/>
    <w:rsid w:val="00910722"/>
    <w:rsid w:val="00910FD2"/>
    <w:rsid w:val="00912665"/>
    <w:rsid w:val="00912D62"/>
    <w:rsid w:val="009139FA"/>
    <w:rsid w:val="00913A35"/>
    <w:rsid w:val="00914179"/>
    <w:rsid w:val="009172FE"/>
    <w:rsid w:val="0091736D"/>
    <w:rsid w:val="009177BB"/>
    <w:rsid w:val="0091787B"/>
    <w:rsid w:val="0092215E"/>
    <w:rsid w:val="009238DE"/>
    <w:rsid w:val="00923AE0"/>
    <w:rsid w:val="009269F5"/>
    <w:rsid w:val="00926D3F"/>
    <w:rsid w:val="0093037A"/>
    <w:rsid w:val="00930F36"/>
    <w:rsid w:val="009329A6"/>
    <w:rsid w:val="009336C5"/>
    <w:rsid w:val="00935F6C"/>
    <w:rsid w:val="00937957"/>
    <w:rsid w:val="00937F20"/>
    <w:rsid w:val="0094154D"/>
    <w:rsid w:val="00942139"/>
    <w:rsid w:val="00944454"/>
    <w:rsid w:val="00945FF6"/>
    <w:rsid w:val="00946BB1"/>
    <w:rsid w:val="0095155F"/>
    <w:rsid w:val="00951983"/>
    <w:rsid w:val="00951DC4"/>
    <w:rsid w:val="00952AD6"/>
    <w:rsid w:val="009539C3"/>
    <w:rsid w:val="00954429"/>
    <w:rsid w:val="009550A0"/>
    <w:rsid w:val="009563CE"/>
    <w:rsid w:val="00956FCE"/>
    <w:rsid w:val="00957E6F"/>
    <w:rsid w:val="009613B2"/>
    <w:rsid w:val="0096396E"/>
    <w:rsid w:val="0096474D"/>
    <w:rsid w:val="009668B6"/>
    <w:rsid w:val="0096757E"/>
    <w:rsid w:val="00967A7F"/>
    <w:rsid w:val="00967B2A"/>
    <w:rsid w:val="00967FC3"/>
    <w:rsid w:val="009759B6"/>
    <w:rsid w:val="009760B7"/>
    <w:rsid w:val="00976328"/>
    <w:rsid w:val="0097680D"/>
    <w:rsid w:val="00977727"/>
    <w:rsid w:val="00980141"/>
    <w:rsid w:val="0098087E"/>
    <w:rsid w:val="00982438"/>
    <w:rsid w:val="00982FE8"/>
    <w:rsid w:val="0098369F"/>
    <w:rsid w:val="0098404C"/>
    <w:rsid w:val="00984260"/>
    <w:rsid w:val="00984AC5"/>
    <w:rsid w:val="00985283"/>
    <w:rsid w:val="009854A7"/>
    <w:rsid w:val="009868CD"/>
    <w:rsid w:val="00991664"/>
    <w:rsid w:val="00991BC4"/>
    <w:rsid w:val="00991CA1"/>
    <w:rsid w:val="0099295B"/>
    <w:rsid w:val="00994374"/>
    <w:rsid w:val="00995992"/>
    <w:rsid w:val="00997451"/>
    <w:rsid w:val="00997863"/>
    <w:rsid w:val="009A03E5"/>
    <w:rsid w:val="009A0F3B"/>
    <w:rsid w:val="009A1AF7"/>
    <w:rsid w:val="009A1BB4"/>
    <w:rsid w:val="009A1C24"/>
    <w:rsid w:val="009A2628"/>
    <w:rsid w:val="009A3200"/>
    <w:rsid w:val="009A4E17"/>
    <w:rsid w:val="009A5572"/>
    <w:rsid w:val="009A60E5"/>
    <w:rsid w:val="009B0671"/>
    <w:rsid w:val="009B0897"/>
    <w:rsid w:val="009B09C0"/>
    <w:rsid w:val="009B0F7E"/>
    <w:rsid w:val="009B596C"/>
    <w:rsid w:val="009B61B6"/>
    <w:rsid w:val="009B7BD9"/>
    <w:rsid w:val="009C0BB3"/>
    <w:rsid w:val="009C15CE"/>
    <w:rsid w:val="009C42BE"/>
    <w:rsid w:val="009C4A80"/>
    <w:rsid w:val="009C5CAB"/>
    <w:rsid w:val="009C68B9"/>
    <w:rsid w:val="009C6E29"/>
    <w:rsid w:val="009C7DD5"/>
    <w:rsid w:val="009D01A7"/>
    <w:rsid w:val="009D1463"/>
    <w:rsid w:val="009D49E1"/>
    <w:rsid w:val="009D5151"/>
    <w:rsid w:val="009D6F82"/>
    <w:rsid w:val="009D7E2E"/>
    <w:rsid w:val="009E227D"/>
    <w:rsid w:val="009E3207"/>
    <w:rsid w:val="009E5019"/>
    <w:rsid w:val="009E552C"/>
    <w:rsid w:val="009E7A10"/>
    <w:rsid w:val="009E7CBB"/>
    <w:rsid w:val="009F0C64"/>
    <w:rsid w:val="009F283A"/>
    <w:rsid w:val="009F30B5"/>
    <w:rsid w:val="009F433D"/>
    <w:rsid w:val="009F47CC"/>
    <w:rsid w:val="009F490C"/>
    <w:rsid w:val="009F4DC7"/>
    <w:rsid w:val="009F4EC1"/>
    <w:rsid w:val="009F7611"/>
    <w:rsid w:val="00A00404"/>
    <w:rsid w:val="00A01A59"/>
    <w:rsid w:val="00A03741"/>
    <w:rsid w:val="00A04F1B"/>
    <w:rsid w:val="00A0501B"/>
    <w:rsid w:val="00A056EF"/>
    <w:rsid w:val="00A06C2C"/>
    <w:rsid w:val="00A06D1D"/>
    <w:rsid w:val="00A07022"/>
    <w:rsid w:val="00A07340"/>
    <w:rsid w:val="00A10C6B"/>
    <w:rsid w:val="00A1286A"/>
    <w:rsid w:val="00A12CCB"/>
    <w:rsid w:val="00A13115"/>
    <w:rsid w:val="00A14947"/>
    <w:rsid w:val="00A161B7"/>
    <w:rsid w:val="00A20718"/>
    <w:rsid w:val="00A21EFA"/>
    <w:rsid w:val="00A221CB"/>
    <w:rsid w:val="00A22EC7"/>
    <w:rsid w:val="00A27D6F"/>
    <w:rsid w:val="00A322C7"/>
    <w:rsid w:val="00A32A83"/>
    <w:rsid w:val="00A32FA0"/>
    <w:rsid w:val="00A332FC"/>
    <w:rsid w:val="00A35011"/>
    <w:rsid w:val="00A368DB"/>
    <w:rsid w:val="00A379BE"/>
    <w:rsid w:val="00A423AA"/>
    <w:rsid w:val="00A42F79"/>
    <w:rsid w:val="00A438B3"/>
    <w:rsid w:val="00A504AA"/>
    <w:rsid w:val="00A50DD2"/>
    <w:rsid w:val="00A5108C"/>
    <w:rsid w:val="00A53214"/>
    <w:rsid w:val="00A53EC6"/>
    <w:rsid w:val="00A54289"/>
    <w:rsid w:val="00A55C0F"/>
    <w:rsid w:val="00A55EBB"/>
    <w:rsid w:val="00A560D3"/>
    <w:rsid w:val="00A57171"/>
    <w:rsid w:val="00A57758"/>
    <w:rsid w:val="00A62E9F"/>
    <w:rsid w:val="00A633F7"/>
    <w:rsid w:val="00A63DF6"/>
    <w:rsid w:val="00A67B80"/>
    <w:rsid w:val="00A71383"/>
    <w:rsid w:val="00A7177B"/>
    <w:rsid w:val="00A75482"/>
    <w:rsid w:val="00A75DC4"/>
    <w:rsid w:val="00A77A44"/>
    <w:rsid w:val="00A8246E"/>
    <w:rsid w:val="00A8348B"/>
    <w:rsid w:val="00A83A57"/>
    <w:rsid w:val="00A845FE"/>
    <w:rsid w:val="00A86002"/>
    <w:rsid w:val="00A8713F"/>
    <w:rsid w:val="00A872EB"/>
    <w:rsid w:val="00A8761C"/>
    <w:rsid w:val="00A90BA1"/>
    <w:rsid w:val="00A922D6"/>
    <w:rsid w:val="00A9354F"/>
    <w:rsid w:val="00A93C2A"/>
    <w:rsid w:val="00A93FCC"/>
    <w:rsid w:val="00A9507D"/>
    <w:rsid w:val="00A9546F"/>
    <w:rsid w:val="00A963BA"/>
    <w:rsid w:val="00A97A9A"/>
    <w:rsid w:val="00AA0671"/>
    <w:rsid w:val="00AA0A9F"/>
    <w:rsid w:val="00AA147F"/>
    <w:rsid w:val="00AA2447"/>
    <w:rsid w:val="00AA2531"/>
    <w:rsid w:val="00AA2A21"/>
    <w:rsid w:val="00AA7273"/>
    <w:rsid w:val="00AA7987"/>
    <w:rsid w:val="00AB0396"/>
    <w:rsid w:val="00AB14A1"/>
    <w:rsid w:val="00AB1E09"/>
    <w:rsid w:val="00AB1F89"/>
    <w:rsid w:val="00AB2D99"/>
    <w:rsid w:val="00AB35F5"/>
    <w:rsid w:val="00AB4A0E"/>
    <w:rsid w:val="00AB5330"/>
    <w:rsid w:val="00AB54C6"/>
    <w:rsid w:val="00AB5B57"/>
    <w:rsid w:val="00AB685D"/>
    <w:rsid w:val="00AB7747"/>
    <w:rsid w:val="00AC0B5B"/>
    <w:rsid w:val="00AC14CE"/>
    <w:rsid w:val="00AC1FF0"/>
    <w:rsid w:val="00AC2A56"/>
    <w:rsid w:val="00AC3D47"/>
    <w:rsid w:val="00AC6B57"/>
    <w:rsid w:val="00AD055E"/>
    <w:rsid w:val="00AD0F96"/>
    <w:rsid w:val="00AD114F"/>
    <w:rsid w:val="00AD1ED8"/>
    <w:rsid w:val="00AD2A21"/>
    <w:rsid w:val="00AD324B"/>
    <w:rsid w:val="00AD35CD"/>
    <w:rsid w:val="00AD47A7"/>
    <w:rsid w:val="00AD57E0"/>
    <w:rsid w:val="00AD61C4"/>
    <w:rsid w:val="00AE1BE3"/>
    <w:rsid w:val="00AE1F49"/>
    <w:rsid w:val="00AE2619"/>
    <w:rsid w:val="00AE28C6"/>
    <w:rsid w:val="00AE2964"/>
    <w:rsid w:val="00AE4783"/>
    <w:rsid w:val="00AE6BB0"/>
    <w:rsid w:val="00AE75B4"/>
    <w:rsid w:val="00AF0CBF"/>
    <w:rsid w:val="00AF1205"/>
    <w:rsid w:val="00AF1E55"/>
    <w:rsid w:val="00AF2438"/>
    <w:rsid w:val="00AF257F"/>
    <w:rsid w:val="00AF33CF"/>
    <w:rsid w:val="00AF46AA"/>
    <w:rsid w:val="00AF46DB"/>
    <w:rsid w:val="00AF4D50"/>
    <w:rsid w:val="00AF6179"/>
    <w:rsid w:val="00AF6D40"/>
    <w:rsid w:val="00AF780B"/>
    <w:rsid w:val="00AF7B72"/>
    <w:rsid w:val="00B003A0"/>
    <w:rsid w:val="00B004E1"/>
    <w:rsid w:val="00B04935"/>
    <w:rsid w:val="00B04F2E"/>
    <w:rsid w:val="00B05B51"/>
    <w:rsid w:val="00B06504"/>
    <w:rsid w:val="00B06732"/>
    <w:rsid w:val="00B102B2"/>
    <w:rsid w:val="00B109BE"/>
    <w:rsid w:val="00B1295A"/>
    <w:rsid w:val="00B1341E"/>
    <w:rsid w:val="00B138F6"/>
    <w:rsid w:val="00B147E8"/>
    <w:rsid w:val="00B14EC8"/>
    <w:rsid w:val="00B15D48"/>
    <w:rsid w:val="00B1775F"/>
    <w:rsid w:val="00B20A26"/>
    <w:rsid w:val="00B20A45"/>
    <w:rsid w:val="00B20D98"/>
    <w:rsid w:val="00B22C5C"/>
    <w:rsid w:val="00B23474"/>
    <w:rsid w:val="00B24F30"/>
    <w:rsid w:val="00B27741"/>
    <w:rsid w:val="00B306ED"/>
    <w:rsid w:val="00B30CBA"/>
    <w:rsid w:val="00B31844"/>
    <w:rsid w:val="00B31ABF"/>
    <w:rsid w:val="00B32039"/>
    <w:rsid w:val="00B33BE3"/>
    <w:rsid w:val="00B42D06"/>
    <w:rsid w:val="00B430C4"/>
    <w:rsid w:val="00B44473"/>
    <w:rsid w:val="00B463FD"/>
    <w:rsid w:val="00B46DF4"/>
    <w:rsid w:val="00B47105"/>
    <w:rsid w:val="00B47B85"/>
    <w:rsid w:val="00B50680"/>
    <w:rsid w:val="00B50A78"/>
    <w:rsid w:val="00B53832"/>
    <w:rsid w:val="00B53B5D"/>
    <w:rsid w:val="00B53D0A"/>
    <w:rsid w:val="00B551C5"/>
    <w:rsid w:val="00B575DA"/>
    <w:rsid w:val="00B57A18"/>
    <w:rsid w:val="00B57AA7"/>
    <w:rsid w:val="00B6038A"/>
    <w:rsid w:val="00B6055E"/>
    <w:rsid w:val="00B61E9C"/>
    <w:rsid w:val="00B620F8"/>
    <w:rsid w:val="00B6317D"/>
    <w:rsid w:val="00B639F5"/>
    <w:rsid w:val="00B63D04"/>
    <w:rsid w:val="00B6457F"/>
    <w:rsid w:val="00B70AA3"/>
    <w:rsid w:val="00B73B86"/>
    <w:rsid w:val="00B7449E"/>
    <w:rsid w:val="00B75B42"/>
    <w:rsid w:val="00B7723F"/>
    <w:rsid w:val="00B7751A"/>
    <w:rsid w:val="00B77F55"/>
    <w:rsid w:val="00B80534"/>
    <w:rsid w:val="00B819EF"/>
    <w:rsid w:val="00B8209C"/>
    <w:rsid w:val="00B823D0"/>
    <w:rsid w:val="00B8361D"/>
    <w:rsid w:val="00B8433C"/>
    <w:rsid w:val="00B84B78"/>
    <w:rsid w:val="00B853C4"/>
    <w:rsid w:val="00B85569"/>
    <w:rsid w:val="00B87491"/>
    <w:rsid w:val="00B87D00"/>
    <w:rsid w:val="00B905E9"/>
    <w:rsid w:val="00B916D7"/>
    <w:rsid w:val="00B93DB9"/>
    <w:rsid w:val="00B94E0F"/>
    <w:rsid w:val="00B94ED5"/>
    <w:rsid w:val="00B95AE7"/>
    <w:rsid w:val="00BA0585"/>
    <w:rsid w:val="00BA29E9"/>
    <w:rsid w:val="00BA29EF"/>
    <w:rsid w:val="00BA3727"/>
    <w:rsid w:val="00BA3E47"/>
    <w:rsid w:val="00BA42EB"/>
    <w:rsid w:val="00BA4ABE"/>
    <w:rsid w:val="00BA4B51"/>
    <w:rsid w:val="00BA5765"/>
    <w:rsid w:val="00BA5C0C"/>
    <w:rsid w:val="00BA6D45"/>
    <w:rsid w:val="00BA7142"/>
    <w:rsid w:val="00BB1545"/>
    <w:rsid w:val="00BB1FA2"/>
    <w:rsid w:val="00BB237C"/>
    <w:rsid w:val="00BB3ECE"/>
    <w:rsid w:val="00BB41A3"/>
    <w:rsid w:val="00BB5239"/>
    <w:rsid w:val="00BB5493"/>
    <w:rsid w:val="00BB5D77"/>
    <w:rsid w:val="00BB6474"/>
    <w:rsid w:val="00BB7199"/>
    <w:rsid w:val="00BB7F80"/>
    <w:rsid w:val="00BC0886"/>
    <w:rsid w:val="00BC11F7"/>
    <w:rsid w:val="00BC3016"/>
    <w:rsid w:val="00BC31F6"/>
    <w:rsid w:val="00BC32DC"/>
    <w:rsid w:val="00BC3342"/>
    <w:rsid w:val="00BC35B6"/>
    <w:rsid w:val="00BC4170"/>
    <w:rsid w:val="00BC5D7F"/>
    <w:rsid w:val="00BC5DF7"/>
    <w:rsid w:val="00BC64F7"/>
    <w:rsid w:val="00BC6C68"/>
    <w:rsid w:val="00BC7078"/>
    <w:rsid w:val="00BC7D3E"/>
    <w:rsid w:val="00BD0852"/>
    <w:rsid w:val="00BD112D"/>
    <w:rsid w:val="00BD1B51"/>
    <w:rsid w:val="00BD35A7"/>
    <w:rsid w:val="00BD4596"/>
    <w:rsid w:val="00BD577D"/>
    <w:rsid w:val="00BD704A"/>
    <w:rsid w:val="00BD7225"/>
    <w:rsid w:val="00BE1405"/>
    <w:rsid w:val="00BE21F5"/>
    <w:rsid w:val="00BE312D"/>
    <w:rsid w:val="00BE4D62"/>
    <w:rsid w:val="00BE5091"/>
    <w:rsid w:val="00BE7628"/>
    <w:rsid w:val="00BF07BB"/>
    <w:rsid w:val="00BF1251"/>
    <w:rsid w:val="00BF1635"/>
    <w:rsid w:val="00BF1C20"/>
    <w:rsid w:val="00BF2C33"/>
    <w:rsid w:val="00BF3DF6"/>
    <w:rsid w:val="00BF440B"/>
    <w:rsid w:val="00BF6116"/>
    <w:rsid w:val="00BF70DA"/>
    <w:rsid w:val="00C0093C"/>
    <w:rsid w:val="00C009C1"/>
    <w:rsid w:val="00C03624"/>
    <w:rsid w:val="00C03B0E"/>
    <w:rsid w:val="00C05844"/>
    <w:rsid w:val="00C10578"/>
    <w:rsid w:val="00C11046"/>
    <w:rsid w:val="00C11DF0"/>
    <w:rsid w:val="00C124B0"/>
    <w:rsid w:val="00C135BC"/>
    <w:rsid w:val="00C1447F"/>
    <w:rsid w:val="00C15C95"/>
    <w:rsid w:val="00C17943"/>
    <w:rsid w:val="00C21028"/>
    <w:rsid w:val="00C2596A"/>
    <w:rsid w:val="00C262A7"/>
    <w:rsid w:val="00C27537"/>
    <w:rsid w:val="00C27A03"/>
    <w:rsid w:val="00C303FD"/>
    <w:rsid w:val="00C30B40"/>
    <w:rsid w:val="00C30C4A"/>
    <w:rsid w:val="00C328FE"/>
    <w:rsid w:val="00C32ACC"/>
    <w:rsid w:val="00C32C11"/>
    <w:rsid w:val="00C33507"/>
    <w:rsid w:val="00C34475"/>
    <w:rsid w:val="00C34FA1"/>
    <w:rsid w:val="00C37F49"/>
    <w:rsid w:val="00C402B6"/>
    <w:rsid w:val="00C43EAE"/>
    <w:rsid w:val="00C4409D"/>
    <w:rsid w:val="00C44E72"/>
    <w:rsid w:val="00C455A5"/>
    <w:rsid w:val="00C45A06"/>
    <w:rsid w:val="00C47B8E"/>
    <w:rsid w:val="00C47E5B"/>
    <w:rsid w:val="00C52C76"/>
    <w:rsid w:val="00C5406A"/>
    <w:rsid w:val="00C568E6"/>
    <w:rsid w:val="00C6003A"/>
    <w:rsid w:val="00C60A0A"/>
    <w:rsid w:val="00C61E4B"/>
    <w:rsid w:val="00C621D4"/>
    <w:rsid w:val="00C6280E"/>
    <w:rsid w:val="00C62DEC"/>
    <w:rsid w:val="00C63745"/>
    <w:rsid w:val="00C64BFF"/>
    <w:rsid w:val="00C663FB"/>
    <w:rsid w:val="00C678A9"/>
    <w:rsid w:val="00C67AFF"/>
    <w:rsid w:val="00C67CA3"/>
    <w:rsid w:val="00C704E9"/>
    <w:rsid w:val="00C728FB"/>
    <w:rsid w:val="00C763C9"/>
    <w:rsid w:val="00C80057"/>
    <w:rsid w:val="00C8080F"/>
    <w:rsid w:val="00C80D73"/>
    <w:rsid w:val="00C82232"/>
    <w:rsid w:val="00C82913"/>
    <w:rsid w:val="00C82D51"/>
    <w:rsid w:val="00C876BF"/>
    <w:rsid w:val="00C90F89"/>
    <w:rsid w:val="00C92D90"/>
    <w:rsid w:val="00C930B4"/>
    <w:rsid w:val="00C9394F"/>
    <w:rsid w:val="00C946B7"/>
    <w:rsid w:val="00C94B73"/>
    <w:rsid w:val="00C972B1"/>
    <w:rsid w:val="00C975F2"/>
    <w:rsid w:val="00CA17B9"/>
    <w:rsid w:val="00CA2CCE"/>
    <w:rsid w:val="00CA43FD"/>
    <w:rsid w:val="00CA5B87"/>
    <w:rsid w:val="00CA6DF8"/>
    <w:rsid w:val="00CA71B2"/>
    <w:rsid w:val="00CA7492"/>
    <w:rsid w:val="00CA7EF8"/>
    <w:rsid w:val="00CB0204"/>
    <w:rsid w:val="00CB30F5"/>
    <w:rsid w:val="00CB657D"/>
    <w:rsid w:val="00CC039C"/>
    <w:rsid w:val="00CC0526"/>
    <w:rsid w:val="00CC1854"/>
    <w:rsid w:val="00CC2B18"/>
    <w:rsid w:val="00CC489B"/>
    <w:rsid w:val="00CC4B44"/>
    <w:rsid w:val="00CC4ED1"/>
    <w:rsid w:val="00CC5962"/>
    <w:rsid w:val="00CD2BCD"/>
    <w:rsid w:val="00CD3A4C"/>
    <w:rsid w:val="00CD488E"/>
    <w:rsid w:val="00CD60BB"/>
    <w:rsid w:val="00CE0072"/>
    <w:rsid w:val="00CE0A05"/>
    <w:rsid w:val="00CE10E9"/>
    <w:rsid w:val="00CE24E4"/>
    <w:rsid w:val="00CE2910"/>
    <w:rsid w:val="00CE5393"/>
    <w:rsid w:val="00CE6CC4"/>
    <w:rsid w:val="00CE6CF8"/>
    <w:rsid w:val="00CE73AC"/>
    <w:rsid w:val="00CE7BF7"/>
    <w:rsid w:val="00CF0A18"/>
    <w:rsid w:val="00CF2DA5"/>
    <w:rsid w:val="00CF2DEA"/>
    <w:rsid w:val="00CF36BE"/>
    <w:rsid w:val="00CF420B"/>
    <w:rsid w:val="00CF6000"/>
    <w:rsid w:val="00CF6B04"/>
    <w:rsid w:val="00CF76EE"/>
    <w:rsid w:val="00CF7A5B"/>
    <w:rsid w:val="00D003F3"/>
    <w:rsid w:val="00D00686"/>
    <w:rsid w:val="00D017DF"/>
    <w:rsid w:val="00D0364F"/>
    <w:rsid w:val="00D03F4B"/>
    <w:rsid w:val="00D04D87"/>
    <w:rsid w:val="00D04DA5"/>
    <w:rsid w:val="00D0500A"/>
    <w:rsid w:val="00D0561C"/>
    <w:rsid w:val="00D057F3"/>
    <w:rsid w:val="00D05CC2"/>
    <w:rsid w:val="00D05D26"/>
    <w:rsid w:val="00D060F9"/>
    <w:rsid w:val="00D06834"/>
    <w:rsid w:val="00D11AEF"/>
    <w:rsid w:val="00D13C84"/>
    <w:rsid w:val="00D147CB"/>
    <w:rsid w:val="00D14E95"/>
    <w:rsid w:val="00D15490"/>
    <w:rsid w:val="00D21514"/>
    <w:rsid w:val="00D22054"/>
    <w:rsid w:val="00D23466"/>
    <w:rsid w:val="00D242EC"/>
    <w:rsid w:val="00D248D7"/>
    <w:rsid w:val="00D24B8B"/>
    <w:rsid w:val="00D24C3A"/>
    <w:rsid w:val="00D25644"/>
    <w:rsid w:val="00D25C1A"/>
    <w:rsid w:val="00D266DA"/>
    <w:rsid w:val="00D27633"/>
    <w:rsid w:val="00D27BD4"/>
    <w:rsid w:val="00D308ED"/>
    <w:rsid w:val="00D309DD"/>
    <w:rsid w:val="00D34719"/>
    <w:rsid w:val="00D35860"/>
    <w:rsid w:val="00D36D86"/>
    <w:rsid w:val="00D40ADC"/>
    <w:rsid w:val="00D416E7"/>
    <w:rsid w:val="00D41D1F"/>
    <w:rsid w:val="00D428AA"/>
    <w:rsid w:val="00D43186"/>
    <w:rsid w:val="00D47796"/>
    <w:rsid w:val="00D47FF7"/>
    <w:rsid w:val="00D50A34"/>
    <w:rsid w:val="00D51954"/>
    <w:rsid w:val="00D5279D"/>
    <w:rsid w:val="00D53EFA"/>
    <w:rsid w:val="00D541E5"/>
    <w:rsid w:val="00D56E5B"/>
    <w:rsid w:val="00D62E49"/>
    <w:rsid w:val="00D630D8"/>
    <w:rsid w:val="00D632B2"/>
    <w:rsid w:val="00D65496"/>
    <w:rsid w:val="00D72336"/>
    <w:rsid w:val="00D76CD7"/>
    <w:rsid w:val="00D816B7"/>
    <w:rsid w:val="00D81AEC"/>
    <w:rsid w:val="00D837D0"/>
    <w:rsid w:val="00D846C9"/>
    <w:rsid w:val="00D85112"/>
    <w:rsid w:val="00D8567B"/>
    <w:rsid w:val="00D863F4"/>
    <w:rsid w:val="00D875D8"/>
    <w:rsid w:val="00D87D06"/>
    <w:rsid w:val="00D905E5"/>
    <w:rsid w:val="00D90DE4"/>
    <w:rsid w:val="00D91B27"/>
    <w:rsid w:val="00D92A40"/>
    <w:rsid w:val="00D93527"/>
    <w:rsid w:val="00D93D3F"/>
    <w:rsid w:val="00D94A7C"/>
    <w:rsid w:val="00D94DE8"/>
    <w:rsid w:val="00D95777"/>
    <w:rsid w:val="00D95896"/>
    <w:rsid w:val="00D9630D"/>
    <w:rsid w:val="00D96633"/>
    <w:rsid w:val="00D96D8F"/>
    <w:rsid w:val="00D96D9E"/>
    <w:rsid w:val="00DA1026"/>
    <w:rsid w:val="00DA179C"/>
    <w:rsid w:val="00DA2FF7"/>
    <w:rsid w:val="00DB0230"/>
    <w:rsid w:val="00DB1CEF"/>
    <w:rsid w:val="00DB1D49"/>
    <w:rsid w:val="00DB2983"/>
    <w:rsid w:val="00DB374A"/>
    <w:rsid w:val="00DB4A52"/>
    <w:rsid w:val="00DB4D5E"/>
    <w:rsid w:val="00DB4E6B"/>
    <w:rsid w:val="00DB5693"/>
    <w:rsid w:val="00DB61FE"/>
    <w:rsid w:val="00DB7513"/>
    <w:rsid w:val="00DC1257"/>
    <w:rsid w:val="00DC146F"/>
    <w:rsid w:val="00DC1CBE"/>
    <w:rsid w:val="00DC3596"/>
    <w:rsid w:val="00DC3DC0"/>
    <w:rsid w:val="00DC435E"/>
    <w:rsid w:val="00DC571D"/>
    <w:rsid w:val="00DC5B2B"/>
    <w:rsid w:val="00DC6F3B"/>
    <w:rsid w:val="00DC7243"/>
    <w:rsid w:val="00DC7A55"/>
    <w:rsid w:val="00DC7D8A"/>
    <w:rsid w:val="00DC7FCB"/>
    <w:rsid w:val="00DD24EF"/>
    <w:rsid w:val="00DD318D"/>
    <w:rsid w:val="00DD3722"/>
    <w:rsid w:val="00DD5F76"/>
    <w:rsid w:val="00DD76DA"/>
    <w:rsid w:val="00DE00A6"/>
    <w:rsid w:val="00DE07B0"/>
    <w:rsid w:val="00DE2AE0"/>
    <w:rsid w:val="00DE3B82"/>
    <w:rsid w:val="00DF2019"/>
    <w:rsid w:val="00DF2E08"/>
    <w:rsid w:val="00DF2E12"/>
    <w:rsid w:val="00DF4937"/>
    <w:rsid w:val="00DF514A"/>
    <w:rsid w:val="00DF5897"/>
    <w:rsid w:val="00DF5C72"/>
    <w:rsid w:val="00DF6690"/>
    <w:rsid w:val="00DF6804"/>
    <w:rsid w:val="00E01425"/>
    <w:rsid w:val="00E01F5A"/>
    <w:rsid w:val="00E0358D"/>
    <w:rsid w:val="00E04323"/>
    <w:rsid w:val="00E05288"/>
    <w:rsid w:val="00E070A2"/>
    <w:rsid w:val="00E1022C"/>
    <w:rsid w:val="00E1089C"/>
    <w:rsid w:val="00E140E3"/>
    <w:rsid w:val="00E15BD9"/>
    <w:rsid w:val="00E16F3E"/>
    <w:rsid w:val="00E17DBB"/>
    <w:rsid w:val="00E17FCD"/>
    <w:rsid w:val="00E20B4D"/>
    <w:rsid w:val="00E2656A"/>
    <w:rsid w:val="00E34BED"/>
    <w:rsid w:val="00E35DB6"/>
    <w:rsid w:val="00E37F0E"/>
    <w:rsid w:val="00E40131"/>
    <w:rsid w:val="00E40449"/>
    <w:rsid w:val="00E404D7"/>
    <w:rsid w:val="00E412D0"/>
    <w:rsid w:val="00E415F9"/>
    <w:rsid w:val="00E416F8"/>
    <w:rsid w:val="00E419DD"/>
    <w:rsid w:val="00E42C35"/>
    <w:rsid w:val="00E45563"/>
    <w:rsid w:val="00E45C91"/>
    <w:rsid w:val="00E50B55"/>
    <w:rsid w:val="00E5128E"/>
    <w:rsid w:val="00E51556"/>
    <w:rsid w:val="00E515B2"/>
    <w:rsid w:val="00E51A40"/>
    <w:rsid w:val="00E5206F"/>
    <w:rsid w:val="00E52B29"/>
    <w:rsid w:val="00E53F88"/>
    <w:rsid w:val="00E54972"/>
    <w:rsid w:val="00E552A8"/>
    <w:rsid w:val="00E55A37"/>
    <w:rsid w:val="00E56255"/>
    <w:rsid w:val="00E56322"/>
    <w:rsid w:val="00E57B2F"/>
    <w:rsid w:val="00E57F20"/>
    <w:rsid w:val="00E60058"/>
    <w:rsid w:val="00E60085"/>
    <w:rsid w:val="00E60417"/>
    <w:rsid w:val="00E6072F"/>
    <w:rsid w:val="00E60982"/>
    <w:rsid w:val="00E614BB"/>
    <w:rsid w:val="00E62BF3"/>
    <w:rsid w:val="00E62C62"/>
    <w:rsid w:val="00E63EE6"/>
    <w:rsid w:val="00E654C1"/>
    <w:rsid w:val="00E65D97"/>
    <w:rsid w:val="00E67932"/>
    <w:rsid w:val="00E716D7"/>
    <w:rsid w:val="00E72A5A"/>
    <w:rsid w:val="00E73315"/>
    <w:rsid w:val="00E73354"/>
    <w:rsid w:val="00E73735"/>
    <w:rsid w:val="00E74206"/>
    <w:rsid w:val="00E75B49"/>
    <w:rsid w:val="00E8035A"/>
    <w:rsid w:val="00E811C7"/>
    <w:rsid w:val="00E8639F"/>
    <w:rsid w:val="00E90D10"/>
    <w:rsid w:val="00E9135E"/>
    <w:rsid w:val="00E91EA3"/>
    <w:rsid w:val="00E9242D"/>
    <w:rsid w:val="00E9500B"/>
    <w:rsid w:val="00E97309"/>
    <w:rsid w:val="00E978DD"/>
    <w:rsid w:val="00E97ABF"/>
    <w:rsid w:val="00EA03CA"/>
    <w:rsid w:val="00EA0BBF"/>
    <w:rsid w:val="00EA1788"/>
    <w:rsid w:val="00EA1A92"/>
    <w:rsid w:val="00EA309E"/>
    <w:rsid w:val="00EA3E56"/>
    <w:rsid w:val="00EA427E"/>
    <w:rsid w:val="00EA5B35"/>
    <w:rsid w:val="00EA5B5E"/>
    <w:rsid w:val="00EB0C5E"/>
    <w:rsid w:val="00EB18AF"/>
    <w:rsid w:val="00EB1992"/>
    <w:rsid w:val="00EB3F9F"/>
    <w:rsid w:val="00EB4A2E"/>
    <w:rsid w:val="00EB4ABB"/>
    <w:rsid w:val="00EB5255"/>
    <w:rsid w:val="00EB5C47"/>
    <w:rsid w:val="00EB667D"/>
    <w:rsid w:val="00EB68AD"/>
    <w:rsid w:val="00EB7E35"/>
    <w:rsid w:val="00EC2FAC"/>
    <w:rsid w:val="00EC346E"/>
    <w:rsid w:val="00EC3B9A"/>
    <w:rsid w:val="00EC3E14"/>
    <w:rsid w:val="00EC3F88"/>
    <w:rsid w:val="00EC4C68"/>
    <w:rsid w:val="00EC5319"/>
    <w:rsid w:val="00EC5FF1"/>
    <w:rsid w:val="00EC6A23"/>
    <w:rsid w:val="00ED0309"/>
    <w:rsid w:val="00ED0639"/>
    <w:rsid w:val="00ED0E8B"/>
    <w:rsid w:val="00ED4FDE"/>
    <w:rsid w:val="00ED5206"/>
    <w:rsid w:val="00ED68C3"/>
    <w:rsid w:val="00ED712C"/>
    <w:rsid w:val="00ED7EEF"/>
    <w:rsid w:val="00EE299A"/>
    <w:rsid w:val="00EE2AEB"/>
    <w:rsid w:val="00EE538A"/>
    <w:rsid w:val="00EE6152"/>
    <w:rsid w:val="00EE64BE"/>
    <w:rsid w:val="00EF0853"/>
    <w:rsid w:val="00EF0D38"/>
    <w:rsid w:val="00EF4755"/>
    <w:rsid w:val="00EF57F7"/>
    <w:rsid w:val="00EF5E39"/>
    <w:rsid w:val="00EF7135"/>
    <w:rsid w:val="00F00810"/>
    <w:rsid w:val="00F00AB1"/>
    <w:rsid w:val="00F01CC8"/>
    <w:rsid w:val="00F027DB"/>
    <w:rsid w:val="00F032C6"/>
    <w:rsid w:val="00F04E6D"/>
    <w:rsid w:val="00F051BF"/>
    <w:rsid w:val="00F054D5"/>
    <w:rsid w:val="00F12313"/>
    <w:rsid w:val="00F139F0"/>
    <w:rsid w:val="00F14A7A"/>
    <w:rsid w:val="00F16D54"/>
    <w:rsid w:val="00F16F07"/>
    <w:rsid w:val="00F17E4B"/>
    <w:rsid w:val="00F17F69"/>
    <w:rsid w:val="00F22985"/>
    <w:rsid w:val="00F24357"/>
    <w:rsid w:val="00F25EAF"/>
    <w:rsid w:val="00F262EB"/>
    <w:rsid w:val="00F26A4C"/>
    <w:rsid w:val="00F31BC5"/>
    <w:rsid w:val="00F32AA3"/>
    <w:rsid w:val="00F331CE"/>
    <w:rsid w:val="00F3383E"/>
    <w:rsid w:val="00F33F8E"/>
    <w:rsid w:val="00F37A9F"/>
    <w:rsid w:val="00F405EF"/>
    <w:rsid w:val="00F41FC7"/>
    <w:rsid w:val="00F42CD0"/>
    <w:rsid w:val="00F43375"/>
    <w:rsid w:val="00F45F36"/>
    <w:rsid w:val="00F465A7"/>
    <w:rsid w:val="00F466AB"/>
    <w:rsid w:val="00F46AD6"/>
    <w:rsid w:val="00F477FF"/>
    <w:rsid w:val="00F50B7C"/>
    <w:rsid w:val="00F50FF8"/>
    <w:rsid w:val="00F53B90"/>
    <w:rsid w:val="00F546D4"/>
    <w:rsid w:val="00F550E6"/>
    <w:rsid w:val="00F56BA7"/>
    <w:rsid w:val="00F56EB8"/>
    <w:rsid w:val="00F6303B"/>
    <w:rsid w:val="00F64F96"/>
    <w:rsid w:val="00F65E4E"/>
    <w:rsid w:val="00F672D9"/>
    <w:rsid w:val="00F67326"/>
    <w:rsid w:val="00F67E58"/>
    <w:rsid w:val="00F736E2"/>
    <w:rsid w:val="00F74345"/>
    <w:rsid w:val="00F744E7"/>
    <w:rsid w:val="00F768F4"/>
    <w:rsid w:val="00F76EF8"/>
    <w:rsid w:val="00F77A2B"/>
    <w:rsid w:val="00F80A0A"/>
    <w:rsid w:val="00F82B19"/>
    <w:rsid w:val="00F84DE2"/>
    <w:rsid w:val="00F862F3"/>
    <w:rsid w:val="00F878AC"/>
    <w:rsid w:val="00F9013E"/>
    <w:rsid w:val="00F90335"/>
    <w:rsid w:val="00F90626"/>
    <w:rsid w:val="00F90799"/>
    <w:rsid w:val="00F90B0B"/>
    <w:rsid w:val="00F90B95"/>
    <w:rsid w:val="00F91B08"/>
    <w:rsid w:val="00F9212D"/>
    <w:rsid w:val="00F922C6"/>
    <w:rsid w:val="00F94CDE"/>
    <w:rsid w:val="00F95D62"/>
    <w:rsid w:val="00F962C1"/>
    <w:rsid w:val="00F965DA"/>
    <w:rsid w:val="00F965ED"/>
    <w:rsid w:val="00FA2B37"/>
    <w:rsid w:val="00FA406A"/>
    <w:rsid w:val="00FA4661"/>
    <w:rsid w:val="00FA6740"/>
    <w:rsid w:val="00FB0C80"/>
    <w:rsid w:val="00FB3B1C"/>
    <w:rsid w:val="00FB503A"/>
    <w:rsid w:val="00FB516C"/>
    <w:rsid w:val="00FB74A7"/>
    <w:rsid w:val="00FB7E97"/>
    <w:rsid w:val="00FC3A79"/>
    <w:rsid w:val="00FC4F69"/>
    <w:rsid w:val="00FC5808"/>
    <w:rsid w:val="00FC691C"/>
    <w:rsid w:val="00FC72C3"/>
    <w:rsid w:val="00FC7D07"/>
    <w:rsid w:val="00FD0236"/>
    <w:rsid w:val="00FD0584"/>
    <w:rsid w:val="00FD18F4"/>
    <w:rsid w:val="00FD1964"/>
    <w:rsid w:val="00FD2972"/>
    <w:rsid w:val="00FD32BF"/>
    <w:rsid w:val="00FD3619"/>
    <w:rsid w:val="00FD5173"/>
    <w:rsid w:val="00FD54DB"/>
    <w:rsid w:val="00FD619F"/>
    <w:rsid w:val="00FD7931"/>
    <w:rsid w:val="00FE03D7"/>
    <w:rsid w:val="00FE0495"/>
    <w:rsid w:val="00FE1319"/>
    <w:rsid w:val="00FE4A3F"/>
    <w:rsid w:val="00FE5FA5"/>
    <w:rsid w:val="00FE648C"/>
    <w:rsid w:val="00FE7616"/>
    <w:rsid w:val="00FF2889"/>
    <w:rsid w:val="00FF2982"/>
    <w:rsid w:val="00FF707C"/>
    <w:rsid w:val="011E3F91"/>
    <w:rsid w:val="01290F7E"/>
    <w:rsid w:val="015D1E09"/>
    <w:rsid w:val="018D7D3C"/>
    <w:rsid w:val="01DD59FB"/>
    <w:rsid w:val="02697903"/>
    <w:rsid w:val="0284231A"/>
    <w:rsid w:val="02B56978"/>
    <w:rsid w:val="02F96569"/>
    <w:rsid w:val="03C52F1A"/>
    <w:rsid w:val="03EA7B21"/>
    <w:rsid w:val="0403277C"/>
    <w:rsid w:val="041E22FB"/>
    <w:rsid w:val="04F33787"/>
    <w:rsid w:val="04F76DD4"/>
    <w:rsid w:val="05243941"/>
    <w:rsid w:val="05575AC4"/>
    <w:rsid w:val="05883ED0"/>
    <w:rsid w:val="05BB3177"/>
    <w:rsid w:val="05CA62D5"/>
    <w:rsid w:val="05DE7F94"/>
    <w:rsid w:val="05EC0902"/>
    <w:rsid w:val="05F83EAE"/>
    <w:rsid w:val="060A70A7"/>
    <w:rsid w:val="063E7D85"/>
    <w:rsid w:val="067C44CB"/>
    <w:rsid w:val="069118E4"/>
    <w:rsid w:val="069348B1"/>
    <w:rsid w:val="06D516D9"/>
    <w:rsid w:val="070B3D9B"/>
    <w:rsid w:val="071874D5"/>
    <w:rsid w:val="0726749D"/>
    <w:rsid w:val="07293586"/>
    <w:rsid w:val="07295285"/>
    <w:rsid w:val="07636392"/>
    <w:rsid w:val="07770C56"/>
    <w:rsid w:val="07AB0349"/>
    <w:rsid w:val="07AD418F"/>
    <w:rsid w:val="07C332E0"/>
    <w:rsid w:val="07DB478B"/>
    <w:rsid w:val="080D14D8"/>
    <w:rsid w:val="084A5DB4"/>
    <w:rsid w:val="086E55FF"/>
    <w:rsid w:val="08935065"/>
    <w:rsid w:val="089B03BE"/>
    <w:rsid w:val="08FD4BD5"/>
    <w:rsid w:val="092217DD"/>
    <w:rsid w:val="093A7294"/>
    <w:rsid w:val="09443C6F"/>
    <w:rsid w:val="09CE5FB9"/>
    <w:rsid w:val="09DA20B2"/>
    <w:rsid w:val="0A0B52F8"/>
    <w:rsid w:val="0A137C0D"/>
    <w:rsid w:val="0A157CFC"/>
    <w:rsid w:val="0A263993"/>
    <w:rsid w:val="0A27266C"/>
    <w:rsid w:val="0A2D3AC2"/>
    <w:rsid w:val="0AA755DF"/>
    <w:rsid w:val="0B0A5387"/>
    <w:rsid w:val="0B120D44"/>
    <w:rsid w:val="0B61769D"/>
    <w:rsid w:val="0B892750"/>
    <w:rsid w:val="0BD27BF6"/>
    <w:rsid w:val="0BEE6E75"/>
    <w:rsid w:val="0C112E71"/>
    <w:rsid w:val="0C2C7CAB"/>
    <w:rsid w:val="0C3B3C7D"/>
    <w:rsid w:val="0C590BAD"/>
    <w:rsid w:val="0C5D78AD"/>
    <w:rsid w:val="0C6805B7"/>
    <w:rsid w:val="0CAB2EAE"/>
    <w:rsid w:val="0CBE467B"/>
    <w:rsid w:val="0D1C7D1F"/>
    <w:rsid w:val="0D5C49F2"/>
    <w:rsid w:val="0D621C7D"/>
    <w:rsid w:val="0D763AF9"/>
    <w:rsid w:val="0D961994"/>
    <w:rsid w:val="0DBC0BBA"/>
    <w:rsid w:val="0DC57130"/>
    <w:rsid w:val="0DE14AC5"/>
    <w:rsid w:val="0E0E518E"/>
    <w:rsid w:val="0E325320"/>
    <w:rsid w:val="0E73034D"/>
    <w:rsid w:val="0EA16002"/>
    <w:rsid w:val="0EF3685E"/>
    <w:rsid w:val="0EFB3964"/>
    <w:rsid w:val="0F074A73"/>
    <w:rsid w:val="0F13775A"/>
    <w:rsid w:val="0F2E7896"/>
    <w:rsid w:val="0F5F45FE"/>
    <w:rsid w:val="0F7D6B68"/>
    <w:rsid w:val="0F954A7D"/>
    <w:rsid w:val="0F9A112B"/>
    <w:rsid w:val="0FBF0E36"/>
    <w:rsid w:val="0FC7175C"/>
    <w:rsid w:val="0FFC5BE6"/>
    <w:rsid w:val="101C1DE4"/>
    <w:rsid w:val="106D2F64"/>
    <w:rsid w:val="10B63710"/>
    <w:rsid w:val="10B63FE7"/>
    <w:rsid w:val="10DC1BAF"/>
    <w:rsid w:val="10F10820"/>
    <w:rsid w:val="111C2F7A"/>
    <w:rsid w:val="11665CA1"/>
    <w:rsid w:val="11734C63"/>
    <w:rsid w:val="118818BD"/>
    <w:rsid w:val="11CB3AC2"/>
    <w:rsid w:val="11DA5AB3"/>
    <w:rsid w:val="12771554"/>
    <w:rsid w:val="12862CF3"/>
    <w:rsid w:val="128E689D"/>
    <w:rsid w:val="13951726"/>
    <w:rsid w:val="13B107AA"/>
    <w:rsid w:val="13F15336"/>
    <w:rsid w:val="14107EB2"/>
    <w:rsid w:val="14172FEE"/>
    <w:rsid w:val="14361E3D"/>
    <w:rsid w:val="14396509"/>
    <w:rsid w:val="145C6C53"/>
    <w:rsid w:val="146438E9"/>
    <w:rsid w:val="14CA62B3"/>
    <w:rsid w:val="14DD2C3C"/>
    <w:rsid w:val="150177FB"/>
    <w:rsid w:val="158B1DC7"/>
    <w:rsid w:val="1594241D"/>
    <w:rsid w:val="15B036FB"/>
    <w:rsid w:val="15DD7191"/>
    <w:rsid w:val="16087E1D"/>
    <w:rsid w:val="166149F5"/>
    <w:rsid w:val="167410DE"/>
    <w:rsid w:val="16B87734"/>
    <w:rsid w:val="17505D23"/>
    <w:rsid w:val="17701D14"/>
    <w:rsid w:val="17735226"/>
    <w:rsid w:val="17A53209"/>
    <w:rsid w:val="17A93D1D"/>
    <w:rsid w:val="17EA0A1A"/>
    <w:rsid w:val="18245C1B"/>
    <w:rsid w:val="18505536"/>
    <w:rsid w:val="189F624C"/>
    <w:rsid w:val="18AF5EEB"/>
    <w:rsid w:val="18B726A8"/>
    <w:rsid w:val="18B7391D"/>
    <w:rsid w:val="19A215AC"/>
    <w:rsid w:val="19C808E7"/>
    <w:rsid w:val="19F636A6"/>
    <w:rsid w:val="1A1C66C0"/>
    <w:rsid w:val="1A42393B"/>
    <w:rsid w:val="1A475B6C"/>
    <w:rsid w:val="1AA66E7A"/>
    <w:rsid w:val="1AAD45DE"/>
    <w:rsid w:val="1AB53AAF"/>
    <w:rsid w:val="1AB64E74"/>
    <w:rsid w:val="1AC11F06"/>
    <w:rsid w:val="1AC67940"/>
    <w:rsid w:val="1B046F80"/>
    <w:rsid w:val="1B1C0EEA"/>
    <w:rsid w:val="1B222279"/>
    <w:rsid w:val="1B3267B5"/>
    <w:rsid w:val="1B40161D"/>
    <w:rsid w:val="1B441859"/>
    <w:rsid w:val="1B6606B1"/>
    <w:rsid w:val="1B731383"/>
    <w:rsid w:val="1B9273FE"/>
    <w:rsid w:val="1BB96B0B"/>
    <w:rsid w:val="1C035B79"/>
    <w:rsid w:val="1C2E35CB"/>
    <w:rsid w:val="1C5E7925"/>
    <w:rsid w:val="1CC0489E"/>
    <w:rsid w:val="1CFD070F"/>
    <w:rsid w:val="1D44297A"/>
    <w:rsid w:val="1D5F6196"/>
    <w:rsid w:val="1D6132A5"/>
    <w:rsid w:val="1D6872A5"/>
    <w:rsid w:val="1D8E56D5"/>
    <w:rsid w:val="1D9A07EC"/>
    <w:rsid w:val="1DB00010"/>
    <w:rsid w:val="1E7A43DA"/>
    <w:rsid w:val="1E911BEF"/>
    <w:rsid w:val="1EBD0C36"/>
    <w:rsid w:val="1F132604"/>
    <w:rsid w:val="1F662225"/>
    <w:rsid w:val="1F664E2A"/>
    <w:rsid w:val="1F711E22"/>
    <w:rsid w:val="1FE7539E"/>
    <w:rsid w:val="1FF6169F"/>
    <w:rsid w:val="200D2936"/>
    <w:rsid w:val="203155A4"/>
    <w:rsid w:val="20467ECE"/>
    <w:rsid w:val="205C2EEB"/>
    <w:rsid w:val="20671BE0"/>
    <w:rsid w:val="20741065"/>
    <w:rsid w:val="207F1804"/>
    <w:rsid w:val="20963CB8"/>
    <w:rsid w:val="20A81A1B"/>
    <w:rsid w:val="20B07FB6"/>
    <w:rsid w:val="20B646FB"/>
    <w:rsid w:val="20B81864"/>
    <w:rsid w:val="20D3029D"/>
    <w:rsid w:val="21026DD4"/>
    <w:rsid w:val="21334478"/>
    <w:rsid w:val="213B74B1"/>
    <w:rsid w:val="215A2310"/>
    <w:rsid w:val="217E28FF"/>
    <w:rsid w:val="21DE318A"/>
    <w:rsid w:val="21EF5B80"/>
    <w:rsid w:val="22405E06"/>
    <w:rsid w:val="22576990"/>
    <w:rsid w:val="228A0046"/>
    <w:rsid w:val="22B51ADC"/>
    <w:rsid w:val="22DB78DD"/>
    <w:rsid w:val="22F47480"/>
    <w:rsid w:val="231E77CA"/>
    <w:rsid w:val="234D386F"/>
    <w:rsid w:val="23713A93"/>
    <w:rsid w:val="23DE1C48"/>
    <w:rsid w:val="23E7405F"/>
    <w:rsid w:val="240210CD"/>
    <w:rsid w:val="242A0480"/>
    <w:rsid w:val="24577E1C"/>
    <w:rsid w:val="247955FF"/>
    <w:rsid w:val="24AC7783"/>
    <w:rsid w:val="24BF09F7"/>
    <w:rsid w:val="252D53FE"/>
    <w:rsid w:val="25362024"/>
    <w:rsid w:val="25504395"/>
    <w:rsid w:val="25951FC5"/>
    <w:rsid w:val="25BF63EE"/>
    <w:rsid w:val="25D41411"/>
    <w:rsid w:val="25EC2D81"/>
    <w:rsid w:val="263A491A"/>
    <w:rsid w:val="264E2CB2"/>
    <w:rsid w:val="26AF1624"/>
    <w:rsid w:val="26B446CD"/>
    <w:rsid w:val="26B83713"/>
    <w:rsid w:val="270C275B"/>
    <w:rsid w:val="271414AB"/>
    <w:rsid w:val="277057A2"/>
    <w:rsid w:val="27B150B0"/>
    <w:rsid w:val="28001458"/>
    <w:rsid w:val="280C22E7"/>
    <w:rsid w:val="28175B4C"/>
    <w:rsid w:val="28E21837"/>
    <w:rsid w:val="28E3573D"/>
    <w:rsid w:val="28E374EB"/>
    <w:rsid w:val="29003D4D"/>
    <w:rsid w:val="2920429C"/>
    <w:rsid w:val="29206EB8"/>
    <w:rsid w:val="293935AF"/>
    <w:rsid w:val="29595666"/>
    <w:rsid w:val="297B458F"/>
    <w:rsid w:val="29874881"/>
    <w:rsid w:val="298C54AC"/>
    <w:rsid w:val="298F4F7D"/>
    <w:rsid w:val="299E3412"/>
    <w:rsid w:val="29E325E0"/>
    <w:rsid w:val="2A2D169C"/>
    <w:rsid w:val="2A452503"/>
    <w:rsid w:val="2ACD11E5"/>
    <w:rsid w:val="2ADF135E"/>
    <w:rsid w:val="2B36607C"/>
    <w:rsid w:val="2B786611"/>
    <w:rsid w:val="2B9B3782"/>
    <w:rsid w:val="2BA936A8"/>
    <w:rsid w:val="2BFA5278"/>
    <w:rsid w:val="2C315A5A"/>
    <w:rsid w:val="2C4B1C25"/>
    <w:rsid w:val="2C4D3F24"/>
    <w:rsid w:val="2C5B55EB"/>
    <w:rsid w:val="2C6E3570"/>
    <w:rsid w:val="2C7129CB"/>
    <w:rsid w:val="2C7A2503"/>
    <w:rsid w:val="2CD71115"/>
    <w:rsid w:val="2D37488E"/>
    <w:rsid w:val="2D386EE6"/>
    <w:rsid w:val="2D425B70"/>
    <w:rsid w:val="2D5F632E"/>
    <w:rsid w:val="2D6D3827"/>
    <w:rsid w:val="2D811D32"/>
    <w:rsid w:val="2D831325"/>
    <w:rsid w:val="2D9E56F5"/>
    <w:rsid w:val="2DD072C1"/>
    <w:rsid w:val="2E0F39D8"/>
    <w:rsid w:val="2E4C5B33"/>
    <w:rsid w:val="2E667F96"/>
    <w:rsid w:val="2E8226AB"/>
    <w:rsid w:val="2E861045"/>
    <w:rsid w:val="2E9C077D"/>
    <w:rsid w:val="2EB273F9"/>
    <w:rsid w:val="2ED51F0A"/>
    <w:rsid w:val="2EEC3F03"/>
    <w:rsid w:val="2EFC30B5"/>
    <w:rsid w:val="2F880DEC"/>
    <w:rsid w:val="2F9212C6"/>
    <w:rsid w:val="2FD065E6"/>
    <w:rsid w:val="2FD96870"/>
    <w:rsid w:val="303D1BD7"/>
    <w:rsid w:val="30580BC9"/>
    <w:rsid w:val="30624EE4"/>
    <w:rsid w:val="311E2ED7"/>
    <w:rsid w:val="31472512"/>
    <w:rsid w:val="315619EE"/>
    <w:rsid w:val="315C449C"/>
    <w:rsid w:val="318F1FBE"/>
    <w:rsid w:val="31B82709"/>
    <w:rsid w:val="31C81974"/>
    <w:rsid w:val="31CC4FC0"/>
    <w:rsid w:val="31D05482"/>
    <w:rsid w:val="32400B34"/>
    <w:rsid w:val="326C7167"/>
    <w:rsid w:val="32841747"/>
    <w:rsid w:val="329E6876"/>
    <w:rsid w:val="33042C93"/>
    <w:rsid w:val="330B1B18"/>
    <w:rsid w:val="333015F2"/>
    <w:rsid w:val="334B6320"/>
    <w:rsid w:val="339A5158"/>
    <w:rsid w:val="339F04B3"/>
    <w:rsid w:val="33D934D4"/>
    <w:rsid w:val="33FE2F6A"/>
    <w:rsid w:val="340E07E5"/>
    <w:rsid w:val="34192013"/>
    <w:rsid w:val="34235BF7"/>
    <w:rsid w:val="3456481C"/>
    <w:rsid w:val="34ED5E13"/>
    <w:rsid w:val="34FA62E8"/>
    <w:rsid w:val="35092088"/>
    <w:rsid w:val="35284F68"/>
    <w:rsid w:val="355A0B35"/>
    <w:rsid w:val="35643762"/>
    <w:rsid w:val="35663715"/>
    <w:rsid w:val="35725E7F"/>
    <w:rsid w:val="35777939"/>
    <w:rsid w:val="358C5FA8"/>
    <w:rsid w:val="35C15DF1"/>
    <w:rsid w:val="35C56367"/>
    <w:rsid w:val="35D246E2"/>
    <w:rsid w:val="35E067CB"/>
    <w:rsid w:val="35E11256"/>
    <w:rsid w:val="36074A7F"/>
    <w:rsid w:val="36590E3A"/>
    <w:rsid w:val="36631C6B"/>
    <w:rsid w:val="367125DA"/>
    <w:rsid w:val="36811BDE"/>
    <w:rsid w:val="36923549"/>
    <w:rsid w:val="36B75FBF"/>
    <w:rsid w:val="36BD0C45"/>
    <w:rsid w:val="36BE50F4"/>
    <w:rsid w:val="36D00DCB"/>
    <w:rsid w:val="36EC1C61"/>
    <w:rsid w:val="376143FD"/>
    <w:rsid w:val="37774615"/>
    <w:rsid w:val="37C6364C"/>
    <w:rsid w:val="37C85256"/>
    <w:rsid w:val="37E00298"/>
    <w:rsid w:val="3838111A"/>
    <w:rsid w:val="38A071A7"/>
    <w:rsid w:val="38B302F9"/>
    <w:rsid w:val="38F12CD3"/>
    <w:rsid w:val="38F94775"/>
    <w:rsid w:val="392456E2"/>
    <w:rsid w:val="392971ED"/>
    <w:rsid w:val="39325651"/>
    <w:rsid w:val="395D6E46"/>
    <w:rsid w:val="399565E0"/>
    <w:rsid w:val="39DB1DF9"/>
    <w:rsid w:val="3A033549"/>
    <w:rsid w:val="3A0411E8"/>
    <w:rsid w:val="3A3733EC"/>
    <w:rsid w:val="3A7226BE"/>
    <w:rsid w:val="3A865FA2"/>
    <w:rsid w:val="3A872856"/>
    <w:rsid w:val="3AD34B2B"/>
    <w:rsid w:val="3AF604B1"/>
    <w:rsid w:val="3B163750"/>
    <w:rsid w:val="3B3763D1"/>
    <w:rsid w:val="3B8A6B50"/>
    <w:rsid w:val="3BEE2C33"/>
    <w:rsid w:val="3C0148CE"/>
    <w:rsid w:val="3C145EE2"/>
    <w:rsid w:val="3C2F6E1E"/>
    <w:rsid w:val="3C4F64BA"/>
    <w:rsid w:val="3C920BB5"/>
    <w:rsid w:val="3C9D4E80"/>
    <w:rsid w:val="3CA8662A"/>
    <w:rsid w:val="3CAA05F4"/>
    <w:rsid w:val="3CCA034E"/>
    <w:rsid w:val="3CDA245A"/>
    <w:rsid w:val="3D1E06B7"/>
    <w:rsid w:val="3D253D7C"/>
    <w:rsid w:val="3E0D6490"/>
    <w:rsid w:val="3E5B38DB"/>
    <w:rsid w:val="3E7862DA"/>
    <w:rsid w:val="3E90291B"/>
    <w:rsid w:val="3EDA0523"/>
    <w:rsid w:val="3EF83118"/>
    <w:rsid w:val="3F3B3785"/>
    <w:rsid w:val="3F47212A"/>
    <w:rsid w:val="3F676329"/>
    <w:rsid w:val="4033445D"/>
    <w:rsid w:val="40607FBD"/>
    <w:rsid w:val="407A6407"/>
    <w:rsid w:val="40B565DA"/>
    <w:rsid w:val="414A7A91"/>
    <w:rsid w:val="415B4A9F"/>
    <w:rsid w:val="416F5968"/>
    <w:rsid w:val="41943621"/>
    <w:rsid w:val="41F8595E"/>
    <w:rsid w:val="4200449D"/>
    <w:rsid w:val="422D3F73"/>
    <w:rsid w:val="423A3BCC"/>
    <w:rsid w:val="424E57D2"/>
    <w:rsid w:val="428B7856"/>
    <w:rsid w:val="42AD6748"/>
    <w:rsid w:val="42B26C49"/>
    <w:rsid w:val="430D71E7"/>
    <w:rsid w:val="433A6FE6"/>
    <w:rsid w:val="43476B9D"/>
    <w:rsid w:val="43480868"/>
    <w:rsid w:val="4350713C"/>
    <w:rsid w:val="436653E0"/>
    <w:rsid w:val="438A4CDB"/>
    <w:rsid w:val="43C4431A"/>
    <w:rsid w:val="43E22422"/>
    <w:rsid w:val="440C7D39"/>
    <w:rsid w:val="442F13DF"/>
    <w:rsid w:val="44921E0D"/>
    <w:rsid w:val="44B951CC"/>
    <w:rsid w:val="44CB2F82"/>
    <w:rsid w:val="44CD14E0"/>
    <w:rsid w:val="44CD4E80"/>
    <w:rsid w:val="44F20B0B"/>
    <w:rsid w:val="452E5F4C"/>
    <w:rsid w:val="453F5652"/>
    <w:rsid w:val="45612018"/>
    <w:rsid w:val="456A6B72"/>
    <w:rsid w:val="45755CD2"/>
    <w:rsid w:val="458946E9"/>
    <w:rsid w:val="45A47C0E"/>
    <w:rsid w:val="462D194E"/>
    <w:rsid w:val="46577FD6"/>
    <w:rsid w:val="46D6122C"/>
    <w:rsid w:val="46D955A7"/>
    <w:rsid w:val="47133957"/>
    <w:rsid w:val="474A7CCD"/>
    <w:rsid w:val="475F1FDB"/>
    <w:rsid w:val="47A07E0C"/>
    <w:rsid w:val="47BA2D8E"/>
    <w:rsid w:val="47FE7E41"/>
    <w:rsid w:val="484F5769"/>
    <w:rsid w:val="486D3D4B"/>
    <w:rsid w:val="4870272E"/>
    <w:rsid w:val="48DC621A"/>
    <w:rsid w:val="48FD6399"/>
    <w:rsid w:val="494C592E"/>
    <w:rsid w:val="498D21F4"/>
    <w:rsid w:val="49DC7715"/>
    <w:rsid w:val="4A023139"/>
    <w:rsid w:val="4A2806B5"/>
    <w:rsid w:val="4A7B576F"/>
    <w:rsid w:val="4AAA5CD3"/>
    <w:rsid w:val="4AAB3D15"/>
    <w:rsid w:val="4AF561A9"/>
    <w:rsid w:val="4B1D57B7"/>
    <w:rsid w:val="4B294DDA"/>
    <w:rsid w:val="4B391F09"/>
    <w:rsid w:val="4B5F6CE3"/>
    <w:rsid w:val="4B895B94"/>
    <w:rsid w:val="4B8D7117"/>
    <w:rsid w:val="4B92472D"/>
    <w:rsid w:val="4BB74194"/>
    <w:rsid w:val="4BCB5E91"/>
    <w:rsid w:val="4BFC604B"/>
    <w:rsid w:val="4C03387D"/>
    <w:rsid w:val="4C196BFC"/>
    <w:rsid w:val="4C4A0649"/>
    <w:rsid w:val="4C5A2353"/>
    <w:rsid w:val="4C653BF0"/>
    <w:rsid w:val="4C7E5ECA"/>
    <w:rsid w:val="4C876AA5"/>
    <w:rsid w:val="4CA1514B"/>
    <w:rsid w:val="4D007BE6"/>
    <w:rsid w:val="4D0E00FB"/>
    <w:rsid w:val="4D176606"/>
    <w:rsid w:val="4D3857A8"/>
    <w:rsid w:val="4DCB3F26"/>
    <w:rsid w:val="4DE17BEE"/>
    <w:rsid w:val="4DEC4FB0"/>
    <w:rsid w:val="4DF72F6D"/>
    <w:rsid w:val="4E075D8A"/>
    <w:rsid w:val="4EBD57D4"/>
    <w:rsid w:val="4EC00FAD"/>
    <w:rsid w:val="4EC5306C"/>
    <w:rsid w:val="4F361873"/>
    <w:rsid w:val="4F9843DC"/>
    <w:rsid w:val="4F9D7B44"/>
    <w:rsid w:val="4FC62A8C"/>
    <w:rsid w:val="4FE20F0D"/>
    <w:rsid w:val="4FE51552"/>
    <w:rsid w:val="4FEC7679"/>
    <w:rsid w:val="50504C4B"/>
    <w:rsid w:val="505226DD"/>
    <w:rsid w:val="509C6E7C"/>
    <w:rsid w:val="50BB7A74"/>
    <w:rsid w:val="50F857CB"/>
    <w:rsid w:val="5100038B"/>
    <w:rsid w:val="51081D45"/>
    <w:rsid w:val="51363DAD"/>
    <w:rsid w:val="513A4E9C"/>
    <w:rsid w:val="51556929"/>
    <w:rsid w:val="51581F75"/>
    <w:rsid w:val="51595CED"/>
    <w:rsid w:val="5162104E"/>
    <w:rsid w:val="51B03B5F"/>
    <w:rsid w:val="520166DD"/>
    <w:rsid w:val="524A3FB4"/>
    <w:rsid w:val="525433C8"/>
    <w:rsid w:val="52954CB0"/>
    <w:rsid w:val="52F52A8A"/>
    <w:rsid w:val="53236529"/>
    <w:rsid w:val="53A039CC"/>
    <w:rsid w:val="53A1505A"/>
    <w:rsid w:val="53B07A2B"/>
    <w:rsid w:val="53CE651E"/>
    <w:rsid w:val="53E04C9E"/>
    <w:rsid w:val="53FC1520"/>
    <w:rsid w:val="54063E08"/>
    <w:rsid w:val="543437E8"/>
    <w:rsid w:val="54745F13"/>
    <w:rsid w:val="54843081"/>
    <w:rsid w:val="54882B71"/>
    <w:rsid w:val="54B73456"/>
    <w:rsid w:val="54F73313"/>
    <w:rsid w:val="54F80955"/>
    <w:rsid w:val="55172147"/>
    <w:rsid w:val="553E76D4"/>
    <w:rsid w:val="554A42CB"/>
    <w:rsid w:val="555170A7"/>
    <w:rsid w:val="556732C9"/>
    <w:rsid w:val="5587536D"/>
    <w:rsid w:val="55886BA1"/>
    <w:rsid w:val="55911EF9"/>
    <w:rsid w:val="559B174B"/>
    <w:rsid w:val="55AC0AE1"/>
    <w:rsid w:val="55C45E2B"/>
    <w:rsid w:val="55CE0CF4"/>
    <w:rsid w:val="55D41DE6"/>
    <w:rsid w:val="55D42B7C"/>
    <w:rsid w:val="56336B0D"/>
    <w:rsid w:val="56552F27"/>
    <w:rsid w:val="56764C4B"/>
    <w:rsid w:val="56960A54"/>
    <w:rsid w:val="56B22A9C"/>
    <w:rsid w:val="57672F12"/>
    <w:rsid w:val="57B679F5"/>
    <w:rsid w:val="57B72A76"/>
    <w:rsid w:val="57C3426C"/>
    <w:rsid w:val="57CE1F93"/>
    <w:rsid w:val="57DA7815"/>
    <w:rsid w:val="58004D13"/>
    <w:rsid w:val="581666E6"/>
    <w:rsid w:val="584414A5"/>
    <w:rsid w:val="588743D1"/>
    <w:rsid w:val="5887701A"/>
    <w:rsid w:val="58BC02C6"/>
    <w:rsid w:val="58D418C8"/>
    <w:rsid w:val="590316FF"/>
    <w:rsid w:val="59044790"/>
    <w:rsid w:val="594D6137"/>
    <w:rsid w:val="59670B6F"/>
    <w:rsid w:val="59975832"/>
    <w:rsid w:val="599864FB"/>
    <w:rsid w:val="59B34516"/>
    <w:rsid w:val="59C0439F"/>
    <w:rsid w:val="59D46859"/>
    <w:rsid w:val="5A150D5F"/>
    <w:rsid w:val="5A160C1F"/>
    <w:rsid w:val="5A617483"/>
    <w:rsid w:val="5ABE2233"/>
    <w:rsid w:val="5B035AA7"/>
    <w:rsid w:val="5B1B0771"/>
    <w:rsid w:val="5B723EC9"/>
    <w:rsid w:val="5B751975"/>
    <w:rsid w:val="5BC854A8"/>
    <w:rsid w:val="5BCF72D8"/>
    <w:rsid w:val="5BDF5D95"/>
    <w:rsid w:val="5BFE7528"/>
    <w:rsid w:val="5C205D85"/>
    <w:rsid w:val="5CA442C0"/>
    <w:rsid w:val="5CC52489"/>
    <w:rsid w:val="5CFA4828"/>
    <w:rsid w:val="5D6830FA"/>
    <w:rsid w:val="5D7B64BE"/>
    <w:rsid w:val="5D9E6F62"/>
    <w:rsid w:val="5E2467F1"/>
    <w:rsid w:val="5EA458E2"/>
    <w:rsid w:val="5EE94B54"/>
    <w:rsid w:val="5F1A2B43"/>
    <w:rsid w:val="5F1D1B46"/>
    <w:rsid w:val="5F450354"/>
    <w:rsid w:val="5FB837BB"/>
    <w:rsid w:val="604118C1"/>
    <w:rsid w:val="60455DBA"/>
    <w:rsid w:val="605D6DBA"/>
    <w:rsid w:val="60616252"/>
    <w:rsid w:val="609B59DA"/>
    <w:rsid w:val="60A07495"/>
    <w:rsid w:val="60BA7F0E"/>
    <w:rsid w:val="60CC405A"/>
    <w:rsid w:val="611A0FF5"/>
    <w:rsid w:val="61E215D8"/>
    <w:rsid w:val="61F47A98"/>
    <w:rsid w:val="61FF0CA7"/>
    <w:rsid w:val="621B3775"/>
    <w:rsid w:val="62361E5F"/>
    <w:rsid w:val="62364782"/>
    <w:rsid w:val="626D784A"/>
    <w:rsid w:val="62AD6CE7"/>
    <w:rsid w:val="62EC6D5E"/>
    <w:rsid w:val="62F12229"/>
    <w:rsid w:val="63293771"/>
    <w:rsid w:val="632A1297"/>
    <w:rsid w:val="633D352C"/>
    <w:rsid w:val="637020C5"/>
    <w:rsid w:val="6394356A"/>
    <w:rsid w:val="63C61B2C"/>
    <w:rsid w:val="63D40BE9"/>
    <w:rsid w:val="63F92A66"/>
    <w:rsid w:val="64102431"/>
    <w:rsid w:val="64281C7B"/>
    <w:rsid w:val="643731D3"/>
    <w:rsid w:val="644A653A"/>
    <w:rsid w:val="64A5243A"/>
    <w:rsid w:val="64F531DE"/>
    <w:rsid w:val="65373578"/>
    <w:rsid w:val="655E6AEF"/>
    <w:rsid w:val="65B978C5"/>
    <w:rsid w:val="65D8068E"/>
    <w:rsid w:val="65F673B7"/>
    <w:rsid w:val="66AE52A4"/>
    <w:rsid w:val="66E14363"/>
    <w:rsid w:val="66E4430F"/>
    <w:rsid w:val="67002A3B"/>
    <w:rsid w:val="671F124A"/>
    <w:rsid w:val="67674492"/>
    <w:rsid w:val="677A33C6"/>
    <w:rsid w:val="67894060"/>
    <w:rsid w:val="67C95523"/>
    <w:rsid w:val="67F00651"/>
    <w:rsid w:val="67F46030"/>
    <w:rsid w:val="6804038D"/>
    <w:rsid w:val="68074CD0"/>
    <w:rsid w:val="680B5B3B"/>
    <w:rsid w:val="680B5C16"/>
    <w:rsid w:val="681A5514"/>
    <w:rsid w:val="681F6961"/>
    <w:rsid w:val="68385372"/>
    <w:rsid w:val="68610A2F"/>
    <w:rsid w:val="68805514"/>
    <w:rsid w:val="68C34ACE"/>
    <w:rsid w:val="68E5638C"/>
    <w:rsid w:val="69316E2F"/>
    <w:rsid w:val="694E2071"/>
    <w:rsid w:val="69635BA8"/>
    <w:rsid w:val="69766163"/>
    <w:rsid w:val="697A3B33"/>
    <w:rsid w:val="699658D9"/>
    <w:rsid w:val="69991D8F"/>
    <w:rsid w:val="69D44760"/>
    <w:rsid w:val="69EE46D0"/>
    <w:rsid w:val="69FB5596"/>
    <w:rsid w:val="6A031B9F"/>
    <w:rsid w:val="6A4B1A04"/>
    <w:rsid w:val="6A520EC7"/>
    <w:rsid w:val="6A687795"/>
    <w:rsid w:val="6ACC6E9F"/>
    <w:rsid w:val="6AF87E20"/>
    <w:rsid w:val="6B042B7B"/>
    <w:rsid w:val="6B322639"/>
    <w:rsid w:val="6B5B0B88"/>
    <w:rsid w:val="6B6F1F3D"/>
    <w:rsid w:val="6B741C4A"/>
    <w:rsid w:val="6BBB5183"/>
    <w:rsid w:val="6BC24763"/>
    <w:rsid w:val="6BDA09CA"/>
    <w:rsid w:val="6BDB3A77"/>
    <w:rsid w:val="6C136D6D"/>
    <w:rsid w:val="6C1B3E73"/>
    <w:rsid w:val="6C4E5FF7"/>
    <w:rsid w:val="6C636C38"/>
    <w:rsid w:val="6CC369E5"/>
    <w:rsid w:val="6D3D2C47"/>
    <w:rsid w:val="6D433682"/>
    <w:rsid w:val="6D8D2B4F"/>
    <w:rsid w:val="6D9E7E6A"/>
    <w:rsid w:val="6DB34098"/>
    <w:rsid w:val="6DB545B6"/>
    <w:rsid w:val="6DB70B73"/>
    <w:rsid w:val="6DE02FB4"/>
    <w:rsid w:val="6E46167B"/>
    <w:rsid w:val="6E514CED"/>
    <w:rsid w:val="6E781A51"/>
    <w:rsid w:val="6E7F2148"/>
    <w:rsid w:val="6EA75E92"/>
    <w:rsid w:val="6EAB14DE"/>
    <w:rsid w:val="6EB563D5"/>
    <w:rsid w:val="6ED753ED"/>
    <w:rsid w:val="6ED92677"/>
    <w:rsid w:val="6F225983"/>
    <w:rsid w:val="6F2E3EBD"/>
    <w:rsid w:val="6F9742E9"/>
    <w:rsid w:val="6FF46EB5"/>
    <w:rsid w:val="6FFC5590"/>
    <w:rsid w:val="706D1DD0"/>
    <w:rsid w:val="70856B87"/>
    <w:rsid w:val="70D527EE"/>
    <w:rsid w:val="71032DE4"/>
    <w:rsid w:val="710335BF"/>
    <w:rsid w:val="713752AB"/>
    <w:rsid w:val="7147606A"/>
    <w:rsid w:val="715B5300"/>
    <w:rsid w:val="71BC1C54"/>
    <w:rsid w:val="71BE1E38"/>
    <w:rsid w:val="71D27F8A"/>
    <w:rsid w:val="721910BE"/>
    <w:rsid w:val="72357434"/>
    <w:rsid w:val="72553024"/>
    <w:rsid w:val="727A404A"/>
    <w:rsid w:val="73122968"/>
    <w:rsid w:val="731F5D5E"/>
    <w:rsid w:val="73C51AD5"/>
    <w:rsid w:val="741E793C"/>
    <w:rsid w:val="745148D6"/>
    <w:rsid w:val="7452064E"/>
    <w:rsid w:val="745E3944"/>
    <w:rsid w:val="747C12BA"/>
    <w:rsid w:val="74836E68"/>
    <w:rsid w:val="7486110F"/>
    <w:rsid w:val="7505383F"/>
    <w:rsid w:val="7513602F"/>
    <w:rsid w:val="755A2999"/>
    <w:rsid w:val="755C1784"/>
    <w:rsid w:val="75605303"/>
    <w:rsid w:val="75BE5F9B"/>
    <w:rsid w:val="76232CDF"/>
    <w:rsid w:val="7635099D"/>
    <w:rsid w:val="76D534E5"/>
    <w:rsid w:val="770D2C6C"/>
    <w:rsid w:val="77405F0C"/>
    <w:rsid w:val="77762421"/>
    <w:rsid w:val="779103E9"/>
    <w:rsid w:val="77B56B1F"/>
    <w:rsid w:val="780F09F4"/>
    <w:rsid w:val="782D7546"/>
    <w:rsid w:val="787923C1"/>
    <w:rsid w:val="787F24BF"/>
    <w:rsid w:val="78822BDE"/>
    <w:rsid w:val="78A84CE1"/>
    <w:rsid w:val="78A90480"/>
    <w:rsid w:val="791E07A5"/>
    <w:rsid w:val="792321E3"/>
    <w:rsid w:val="79722641"/>
    <w:rsid w:val="79892D64"/>
    <w:rsid w:val="7A221FD8"/>
    <w:rsid w:val="7A364017"/>
    <w:rsid w:val="7A651958"/>
    <w:rsid w:val="7A722CB4"/>
    <w:rsid w:val="7A7D4503"/>
    <w:rsid w:val="7A8265E1"/>
    <w:rsid w:val="7ABD32FA"/>
    <w:rsid w:val="7B22521E"/>
    <w:rsid w:val="7B310FBD"/>
    <w:rsid w:val="7B4D1C31"/>
    <w:rsid w:val="7B686D42"/>
    <w:rsid w:val="7B841746"/>
    <w:rsid w:val="7BE83E7B"/>
    <w:rsid w:val="7C176405"/>
    <w:rsid w:val="7C274045"/>
    <w:rsid w:val="7C4920E9"/>
    <w:rsid w:val="7C52743D"/>
    <w:rsid w:val="7C6C5AC7"/>
    <w:rsid w:val="7CC6544B"/>
    <w:rsid w:val="7CF91FAF"/>
    <w:rsid w:val="7CFC2533"/>
    <w:rsid w:val="7D0239FF"/>
    <w:rsid w:val="7D225061"/>
    <w:rsid w:val="7D5E40CD"/>
    <w:rsid w:val="7D8016F5"/>
    <w:rsid w:val="7DCD56F2"/>
    <w:rsid w:val="7DE25B31"/>
    <w:rsid w:val="7DEC67E0"/>
    <w:rsid w:val="7E0B3D48"/>
    <w:rsid w:val="7E24795C"/>
    <w:rsid w:val="7E2748F9"/>
    <w:rsid w:val="7E384364"/>
    <w:rsid w:val="7E3D2248"/>
    <w:rsid w:val="7E4436FD"/>
    <w:rsid w:val="7E447259"/>
    <w:rsid w:val="7E484F9C"/>
    <w:rsid w:val="7EAB7AE1"/>
    <w:rsid w:val="7EDE145C"/>
    <w:rsid w:val="7F001CE7"/>
    <w:rsid w:val="7F2C666B"/>
    <w:rsid w:val="7F8E2E82"/>
    <w:rsid w:val="7FE4174F"/>
    <w:rsid w:val="7FE47E50"/>
    <w:rsid w:val="7FFC2595"/>
    <w:rsid w:val="7FFF379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9" w:semiHidden="0" w:name="heading 2"/>
    <w:lsdException w:qFormat="1" w:unhideWhenUsed="0" w:uiPriority="9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qFormat="1" w:uiPriority="99" w:semiHidden="0" w:name="Body Text 3"/>
    <w:lsdException w:qFormat="1" w:uiPriority="99" w:semiHidden="0" w:name="Body Text Indent 2"/>
    <w:lsdException w:qFormat="1" w:uiPriority="99" w:semiHidden="0" w:name="Body Text Indent 3"/>
    <w:lsdException w:qFormat="1" w:unhideWhenUsed="0"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4"/>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45"/>
    <w:unhideWhenUsed/>
    <w:qFormat/>
    <w:uiPriority w:val="99"/>
    <w:pPr>
      <w:keepNext/>
      <w:keepLines/>
      <w:spacing w:before="260" w:after="260" w:line="416" w:lineRule="auto"/>
      <w:outlineLvl w:val="1"/>
    </w:pPr>
    <w:rPr>
      <w:rFonts w:ascii="等线 Light" w:hAnsi="等线 Light" w:eastAsia="等线 Light" w:cs="Times New Roman"/>
      <w:b/>
      <w:bCs/>
      <w:sz w:val="32"/>
      <w:szCs w:val="32"/>
    </w:rPr>
  </w:style>
  <w:style w:type="paragraph" w:styleId="4">
    <w:name w:val="heading 3"/>
    <w:basedOn w:val="1"/>
    <w:next w:val="1"/>
    <w:link w:val="46"/>
    <w:qFormat/>
    <w:uiPriority w:val="99"/>
    <w:pPr>
      <w:keepNext/>
      <w:keepLines/>
      <w:widowControl/>
      <w:spacing w:line="360" w:lineRule="auto"/>
      <w:ind w:firstLine="512"/>
      <w:jc w:val="left"/>
      <w:outlineLvl w:val="2"/>
    </w:pPr>
    <w:rPr>
      <w:b/>
      <w:bCs/>
      <w:color w:val="000000"/>
      <w:kern w:val="0"/>
      <w:sz w:val="24"/>
    </w:rPr>
  </w:style>
  <w:style w:type="paragraph" w:styleId="5">
    <w:name w:val="heading 4"/>
    <w:basedOn w:val="1"/>
    <w:next w:val="1"/>
    <w:link w:val="47"/>
    <w:qFormat/>
    <w:uiPriority w:val="9"/>
    <w:pPr>
      <w:keepNext/>
      <w:keepLines/>
      <w:widowControl/>
      <w:spacing w:before="280" w:after="290" w:line="376" w:lineRule="auto"/>
      <w:jc w:val="left"/>
      <w:outlineLvl w:val="3"/>
    </w:pPr>
    <w:rPr>
      <w:rFonts w:ascii="Cambria" w:hAnsi="Cambria"/>
      <w:b/>
      <w:bCs/>
      <w:color w:val="000000"/>
      <w:sz w:val="28"/>
      <w:szCs w:val="28"/>
    </w:rPr>
  </w:style>
  <w:style w:type="character" w:default="1" w:styleId="35">
    <w:name w:val="Default Paragraph Font"/>
    <w:semiHidden/>
    <w:qFormat/>
    <w:uiPriority w:val="0"/>
  </w:style>
  <w:style w:type="table" w:default="1" w:styleId="33">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Normal Indent"/>
    <w:basedOn w:val="1"/>
    <w:link w:val="43"/>
    <w:qFormat/>
    <w:uiPriority w:val="0"/>
    <w:pPr>
      <w:ind w:firstLine="420" w:firstLineChars="200"/>
    </w:pPr>
    <w:rPr>
      <w:szCs w:val="20"/>
    </w:rPr>
  </w:style>
  <w:style w:type="paragraph" w:styleId="7">
    <w:name w:val="caption"/>
    <w:basedOn w:val="1"/>
    <w:next w:val="1"/>
    <w:link w:val="48"/>
    <w:qFormat/>
    <w:uiPriority w:val="0"/>
    <w:rPr>
      <w:rFonts w:ascii="Arial" w:hAnsi="Arial" w:eastAsia="黑体" w:cs="Arial"/>
      <w:sz w:val="20"/>
      <w:szCs w:val="20"/>
    </w:rPr>
  </w:style>
  <w:style w:type="paragraph" w:styleId="8">
    <w:name w:val="Document Map"/>
    <w:basedOn w:val="1"/>
    <w:link w:val="49"/>
    <w:unhideWhenUsed/>
    <w:qFormat/>
    <w:uiPriority w:val="99"/>
    <w:pPr>
      <w:widowControl/>
      <w:spacing w:line="360" w:lineRule="auto"/>
      <w:jc w:val="left"/>
    </w:pPr>
    <w:rPr>
      <w:rFonts w:ascii="宋体"/>
      <w:color w:val="000000"/>
      <w:sz w:val="18"/>
      <w:szCs w:val="18"/>
    </w:rPr>
  </w:style>
  <w:style w:type="paragraph" w:styleId="9">
    <w:name w:val="annotation text"/>
    <w:basedOn w:val="1"/>
    <w:link w:val="50"/>
    <w:semiHidden/>
    <w:qFormat/>
    <w:uiPriority w:val="99"/>
    <w:pPr>
      <w:jc w:val="left"/>
    </w:pPr>
    <w:rPr>
      <w:kern w:val="0"/>
      <w:sz w:val="24"/>
      <w:szCs w:val="20"/>
    </w:rPr>
  </w:style>
  <w:style w:type="paragraph" w:styleId="10">
    <w:name w:val="Body Text 3"/>
    <w:basedOn w:val="1"/>
    <w:link w:val="51"/>
    <w:unhideWhenUsed/>
    <w:qFormat/>
    <w:uiPriority w:val="99"/>
    <w:pPr>
      <w:widowControl/>
      <w:spacing w:after="120" w:line="360" w:lineRule="auto"/>
      <w:jc w:val="left"/>
    </w:pPr>
    <w:rPr>
      <w:color w:val="000000"/>
      <w:sz w:val="16"/>
      <w:szCs w:val="16"/>
    </w:rPr>
  </w:style>
  <w:style w:type="paragraph" w:styleId="11">
    <w:name w:val="Body Text"/>
    <w:basedOn w:val="1"/>
    <w:next w:val="12"/>
    <w:link w:val="52"/>
    <w:qFormat/>
    <w:uiPriority w:val="99"/>
    <w:pPr>
      <w:widowControl/>
      <w:snapToGrid w:val="0"/>
      <w:spacing w:before="60" w:after="160" w:line="259" w:lineRule="auto"/>
      <w:ind w:right="113"/>
    </w:pPr>
    <w:rPr>
      <w:kern w:val="0"/>
      <w:sz w:val="18"/>
      <w:szCs w:val="20"/>
    </w:rPr>
  </w:style>
  <w:style w:type="paragraph" w:customStyle="1" w:styleId="12">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styleId="13">
    <w:name w:val="Body Text Indent"/>
    <w:basedOn w:val="1"/>
    <w:next w:val="1"/>
    <w:link w:val="53"/>
    <w:qFormat/>
    <w:uiPriority w:val="99"/>
    <w:pPr>
      <w:spacing w:after="120"/>
      <w:ind w:left="420" w:leftChars="200"/>
    </w:pPr>
    <w:rPr>
      <w:kern w:val="0"/>
      <w:sz w:val="24"/>
      <w:szCs w:val="20"/>
    </w:rPr>
  </w:style>
  <w:style w:type="paragraph" w:styleId="14">
    <w:name w:val="Block Text"/>
    <w:basedOn w:val="1"/>
    <w:qFormat/>
    <w:uiPriority w:val="0"/>
    <w:pPr>
      <w:spacing w:line="300" w:lineRule="atLeast"/>
      <w:ind w:left="420" w:leftChars="200" w:right="-336" w:rightChars="-160"/>
    </w:pPr>
  </w:style>
  <w:style w:type="paragraph" w:styleId="15">
    <w:name w:val="Plain Text"/>
    <w:basedOn w:val="1"/>
    <w:link w:val="54"/>
    <w:qFormat/>
    <w:uiPriority w:val="0"/>
    <w:pPr>
      <w:widowControl/>
      <w:jc w:val="left"/>
    </w:pPr>
    <w:rPr>
      <w:rFonts w:ascii="宋体" w:hAnsi="Courier New"/>
      <w:szCs w:val="20"/>
    </w:rPr>
  </w:style>
  <w:style w:type="paragraph" w:styleId="16">
    <w:name w:val="List Bullet 5"/>
    <w:basedOn w:val="1"/>
    <w:qFormat/>
    <w:uiPriority w:val="0"/>
    <w:pPr>
      <w:numPr>
        <w:ilvl w:val="0"/>
        <w:numId w:val="1"/>
      </w:numPr>
    </w:pPr>
  </w:style>
  <w:style w:type="paragraph" w:styleId="17">
    <w:name w:val="Date"/>
    <w:basedOn w:val="1"/>
    <w:next w:val="1"/>
    <w:link w:val="55"/>
    <w:qFormat/>
    <w:uiPriority w:val="0"/>
    <w:pPr>
      <w:ind w:left="100" w:leftChars="2500"/>
    </w:pPr>
    <w:rPr>
      <w:kern w:val="0"/>
      <w:sz w:val="24"/>
      <w:szCs w:val="20"/>
    </w:rPr>
  </w:style>
  <w:style w:type="paragraph" w:styleId="18">
    <w:name w:val="Body Text Indent 2"/>
    <w:basedOn w:val="1"/>
    <w:link w:val="56"/>
    <w:unhideWhenUsed/>
    <w:qFormat/>
    <w:uiPriority w:val="99"/>
    <w:pPr>
      <w:widowControl/>
      <w:spacing w:after="120" w:line="480" w:lineRule="auto"/>
      <w:ind w:left="420" w:leftChars="200"/>
      <w:jc w:val="left"/>
    </w:pPr>
    <w:rPr>
      <w:color w:val="000000"/>
      <w:sz w:val="24"/>
    </w:rPr>
  </w:style>
  <w:style w:type="paragraph" w:styleId="19">
    <w:name w:val="Balloon Text"/>
    <w:basedOn w:val="1"/>
    <w:link w:val="57"/>
    <w:qFormat/>
    <w:uiPriority w:val="99"/>
    <w:rPr>
      <w:kern w:val="0"/>
      <w:sz w:val="18"/>
      <w:szCs w:val="20"/>
    </w:rPr>
  </w:style>
  <w:style w:type="paragraph" w:styleId="20">
    <w:name w:val="footer"/>
    <w:basedOn w:val="1"/>
    <w:link w:val="58"/>
    <w:qFormat/>
    <w:uiPriority w:val="99"/>
    <w:pPr>
      <w:tabs>
        <w:tab w:val="center" w:pos="4153"/>
        <w:tab w:val="right" w:pos="8306"/>
      </w:tabs>
      <w:snapToGrid w:val="0"/>
      <w:jc w:val="left"/>
    </w:pPr>
    <w:rPr>
      <w:kern w:val="0"/>
      <w:sz w:val="18"/>
      <w:szCs w:val="20"/>
    </w:rPr>
  </w:style>
  <w:style w:type="paragraph" w:styleId="21">
    <w:name w:val="header"/>
    <w:basedOn w:val="1"/>
    <w:link w:val="59"/>
    <w:qFormat/>
    <w:uiPriority w:val="99"/>
    <w:pPr>
      <w:pBdr>
        <w:bottom w:val="single" w:color="auto" w:sz="6" w:space="1"/>
      </w:pBdr>
      <w:tabs>
        <w:tab w:val="center" w:pos="4153"/>
        <w:tab w:val="right" w:pos="8306"/>
      </w:tabs>
      <w:snapToGrid w:val="0"/>
      <w:jc w:val="center"/>
    </w:pPr>
    <w:rPr>
      <w:kern w:val="0"/>
      <w:sz w:val="18"/>
      <w:szCs w:val="20"/>
    </w:rPr>
  </w:style>
  <w:style w:type="paragraph" w:styleId="22">
    <w:name w:val="List"/>
    <w:basedOn w:val="1"/>
    <w:unhideWhenUsed/>
    <w:qFormat/>
    <w:uiPriority w:val="99"/>
    <w:pPr>
      <w:widowControl/>
      <w:spacing w:line="320" w:lineRule="exact"/>
      <w:jc w:val="center"/>
    </w:pPr>
    <w:rPr>
      <w:color w:val="000000"/>
      <w:sz w:val="22"/>
      <w:szCs w:val="22"/>
    </w:rPr>
  </w:style>
  <w:style w:type="paragraph" w:styleId="23">
    <w:name w:val="Body Text Indent 3"/>
    <w:basedOn w:val="1"/>
    <w:link w:val="60"/>
    <w:unhideWhenUsed/>
    <w:qFormat/>
    <w:uiPriority w:val="99"/>
    <w:pPr>
      <w:widowControl/>
      <w:spacing w:after="120" w:line="360" w:lineRule="auto"/>
      <w:ind w:left="420" w:leftChars="200"/>
      <w:jc w:val="left"/>
    </w:pPr>
    <w:rPr>
      <w:color w:val="000000"/>
      <w:sz w:val="16"/>
      <w:szCs w:val="16"/>
    </w:rPr>
  </w:style>
  <w:style w:type="paragraph" w:styleId="24">
    <w:name w:val="table of figures"/>
    <w:basedOn w:val="1"/>
    <w:next w:val="1"/>
    <w:unhideWhenUsed/>
    <w:qFormat/>
    <w:uiPriority w:val="99"/>
    <w:pPr>
      <w:widowControl/>
      <w:spacing w:before="100" w:beforeAutospacing="1" w:after="100" w:afterAutospacing="1" w:line="360" w:lineRule="auto"/>
      <w:ind w:leftChars="200" w:hanging="200" w:hangingChars="200"/>
      <w:jc w:val="left"/>
    </w:pPr>
    <w:rPr>
      <w:color w:val="000000"/>
      <w:sz w:val="24"/>
    </w:rPr>
  </w:style>
  <w:style w:type="paragraph" w:styleId="25">
    <w:name w:val="Body Text 2"/>
    <w:basedOn w:val="1"/>
    <w:link w:val="61"/>
    <w:unhideWhenUsed/>
    <w:qFormat/>
    <w:uiPriority w:val="99"/>
    <w:pPr>
      <w:widowControl/>
      <w:spacing w:after="120" w:line="480" w:lineRule="auto"/>
      <w:jc w:val="left"/>
    </w:pPr>
    <w:rPr>
      <w:color w:val="000000"/>
      <w:sz w:val="24"/>
    </w:rPr>
  </w:style>
  <w:style w:type="paragraph" w:styleId="26">
    <w:name w:val="HTML Preformatted"/>
    <w:basedOn w:val="1"/>
    <w:link w:val="62"/>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7">
    <w:name w:val="Normal (Web)"/>
    <w:basedOn w:val="1"/>
    <w:link w:val="63"/>
    <w:qFormat/>
    <w:uiPriority w:val="0"/>
    <w:pPr>
      <w:widowControl/>
      <w:spacing w:before="100" w:beforeAutospacing="1" w:after="100" w:afterAutospacing="1"/>
      <w:jc w:val="left"/>
    </w:pPr>
    <w:rPr>
      <w:rFonts w:ascii="宋体" w:hAnsi="宋体"/>
      <w:kern w:val="0"/>
      <w:sz w:val="24"/>
      <w:szCs w:val="20"/>
    </w:rPr>
  </w:style>
  <w:style w:type="paragraph" w:styleId="28">
    <w:name w:val="Title"/>
    <w:basedOn w:val="29"/>
    <w:next w:val="30"/>
    <w:link w:val="64"/>
    <w:qFormat/>
    <w:uiPriority w:val="10"/>
    <w:pPr>
      <w:widowControl/>
      <w:spacing w:before="240" w:after="60" w:line="360" w:lineRule="auto"/>
      <w:jc w:val="center"/>
      <w:outlineLvl w:val="0"/>
    </w:pPr>
    <w:rPr>
      <w:rFonts w:ascii="Cambria" w:hAnsi="Cambria"/>
      <w:b/>
      <w:bCs/>
      <w:color w:val="000000"/>
      <w:sz w:val="32"/>
      <w:szCs w:val="32"/>
    </w:rPr>
  </w:style>
  <w:style w:type="paragraph" w:customStyle="1" w:styleId="29">
    <w:name w:val="表体"/>
    <w:basedOn w:val="1"/>
    <w:qFormat/>
    <w:uiPriority w:val="0"/>
    <w:pPr>
      <w:overflowPunct w:val="0"/>
      <w:spacing w:line="240" w:lineRule="auto"/>
      <w:ind w:firstLine="0" w:firstLineChars="0"/>
      <w:jc w:val="center"/>
      <w:textAlignment w:val="baseline"/>
    </w:pPr>
    <w:rPr>
      <w:color w:val="0000FF"/>
      <w:kern w:val="24"/>
      <w:sz w:val="21"/>
    </w:rPr>
  </w:style>
  <w:style w:type="paragraph" w:styleId="30">
    <w:name w:val="Body Text First Indent"/>
    <w:basedOn w:val="11"/>
    <w:link w:val="66"/>
    <w:unhideWhenUsed/>
    <w:qFormat/>
    <w:uiPriority w:val="99"/>
    <w:pPr>
      <w:snapToGrid/>
      <w:spacing w:before="0" w:after="120" w:line="360" w:lineRule="auto"/>
      <w:ind w:right="0" w:firstLine="420" w:firstLineChars="100"/>
      <w:jc w:val="left"/>
    </w:pPr>
    <w:rPr>
      <w:color w:val="000000"/>
      <w:kern w:val="2"/>
      <w:sz w:val="24"/>
      <w:szCs w:val="24"/>
    </w:rPr>
  </w:style>
  <w:style w:type="paragraph" w:styleId="31">
    <w:name w:val="annotation subject"/>
    <w:basedOn w:val="9"/>
    <w:next w:val="9"/>
    <w:link w:val="65"/>
    <w:semiHidden/>
    <w:qFormat/>
    <w:uiPriority w:val="0"/>
    <w:rPr>
      <w:b/>
      <w:sz w:val="24"/>
      <w:szCs w:val="20"/>
    </w:rPr>
  </w:style>
  <w:style w:type="paragraph" w:styleId="32">
    <w:name w:val="Body Text First Indent 2"/>
    <w:basedOn w:val="1"/>
    <w:next w:val="1"/>
    <w:link w:val="67"/>
    <w:qFormat/>
    <w:uiPriority w:val="0"/>
    <w:pPr>
      <w:ind w:firstLine="420" w:firstLineChars="200"/>
    </w:pPr>
    <w:rPr>
      <w:kern w:val="2"/>
      <w:sz w:val="21"/>
      <w:szCs w:val="24"/>
    </w:rPr>
  </w:style>
  <w:style w:type="table" w:styleId="34">
    <w:name w:val="Table Grid"/>
    <w:basedOn w:val="33"/>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22"/>
    <w:rPr>
      <w:b/>
      <w:bCs/>
    </w:rPr>
  </w:style>
  <w:style w:type="character" w:styleId="37">
    <w:name w:val="page number"/>
    <w:basedOn w:val="35"/>
    <w:qFormat/>
    <w:uiPriority w:val="0"/>
  </w:style>
  <w:style w:type="character" w:styleId="38">
    <w:name w:val="FollowedHyperlink"/>
    <w:unhideWhenUsed/>
    <w:qFormat/>
    <w:uiPriority w:val="99"/>
    <w:rPr>
      <w:color w:val="800080"/>
      <w:u w:val="single"/>
    </w:rPr>
  </w:style>
  <w:style w:type="character" w:styleId="39">
    <w:name w:val="Emphasis"/>
    <w:qFormat/>
    <w:uiPriority w:val="20"/>
    <w:rPr>
      <w:i/>
      <w:iCs/>
    </w:rPr>
  </w:style>
  <w:style w:type="character" w:styleId="40">
    <w:name w:val="Hyperlink"/>
    <w:unhideWhenUsed/>
    <w:qFormat/>
    <w:uiPriority w:val="99"/>
    <w:rPr>
      <w:color w:val="0000FF"/>
      <w:u w:val="single"/>
    </w:rPr>
  </w:style>
  <w:style w:type="character" w:styleId="41">
    <w:name w:val="annotation reference"/>
    <w:qFormat/>
    <w:uiPriority w:val="99"/>
    <w:rPr>
      <w:sz w:val="21"/>
    </w:rPr>
  </w:style>
  <w:style w:type="paragraph" w:customStyle="1" w:styleId="42">
    <w:name w:val="正文部分"/>
    <w:basedOn w:val="1"/>
    <w:qFormat/>
    <w:uiPriority w:val="0"/>
    <w:pPr>
      <w:adjustRightInd w:val="0"/>
      <w:snapToGrid w:val="0"/>
      <w:spacing w:line="460" w:lineRule="exact"/>
      <w:textAlignment w:val="baseline"/>
    </w:pPr>
    <w:rPr>
      <w:rFonts w:ascii="宋体" w:cs="仿宋_GB2312"/>
      <w:kern w:val="0"/>
      <w:sz w:val="30"/>
      <w:szCs w:val="30"/>
    </w:rPr>
  </w:style>
  <w:style w:type="character" w:customStyle="1" w:styleId="43">
    <w:name w:val="正文缩进 字符"/>
    <w:link w:val="6"/>
    <w:qFormat/>
    <w:uiPriority w:val="0"/>
    <w:rPr>
      <w:kern w:val="2"/>
      <w:sz w:val="21"/>
    </w:rPr>
  </w:style>
  <w:style w:type="character" w:customStyle="1" w:styleId="44">
    <w:name w:val="标题 1 字符"/>
    <w:link w:val="2"/>
    <w:qFormat/>
    <w:uiPriority w:val="99"/>
    <w:rPr>
      <w:rFonts w:eastAsia="黑体"/>
      <w:b/>
      <w:bCs/>
      <w:color w:val="000000"/>
      <w:kern w:val="44"/>
      <w:sz w:val="30"/>
      <w:szCs w:val="30"/>
    </w:rPr>
  </w:style>
  <w:style w:type="character" w:customStyle="1" w:styleId="45">
    <w:name w:val="标题 2 字符"/>
    <w:link w:val="3"/>
    <w:qFormat/>
    <w:uiPriority w:val="99"/>
    <w:rPr>
      <w:rFonts w:ascii="等线 Light" w:hAnsi="等线 Light" w:eastAsia="等线 Light" w:cs="Times New Roman"/>
      <w:b/>
      <w:bCs/>
      <w:kern w:val="2"/>
      <w:sz w:val="32"/>
      <w:szCs w:val="32"/>
    </w:rPr>
  </w:style>
  <w:style w:type="character" w:customStyle="1" w:styleId="46">
    <w:name w:val="标题 3 字符"/>
    <w:link w:val="4"/>
    <w:qFormat/>
    <w:uiPriority w:val="99"/>
    <w:rPr>
      <w:b/>
      <w:bCs/>
      <w:color w:val="000000"/>
      <w:sz w:val="24"/>
      <w:szCs w:val="24"/>
    </w:rPr>
  </w:style>
  <w:style w:type="character" w:customStyle="1" w:styleId="47">
    <w:name w:val="标题 4 字符"/>
    <w:link w:val="5"/>
    <w:qFormat/>
    <w:uiPriority w:val="9"/>
    <w:rPr>
      <w:rFonts w:ascii="Cambria" w:hAnsi="Cambria"/>
      <w:b/>
      <w:bCs/>
      <w:color w:val="000000"/>
      <w:kern w:val="2"/>
      <w:sz w:val="28"/>
      <w:szCs w:val="28"/>
    </w:rPr>
  </w:style>
  <w:style w:type="character" w:customStyle="1" w:styleId="48">
    <w:name w:val="题注 字符"/>
    <w:link w:val="7"/>
    <w:qFormat/>
    <w:uiPriority w:val="0"/>
    <w:rPr>
      <w:rFonts w:ascii="Arial" w:hAnsi="Arial" w:eastAsia="黑体" w:cs="Arial"/>
      <w:kern w:val="2"/>
    </w:rPr>
  </w:style>
  <w:style w:type="character" w:customStyle="1" w:styleId="49">
    <w:name w:val="文档结构图 字符"/>
    <w:link w:val="8"/>
    <w:qFormat/>
    <w:uiPriority w:val="99"/>
    <w:rPr>
      <w:rFonts w:ascii="宋体"/>
      <w:color w:val="000000"/>
      <w:kern w:val="2"/>
      <w:sz w:val="18"/>
      <w:szCs w:val="18"/>
    </w:rPr>
  </w:style>
  <w:style w:type="character" w:customStyle="1" w:styleId="50">
    <w:name w:val="批注文字 字符"/>
    <w:link w:val="9"/>
    <w:qFormat/>
    <w:uiPriority w:val="99"/>
    <w:rPr>
      <w:rFonts w:ascii="Times New Roman" w:hAnsi="Times New Roman" w:eastAsia="宋体"/>
      <w:sz w:val="24"/>
    </w:rPr>
  </w:style>
  <w:style w:type="character" w:customStyle="1" w:styleId="51">
    <w:name w:val="正文文本 3 字符"/>
    <w:link w:val="10"/>
    <w:qFormat/>
    <w:uiPriority w:val="99"/>
    <w:rPr>
      <w:color w:val="000000"/>
      <w:kern w:val="2"/>
      <w:sz w:val="16"/>
      <w:szCs w:val="16"/>
    </w:rPr>
  </w:style>
  <w:style w:type="character" w:customStyle="1" w:styleId="52">
    <w:name w:val="正文文本 字符"/>
    <w:link w:val="11"/>
    <w:qFormat/>
    <w:uiPriority w:val="99"/>
    <w:rPr>
      <w:sz w:val="18"/>
    </w:rPr>
  </w:style>
  <w:style w:type="character" w:customStyle="1" w:styleId="53">
    <w:name w:val="正文文本缩进 字符"/>
    <w:link w:val="13"/>
    <w:qFormat/>
    <w:uiPriority w:val="99"/>
    <w:rPr>
      <w:rFonts w:ascii="Times New Roman" w:hAnsi="Times New Roman" w:eastAsia="宋体"/>
      <w:sz w:val="24"/>
    </w:rPr>
  </w:style>
  <w:style w:type="character" w:customStyle="1" w:styleId="54">
    <w:name w:val="纯文本 字符"/>
    <w:link w:val="15"/>
    <w:qFormat/>
    <w:uiPriority w:val="0"/>
    <w:rPr>
      <w:rFonts w:ascii="宋体" w:hAnsi="Courier New"/>
      <w:kern w:val="2"/>
      <w:sz w:val="21"/>
    </w:rPr>
  </w:style>
  <w:style w:type="character" w:customStyle="1" w:styleId="55">
    <w:name w:val="日期 字符1"/>
    <w:link w:val="17"/>
    <w:qFormat/>
    <w:uiPriority w:val="99"/>
    <w:rPr>
      <w:rFonts w:ascii="Times New Roman" w:hAnsi="Times New Roman" w:eastAsia="宋体"/>
      <w:sz w:val="24"/>
    </w:rPr>
  </w:style>
  <w:style w:type="character" w:customStyle="1" w:styleId="56">
    <w:name w:val="正文文本缩进 2 字符"/>
    <w:link w:val="18"/>
    <w:qFormat/>
    <w:uiPriority w:val="99"/>
    <w:rPr>
      <w:color w:val="000000"/>
      <w:kern w:val="2"/>
      <w:sz w:val="24"/>
      <w:szCs w:val="24"/>
    </w:rPr>
  </w:style>
  <w:style w:type="character" w:customStyle="1" w:styleId="57">
    <w:name w:val="批注框文本 字符"/>
    <w:link w:val="19"/>
    <w:semiHidden/>
    <w:qFormat/>
    <w:uiPriority w:val="99"/>
    <w:rPr>
      <w:rFonts w:ascii="Times New Roman" w:hAnsi="Times New Roman" w:eastAsia="宋体"/>
      <w:sz w:val="18"/>
    </w:rPr>
  </w:style>
  <w:style w:type="character" w:customStyle="1" w:styleId="58">
    <w:name w:val="页脚 字符1"/>
    <w:link w:val="20"/>
    <w:qFormat/>
    <w:uiPriority w:val="99"/>
    <w:rPr>
      <w:sz w:val="18"/>
    </w:rPr>
  </w:style>
  <w:style w:type="character" w:customStyle="1" w:styleId="59">
    <w:name w:val="页眉 字符"/>
    <w:link w:val="21"/>
    <w:qFormat/>
    <w:uiPriority w:val="99"/>
    <w:rPr>
      <w:sz w:val="18"/>
    </w:rPr>
  </w:style>
  <w:style w:type="character" w:customStyle="1" w:styleId="60">
    <w:name w:val="正文文本缩进 3 字符"/>
    <w:link w:val="23"/>
    <w:qFormat/>
    <w:uiPriority w:val="99"/>
    <w:rPr>
      <w:color w:val="000000"/>
      <w:kern w:val="2"/>
      <w:sz w:val="16"/>
      <w:szCs w:val="16"/>
    </w:rPr>
  </w:style>
  <w:style w:type="character" w:customStyle="1" w:styleId="61">
    <w:name w:val="正文文本 2 字符"/>
    <w:link w:val="25"/>
    <w:qFormat/>
    <w:uiPriority w:val="99"/>
    <w:rPr>
      <w:color w:val="000000"/>
      <w:kern w:val="2"/>
      <w:sz w:val="24"/>
      <w:szCs w:val="24"/>
    </w:rPr>
  </w:style>
  <w:style w:type="character" w:customStyle="1" w:styleId="62">
    <w:name w:val="HTML 预设格式 字符"/>
    <w:link w:val="26"/>
    <w:qFormat/>
    <w:uiPriority w:val="99"/>
    <w:rPr>
      <w:rFonts w:ascii="宋体" w:hAnsi="宋体" w:cs="宋体"/>
      <w:sz w:val="24"/>
      <w:szCs w:val="24"/>
    </w:rPr>
  </w:style>
  <w:style w:type="character" w:customStyle="1" w:styleId="63">
    <w:name w:val="普通(网站) 字符"/>
    <w:link w:val="27"/>
    <w:qFormat/>
    <w:uiPriority w:val="0"/>
    <w:rPr>
      <w:rFonts w:ascii="宋体" w:hAnsi="宋体" w:eastAsia="宋体"/>
      <w:sz w:val="24"/>
    </w:rPr>
  </w:style>
  <w:style w:type="character" w:customStyle="1" w:styleId="64">
    <w:name w:val="标题 字符"/>
    <w:link w:val="28"/>
    <w:qFormat/>
    <w:uiPriority w:val="10"/>
    <w:rPr>
      <w:rFonts w:ascii="Cambria" w:hAnsi="Cambria"/>
      <w:b/>
      <w:bCs/>
      <w:color w:val="000000"/>
      <w:kern w:val="2"/>
      <w:sz w:val="32"/>
      <w:szCs w:val="32"/>
    </w:rPr>
  </w:style>
  <w:style w:type="character" w:customStyle="1" w:styleId="65">
    <w:name w:val="批注主题 字符"/>
    <w:link w:val="31"/>
    <w:semiHidden/>
    <w:qFormat/>
    <w:uiPriority w:val="0"/>
    <w:rPr>
      <w:rFonts w:ascii="Times New Roman" w:hAnsi="Times New Roman" w:eastAsia="宋体"/>
      <w:b/>
      <w:kern w:val="2"/>
      <w:sz w:val="24"/>
    </w:rPr>
  </w:style>
  <w:style w:type="character" w:customStyle="1" w:styleId="66">
    <w:name w:val="正文文本首行缩进 字符"/>
    <w:link w:val="30"/>
    <w:qFormat/>
    <w:uiPriority w:val="99"/>
    <w:rPr>
      <w:color w:val="000000"/>
      <w:kern w:val="2"/>
      <w:sz w:val="24"/>
      <w:szCs w:val="24"/>
    </w:rPr>
  </w:style>
  <w:style w:type="character" w:customStyle="1" w:styleId="67">
    <w:name w:val="正文文本首行缩进 2 字符"/>
    <w:link w:val="32"/>
    <w:qFormat/>
    <w:uiPriority w:val="0"/>
    <w:rPr>
      <w:rFonts w:ascii="Times New Roman" w:hAnsi="Times New Roman" w:eastAsia="宋体"/>
      <w:kern w:val="2"/>
      <w:sz w:val="21"/>
      <w:szCs w:val="24"/>
    </w:rPr>
  </w:style>
  <w:style w:type="paragraph" w:customStyle="1" w:styleId="68">
    <w:name w:val="表格1"/>
    <w:basedOn w:val="1"/>
    <w:semiHidden/>
    <w:qFormat/>
    <w:uiPriority w:val="0"/>
    <w:pPr>
      <w:adjustRightInd w:val="0"/>
      <w:snapToGrid w:val="0"/>
      <w:spacing w:line="360" w:lineRule="auto"/>
      <w:jc w:val="center"/>
    </w:pPr>
    <w:rPr>
      <w:rFonts w:ascii="黑体" w:hAnsi="宋体" w:eastAsia="黑体"/>
      <w:szCs w:val="21"/>
    </w:rPr>
  </w:style>
  <w:style w:type="character" w:customStyle="1" w:styleId="69">
    <w:name w:val="批注文字 字符1"/>
    <w:semiHidden/>
    <w:qFormat/>
    <w:uiPriority w:val="0"/>
    <w:rPr>
      <w:rFonts w:ascii="Times New Roman" w:hAnsi="Times New Roman" w:eastAsia="宋体"/>
      <w:sz w:val="24"/>
    </w:rPr>
  </w:style>
  <w:style w:type="character" w:customStyle="1" w:styleId="70">
    <w:name w:val="日期 字符"/>
    <w:qFormat/>
    <w:uiPriority w:val="0"/>
    <w:rPr>
      <w:rFonts w:ascii="Times New Roman" w:hAnsi="Times New Roman" w:eastAsia="宋体"/>
      <w:sz w:val="24"/>
    </w:rPr>
  </w:style>
  <w:style w:type="character" w:customStyle="1" w:styleId="71">
    <w:name w:val="页脚 字符"/>
    <w:basedOn w:val="35"/>
    <w:qFormat/>
    <w:uiPriority w:val="99"/>
  </w:style>
  <w:style w:type="character" w:customStyle="1" w:styleId="72">
    <w:name w:val="表格 Char"/>
    <w:link w:val="73"/>
    <w:qFormat/>
    <w:uiPriority w:val="0"/>
    <w:rPr>
      <w:rFonts w:ascii="宋体"/>
      <w:sz w:val="21"/>
    </w:rPr>
  </w:style>
  <w:style w:type="paragraph" w:customStyle="1" w:styleId="73">
    <w:name w:val="表格"/>
    <w:basedOn w:val="1"/>
    <w:next w:val="1"/>
    <w:link w:val="72"/>
    <w:qFormat/>
    <w:uiPriority w:val="0"/>
    <w:pPr>
      <w:adjustRightInd w:val="0"/>
      <w:snapToGrid w:val="0"/>
      <w:spacing w:beforeLines="10" w:afterLines="10" w:line="259" w:lineRule="auto"/>
      <w:jc w:val="center"/>
    </w:pPr>
    <w:rPr>
      <w:rFonts w:ascii="宋体"/>
      <w:kern w:val="0"/>
      <w:szCs w:val="20"/>
    </w:rPr>
  </w:style>
  <w:style w:type="character" w:customStyle="1" w:styleId="74">
    <w:name w:val="正文文本 字符1"/>
    <w:semiHidden/>
    <w:qFormat/>
    <w:uiPriority w:val="0"/>
    <w:rPr>
      <w:rFonts w:ascii="Times New Roman" w:hAnsi="Times New Roman" w:eastAsia="宋体"/>
      <w:sz w:val="24"/>
    </w:rPr>
  </w:style>
  <w:style w:type="paragraph" w:customStyle="1" w:styleId="75">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7">
    <w:name w:val="Normal"/>
    <w:qFormat/>
    <w:uiPriority w:val="0"/>
    <w:pPr>
      <w:jc w:val="both"/>
    </w:pPr>
    <w:rPr>
      <w:rFonts w:ascii="Times New Roman" w:hAnsi="Times New Roman" w:eastAsia="宋体" w:cs="Times New Roman"/>
      <w:kern w:val="2"/>
      <w:sz w:val="21"/>
      <w:szCs w:val="21"/>
      <w:lang w:val="en-US" w:eastAsia="zh-CN" w:bidi="ar-SA"/>
    </w:rPr>
  </w:style>
  <w:style w:type="character" w:customStyle="1" w:styleId="78">
    <w:name w:val="Body text (2)_"/>
    <w:link w:val="79"/>
    <w:qFormat/>
    <w:uiPriority w:val="0"/>
    <w:rPr>
      <w:rFonts w:eastAsia="Times New Roman"/>
      <w:sz w:val="26"/>
      <w:szCs w:val="26"/>
      <w:shd w:val="clear" w:color="auto" w:fill="FFFFFF"/>
    </w:rPr>
  </w:style>
  <w:style w:type="paragraph" w:customStyle="1" w:styleId="79">
    <w:name w:val="Body text (2)"/>
    <w:basedOn w:val="1"/>
    <w:link w:val="78"/>
    <w:qFormat/>
    <w:uiPriority w:val="0"/>
    <w:pPr>
      <w:shd w:val="clear" w:color="auto" w:fill="FFFFFF"/>
      <w:spacing w:line="503" w:lineRule="exact"/>
      <w:jc w:val="distribute"/>
    </w:pPr>
    <w:rPr>
      <w:rFonts w:eastAsia="Times New Roman"/>
      <w:kern w:val="0"/>
      <w:sz w:val="26"/>
      <w:szCs w:val="26"/>
    </w:rPr>
  </w:style>
  <w:style w:type="paragraph" w:customStyle="1" w:styleId="80">
    <w:name w:val="Body text (2)1"/>
    <w:basedOn w:val="1"/>
    <w:qFormat/>
    <w:uiPriority w:val="0"/>
    <w:pPr>
      <w:shd w:val="clear" w:color="auto" w:fill="FFFFFF"/>
      <w:spacing w:line="240" w:lineRule="atLeast"/>
      <w:jc w:val="left"/>
    </w:pPr>
    <w:rPr>
      <w:rFonts w:ascii="宋体" w:hAnsi="宋体" w:eastAsia="MingLiU" w:cs="宋体"/>
      <w:kern w:val="0"/>
      <w:sz w:val="26"/>
      <w:szCs w:val="26"/>
    </w:rPr>
  </w:style>
  <w:style w:type="paragraph" w:customStyle="1" w:styleId="81">
    <w:name w:val="样式 小四 行距: 1.5 倍行距 首行缩进:  2 字符"/>
    <w:basedOn w:val="1"/>
    <w:qFormat/>
    <w:uiPriority w:val="0"/>
    <w:pPr>
      <w:spacing w:line="360" w:lineRule="auto"/>
      <w:ind w:firstLine="200" w:firstLineChars="200"/>
      <w:jc w:val="left"/>
    </w:pPr>
    <w:rPr>
      <w:rFonts w:cs="宋体"/>
      <w:sz w:val="24"/>
      <w:szCs w:val="20"/>
    </w:rPr>
  </w:style>
  <w:style w:type="character" w:customStyle="1" w:styleId="82">
    <w:name w:val="纯文本 Char2"/>
    <w:qFormat/>
    <w:uiPriority w:val="0"/>
    <w:rPr>
      <w:rFonts w:ascii="宋体" w:hAnsi="Courier New" w:eastAsia="宋体"/>
      <w:kern w:val="2"/>
      <w:sz w:val="21"/>
      <w:lang w:val="en-US" w:eastAsia="zh-CN" w:bidi="ar-SA"/>
    </w:rPr>
  </w:style>
  <w:style w:type="character" w:customStyle="1" w:styleId="83">
    <w:name w:val="正文01 Char"/>
    <w:link w:val="84"/>
    <w:qFormat/>
    <w:uiPriority w:val="0"/>
    <w:rPr>
      <w:color w:val="000000"/>
      <w:kern w:val="2"/>
      <w:sz w:val="24"/>
      <w:szCs w:val="24"/>
    </w:rPr>
  </w:style>
  <w:style w:type="paragraph" w:customStyle="1" w:styleId="84">
    <w:name w:val="正文01"/>
    <w:basedOn w:val="1"/>
    <w:link w:val="83"/>
    <w:qFormat/>
    <w:uiPriority w:val="0"/>
    <w:pPr>
      <w:widowControl/>
      <w:spacing w:before="60" w:after="100" w:afterAutospacing="1" w:line="460" w:lineRule="exact"/>
      <w:ind w:firstLine="200"/>
      <w:jc w:val="left"/>
    </w:pPr>
    <w:rPr>
      <w:color w:val="000000"/>
      <w:sz w:val="24"/>
    </w:rPr>
  </w:style>
  <w:style w:type="character" w:customStyle="1" w:styleId="85">
    <w:name w:val="15"/>
    <w:qFormat/>
    <w:uiPriority w:val="0"/>
    <w:rPr>
      <w:rFonts w:hint="default" w:ascii="Times New Roman" w:hAnsi="Times New Roman" w:cs="Times New Roman"/>
    </w:rPr>
  </w:style>
  <w:style w:type="character" w:customStyle="1" w:styleId="86">
    <w:name w:val="表格 Char Char"/>
    <w:qFormat/>
    <w:uiPriority w:val="0"/>
    <w:rPr>
      <w:rFonts w:eastAsia="宋体"/>
      <w:sz w:val="21"/>
      <w:lang w:val="en-US" w:eastAsia="zh-CN" w:bidi="ar-SA"/>
    </w:rPr>
  </w:style>
  <w:style w:type="character" w:customStyle="1" w:styleId="87">
    <w:name w:val="10"/>
    <w:qFormat/>
    <w:uiPriority w:val="0"/>
    <w:rPr>
      <w:rFonts w:hint="default" w:ascii="Times New Roman" w:hAnsi="Times New Roman" w:cs="Times New Roman"/>
    </w:rPr>
  </w:style>
  <w:style w:type="character" w:customStyle="1" w:styleId="88">
    <w:name w:val="批注文字 Char1"/>
    <w:semiHidden/>
    <w:qFormat/>
    <w:uiPriority w:val="99"/>
    <w:rPr>
      <w:rFonts w:ascii="Times New Roman" w:hAnsi="Times New Roman"/>
      <w:color w:val="000000"/>
      <w:kern w:val="2"/>
      <w:sz w:val="24"/>
      <w:szCs w:val="24"/>
    </w:rPr>
  </w:style>
  <w:style w:type="character" w:customStyle="1" w:styleId="89">
    <w:name w:val="18"/>
    <w:qFormat/>
    <w:uiPriority w:val="0"/>
    <w:rPr>
      <w:rFonts w:ascii="MingLiU" w:hAnsi="MingLiU" w:eastAsia="MingLiU" w:cs="Times New Roman"/>
      <w:spacing w:val="30"/>
      <w:sz w:val="26"/>
      <w:szCs w:val="26"/>
    </w:rPr>
  </w:style>
  <w:style w:type="character" w:customStyle="1" w:styleId="90">
    <w:name w:val="apple-converted-space"/>
    <w:qFormat/>
    <w:uiPriority w:val="0"/>
  </w:style>
  <w:style w:type="character" w:customStyle="1" w:styleId="91">
    <w:name w:val="表格 32 Char"/>
    <w:link w:val="92"/>
    <w:qFormat/>
    <w:uiPriority w:val="0"/>
    <w:rPr>
      <w:sz w:val="24"/>
    </w:rPr>
  </w:style>
  <w:style w:type="paragraph" w:customStyle="1" w:styleId="92">
    <w:name w:val="表格 32"/>
    <w:basedOn w:val="1"/>
    <w:link w:val="91"/>
    <w:qFormat/>
    <w:uiPriority w:val="0"/>
    <w:pPr>
      <w:autoSpaceDE w:val="0"/>
      <w:autoSpaceDN w:val="0"/>
      <w:adjustRightInd w:val="0"/>
      <w:spacing w:line="0" w:lineRule="atLeast"/>
      <w:ind w:firstLine="200" w:firstLineChars="200"/>
      <w:jc w:val="center"/>
      <w:textAlignment w:val="baseline"/>
    </w:pPr>
    <w:rPr>
      <w:kern w:val="0"/>
      <w:sz w:val="24"/>
      <w:szCs w:val="20"/>
    </w:rPr>
  </w:style>
  <w:style w:type="character" w:customStyle="1" w:styleId="93">
    <w:name w:val="纯文本 Char1"/>
    <w:semiHidden/>
    <w:qFormat/>
    <w:uiPriority w:val="99"/>
    <w:rPr>
      <w:rFonts w:ascii="宋体" w:hAnsi="Courier New" w:cs="Courier New"/>
      <w:color w:val="000000"/>
      <w:kern w:val="2"/>
      <w:sz w:val="21"/>
      <w:szCs w:val="21"/>
    </w:rPr>
  </w:style>
  <w:style w:type="character" w:customStyle="1" w:styleId="94">
    <w:name w:val="表格文字 Char"/>
    <w:link w:val="95"/>
    <w:qFormat/>
    <w:uiPriority w:val="0"/>
    <w:rPr>
      <w:rFonts w:ascii="Arial" w:hAnsi="Arial" w:cs="Arial"/>
      <w:color w:val="000000"/>
      <w:spacing w:val="-20"/>
      <w:kern w:val="2"/>
      <w:sz w:val="24"/>
    </w:rPr>
  </w:style>
  <w:style w:type="paragraph" w:customStyle="1" w:styleId="95">
    <w:name w:val="表格文字"/>
    <w:basedOn w:val="1"/>
    <w:link w:val="94"/>
    <w:qFormat/>
    <w:uiPriority w:val="0"/>
    <w:pPr>
      <w:adjustRightInd w:val="0"/>
      <w:snapToGrid w:val="0"/>
      <w:jc w:val="center"/>
    </w:pPr>
    <w:rPr>
      <w:rFonts w:ascii="Arial" w:hAnsi="Arial" w:cs="Arial"/>
      <w:color w:val="000000"/>
      <w:spacing w:val="-20"/>
      <w:sz w:val="24"/>
      <w:szCs w:val="20"/>
    </w:rPr>
  </w:style>
  <w:style w:type="character" w:customStyle="1" w:styleId="96">
    <w:name w:val="【表中文字】 Char"/>
    <w:link w:val="97"/>
    <w:qFormat/>
    <w:uiPriority w:val="0"/>
    <w:rPr>
      <w:kern w:val="2"/>
      <w:sz w:val="21"/>
    </w:rPr>
  </w:style>
  <w:style w:type="paragraph" w:customStyle="1" w:styleId="97">
    <w:name w:val="【表中文字】"/>
    <w:basedOn w:val="1"/>
    <w:link w:val="96"/>
    <w:qFormat/>
    <w:uiPriority w:val="0"/>
    <w:pPr>
      <w:jc w:val="center"/>
    </w:pPr>
    <w:rPr>
      <w:szCs w:val="20"/>
    </w:rPr>
  </w:style>
  <w:style w:type="character" w:customStyle="1" w:styleId="98">
    <w:name w:val="表格数字 Char"/>
    <w:link w:val="99"/>
    <w:qFormat/>
    <w:uiPriority w:val="0"/>
    <w:rPr>
      <w:rFonts w:ascii="Arial" w:hAnsi="Arial" w:cs="宋体"/>
      <w:sz w:val="21"/>
    </w:rPr>
  </w:style>
  <w:style w:type="paragraph" w:customStyle="1" w:styleId="99">
    <w:name w:val="表格数字"/>
    <w:basedOn w:val="1"/>
    <w:link w:val="98"/>
    <w:qFormat/>
    <w:uiPriority w:val="0"/>
    <w:pPr>
      <w:widowControl/>
      <w:spacing w:line="360" w:lineRule="exact"/>
      <w:jc w:val="center"/>
    </w:pPr>
    <w:rPr>
      <w:rFonts w:ascii="Arial" w:hAnsi="Arial" w:cs="宋体"/>
      <w:kern w:val="0"/>
      <w:szCs w:val="20"/>
    </w:rPr>
  </w:style>
  <w:style w:type="character" w:customStyle="1" w:styleId="100">
    <w:name w:val="表格正文 Char"/>
    <w:link w:val="101"/>
    <w:qFormat/>
    <w:uiPriority w:val="0"/>
    <w:rPr>
      <w:rFonts w:ascii="Arial" w:hAnsi="Arial"/>
      <w:color w:val="000000"/>
      <w:kern w:val="2"/>
      <w:sz w:val="21"/>
      <w:szCs w:val="21"/>
    </w:rPr>
  </w:style>
  <w:style w:type="paragraph" w:customStyle="1" w:styleId="101">
    <w:name w:val="表格正文"/>
    <w:basedOn w:val="1"/>
    <w:link w:val="100"/>
    <w:semiHidden/>
    <w:qFormat/>
    <w:uiPriority w:val="0"/>
    <w:pPr>
      <w:widowControl/>
      <w:spacing w:line="360" w:lineRule="exact"/>
      <w:jc w:val="center"/>
    </w:pPr>
    <w:rPr>
      <w:rFonts w:ascii="Arial" w:hAnsi="Arial"/>
      <w:color w:val="000000"/>
      <w:szCs w:val="21"/>
    </w:rPr>
  </w:style>
  <w:style w:type="paragraph" w:customStyle="1" w:styleId="102">
    <w:name w:val="表1表2"/>
    <w:basedOn w:val="1"/>
    <w:qFormat/>
    <w:uiPriority w:val="0"/>
    <w:pPr>
      <w:widowControl/>
      <w:autoSpaceDE w:val="0"/>
      <w:autoSpaceDN w:val="0"/>
      <w:adjustRightInd w:val="0"/>
      <w:spacing w:line="360" w:lineRule="auto"/>
      <w:jc w:val="center"/>
      <w:textAlignment w:val="center"/>
    </w:pPr>
    <w:rPr>
      <w:rFonts w:eastAsia="仿宋体"/>
      <w:color w:val="000000"/>
      <w:kern w:val="0"/>
      <w:sz w:val="24"/>
    </w:rPr>
  </w:style>
  <w:style w:type="paragraph" w:customStyle="1" w:styleId="103">
    <w:name w:val="正文格式"/>
    <w:basedOn w:val="1"/>
    <w:qFormat/>
    <w:uiPriority w:val="0"/>
    <w:pPr>
      <w:spacing w:line="360" w:lineRule="auto"/>
      <w:ind w:firstLine="544" w:firstLineChars="200"/>
    </w:pPr>
    <w:rPr>
      <w:rFonts w:ascii="Calibri" w:hAnsi="Calibri"/>
      <w:sz w:val="24"/>
    </w:rPr>
  </w:style>
  <w:style w:type="character" w:customStyle="1" w:styleId="104">
    <w:name w:val="HTML 预设格式 字符1"/>
    <w:qFormat/>
    <w:uiPriority w:val="0"/>
    <w:rPr>
      <w:rFonts w:ascii="Courier New" w:hAnsi="Courier New" w:cs="Courier New"/>
      <w:kern w:val="2"/>
    </w:rPr>
  </w:style>
  <w:style w:type="character" w:customStyle="1" w:styleId="105">
    <w:name w:val="正文文本首行缩进 字符1"/>
    <w:qFormat/>
    <w:uiPriority w:val="0"/>
    <w:rPr>
      <w:kern w:val="2"/>
      <w:sz w:val="21"/>
      <w:szCs w:val="24"/>
    </w:rPr>
  </w:style>
  <w:style w:type="character" w:customStyle="1" w:styleId="106">
    <w:name w:val="正文文本 2 字符1"/>
    <w:qFormat/>
    <w:uiPriority w:val="0"/>
    <w:rPr>
      <w:kern w:val="2"/>
      <w:sz w:val="21"/>
      <w:szCs w:val="24"/>
    </w:rPr>
  </w:style>
  <w:style w:type="character" w:customStyle="1" w:styleId="107">
    <w:name w:val="正文文本缩进 3 字符1"/>
    <w:qFormat/>
    <w:uiPriority w:val="0"/>
    <w:rPr>
      <w:kern w:val="2"/>
      <w:sz w:val="16"/>
      <w:szCs w:val="16"/>
    </w:rPr>
  </w:style>
  <w:style w:type="character" w:customStyle="1" w:styleId="108">
    <w:name w:val="文档结构图 字符1"/>
    <w:qFormat/>
    <w:uiPriority w:val="0"/>
    <w:rPr>
      <w:rFonts w:ascii="Microsoft YaHei UI" w:eastAsia="Microsoft YaHei UI"/>
      <w:kern w:val="2"/>
      <w:sz w:val="18"/>
      <w:szCs w:val="18"/>
    </w:rPr>
  </w:style>
  <w:style w:type="paragraph" w:customStyle="1" w:styleId="109">
    <w:name w:val="样式1"/>
    <w:basedOn w:val="1"/>
    <w:qFormat/>
    <w:uiPriority w:val="0"/>
    <w:pPr>
      <w:spacing w:line="360" w:lineRule="auto"/>
    </w:pPr>
    <w:rPr>
      <w:b/>
      <w:bCs/>
      <w:sz w:val="28"/>
    </w:rPr>
  </w:style>
  <w:style w:type="character" w:customStyle="1" w:styleId="110">
    <w:name w:val="正文文本缩进 2 字符1"/>
    <w:qFormat/>
    <w:uiPriority w:val="0"/>
    <w:rPr>
      <w:kern w:val="2"/>
      <w:sz w:val="21"/>
      <w:szCs w:val="24"/>
    </w:rPr>
  </w:style>
  <w:style w:type="character" w:customStyle="1" w:styleId="111">
    <w:name w:val="正文文本 3 字符1"/>
    <w:qFormat/>
    <w:uiPriority w:val="0"/>
    <w:rPr>
      <w:kern w:val="2"/>
      <w:sz w:val="16"/>
      <w:szCs w:val="16"/>
    </w:rPr>
  </w:style>
  <w:style w:type="character" w:customStyle="1" w:styleId="112">
    <w:name w:val="标题 字符1"/>
    <w:qFormat/>
    <w:uiPriority w:val="0"/>
    <w:rPr>
      <w:rFonts w:ascii="等线 Light" w:hAnsi="等线 Light" w:cs="Times New Roman"/>
      <w:b/>
      <w:bCs/>
      <w:kern w:val="2"/>
      <w:sz w:val="32"/>
      <w:szCs w:val="32"/>
    </w:rPr>
  </w:style>
  <w:style w:type="character" w:customStyle="1" w:styleId="113">
    <w:name w:val="纯文本 字符1"/>
    <w:qFormat/>
    <w:uiPriority w:val="0"/>
    <w:rPr>
      <w:rFonts w:ascii="宋体" w:hAnsi="Courier New" w:cs="Courier New"/>
      <w:kern w:val="2"/>
      <w:sz w:val="21"/>
      <w:szCs w:val="21"/>
    </w:rPr>
  </w:style>
  <w:style w:type="paragraph" w:customStyle="1" w:styleId="114">
    <w:name w:val=" Char"/>
    <w:basedOn w:val="1"/>
    <w:qFormat/>
    <w:uiPriority w:val="0"/>
    <w:rPr>
      <w:sz w:val="24"/>
    </w:rPr>
  </w:style>
  <w:style w:type="paragraph" w:customStyle="1" w:styleId="115">
    <w:name w:val="正文文本 (2)"/>
    <w:basedOn w:val="1"/>
    <w:unhideWhenUsed/>
    <w:qFormat/>
    <w:uiPriority w:val="99"/>
    <w:pPr>
      <w:widowControl/>
      <w:shd w:val="clear" w:color="auto" w:fill="FFFFFF"/>
      <w:spacing w:before="60" w:line="802" w:lineRule="exact"/>
      <w:jc w:val="left"/>
    </w:pPr>
    <w:rPr>
      <w:rFonts w:hint="eastAsia" w:ascii="MingLiU" w:hAnsi="MingLiU" w:eastAsia="MingLiU"/>
      <w:color w:val="000000"/>
      <w:sz w:val="28"/>
    </w:rPr>
  </w:style>
  <w:style w:type="paragraph" w:customStyle="1" w:styleId="116">
    <w:name w:val="表 标题"/>
    <w:basedOn w:val="1"/>
    <w:qFormat/>
    <w:uiPriority w:val="0"/>
    <w:pPr>
      <w:adjustRightInd w:val="0"/>
      <w:snapToGrid w:val="0"/>
      <w:spacing w:beforeLines="50"/>
      <w:jc w:val="center"/>
    </w:pPr>
    <w:rPr>
      <w:b/>
      <w:kern w:val="0"/>
      <w:sz w:val="20"/>
      <w:szCs w:val="21"/>
    </w:rPr>
  </w:style>
  <w:style w:type="paragraph" w:customStyle="1" w:styleId="117">
    <w:name w:val="正文000000"/>
    <w:basedOn w:val="1"/>
    <w:next w:val="1"/>
    <w:qFormat/>
    <w:uiPriority w:val="0"/>
    <w:pPr>
      <w:adjustRightInd w:val="0"/>
      <w:snapToGrid w:val="0"/>
      <w:spacing w:line="360" w:lineRule="auto"/>
      <w:ind w:firstLine="200" w:firstLineChars="200"/>
      <w:textAlignment w:val="baseline"/>
    </w:pPr>
    <w:rPr>
      <w:rFonts w:ascii="宋体" w:hAnsi="宋体" w:cs="宋体"/>
      <w:sz w:val="24"/>
    </w:rPr>
  </w:style>
  <w:style w:type="paragraph" w:customStyle="1" w:styleId="118">
    <w:name w:val="中等深浅网格 21"/>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119">
    <w:name w:val="正文2"/>
    <w:basedOn w:val="1"/>
    <w:link w:val="120"/>
    <w:qFormat/>
    <w:uiPriority w:val="0"/>
    <w:pPr>
      <w:adjustRightInd w:val="0"/>
      <w:snapToGrid w:val="0"/>
      <w:spacing w:line="440" w:lineRule="atLeast"/>
      <w:ind w:firstLine="510"/>
    </w:pPr>
    <w:rPr>
      <w:szCs w:val="20"/>
    </w:rPr>
  </w:style>
  <w:style w:type="character" w:customStyle="1" w:styleId="120">
    <w:name w:val="正文2 Char"/>
    <w:link w:val="119"/>
    <w:qFormat/>
    <w:uiPriority w:val="0"/>
    <w:rPr>
      <w:kern w:val="2"/>
      <w:sz w:val="21"/>
    </w:rPr>
  </w:style>
  <w:style w:type="paragraph" w:customStyle="1" w:styleId="121">
    <w:name w:val="正文 + 首行缩进:  2 字符"/>
    <w:basedOn w:val="1"/>
    <w:qFormat/>
    <w:uiPriority w:val="0"/>
    <w:pPr>
      <w:widowControl/>
      <w:spacing w:line="460" w:lineRule="atLeast"/>
      <w:ind w:firstLine="528" w:firstLineChars="200"/>
      <w:jc w:val="left"/>
    </w:pPr>
    <w:rPr>
      <w:color w:val="000000"/>
      <w:spacing w:val="12"/>
      <w:sz w:val="24"/>
      <w:szCs w:val="20"/>
    </w:rPr>
  </w:style>
  <w:style w:type="paragraph" w:customStyle="1" w:styleId="122">
    <w:name w:val="图表题"/>
    <w:basedOn w:val="1"/>
    <w:next w:val="1"/>
    <w:qFormat/>
    <w:uiPriority w:val="0"/>
    <w:pPr>
      <w:widowControl/>
      <w:adjustRightInd w:val="0"/>
      <w:snapToGrid w:val="0"/>
      <w:spacing w:line="360" w:lineRule="auto"/>
      <w:jc w:val="center"/>
    </w:pPr>
    <w:rPr>
      <w:rFonts w:eastAsia="黑体"/>
      <w:color w:val="000000"/>
      <w:sz w:val="24"/>
      <w:szCs w:val="20"/>
    </w:rPr>
  </w:style>
  <w:style w:type="paragraph" w:customStyle="1" w:styleId="123">
    <w:name w:val="1级标题"/>
    <w:basedOn w:val="2"/>
    <w:qFormat/>
    <w:uiPriority w:val="0"/>
    <w:pPr>
      <w:keepNext w:val="0"/>
      <w:widowControl/>
      <w:overflowPunct/>
      <w:adjustRightInd w:val="0"/>
      <w:spacing w:before="0" w:after="0" w:line="360" w:lineRule="auto"/>
      <w:ind w:left="0" w:firstLine="0"/>
      <w:jc w:val="left"/>
    </w:pPr>
    <w:rPr>
      <w:rFonts w:ascii="黑体"/>
      <w:b w:val="0"/>
    </w:rPr>
  </w:style>
  <w:style w:type="paragraph" w:customStyle="1" w:styleId="124">
    <w:name w:val="表格001"/>
    <w:basedOn w:val="1"/>
    <w:qFormat/>
    <w:uiPriority w:val="0"/>
    <w:pPr>
      <w:widowControl/>
      <w:spacing w:line="360" w:lineRule="exact"/>
      <w:jc w:val="center"/>
    </w:pPr>
    <w:rPr>
      <w:color w:val="000000"/>
      <w:sz w:val="24"/>
    </w:rPr>
  </w:style>
  <w:style w:type="paragraph" w:customStyle="1" w:styleId="125">
    <w:name w:val="正文001"/>
    <w:basedOn w:val="1"/>
    <w:qFormat/>
    <w:uiPriority w:val="0"/>
    <w:pPr>
      <w:widowControl/>
      <w:spacing w:before="60" w:after="100" w:afterAutospacing="1" w:line="420" w:lineRule="exact"/>
      <w:ind w:firstLine="482"/>
      <w:jc w:val="left"/>
    </w:pPr>
    <w:rPr>
      <w:color w:val="000000"/>
      <w:sz w:val="24"/>
    </w:rPr>
  </w:style>
  <w:style w:type="paragraph" w:customStyle="1" w:styleId="126">
    <w:name w:val="表格内容"/>
    <w:basedOn w:val="6"/>
    <w:qFormat/>
    <w:uiPriority w:val="0"/>
    <w:pPr>
      <w:spacing w:line="312" w:lineRule="auto"/>
      <w:ind w:firstLine="0" w:firstLineChars="0"/>
      <w:jc w:val="center"/>
    </w:pPr>
    <w:rPr>
      <w:rFonts w:ascii="Calibri" w:hAnsi="Calibri"/>
      <w:sz w:val="24"/>
    </w:rPr>
  </w:style>
  <w:style w:type="paragraph" w:customStyle="1" w:styleId="127">
    <w:name w:val="民武正文"/>
    <w:basedOn w:val="15"/>
    <w:qFormat/>
    <w:uiPriority w:val="0"/>
    <w:pPr>
      <w:spacing w:line="300" w:lineRule="auto"/>
      <w:ind w:firstLine="200" w:firstLineChars="200"/>
    </w:pPr>
    <w:rPr>
      <w:rFonts w:ascii="Times New Roman" w:hAnsi="Times New Roman"/>
      <w:kern w:val="0"/>
      <w:sz w:val="24"/>
      <w:szCs w:val="24"/>
      <w:lang w:bidi="en-US"/>
    </w:rPr>
  </w:style>
  <w:style w:type="paragraph" w:customStyle="1" w:styleId="128">
    <w:name w:val="Table Paragraph"/>
    <w:basedOn w:val="1"/>
    <w:qFormat/>
    <w:uiPriority w:val="0"/>
    <w:pPr>
      <w:jc w:val="center"/>
    </w:pPr>
    <w:rPr>
      <w:rFonts w:ascii="宋体" w:hAnsi="宋体" w:cs="宋体"/>
      <w:kern w:val="0"/>
      <w:sz w:val="22"/>
      <w:szCs w:val="22"/>
      <w:lang w:eastAsia="en-US"/>
    </w:rPr>
  </w:style>
  <w:style w:type="paragraph" w:customStyle="1" w:styleId="129">
    <w:name w:val="正文缩近"/>
    <w:basedOn w:val="1"/>
    <w:qFormat/>
    <w:uiPriority w:val="0"/>
    <w:pPr>
      <w:spacing w:line="360" w:lineRule="auto"/>
      <w:ind w:firstLine="560" w:firstLineChars="200"/>
    </w:pPr>
    <w:rPr>
      <w:sz w:val="28"/>
      <w:szCs w:val="28"/>
    </w:rPr>
  </w:style>
  <w:style w:type="paragraph" w:customStyle="1" w:styleId="130">
    <w:name w:val="bg正文首行缩进"/>
    <w:basedOn w:val="1"/>
    <w:qFormat/>
    <w:uiPriority w:val="0"/>
    <w:pPr>
      <w:widowControl/>
      <w:spacing w:line="400" w:lineRule="exact"/>
      <w:ind w:firstLine="482"/>
      <w:jc w:val="left"/>
    </w:pPr>
    <w:rPr>
      <w:color w:val="000000"/>
      <w:sz w:val="24"/>
    </w:rPr>
  </w:style>
  <w:style w:type="paragraph" w:customStyle="1" w:styleId="131">
    <w:name w:val="正文3"/>
    <w:basedOn w:val="1"/>
    <w:qFormat/>
    <w:uiPriority w:val="0"/>
    <w:pPr>
      <w:spacing w:line="360" w:lineRule="auto"/>
      <w:ind w:firstLine="454"/>
      <w:jc w:val="left"/>
    </w:pPr>
    <w:rPr>
      <w:rFonts w:ascii="宋体" w:hAnsi="宋体"/>
      <w:kern w:val="0"/>
      <w:sz w:val="24"/>
      <w:szCs w:val="20"/>
    </w:rPr>
  </w:style>
  <w:style w:type="paragraph" w:customStyle="1" w:styleId="132">
    <w:name w:val="p0"/>
    <w:basedOn w:val="1"/>
    <w:qFormat/>
    <w:uiPriority w:val="0"/>
    <w:pPr>
      <w:widowControl/>
    </w:pPr>
    <w:rPr>
      <w:kern w:val="0"/>
      <w:szCs w:val="21"/>
    </w:rPr>
  </w:style>
  <w:style w:type="paragraph" w:customStyle="1" w:styleId="133">
    <w:name w:val="样式 正文首行缩进:  2 字符 + 首行缩进:  2 字符"/>
    <w:basedOn w:val="1"/>
    <w:qFormat/>
    <w:uiPriority w:val="0"/>
    <w:pPr>
      <w:spacing w:line="360" w:lineRule="auto"/>
      <w:ind w:firstLine="480" w:firstLineChars="200"/>
    </w:pPr>
    <w:rPr>
      <w:rFonts w:cs="宋体"/>
      <w:sz w:val="24"/>
      <w:szCs w:val="20"/>
    </w:rPr>
  </w:style>
  <w:style w:type="paragraph" w:customStyle="1" w:styleId="134">
    <w:name w:val="【正文】"/>
    <w:basedOn w:val="1"/>
    <w:qFormat/>
    <w:uiPriority w:val="0"/>
    <w:pPr>
      <w:widowControl/>
      <w:spacing w:line="440" w:lineRule="exact"/>
      <w:ind w:firstLine="544"/>
      <w:jc w:val="left"/>
    </w:pPr>
    <w:rPr>
      <w:rFonts w:cs="宋体"/>
      <w:color w:val="000000"/>
      <w:sz w:val="24"/>
    </w:rPr>
  </w:style>
  <w:style w:type="paragraph" w:customStyle="1" w:styleId="135">
    <w:name w:val=" Char Char Char Char Char Char Char"/>
    <w:basedOn w:val="1"/>
    <w:qFormat/>
    <w:uiPriority w:val="0"/>
    <w:pPr>
      <w:spacing w:line="360" w:lineRule="auto"/>
      <w:ind w:firstLine="200" w:firstLineChars="200"/>
    </w:pPr>
    <w:rPr>
      <w:rFonts w:ascii="宋体" w:hAnsi="宋体" w:cs="宋体"/>
      <w:sz w:val="24"/>
    </w:rPr>
  </w:style>
  <w:style w:type="paragraph" w:customStyle="1" w:styleId="136">
    <w:name w:val="正文+首行缩进"/>
    <w:basedOn w:val="1"/>
    <w:qFormat/>
    <w:uiPriority w:val="0"/>
    <w:pPr>
      <w:widowControl/>
      <w:spacing w:line="360" w:lineRule="auto"/>
      <w:ind w:firstLine="480" w:firstLineChars="200"/>
      <w:jc w:val="left"/>
    </w:pPr>
    <w:rPr>
      <w:rFonts w:cs="宋体"/>
      <w:color w:val="000000"/>
      <w:sz w:val="24"/>
      <w:szCs w:val="20"/>
    </w:rPr>
  </w:style>
  <w:style w:type="paragraph" w:customStyle="1" w:styleId="137">
    <w:name w:val="Default"/>
    <w:basedOn w:val="138"/>
    <w:next w:val="1"/>
    <w:qFormat/>
    <w:uiPriority w:val="0"/>
    <w:pPr>
      <w:widowControl/>
      <w:autoSpaceDE w:val="0"/>
      <w:autoSpaceDN w:val="0"/>
      <w:jc w:val="left"/>
    </w:pPr>
    <w:rPr>
      <w:rFonts w:ascii="宋体" w:cs="宋体"/>
      <w:color w:val="000000"/>
      <w:kern w:val="0"/>
      <w:sz w:val="24"/>
    </w:rPr>
  </w:style>
  <w:style w:type="paragraph" w:customStyle="1" w:styleId="138">
    <w:name w:val="纯文本1"/>
    <w:basedOn w:val="1"/>
    <w:autoRedefine/>
    <w:qFormat/>
    <w:uiPriority w:val="0"/>
    <w:pPr>
      <w:adjustRightInd w:val="0"/>
    </w:pPr>
    <w:rPr>
      <w:rFonts w:ascii="宋体" w:hAnsi="Courier New"/>
      <w:szCs w:val="20"/>
    </w:rPr>
  </w:style>
  <w:style w:type="paragraph" w:customStyle="1" w:styleId="139">
    <w:name w:val="流程图文字"/>
    <w:basedOn w:val="1"/>
    <w:qFormat/>
    <w:uiPriority w:val="0"/>
    <w:pPr>
      <w:adjustRightInd w:val="0"/>
      <w:spacing w:beforeAutospacing="1" w:after="40" w:line="360" w:lineRule="exact"/>
      <w:jc w:val="center"/>
      <w:textAlignment w:val="baseline"/>
    </w:pPr>
    <w:rPr>
      <w:rFonts w:ascii="宋体" w:hAnsi="宋体"/>
      <w:kern w:val="0"/>
      <w:sz w:val="24"/>
      <w:szCs w:val="20"/>
    </w:rPr>
  </w:style>
  <w:style w:type="paragraph" w:customStyle="1" w:styleId="140">
    <w:name w:val="xl2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141">
    <w:name w:val="Normal (Web)"/>
    <w:basedOn w:val="1"/>
    <w:qFormat/>
    <w:uiPriority w:val="0"/>
    <w:pPr>
      <w:widowControl/>
      <w:spacing w:before="100" w:beforeAutospacing="1" w:after="100" w:afterAutospacing="1" w:line="360" w:lineRule="auto"/>
      <w:jc w:val="left"/>
    </w:pPr>
    <w:rPr>
      <w:rFonts w:ascii="Arial Unicode MS" w:hAnsi="Arial Unicode MS" w:eastAsia="Arial Unicode MS" w:cs="Arial Unicode MS"/>
      <w:color w:val="000000"/>
      <w:kern w:val="0"/>
      <w:sz w:val="24"/>
    </w:rPr>
  </w:style>
  <w:style w:type="paragraph" w:customStyle="1" w:styleId="142">
    <w:name w:val="表格2"/>
    <w:basedOn w:val="1"/>
    <w:qFormat/>
    <w:uiPriority w:val="0"/>
    <w:pPr>
      <w:widowControl/>
      <w:jc w:val="center"/>
    </w:pPr>
    <w:rPr>
      <w:rFonts w:cs="宋体"/>
      <w:color w:val="000000"/>
      <w:szCs w:val="21"/>
    </w:rPr>
  </w:style>
  <w:style w:type="paragraph" w:customStyle="1" w:styleId="143">
    <w:name w:val="_Style 44"/>
    <w:basedOn w:val="1"/>
    <w:qFormat/>
    <w:uiPriority w:val="0"/>
    <w:pPr>
      <w:spacing w:line="360" w:lineRule="auto"/>
      <w:ind w:firstLine="200" w:firstLineChars="200"/>
    </w:pPr>
    <w:rPr>
      <w:rFonts w:ascii="宋体" w:hAnsi="宋体" w:cs="宋体"/>
      <w:sz w:val="24"/>
    </w:rPr>
  </w:style>
  <w:style w:type="paragraph" w:customStyle="1" w:styleId="144">
    <w:name w:val="中文"/>
    <w:basedOn w:val="1"/>
    <w:qFormat/>
    <w:uiPriority w:val="0"/>
    <w:pPr>
      <w:widowControl/>
      <w:spacing w:line="360" w:lineRule="auto"/>
      <w:ind w:firstLine="200" w:firstLineChars="200"/>
    </w:pPr>
    <w:rPr>
      <w:rFonts w:ascii="Calibri" w:hAnsi="Calibri"/>
      <w:lang w:eastAsia="en-US"/>
    </w:rPr>
  </w:style>
  <w:style w:type="paragraph" w:customStyle="1" w:styleId="145">
    <w:name w:val=" Char Char Char Char Char Char Char Char Char Char"/>
    <w:basedOn w:val="1"/>
    <w:qFormat/>
    <w:uiPriority w:val="0"/>
    <w:pPr>
      <w:widowControl/>
      <w:spacing w:after="160" w:line="240" w:lineRule="exact"/>
      <w:jc w:val="left"/>
    </w:pPr>
  </w:style>
  <w:style w:type="paragraph" w:customStyle="1" w:styleId="146">
    <w:name w:val="表内容"/>
    <w:basedOn w:val="15"/>
    <w:qFormat/>
    <w:uiPriority w:val="0"/>
    <w:pPr>
      <w:widowControl w:val="0"/>
      <w:jc w:val="both"/>
    </w:pPr>
    <w:rPr>
      <w:rFonts w:ascii="Times New Roman" w:hAnsi="Times New Roman"/>
      <w:lang w:val="en-US" w:eastAsia="zh-CN"/>
    </w:rPr>
  </w:style>
  <w:style w:type="character" w:customStyle="1" w:styleId="147">
    <w:name w:val="正文文本 (2)_"/>
    <w:link w:val="148"/>
    <w:qFormat/>
    <w:uiPriority w:val="0"/>
    <w:rPr>
      <w:rFonts w:ascii="宋体" w:hAnsi="宋体"/>
      <w:sz w:val="22"/>
      <w:szCs w:val="22"/>
      <w:shd w:val="clear" w:color="auto" w:fill="FFFFFF"/>
    </w:rPr>
  </w:style>
  <w:style w:type="paragraph" w:customStyle="1" w:styleId="148">
    <w:name w:val="正文文本 (2)1"/>
    <w:basedOn w:val="1"/>
    <w:link w:val="147"/>
    <w:qFormat/>
    <w:uiPriority w:val="0"/>
    <w:pPr>
      <w:shd w:val="clear" w:color="auto" w:fill="FFFFFF"/>
      <w:spacing w:before="300" w:line="466" w:lineRule="exact"/>
      <w:ind w:hanging="600"/>
      <w:jc w:val="distribute"/>
    </w:pPr>
    <w:rPr>
      <w:rFonts w:ascii="宋体" w:hAnsi="宋体"/>
      <w:kern w:val="0"/>
      <w:sz w:val="22"/>
      <w:szCs w:val="22"/>
    </w:rPr>
  </w:style>
  <w:style w:type="character" w:customStyle="1" w:styleId="149">
    <w:name w:val="正文文本 (2) + 粗体"/>
    <w:qFormat/>
    <w:uiPriority w:val="0"/>
    <w:rPr>
      <w:rFonts w:ascii="宋体" w:hAnsi="宋体" w:cs="宋体"/>
      <w:b/>
      <w:bCs/>
      <w:sz w:val="22"/>
      <w:szCs w:val="22"/>
      <w:u w:val="none"/>
      <w:shd w:val="clear" w:color="auto" w:fill="FFFFFF"/>
    </w:rPr>
  </w:style>
  <w:style w:type="character" w:customStyle="1" w:styleId="150">
    <w:name w:val="表内格式 Char"/>
    <w:link w:val="151"/>
    <w:qFormat/>
    <w:uiPriority w:val="0"/>
    <w:rPr>
      <w:rFonts w:eastAsia="楷体_GB2312"/>
      <w:sz w:val="18"/>
      <w:szCs w:val="18"/>
    </w:rPr>
  </w:style>
  <w:style w:type="paragraph" w:customStyle="1" w:styleId="151">
    <w:name w:val="表内格式"/>
    <w:basedOn w:val="1"/>
    <w:next w:val="1"/>
    <w:link w:val="150"/>
    <w:qFormat/>
    <w:uiPriority w:val="0"/>
    <w:pPr>
      <w:spacing w:line="360" w:lineRule="auto"/>
      <w:ind w:firstLine="200" w:firstLineChars="200"/>
      <w:jc w:val="center"/>
    </w:pPr>
    <w:rPr>
      <w:rFonts w:eastAsia="楷体_GB2312"/>
      <w:kern w:val="0"/>
      <w:sz w:val="18"/>
      <w:szCs w:val="18"/>
    </w:rPr>
  </w:style>
  <w:style w:type="paragraph" w:customStyle="1" w:styleId="152">
    <w:name w:val="小编号"/>
    <w:basedOn w:val="1"/>
    <w:next w:val="1"/>
    <w:qFormat/>
    <w:uiPriority w:val="0"/>
    <w:pPr>
      <w:spacing w:line="360" w:lineRule="auto"/>
      <w:ind w:firstLine="200" w:firstLineChars="200"/>
    </w:pPr>
    <w:rPr>
      <w:rFonts w:ascii="Calibri" w:hAnsi="Calibri"/>
      <w:b/>
      <w:sz w:val="24"/>
      <w:szCs w:val="20"/>
    </w:rPr>
  </w:style>
  <w:style w:type="paragraph" w:customStyle="1" w:styleId="153">
    <w:name w:val="列出段落2"/>
    <w:basedOn w:val="1"/>
    <w:qFormat/>
    <w:uiPriority w:val="34"/>
    <w:pPr>
      <w:spacing w:line="360" w:lineRule="auto"/>
      <w:ind w:firstLine="420" w:firstLineChars="200"/>
    </w:pPr>
    <w:rPr>
      <w:sz w:val="24"/>
      <w:szCs w:val="20"/>
    </w:rPr>
  </w:style>
  <w:style w:type="paragraph" w:customStyle="1" w:styleId="154">
    <w:name w:val="表 内容"/>
    <w:basedOn w:val="1"/>
    <w:qFormat/>
    <w:uiPriority w:val="0"/>
    <w:pPr>
      <w:adjustRightInd w:val="0"/>
      <w:snapToGrid w:val="0"/>
      <w:spacing w:beforeLines="15" w:afterLines="15"/>
      <w:jc w:val="center"/>
    </w:pPr>
    <w:rPr>
      <w:b/>
      <w:sz w:val="24"/>
      <w:szCs w:val="21"/>
    </w:rPr>
  </w:style>
  <w:style w:type="paragraph" w:customStyle="1" w:styleId="155">
    <w:name w:val="中文报告书样式"/>
    <w:basedOn w:val="1"/>
    <w:qFormat/>
    <w:uiPriority w:val="0"/>
    <w:pPr>
      <w:widowControl/>
      <w:tabs>
        <w:tab w:val="left" w:pos="360"/>
      </w:tabs>
      <w:adjustRightInd w:val="0"/>
      <w:snapToGrid w:val="0"/>
      <w:spacing w:line="360" w:lineRule="auto"/>
      <w:jc w:val="center"/>
      <w:textAlignment w:val="baseline"/>
    </w:pPr>
    <w:rPr>
      <w:rFonts w:ascii="Calibri" w:hAnsi="Calibri"/>
      <w:color w:val="000000"/>
      <w:sz w:val="24"/>
    </w:rPr>
  </w:style>
  <w:style w:type="paragraph" w:customStyle="1" w:styleId="156">
    <w:name w:val="文"/>
    <w:basedOn w:val="1"/>
    <w:qFormat/>
    <w:uiPriority w:val="0"/>
    <w:pPr>
      <w:spacing w:line="360" w:lineRule="auto"/>
      <w:ind w:firstLine="200" w:firstLineChars="200"/>
      <w:jc w:val="left"/>
    </w:pPr>
    <w:rPr>
      <w:bCs/>
      <w:sz w:val="24"/>
    </w:rPr>
  </w:style>
  <w:style w:type="paragraph" w:customStyle="1" w:styleId="157">
    <w:name w:val="我表标题"/>
    <w:basedOn w:val="1"/>
    <w:qFormat/>
    <w:uiPriority w:val="0"/>
    <w:pPr>
      <w:jc w:val="center"/>
      <w:textAlignment w:val="baseline"/>
    </w:pPr>
    <w:rPr>
      <w:b/>
      <w:kern w:val="24"/>
      <w:szCs w:val="21"/>
    </w:rPr>
  </w:style>
  <w:style w:type="paragraph" w:customStyle="1" w:styleId="158">
    <w:name w:val="环评表内容"/>
    <w:basedOn w:val="1"/>
    <w:qFormat/>
    <w:uiPriority w:val="0"/>
    <w:pPr>
      <w:widowControl/>
      <w:spacing w:line="260" w:lineRule="exact"/>
      <w:jc w:val="center"/>
    </w:pPr>
    <w:rPr>
      <w:rFonts w:ascii="Tahoma" w:hAnsi="Tahoma" w:cs="Tahoma"/>
    </w:rPr>
  </w:style>
  <w:style w:type="paragraph" w:customStyle="1" w:styleId="159">
    <w:name w:val="正文首行缩进 2 + Times New Roman"/>
    <w:basedOn w:val="1"/>
    <w:qFormat/>
    <w:uiPriority w:val="0"/>
    <w:pPr>
      <w:widowControl/>
      <w:tabs>
        <w:tab w:val="left" w:pos="0"/>
        <w:tab w:val="left" w:pos="3150"/>
      </w:tabs>
      <w:autoSpaceDE w:val="0"/>
      <w:autoSpaceDN w:val="0"/>
      <w:spacing w:line="324" w:lineRule="auto"/>
      <w:ind w:right="113" w:firstLine="482" w:firstLineChars="200"/>
      <w:jc w:val="left"/>
    </w:pPr>
    <w:rPr>
      <w:b/>
      <w:sz w:val="24"/>
    </w:rPr>
  </w:style>
  <w:style w:type="paragraph" w:customStyle="1" w:styleId="160">
    <w:name w:val="_Style 33"/>
    <w:basedOn w:val="1"/>
    <w:qFormat/>
    <w:uiPriority w:val="0"/>
    <w:rPr>
      <w:sz w:val="24"/>
    </w:rPr>
  </w:style>
  <w:style w:type="paragraph" w:customStyle="1" w:styleId="161">
    <w:name w:val="正文1"/>
    <w:basedOn w:val="18"/>
    <w:qFormat/>
    <w:uiPriority w:val="0"/>
    <w:pPr>
      <w:widowControl w:val="0"/>
      <w:spacing w:line="360" w:lineRule="auto"/>
      <w:ind w:firstLine="200"/>
      <w:jc w:val="both"/>
    </w:pPr>
    <w:rPr>
      <w:sz w:val="21"/>
      <w:lang w:val="en-US" w:eastAsia="zh-CN"/>
    </w:rPr>
  </w:style>
  <w:style w:type="paragraph" w:customStyle="1" w:styleId="162">
    <w:name w:val="万瑞报告表1"/>
    <w:basedOn w:val="13"/>
    <w:next w:val="1"/>
    <w:qFormat/>
    <w:uiPriority w:val="0"/>
    <w:pPr>
      <w:adjustRightInd w:val="0"/>
      <w:snapToGrid w:val="0"/>
      <w:spacing w:before="60" w:after="0" w:line="360" w:lineRule="auto"/>
      <w:ind w:left="0" w:leftChars="0" w:firstLine="200" w:firstLineChars="200"/>
    </w:pPr>
    <w:rPr>
      <w:rFonts w:ascii="宋体" w:hAnsi="宋体" w:eastAsia="Times New Roman"/>
      <w:kern w:val="2"/>
      <w:sz w:val="32"/>
      <w:szCs w:val="24"/>
    </w:rPr>
  </w:style>
  <w:style w:type="paragraph" w:customStyle="1" w:styleId="163">
    <w:name w:val="Body Text 22"/>
    <w:basedOn w:val="1"/>
    <w:qFormat/>
    <w:uiPriority w:val="0"/>
    <w:pPr>
      <w:adjustRightInd w:val="0"/>
      <w:spacing w:line="440" w:lineRule="atLeast"/>
      <w:ind w:firstLine="480"/>
      <w:textAlignment w:val="baseline"/>
    </w:pPr>
    <w:rPr>
      <w:rFonts w:eastAsia="仿宋_GB2312" w:cs="宋体"/>
      <w:color w:val="000000"/>
      <w:sz w:val="24"/>
      <w:szCs w:val="20"/>
    </w:rPr>
  </w:style>
  <w:style w:type="paragraph" w:customStyle="1" w:styleId="164">
    <w:name w:val=" Char3"/>
    <w:basedOn w:val="1"/>
    <w:qFormat/>
    <w:uiPriority w:val="0"/>
    <w:rPr>
      <w:szCs w:val="20"/>
    </w:rPr>
  </w:style>
  <w:style w:type="paragraph" w:customStyle="1" w:styleId="165">
    <w:name w:val="报告表正文"/>
    <w:basedOn w:val="1"/>
    <w:qFormat/>
    <w:uiPriority w:val="0"/>
    <w:pPr>
      <w:adjustRightInd w:val="0"/>
      <w:spacing w:line="312" w:lineRule="auto"/>
      <w:ind w:left="113" w:right="113" w:firstLine="482"/>
      <w:jc w:val="left"/>
    </w:pPr>
    <w:rPr>
      <w:kern w:val="0"/>
      <w:sz w:val="24"/>
      <w:szCs w:val="20"/>
    </w:rPr>
  </w:style>
  <w:style w:type="paragraph" w:customStyle="1" w:styleId="166">
    <w:name w:val="小标题"/>
    <w:basedOn w:val="1"/>
    <w:qFormat/>
    <w:uiPriority w:val="0"/>
    <w:pPr>
      <w:widowControl/>
      <w:spacing w:line="360" w:lineRule="auto"/>
      <w:ind w:firstLine="562"/>
      <w:jc w:val="left"/>
    </w:pPr>
    <w:rPr>
      <w:rFonts w:ascii="宋体" w:hAnsi="宋体"/>
      <w:b/>
      <w:sz w:val="28"/>
      <w:szCs w:val="21"/>
    </w:rPr>
  </w:style>
  <w:style w:type="paragraph" w:customStyle="1" w:styleId="167">
    <w:name w:val="表 头"/>
    <w:basedOn w:val="1"/>
    <w:qFormat/>
    <w:uiPriority w:val="0"/>
    <w:pPr>
      <w:widowControl/>
      <w:tabs>
        <w:tab w:val="left" w:pos="3750"/>
      </w:tabs>
      <w:snapToGrid w:val="0"/>
      <w:jc w:val="center"/>
    </w:pPr>
    <w:rPr>
      <w:rFonts w:ascii="Calibri" w:hAnsi="Calibri"/>
      <w:b/>
      <w:bCs/>
    </w:rPr>
  </w:style>
  <w:style w:type="paragraph" w:styleId="168">
    <w:name w:val="No Spacing"/>
    <w:qFormat/>
    <w:uiPriority w:val="1"/>
    <w:pPr>
      <w:widowControl w:val="0"/>
      <w:adjustRightInd w:val="0"/>
      <w:snapToGrid w:val="0"/>
      <w:jc w:val="center"/>
    </w:pPr>
    <w:rPr>
      <w:rFonts w:ascii="Calibri" w:hAnsi="Calibri" w:eastAsia="宋体" w:cs="Times New Roman"/>
      <w:kern w:val="2"/>
      <w:sz w:val="21"/>
      <w:szCs w:val="24"/>
      <w:lang w:val="en-US" w:eastAsia="zh-CN" w:bidi="ar-SA"/>
    </w:rPr>
  </w:style>
  <w:style w:type="paragraph" w:customStyle="1" w:styleId="169">
    <w:name w:val="列出段落1"/>
    <w:basedOn w:val="1"/>
    <w:qFormat/>
    <w:uiPriority w:val="0"/>
    <w:pPr>
      <w:widowControl/>
      <w:spacing w:line="360" w:lineRule="auto"/>
      <w:ind w:firstLine="420"/>
      <w:jc w:val="left"/>
    </w:pPr>
    <w:rPr>
      <w:rFonts w:ascii="Calibri" w:hAnsi="Calibri"/>
      <w:szCs w:val="21"/>
    </w:rPr>
  </w:style>
  <w:style w:type="paragraph" w:customStyle="1" w:styleId="170">
    <w:name w:val="1表头"/>
    <w:qFormat/>
    <w:uiPriority w:val="0"/>
    <w:pPr>
      <w:adjustRightInd w:val="0"/>
      <w:snapToGrid w:val="0"/>
      <w:spacing w:before="25" w:beforeLines="25" w:after="25" w:afterLines="25"/>
      <w:jc w:val="center"/>
    </w:pPr>
    <w:rPr>
      <w:rFonts w:ascii="Calibri" w:hAnsi="Calibri" w:eastAsia="宋体" w:cs="Times New Roman"/>
      <w:b/>
      <w:color w:val="0000CC"/>
      <w:sz w:val="24"/>
      <w:szCs w:val="24"/>
      <w:lang w:val="en-US" w:eastAsia="zh-CN" w:bidi="ar-SA"/>
    </w:rPr>
  </w:style>
  <w:style w:type="paragraph" w:customStyle="1" w:styleId="171">
    <w:name w:val="安如夏花"/>
    <w:basedOn w:val="1"/>
    <w:qFormat/>
    <w:uiPriority w:val="0"/>
    <w:pPr>
      <w:widowControl/>
      <w:spacing w:beforeLines="50" w:afterLines="50" w:line="360" w:lineRule="auto"/>
      <w:jc w:val="center"/>
    </w:pPr>
    <w:rPr>
      <w:rFonts w:ascii="Calibri" w:hAnsi="Calibri" w:eastAsia="黑体"/>
      <w:b/>
      <w:szCs w:val="21"/>
    </w:rPr>
  </w:style>
  <w:style w:type="character" w:customStyle="1" w:styleId="172">
    <w:name w:val="表   头 Char"/>
    <w:link w:val="173"/>
    <w:qFormat/>
    <w:uiPriority w:val="0"/>
    <w:rPr>
      <w:b/>
    </w:rPr>
  </w:style>
  <w:style w:type="paragraph" w:customStyle="1" w:styleId="173">
    <w:name w:val="表   头"/>
    <w:basedOn w:val="1"/>
    <w:link w:val="172"/>
    <w:qFormat/>
    <w:uiPriority w:val="0"/>
    <w:pPr>
      <w:snapToGrid w:val="0"/>
      <w:jc w:val="center"/>
    </w:pPr>
    <w:rPr>
      <w:b/>
      <w:kern w:val="0"/>
      <w:sz w:val="20"/>
      <w:szCs w:val="20"/>
    </w:rPr>
  </w:style>
  <w:style w:type="character" w:customStyle="1" w:styleId="174">
    <w:name w:val="无间隔表格内 Char"/>
    <w:link w:val="175"/>
    <w:qFormat/>
    <w:uiPriority w:val="0"/>
    <w:rPr>
      <w:sz w:val="21"/>
    </w:rPr>
  </w:style>
  <w:style w:type="paragraph" w:customStyle="1" w:styleId="175">
    <w:name w:val="无间隔表格内"/>
    <w:basedOn w:val="173"/>
    <w:link w:val="174"/>
    <w:qFormat/>
    <w:uiPriority w:val="0"/>
    <w:rPr>
      <w:b w:val="0"/>
      <w:sz w:val="21"/>
    </w:rPr>
  </w:style>
  <w:style w:type="paragraph" w:customStyle="1" w:styleId="176">
    <w:name w:val="正文-RED"/>
    <w:qFormat/>
    <w:uiPriority w:val="0"/>
    <w:pPr>
      <w:spacing w:line="360" w:lineRule="auto"/>
      <w:ind w:firstLine="420"/>
      <w:jc w:val="both"/>
    </w:pPr>
    <w:rPr>
      <w:rFonts w:ascii="Times New Roman" w:hAnsi="Times New Roman" w:eastAsia="宋体" w:cs="Times New Roman"/>
      <w:sz w:val="24"/>
      <w:lang w:val="en-US" w:eastAsia="zh-CN" w:bidi="ar-SA"/>
    </w:rPr>
  </w:style>
  <w:style w:type="paragraph" w:customStyle="1" w:styleId="177">
    <w:name w:val="大标题"/>
    <w:basedOn w:val="1"/>
    <w:qFormat/>
    <w:uiPriority w:val="0"/>
    <w:pPr>
      <w:spacing w:line="360" w:lineRule="auto"/>
    </w:pPr>
    <w:rPr>
      <w:rFonts w:ascii="宋体" w:hAnsi="宋体"/>
      <w:b/>
      <w:sz w:val="28"/>
      <w:szCs w:val="28"/>
    </w:rPr>
  </w:style>
  <w:style w:type="paragraph" w:customStyle="1" w:styleId="178">
    <w:name w:val="000000"/>
    <w:basedOn w:val="1"/>
    <w:qFormat/>
    <w:uiPriority w:val="0"/>
    <w:pPr>
      <w:widowControl/>
      <w:jc w:val="center"/>
    </w:pPr>
    <w:rPr>
      <w:b/>
      <w:kern w:val="0"/>
      <w:szCs w:val="20"/>
      <w:lang w:val="en-GB"/>
    </w:rPr>
  </w:style>
  <w:style w:type="paragraph" w:customStyle="1" w:styleId="179">
    <w:name w:val="正文缩进1"/>
    <w:basedOn w:val="1"/>
    <w:next w:val="1"/>
    <w:qFormat/>
    <w:uiPriority w:val="0"/>
    <w:pPr>
      <w:widowControl w:val="0"/>
      <w:spacing w:line="240" w:lineRule="auto"/>
      <w:ind w:firstLine="420" w:firstLineChars="200"/>
      <w:jc w:val="both"/>
    </w:pPr>
    <w:rPr>
      <w:rFonts w:ascii="宋体" w:hAnsi="Calibri"/>
      <w:color w:val="auto"/>
      <w:sz w:val="28"/>
    </w:rPr>
  </w:style>
  <w:style w:type="paragraph" w:customStyle="1" w:styleId="180">
    <w:name w:val="阿威表格"/>
    <w:basedOn w:val="1"/>
    <w:qFormat/>
    <w:uiPriority w:val="0"/>
    <w:pPr>
      <w:widowControl/>
      <w:jc w:val="center"/>
    </w:pPr>
    <w:rPr>
      <w:rFonts w:ascii="Times New Roman" w:hAnsi="Times New Roman" w:eastAsia="宋体" w:cs="Times New Roman"/>
    </w:rPr>
  </w:style>
  <w:style w:type="paragraph" w:customStyle="1" w:styleId="181">
    <w:name w:val="权威表格内容"/>
    <w:basedOn w:val="1"/>
    <w:qFormat/>
    <w:uiPriority w:val="0"/>
    <w:pPr>
      <w:spacing w:line="240" w:lineRule="auto"/>
      <w:jc w:val="center"/>
    </w:pPr>
    <w:rPr>
      <w:rFonts w:hint="eastAsia" w:ascii="Times New Roman" w:hAnsi="Times New Roman" w:eastAsia="宋体"/>
      <w:bCs/>
      <w:color w:val="000000"/>
    </w:rPr>
  </w:style>
  <w:style w:type="paragraph" w:customStyle="1" w:styleId="182">
    <w:name w:val="能评表格"/>
    <w:basedOn w:val="1"/>
    <w:qFormat/>
    <w:uiPriority w:val="0"/>
    <w:rPr>
      <w:rFonts w:ascii="Times New Roman" w:hAnsi="Times New Roman" w:eastAsia="楷体" w:cs="Times New Roman"/>
      <w:color w:val="000000" w:themeColor="text1"/>
      <w:sz w:val="24"/>
      <w14:textFill>
        <w14:solidFill>
          <w14:schemeClr w14:val="tx1"/>
        </w14:solidFill>
      </w14:textFill>
    </w:rPr>
  </w:style>
  <w:style w:type="character" w:customStyle="1" w:styleId="183">
    <w:name w:val="font41"/>
    <w:basedOn w:val="35"/>
    <w:qFormat/>
    <w:uiPriority w:val="0"/>
    <w:rPr>
      <w:rFonts w:hint="default" w:ascii="Times New Roman" w:hAnsi="Times New Roman" w:cs="Times New Roman"/>
      <w:color w:val="0000FF"/>
      <w:sz w:val="21"/>
      <w:szCs w:val="21"/>
      <w:u w:val="none"/>
      <w:vertAlign w:val="subscript"/>
    </w:rPr>
  </w:style>
  <w:style w:type="paragraph" w:customStyle="1" w:styleId="184">
    <w:name w:val="Table Text"/>
    <w:basedOn w:val="1"/>
    <w:semiHidden/>
    <w:qFormat/>
    <w:uiPriority w:val="0"/>
    <w:rPr>
      <w:rFonts w:ascii="宋体" w:hAnsi="宋体" w:eastAsia="宋体" w:cs="宋体"/>
      <w:sz w:val="24"/>
      <w:szCs w:val="24"/>
      <w:lang w:val="en-US" w:eastAsia="en-US" w:bidi="ar-SA"/>
    </w:rPr>
  </w:style>
  <w:style w:type="table" w:customStyle="1" w:styleId="185">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jpe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928d7da4-f3ab-42bf-8db6-13019979d4bc</errorID>
      <errorWord>程</errorWord>
      <group>L1_Word</group>
      <groupName>字词问题</groupName>
      <ability>L2_Typo</ability>
      <abilityName>字词错误</abilityName>
      <candidateList>
        <item>程中</item>
      </candidateList>
      <explain/>
      <paraID>4B0FF5BF</paraID>
      <start>29</start>
      <end>30</end>
      <status>unmodified</status>
      <modifiedWord/>
      <trackRevisions>false</trackRevisions>
    </reviewItem>
    <reviewItem>
      <errorID>7f007a5b-f015-42aa-9875-6bd74dee2c92</errorID>
      <errorWord>程</errorWord>
      <group>L1_Word</group>
      <groupName>字词问题</groupName>
      <ability>L2_Typo</ability>
      <abilityName>字词错误</abilityName>
      <candidateList>
        <item>程中</item>
      </candidateList>
      <explain/>
      <paraID>4B0FF5BF</paraID>
      <start>76</start>
      <end>77</end>
      <status>unmodified</status>
      <modifiedWord/>
      <trackRevisions>false</trackRevisions>
    </reviewItem>
    <reviewItem>
      <errorID>48470020-e20d-4441-b1a7-df28e83c4647</errorID>
      <errorWord>程</errorWord>
      <group>L1_Word</group>
      <groupName>字词问题</groupName>
      <ability>L2_Typo</ability>
      <abilityName>字词错误</abilityName>
      <candidateList>
        <item>程中</item>
      </candidateList>
      <explain/>
      <paraID>7342BFFC</paraID>
      <start>153</start>
      <end>154</end>
      <status>unmodified</status>
      <modifiedWord/>
      <trackRevisions>false</trackRevisions>
    </reviewItem>
    <reviewItem>
      <errorID>649762ec-67d5-427d-87e9-269a8cf6bf76</errorID>
      <errorWord>程</errorWord>
      <group>L1_Word</group>
      <groupName>字词问题</groupName>
      <ability>L2_Typo</ability>
      <abilityName>字词错误</abilityName>
      <candidateList>
        <item>程中</item>
      </candidateList>
      <explain/>
      <paraID>35152897</paraID>
      <start>107</start>
      <end>108</end>
      <status>unmodified</status>
      <modifiedWord/>
      <trackRevisions>false</trackRevisions>
    </reviewItem>
    <reviewItem>
      <errorID>f3222bb1-3800-41b3-9f31-f4ef14c0126f</errorID>
      <errorWord>文化自然遗产</errorWord>
      <group>L1_Word</group>
      <groupName>字词问题</groupName>
      <ability>L2_Typo</ability>
      <abilityName>字词错误</abilityName>
      <candidateList>
        <item>文化和自然遗产</item>
      </candidateList>
      <explain/>
      <paraID>5FA34359</paraID>
      <start>67</start>
      <end>73</end>
      <status>unmodified</status>
      <modifiedWord/>
      <trackRevisions>false</trackRevisions>
    </reviewItem>
    <reviewItem>
      <errorID>c99a43ed-ccc4-46f4-b8a3-164f17896d92</errorID>
      <errorWord>生态红线保护区</errorWord>
      <group>L1_Political</group>
      <groupName>政治性问题</groupName>
      <ability>L2_Keyword</ability>
      <abilityName>固定表述</abilityName>
      <candidateList>
        <item>生态功能保护区</item>
      </candidateList>
      <explain>词汇“生态功能保护区”在特定场景下为固定表述形式，请确认此处的“生态红线保护区”是否存在不当。</explain>
      <paraID>5FA34359</paraID>
      <start>120</start>
      <end>127</end>
      <status>unmodified</status>
      <modifiedWord/>
      <trackRevisions>false</trackRevisions>
    </reviewItem>
    <reviewItem>
      <errorID>54332d78-e9e6-4b0d-b100-e3d75b33c610</errorID>
      <errorWord>粘稠</errorWord>
      <group>L1_Word</group>
      <groupName>字词问题</groupName>
      <ability>L2_Typo</ability>
      <abilityName>字词错误</abilityName>
      <candidateList>
        <item>黏稠</item>
      </candidateList>
      <explain>存在发音相同字词的误用。</explain>
      <paraID>17CE1599</paraID>
      <start>3</start>
      <end>5</end>
      <status>unmodified</status>
      <modifiedWord/>
      <trackRevisions>false</trackRevisions>
    </reviewItem>
    <reviewItem>
      <errorID>1e5c1d4b-3696-4b4a-9df0-49bd94e6a1c4</errorID>
      <errorWord>计</errorWord>
      <group>L1_Word</group>
      <groupName>字词问题</groupName>
      <ability>L2_Typo</ability>
      <abilityName>字词错误</abilityName>
      <candidateList>
        <item>计算</item>
      </candidateList>
      <explain/>
      <paraID>1C834E31</paraID>
      <start>47</start>
      <end>48</end>
      <status>unmodified</status>
      <modifiedWord/>
      <trackRevisions>false</trackRevisions>
    </reviewItem>
    <reviewItem>
      <errorID>bea237dd-3f7e-4b6f-81de-4f5a43f1ab9b</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5465624A</paraID>
      <start>127</start>
      <end>128</end>
      <status>unmodified</status>
      <modifiedWord/>
      <trackRevisions>false</trackRevisions>
    </reviewItem>
    <reviewItem>
      <errorID>91297825-0ed5-4e21-af41-cdf5cce89c51</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5465624A</paraID>
      <start>166</start>
      <end>167</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60ff5b-42d0-44e3-a208-3a088b2f665d}">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50</Pages>
  <Words>10227</Words>
  <Characters>10656</Characters>
  <Lines>1</Lines>
  <Paragraphs>1</Paragraphs>
  <TotalTime>28</TotalTime>
  <ScaleCrop>false</ScaleCrop>
  <LinksUpToDate>false</LinksUpToDate>
  <CharactersWithSpaces>10809</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宝妈</cp:lastModifiedBy>
  <cp:lastPrinted>2020-12-29T02:43:00Z</cp:lastPrinted>
  <dcterms:modified xsi:type="dcterms:W3CDTF">2026-06-09T07:23:48Z</dcterms:modified>
  <dc:title>附件2</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50412FA1DE654DED91328B6C9EDE9F50_13</vt:lpwstr>
  </property>
  <property fmtid="{D5CDD505-2E9C-101B-9397-08002B2CF9AE}" pid="4" name="KSOTemplateDocerSaveRecord">
    <vt:lpwstr>eyJoZGlkIjoiZTI3YTQ0N2EyOTQ0NWQ4OTRjOGYzYmQ1NTJjMWY1OGUiLCJ1c2VySWQiOiI0MzUxOTk5NDUifQ==</vt:lpwstr>
  </property>
</Properties>
</file>